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4"/>
        <w:spacing w:after="0"/>
        <w:rPr>
          <w:sz w:val="20"/>
          <w:szCs w:val="20"/>
          <w:color w:val="auto"/>
        </w:rPr>
      </w:pPr>
      <w:r>
        <w:rPr>
          <w:rFonts w:ascii="Times New Roman" w:cs="Times New Roman" w:eastAsia="Times New Roman" w:hAnsi="Times New Roman"/>
          <w:sz w:val="32"/>
          <w:szCs w:val="32"/>
          <w:b w:val="1"/>
          <w:bCs w:val="1"/>
          <w:color w:val="auto"/>
        </w:rPr>
        <mc:AlternateContent>
          <mc:Choice Requires="wps">
            <w:drawing>
              <wp:anchor simplePos="0" relativeHeight="251657728" behindDoc="1" locked="0" layoutInCell="0" allowOverlap="1">
                <wp:simplePos x="0" y="0"/>
                <wp:positionH relativeFrom="page">
                  <wp:posOffset>621665</wp:posOffset>
                </wp:positionH>
                <wp:positionV relativeFrom="page">
                  <wp:posOffset>822325</wp:posOffset>
                </wp:positionV>
                <wp:extent cx="6523990" cy="0"/>
                <wp:wrapNone/>
                <wp:docPr id="1" name="Shape 1"/>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523990" cy="4763"/>
                        </a:xfrm>
                        <a:prstGeom prst="line">
                          <a:avLst/>
                        </a:prstGeom>
                        <a:solidFill>
                          <a:srgbClr val="FFFFFF"/>
                        </a:solidFill>
                        <a:ln w="9144">
                          <a:solidFill>
                            <a:srgbClr val="000000"/>
                          </a:solidFill>
                          <a:miter lim="800000"/>
                          <a:headEnd/>
                          <a:tailEnd/>
                        </a:ln>
                      </wps:spPr>
                      <wps:bodyPr/>
                    </wps:wsp>
                  </a:graphicData>
                </a:graphic>
              </wp:anchor>
            </w:drawing>
          </mc:Choice>
          <mc:Fallback>
            <w:pict>
              <v:line id="Shape 1" o:spid="_x0000_s1026" style="position:absolute;z-index:251657728;visibility:visible;mso-wrap-style:square;mso-wrap-distance-left:0pt;mso-wrap-distance-top:0;mso-wrap-distance-right:0pt;mso-wrap-distance-bottom:0;mso-position-horizontal:absolute;mso-position-horizontal-relative:page;mso-position-vertical:absolute;mso-position-vertical-relative:page;" from="48.95pt,64.75pt" to="562.65pt,64.75pt" o:allowincell="f" strokecolor="#000000" strokeweight="0.72pt">
                <w10:wrap anchorx="page" anchory="page"/>
              </v:line>
            </w:pict>
          </mc:Fallback>
        </mc:AlternateContent>
        <mc:AlternateContent>
          <mc:Choice Requires="wps">
            <w:drawing>
              <wp:anchor simplePos="0" relativeHeight="251657728" behindDoc="1" locked="0" layoutInCell="0" allowOverlap="1">
                <wp:simplePos x="0" y="0"/>
                <wp:positionH relativeFrom="page">
                  <wp:posOffset>621665</wp:posOffset>
                </wp:positionH>
                <wp:positionV relativeFrom="page">
                  <wp:posOffset>804545</wp:posOffset>
                </wp:positionV>
                <wp:extent cx="6523990" cy="0"/>
                <wp:wrapNone/>
                <wp:docPr id="2" name="Shape 2"/>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523990" cy="4763"/>
                        </a:xfrm>
                        <a:prstGeom prst="line">
                          <a:avLst/>
                        </a:prstGeom>
                        <a:solidFill>
                          <a:srgbClr val="FFFFFF"/>
                        </a:solidFill>
                        <a:ln w="9143">
                          <a:solidFill>
                            <a:srgbClr val="000000"/>
                          </a:solidFill>
                          <a:miter lim="800000"/>
                          <a:headEnd/>
                          <a:tailEnd/>
                        </a:ln>
                      </wps:spPr>
                      <wps:bodyPr/>
                    </wps:wsp>
                  </a:graphicData>
                </a:graphic>
              </wp:anchor>
            </w:drawing>
          </mc:Choice>
          <mc:Fallback>
            <w:pict>
              <v:line id="Shape 2" o:spid="_x0000_s1027" style="position:absolute;z-index:251657728;visibility:visible;mso-wrap-style:square;mso-wrap-distance-left:0pt;mso-wrap-distance-top:0;mso-wrap-distance-right:0pt;mso-wrap-distance-bottom:0;mso-position-horizontal:absolute;mso-position-horizontal-relative:page;mso-position-vertical:absolute;mso-position-vertical-relative:page;" from="48.95pt,63.35pt" to="562.65pt,63.35pt" o:allowincell="f" strokecolor="#000000" strokeweight="0.7199pt">
                <w10:wrap anchorx="page" anchory="page"/>
              </v:line>
            </w:pict>
          </mc:Fallback>
        </mc:AlternateContent>
        <w:t>UNITED STATES</w:t>
      </w:r>
    </w:p>
    <w:p>
      <w:pPr>
        <w:spacing w:after="0" w:line="71" w:lineRule="exact"/>
        <w:rPr>
          <w:sz w:val="24"/>
          <w:szCs w:val="24"/>
          <w:color w:val="auto"/>
        </w:rPr>
      </w:pPr>
    </w:p>
    <w:p>
      <w:pPr>
        <w:jc w:val="center"/>
        <w:ind w:right="14"/>
        <w:spacing w:after="0"/>
        <w:rPr>
          <w:sz w:val="20"/>
          <w:szCs w:val="20"/>
          <w:color w:val="auto"/>
        </w:rPr>
      </w:pPr>
      <w:r>
        <w:rPr>
          <w:rFonts w:ascii="Times New Roman" w:cs="Times New Roman" w:eastAsia="Times New Roman" w:hAnsi="Times New Roman"/>
          <w:sz w:val="32"/>
          <w:szCs w:val="32"/>
          <w:b w:val="1"/>
          <w:bCs w:val="1"/>
          <w:color w:val="auto"/>
        </w:rPr>
        <w:t>SECURITIES AND EXCHANGE COMMISSION</w:t>
      </w:r>
    </w:p>
    <w:p>
      <w:pPr>
        <w:spacing w:after="0" w:line="86" w:lineRule="exact"/>
        <w:rPr>
          <w:sz w:val="24"/>
          <w:szCs w:val="24"/>
          <w:color w:val="auto"/>
        </w:rPr>
      </w:pPr>
    </w:p>
    <w:p>
      <w:pPr>
        <w:jc w:val="center"/>
        <w:ind w:right="-5"/>
        <w:spacing w:after="0"/>
        <w:rPr>
          <w:sz w:val="20"/>
          <w:szCs w:val="20"/>
          <w:color w:val="auto"/>
        </w:rPr>
      </w:pPr>
      <w:r>
        <w:rPr>
          <w:rFonts w:ascii="Times New Roman" w:cs="Times New Roman" w:eastAsia="Times New Roman" w:hAnsi="Times New Roman"/>
          <w:sz w:val="20"/>
          <w:szCs w:val="20"/>
          <w:b w:val="1"/>
          <w:bCs w:val="1"/>
          <w:color w:val="auto"/>
        </w:rPr>
        <w:t>Washington, D.C. 20549</w:t>
      </w:r>
    </w:p>
    <w:p>
      <w:pPr>
        <w:spacing w:after="0" w:line="59" w:lineRule="exact"/>
        <w:rPr>
          <w:sz w:val="24"/>
          <w:szCs w:val="24"/>
          <w:color w:val="auto"/>
        </w:rPr>
      </w:pPr>
    </w:p>
    <w:p>
      <w:pPr>
        <w:ind w:left="1966"/>
        <w:spacing w:after="0"/>
        <w:rPr>
          <w:sz w:val="20"/>
          <w:szCs w:val="20"/>
          <w:color w:val="auto"/>
        </w:rPr>
      </w:pPr>
      <w:r>
        <w:rPr>
          <w:rFonts w:ascii="Times New Roman" w:cs="Times New Roman" w:eastAsia="Times New Roman" w:hAnsi="Times New Roman"/>
          <w:sz w:val="16"/>
          <w:szCs w:val="16"/>
          <w:b w:val="1"/>
          <w:bCs w:val="1"/>
          <w:color w:val="auto"/>
        </w:rPr>
        <w:t>_______________________________________________________________________________</w:t>
      </w:r>
    </w:p>
    <w:p>
      <w:pPr>
        <w:spacing w:after="0" w:line="110" w:lineRule="exact"/>
        <w:rPr>
          <w:sz w:val="24"/>
          <w:szCs w:val="24"/>
          <w:color w:val="auto"/>
        </w:rPr>
      </w:pPr>
    </w:p>
    <w:p>
      <w:pPr>
        <w:jc w:val="center"/>
        <w:ind w:right="14"/>
        <w:spacing w:after="0"/>
        <w:rPr>
          <w:sz w:val="20"/>
          <w:szCs w:val="20"/>
          <w:color w:val="auto"/>
        </w:rPr>
      </w:pPr>
      <w:r>
        <w:rPr>
          <w:rFonts w:ascii="Times New Roman" w:cs="Times New Roman" w:eastAsia="Times New Roman" w:hAnsi="Times New Roman"/>
          <w:sz w:val="32"/>
          <w:szCs w:val="32"/>
          <w:b w:val="1"/>
          <w:bCs w:val="1"/>
          <w:color w:val="auto"/>
        </w:rPr>
        <w:t>FORM 10-K</w:t>
      </w:r>
    </w:p>
    <w:p>
      <w:pPr>
        <w:spacing w:after="0" w:line="102" w:lineRule="exact"/>
        <w:rPr>
          <w:sz w:val="24"/>
          <w:szCs w:val="24"/>
          <w:color w:val="auto"/>
        </w:rPr>
      </w:pPr>
    </w:p>
    <w:p>
      <w:pPr>
        <w:ind w:left="1966"/>
        <w:spacing w:after="0"/>
        <w:rPr>
          <w:sz w:val="20"/>
          <w:szCs w:val="20"/>
          <w:color w:val="auto"/>
        </w:rPr>
      </w:pPr>
      <w:r>
        <w:rPr>
          <w:rFonts w:ascii="Times New Roman" w:cs="Times New Roman" w:eastAsia="Times New Roman" w:hAnsi="Times New Roman"/>
          <w:sz w:val="16"/>
          <w:szCs w:val="16"/>
          <w:b w:val="1"/>
          <w:bCs w:val="1"/>
          <w:color w:val="auto"/>
        </w:rPr>
        <w:t>_______________________________________________________________________________</w:t>
      </w:r>
    </w:p>
    <w:p>
      <w:pPr>
        <w:spacing w:after="0" w:line="236" w:lineRule="exact"/>
        <w:rPr>
          <w:sz w:val="24"/>
          <w:szCs w:val="24"/>
          <w:color w:val="auto"/>
        </w:rPr>
      </w:pPr>
    </w:p>
    <w:p>
      <w:pPr>
        <w:ind w:left="986" w:hanging="670"/>
        <w:spacing w:after="0"/>
        <w:tabs>
          <w:tab w:leader="none" w:pos="986" w:val="left"/>
        </w:tabs>
        <w:numPr>
          <w:ilvl w:val="0"/>
          <w:numId w:val="1"/>
        </w:numPr>
        <w:rPr>
          <w:rFonts w:ascii="Segoe UI" w:cs="Segoe UI" w:eastAsia="Segoe UI" w:hAnsi="Segoe UI"/>
          <w:sz w:val="20"/>
          <w:szCs w:val="20"/>
          <w:color w:val="auto"/>
        </w:rPr>
      </w:pPr>
      <w:r>
        <w:rPr>
          <w:rFonts w:ascii="Times New Roman" w:cs="Times New Roman" w:eastAsia="Times New Roman" w:hAnsi="Times New Roman"/>
          <w:sz w:val="18"/>
          <w:szCs w:val="18"/>
          <w:b w:val="1"/>
          <w:bCs w:val="1"/>
          <w:color w:val="auto"/>
        </w:rPr>
        <w:t>ANNUAL REPORT PURSUANT TO SECTION 13 OR 15(d) OF THE SECURITIES EXCHANGE ACT OF 1934</w:t>
      </w:r>
    </w:p>
    <w:p>
      <w:pPr>
        <w:spacing w:after="0" w:line="19" w:lineRule="exact"/>
        <w:rPr>
          <w:rFonts w:ascii="Segoe UI" w:cs="Segoe UI" w:eastAsia="Segoe UI" w:hAnsi="Segoe UI"/>
          <w:sz w:val="20"/>
          <w:szCs w:val="20"/>
          <w:color w:val="auto"/>
        </w:rPr>
      </w:pPr>
    </w:p>
    <w:p>
      <w:pPr>
        <w:ind w:left="3606"/>
        <w:spacing w:after="0"/>
        <w:rPr>
          <w:rFonts w:ascii="Segoe UI" w:cs="Segoe UI" w:eastAsia="Segoe UI" w:hAnsi="Segoe UI"/>
          <w:sz w:val="20"/>
          <w:szCs w:val="20"/>
          <w:color w:val="auto"/>
        </w:rPr>
      </w:pPr>
      <w:r>
        <w:rPr>
          <w:rFonts w:ascii="Times New Roman" w:cs="Times New Roman" w:eastAsia="Times New Roman" w:hAnsi="Times New Roman"/>
          <w:sz w:val="18"/>
          <w:szCs w:val="18"/>
          <w:b w:val="1"/>
          <w:bCs w:val="1"/>
          <w:color w:val="auto"/>
        </w:rPr>
        <w:t>For the fiscal year ended December 31, 2023</w:t>
      </w:r>
    </w:p>
    <w:p>
      <w:pPr>
        <w:spacing w:after="0" w:line="139" w:lineRule="exact"/>
        <w:rPr>
          <w:sz w:val="24"/>
          <w:szCs w:val="24"/>
          <w:color w:val="auto"/>
        </w:rPr>
      </w:pPr>
    </w:p>
    <w:p>
      <w:pPr>
        <w:jc w:val="center"/>
        <w:ind w:right="14"/>
        <w:spacing w:after="0"/>
        <w:rPr>
          <w:sz w:val="20"/>
          <w:szCs w:val="20"/>
          <w:color w:val="auto"/>
        </w:rPr>
      </w:pPr>
      <w:r>
        <w:rPr>
          <w:rFonts w:ascii="Times New Roman" w:cs="Times New Roman" w:eastAsia="Times New Roman" w:hAnsi="Times New Roman"/>
          <w:sz w:val="16"/>
          <w:szCs w:val="16"/>
          <w:b w:val="1"/>
          <w:bCs w:val="1"/>
          <w:color w:val="auto"/>
        </w:rPr>
        <w:t>OR</w:t>
      </w:r>
    </w:p>
    <w:p>
      <w:pPr>
        <w:spacing w:after="0" w:line="205" w:lineRule="exact"/>
        <w:rPr>
          <w:sz w:val="24"/>
          <w:szCs w:val="24"/>
          <w:color w:val="auto"/>
        </w:rPr>
      </w:pPr>
    </w:p>
    <w:p>
      <w:pPr>
        <w:ind w:left="426"/>
        <w:spacing w:after="0"/>
        <w:rPr>
          <w:sz w:val="24"/>
          <w:szCs w:val="24"/>
          <w:color w:val="auto"/>
        </w:rPr>
      </w:pPr>
      <w:r>
        <w:rPr>
          <w:rFonts w:ascii="Times New Roman" w:cs="Times New Roman" w:eastAsia="Times New Roman" w:hAnsi="Times New Roman"/>
          <w:sz w:val="18"/>
          <w:szCs w:val="18"/>
          <w:b w:val="1"/>
          <w:bCs w:val="1"/>
          <w:color w:val="auto"/>
        </w:rPr>
        <w:t>TRANSITION REPORT PURSUANT TO SECTION 13 OR 15(d) OF THE SECURITIES EXCHANGE ACT OF 1934</w:t>
      </w:r>
    </w:p>
    <w:p>
      <w:pPr>
        <w:spacing w:after="0" w:line="27" w:lineRule="exact"/>
        <w:rPr>
          <w:sz w:val="24"/>
          <w:szCs w:val="24"/>
          <w:color w:val="auto"/>
        </w:rPr>
      </w:pPr>
    </w:p>
    <w:p>
      <w:pPr>
        <w:ind w:left="3826"/>
        <w:spacing w:after="0"/>
        <w:rPr>
          <w:sz w:val="24"/>
          <w:szCs w:val="24"/>
          <w:color w:val="auto"/>
        </w:rPr>
      </w:pPr>
      <w:r>
        <w:rPr>
          <w:rFonts w:ascii="Times New Roman" w:cs="Times New Roman" w:eastAsia="Times New Roman" w:hAnsi="Times New Roman"/>
          <w:sz w:val="16"/>
          <w:szCs w:val="16"/>
          <w:b w:val="1"/>
          <w:bCs w:val="1"/>
          <w:color w:val="auto"/>
        </w:rPr>
        <w:t>For the transition period from ____ to ____</w:t>
      </w:r>
    </w:p>
    <w:p>
      <w:pPr>
        <w:spacing w:after="0" w:line="128" w:lineRule="exact"/>
        <w:rPr>
          <w:sz w:val="24"/>
          <w:szCs w:val="24"/>
          <w:color w:val="auto"/>
        </w:rPr>
      </w:pPr>
    </w:p>
    <w:p>
      <w:pPr>
        <w:jc w:val="center"/>
        <w:ind w:right="14"/>
        <w:spacing w:after="0"/>
        <w:rPr>
          <w:sz w:val="20"/>
          <w:szCs w:val="20"/>
          <w:color w:val="auto"/>
        </w:rPr>
      </w:pPr>
      <w:r>
        <w:rPr>
          <w:rFonts w:ascii="Times New Roman" w:cs="Times New Roman" w:eastAsia="Times New Roman" w:hAnsi="Times New Roman"/>
          <w:sz w:val="16"/>
          <w:szCs w:val="16"/>
          <w:b w:val="1"/>
          <w:bCs w:val="1"/>
          <w:color w:val="auto"/>
        </w:rPr>
        <w:t>Commission file number 001-39021</w:t>
      </w:r>
    </w:p>
    <w:p>
      <w:pPr>
        <w:spacing w:after="0" w:line="39" w:lineRule="exact"/>
        <w:rPr>
          <w:sz w:val="24"/>
          <w:szCs w:val="24"/>
          <w:color w:val="auto"/>
        </w:rPr>
      </w:pPr>
    </w:p>
    <w:p>
      <w:pPr>
        <w:ind w:left="1966"/>
        <w:spacing w:after="0"/>
        <w:rPr>
          <w:sz w:val="20"/>
          <w:szCs w:val="20"/>
          <w:color w:val="auto"/>
        </w:rPr>
      </w:pPr>
      <w:r>
        <w:rPr>
          <w:rFonts w:ascii="Times New Roman" w:cs="Times New Roman" w:eastAsia="Times New Roman" w:hAnsi="Times New Roman"/>
          <w:sz w:val="16"/>
          <w:szCs w:val="16"/>
          <w:b w:val="1"/>
          <w:bCs w:val="1"/>
          <w:color w:val="auto"/>
        </w:rPr>
        <w:t>_______________________________________________________________________________</w:t>
      </w:r>
    </w:p>
    <w:p>
      <w:pPr>
        <w:spacing w:after="0" w:line="197" w:lineRule="exact"/>
        <w:rPr>
          <w:sz w:val="24"/>
          <w:szCs w:val="24"/>
          <w:color w:val="auto"/>
        </w:rPr>
      </w:pPr>
    </w:p>
    <w:p>
      <w:pPr>
        <w:jc w:val="center"/>
        <w:ind w:right="14"/>
        <w:spacing w:after="0"/>
        <w:rPr>
          <w:sz w:val="20"/>
          <w:szCs w:val="20"/>
          <w:color w:val="auto"/>
        </w:rPr>
      </w:pPr>
      <w:r>
        <w:rPr>
          <w:rFonts w:ascii="Times New Roman" w:cs="Times New Roman" w:eastAsia="Times New Roman" w:hAnsi="Times New Roman"/>
          <w:sz w:val="44"/>
          <w:szCs w:val="44"/>
          <w:b w:val="1"/>
          <w:bCs w:val="1"/>
          <w:color w:val="auto"/>
        </w:rPr>
        <w:t>WM TECHNOLOGY, INC.</w:t>
      </w:r>
    </w:p>
    <w:p>
      <w:pPr>
        <w:spacing w:after="0" w:line="136" w:lineRule="exact"/>
        <w:rPr>
          <w:sz w:val="24"/>
          <w:szCs w:val="24"/>
          <w:color w:val="auto"/>
        </w:rPr>
      </w:pPr>
    </w:p>
    <w:p>
      <w:pPr>
        <w:jc w:val="center"/>
        <w:ind w:right="14"/>
        <w:spacing w:after="0"/>
        <w:rPr>
          <w:sz w:val="20"/>
          <w:szCs w:val="20"/>
          <w:color w:val="auto"/>
        </w:rPr>
      </w:pPr>
      <w:r>
        <w:rPr>
          <w:rFonts w:ascii="Times New Roman" w:cs="Times New Roman" w:eastAsia="Times New Roman" w:hAnsi="Times New Roman"/>
          <w:sz w:val="16"/>
          <w:szCs w:val="16"/>
          <w:b w:val="1"/>
          <w:bCs w:val="1"/>
          <w:color w:val="auto"/>
        </w:rPr>
        <w:t>(Exact name of registrant as specified in its charter)</w:t>
      </w:r>
    </w:p>
    <w:p>
      <w:pPr>
        <w:spacing w:after="0" w:line="39" w:lineRule="exact"/>
        <w:rPr>
          <w:sz w:val="24"/>
          <w:szCs w:val="24"/>
          <w:color w:val="auto"/>
        </w:rPr>
      </w:pPr>
    </w:p>
    <w:p>
      <w:pPr>
        <w:ind w:left="1966"/>
        <w:spacing w:after="0"/>
        <w:rPr>
          <w:sz w:val="20"/>
          <w:szCs w:val="20"/>
          <w:color w:val="auto"/>
        </w:rPr>
      </w:pPr>
      <w:r>
        <w:rPr>
          <w:rFonts w:ascii="Times New Roman" w:cs="Times New Roman" w:eastAsia="Times New Roman" w:hAnsi="Times New Roman"/>
          <w:sz w:val="16"/>
          <w:szCs w:val="16"/>
          <w:b w:val="1"/>
          <w:bCs w:val="1"/>
          <w:color w:val="auto"/>
        </w:rPr>
        <w:t>_______________________________________________________________________________</w:t>
      </w:r>
    </w:p>
    <w:p>
      <w:pPr>
        <w:spacing w:after="0" w:line="291" w:lineRule="exact"/>
        <w:rPr>
          <w:sz w:val="24"/>
          <w:szCs w:val="24"/>
          <w:color w:val="auto"/>
        </w:rPr>
      </w:pPr>
    </w:p>
    <w:tbl>
      <w:tblPr>
        <w:tblLayout w:type="fixed"/>
        <w:tblInd w:w="466" w:type="dxa"/>
        <w:tblCellMar>
          <w:top w:w="0" w:type="dxa"/>
          <w:left w:w="0" w:type="dxa"/>
          <w:bottom w:w="0" w:type="dxa"/>
          <w:right w:w="0" w:type="dxa"/>
        </w:tblCellMar>
      </w:tblPr>
      <w:tr>
        <w:trPr>
          <w:trHeight w:val="217"/>
        </w:trPr>
        <w:tc>
          <w:tcPr>
            <w:tcW w:w="5060" w:type="dxa"/>
            <w:vAlign w:val="bottom"/>
          </w:tcPr>
          <w:p>
            <w:pPr>
              <w:jc w:val="center"/>
              <w:ind w:right="1141"/>
              <w:spacing w:after="0"/>
              <w:rPr>
                <w:sz w:val="20"/>
                <w:szCs w:val="20"/>
                <w:color w:val="auto"/>
              </w:rPr>
            </w:pPr>
            <w:r>
              <w:rPr>
                <w:rFonts w:ascii="Times New Roman" w:cs="Times New Roman" w:eastAsia="Times New Roman" w:hAnsi="Times New Roman"/>
                <w:sz w:val="16"/>
                <w:szCs w:val="16"/>
                <w:b w:val="1"/>
                <w:bCs w:val="1"/>
                <w:color w:val="auto"/>
                <w:w w:val="98"/>
              </w:rPr>
              <w:t>Delaware</w:t>
            </w:r>
          </w:p>
        </w:tc>
        <w:tc>
          <w:tcPr>
            <w:tcW w:w="3540" w:type="dxa"/>
            <w:vAlign w:val="bottom"/>
          </w:tcPr>
          <w:p>
            <w:pPr>
              <w:jc w:val="right"/>
              <w:ind w:right="721"/>
              <w:spacing w:after="0"/>
              <w:rPr>
                <w:sz w:val="20"/>
                <w:szCs w:val="20"/>
                <w:color w:val="auto"/>
              </w:rPr>
            </w:pPr>
            <w:r>
              <w:rPr>
                <w:rFonts w:ascii="Times New Roman" w:cs="Times New Roman" w:eastAsia="Times New Roman" w:hAnsi="Times New Roman"/>
                <w:sz w:val="16"/>
                <w:szCs w:val="16"/>
                <w:b w:val="1"/>
                <w:bCs w:val="1"/>
                <w:color w:val="auto"/>
              </w:rPr>
              <w:t>98-1605615</w:t>
            </w:r>
          </w:p>
        </w:tc>
        <w:tc>
          <w:tcPr>
            <w:tcW w:w="0" w:type="dxa"/>
            <w:vAlign w:val="bottom"/>
          </w:tcPr>
          <w:p>
            <w:pPr>
              <w:spacing w:after="0"/>
              <w:rPr>
                <w:sz w:val="1"/>
                <w:szCs w:val="1"/>
                <w:color w:val="auto"/>
              </w:rPr>
            </w:pPr>
          </w:p>
        </w:tc>
      </w:tr>
      <w:tr>
        <w:trPr>
          <w:trHeight w:val="236"/>
        </w:trPr>
        <w:tc>
          <w:tcPr>
            <w:tcW w:w="5060" w:type="dxa"/>
            <w:vAlign w:val="bottom"/>
          </w:tcPr>
          <w:p>
            <w:pPr>
              <w:jc w:val="center"/>
              <w:ind w:right="1161"/>
              <w:spacing w:after="0"/>
              <w:rPr>
                <w:sz w:val="20"/>
                <w:szCs w:val="20"/>
                <w:color w:val="auto"/>
              </w:rPr>
            </w:pPr>
            <w:r>
              <w:rPr>
                <w:rFonts w:ascii="Times New Roman" w:cs="Times New Roman" w:eastAsia="Times New Roman" w:hAnsi="Times New Roman"/>
                <w:sz w:val="16"/>
                <w:szCs w:val="16"/>
                <w:color w:val="auto"/>
                <w:w w:val="99"/>
              </w:rPr>
              <w:t>(State or other jurisdiction of incorporation or organization)</w:t>
            </w:r>
          </w:p>
        </w:tc>
        <w:tc>
          <w:tcPr>
            <w:tcW w:w="3540" w:type="dxa"/>
            <w:vAlign w:val="bottom"/>
          </w:tcPr>
          <w:p>
            <w:pPr>
              <w:jc w:val="center"/>
              <w:ind w:left="1141"/>
              <w:spacing w:after="0"/>
              <w:rPr>
                <w:sz w:val="20"/>
                <w:szCs w:val="20"/>
                <w:color w:val="auto"/>
              </w:rPr>
            </w:pPr>
            <w:r>
              <w:rPr>
                <w:rFonts w:ascii="Times New Roman" w:cs="Times New Roman" w:eastAsia="Times New Roman" w:hAnsi="Times New Roman"/>
                <w:sz w:val="16"/>
                <w:szCs w:val="16"/>
                <w:color w:val="auto"/>
                <w:w w:val="99"/>
              </w:rPr>
              <w:t>(I.R.S. Employer Identification No.)</w:t>
            </w:r>
          </w:p>
        </w:tc>
        <w:tc>
          <w:tcPr>
            <w:tcW w:w="0" w:type="dxa"/>
            <w:vAlign w:val="bottom"/>
          </w:tcPr>
          <w:p>
            <w:pPr>
              <w:spacing w:after="0"/>
              <w:rPr>
                <w:sz w:val="1"/>
                <w:szCs w:val="1"/>
                <w:color w:val="auto"/>
              </w:rPr>
            </w:pPr>
          </w:p>
        </w:tc>
      </w:tr>
      <w:tr>
        <w:trPr>
          <w:trHeight w:val="310"/>
        </w:trPr>
        <w:tc>
          <w:tcPr>
            <w:tcW w:w="5060" w:type="dxa"/>
            <w:vAlign w:val="bottom"/>
          </w:tcPr>
          <w:p>
            <w:pPr>
              <w:jc w:val="center"/>
              <w:ind w:right="1141"/>
              <w:spacing w:after="0"/>
              <w:rPr>
                <w:sz w:val="20"/>
                <w:szCs w:val="20"/>
                <w:color w:val="auto"/>
              </w:rPr>
            </w:pPr>
            <w:r>
              <w:rPr>
                <w:rFonts w:ascii="Times New Roman" w:cs="Times New Roman" w:eastAsia="Times New Roman" w:hAnsi="Times New Roman"/>
                <w:sz w:val="16"/>
                <w:szCs w:val="16"/>
                <w:b w:val="1"/>
                <w:bCs w:val="1"/>
                <w:color w:val="auto"/>
              </w:rPr>
              <w:t>41 Discovery</w:t>
            </w:r>
          </w:p>
        </w:tc>
        <w:tc>
          <w:tcPr>
            <w:tcW w:w="3540" w:type="dxa"/>
            <w:vAlign w:val="bottom"/>
            <w:vMerge w:val="restart"/>
          </w:tcPr>
          <w:p>
            <w:pPr>
              <w:jc w:val="center"/>
              <w:ind w:left="1141"/>
              <w:spacing w:after="0"/>
              <w:rPr>
                <w:sz w:val="20"/>
                <w:szCs w:val="20"/>
                <w:color w:val="auto"/>
              </w:rPr>
            </w:pPr>
            <w:r>
              <w:rPr>
                <w:rFonts w:ascii="Times New Roman" w:cs="Times New Roman" w:eastAsia="Times New Roman" w:hAnsi="Times New Roman"/>
                <w:sz w:val="16"/>
                <w:szCs w:val="16"/>
                <w:b w:val="1"/>
                <w:bCs w:val="1"/>
                <w:color w:val="auto"/>
                <w:w w:val="99"/>
              </w:rPr>
              <w:t>92618</w:t>
            </w:r>
          </w:p>
        </w:tc>
        <w:tc>
          <w:tcPr>
            <w:tcW w:w="0" w:type="dxa"/>
            <w:vAlign w:val="bottom"/>
          </w:tcPr>
          <w:p>
            <w:pPr>
              <w:spacing w:after="0"/>
              <w:rPr>
                <w:sz w:val="1"/>
                <w:szCs w:val="1"/>
                <w:color w:val="auto"/>
              </w:rPr>
            </w:pPr>
          </w:p>
        </w:tc>
      </w:tr>
      <w:tr>
        <w:trPr>
          <w:trHeight w:val="217"/>
        </w:trPr>
        <w:tc>
          <w:tcPr>
            <w:tcW w:w="5060" w:type="dxa"/>
            <w:vAlign w:val="bottom"/>
          </w:tcPr>
          <w:p>
            <w:pPr>
              <w:jc w:val="center"/>
              <w:ind w:right="1141"/>
              <w:spacing w:after="0"/>
              <w:rPr>
                <w:sz w:val="20"/>
                <w:szCs w:val="20"/>
                <w:color w:val="auto"/>
              </w:rPr>
            </w:pPr>
            <w:r>
              <w:rPr>
                <w:rFonts w:ascii="Times New Roman" w:cs="Times New Roman" w:eastAsia="Times New Roman" w:hAnsi="Times New Roman"/>
                <w:sz w:val="16"/>
                <w:szCs w:val="16"/>
                <w:b w:val="1"/>
                <w:bCs w:val="1"/>
                <w:color w:val="auto"/>
                <w:w w:val="99"/>
              </w:rPr>
              <w:t>Irvine, California</w:t>
            </w:r>
          </w:p>
        </w:tc>
        <w:tc>
          <w:tcPr>
            <w:tcW w:w="354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64"/>
        </w:trPr>
        <w:tc>
          <w:tcPr>
            <w:tcW w:w="5060" w:type="dxa"/>
            <w:vAlign w:val="bottom"/>
          </w:tcPr>
          <w:p>
            <w:pPr>
              <w:jc w:val="center"/>
              <w:ind w:right="1121"/>
              <w:spacing w:after="0"/>
              <w:rPr>
                <w:sz w:val="20"/>
                <w:szCs w:val="20"/>
                <w:color w:val="auto"/>
              </w:rPr>
            </w:pPr>
            <w:r>
              <w:rPr>
                <w:rFonts w:ascii="Times New Roman" w:cs="Times New Roman" w:eastAsia="Times New Roman" w:hAnsi="Times New Roman"/>
                <w:sz w:val="16"/>
                <w:szCs w:val="16"/>
                <w:color w:val="auto"/>
              </w:rPr>
              <w:t>(Address of Principal Executive Offices)</w:t>
            </w:r>
          </w:p>
        </w:tc>
        <w:tc>
          <w:tcPr>
            <w:tcW w:w="3540" w:type="dxa"/>
            <w:vAlign w:val="bottom"/>
          </w:tcPr>
          <w:p>
            <w:pPr>
              <w:jc w:val="center"/>
              <w:ind w:left="1161"/>
              <w:spacing w:after="0"/>
              <w:rPr>
                <w:sz w:val="20"/>
                <w:szCs w:val="20"/>
                <w:color w:val="auto"/>
              </w:rPr>
            </w:pPr>
            <w:r>
              <w:rPr>
                <w:rFonts w:ascii="Times New Roman" w:cs="Times New Roman" w:eastAsia="Times New Roman" w:hAnsi="Times New Roman"/>
                <w:sz w:val="16"/>
                <w:szCs w:val="16"/>
                <w:color w:val="auto"/>
                <w:w w:val="98"/>
              </w:rPr>
              <w:t>(Zip Code)</w:t>
            </w:r>
          </w:p>
        </w:tc>
        <w:tc>
          <w:tcPr>
            <w:tcW w:w="0" w:type="dxa"/>
            <w:vAlign w:val="bottom"/>
          </w:tcPr>
          <w:p>
            <w:pPr>
              <w:spacing w:after="0"/>
              <w:rPr>
                <w:sz w:val="1"/>
                <w:szCs w:val="1"/>
                <w:color w:val="auto"/>
              </w:rPr>
            </w:pPr>
          </w:p>
        </w:tc>
      </w:tr>
    </w:tbl>
    <w:p>
      <w:pPr>
        <w:spacing w:after="0" w:line="145" w:lineRule="exact"/>
        <w:rPr>
          <w:sz w:val="24"/>
          <w:szCs w:val="24"/>
          <w:color w:val="auto"/>
        </w:rPr>
      </w:pPr>
    </w:p>
    <w:p>
      <w:pPr>
        <w:jc w:val="center"/>
        <w:ind w:right="14"/>
        <w:spacing w:after="0"/>
        <w:rPr>
          <w:sz w:val="20"/>
          <w:szCs w:val="20"/>
          <w:color w:val="auto"/>
        </w:rPr>
      </w:pPr>
      <w:r>
        <w:rPr>
          <w:rFonts w:ascii="Times New Roman" w:cs="Times New Roman" w:eastAsia="Times New Roman" w:hAnsi="Times New Roman"/>
          <w:sz w:val="16"/>
          <w:szCs w:val="16"/>
          <w:b w:val="1"/>
          <w:bCs w:val="1"/>
          <w:color w:val="auto"/>
        </w:rPr>
        <w:t>(844) 933-3627</w:t>
      </w:r>
    </w:p>
    <w:p>
      <w:pPr>
        <w:spacing w:after="0" w:line="36" w:lineRule="exact"/>
        <w:rPr>
          <w:sz w:val="24"/>
          <w:szCs w:val="24"/>
          <w:color w:val="auto"/>
        </w:rPr>
      </w:pPr>
    </w:p>
    <w:p>
      <w:pPr>
        <w:jc w:val="center"/>
        <w:ind w:right="14"/>
        <w:spacing w:after="0"/>
        <w:rPr>
          <w:sz w:val="20"/>
          <w:szCs w:val="20"/>
          <w:color w:val="auto"/>
        </w:rPr>
      </w:pPr>
      <w:r>
        <w:rPr>
          <w:rFonts w:ascii="Times New Roman" w:cs="Times New Roman" w:eastAsia="Times New Roman" w:hAnsi="Times New Roman"/>
          <w:sz w:val="16"/>
          <w:szCs w:val="16"/>
          <w:color w:val="auto"/>
        </w:rPr>
        <w:t>(Registrant’s telephone number, including area code)</w:t>
      </w:r>
    </w:p>
    <w:p>
      <w:pPr>
        <w:spacing w:after="0" w:line="158" w:lineRule="exact"/>
        <w:rPr>
          <w:sz w:val="24"/>
          <w:szCs w:val="24"/>
          <w:color w:val="auto"/>
        </w:rPr>
      </w:pPr>
    </w:p>
    <w:p>
      <w:pPr>
        <w:jc w:val="center"/>
        <w:ind w:right="14"/>
        <w:spacing w:after="0"/>
        <w:rPr>
          <w:sz w:val="20"/>
          <w:szCs w:val="20"/>
          <w:color w:val="auto"/>
        </w:rPr>
      </w:pPr>
      <w:r>
        <w:rPr>
          <w:rFonts w:ascii="Times New Roman" w:cs="Times New Roman" w:eastAsia="Times New Roman" w:hAnsi="Times New Roman"/>
          <w:sz w:val="16"/>
          <w:szCs w:val="16"/>
          <w:b w:val="1"/>
          <w:bCs w:val="1"/>
          <w:color w:val="auto"/>
        </w:rPr>
        <w:t>Securities registered pursuant to Section 12(b) of the Act:</w:t>
      </w:r>
    </w:p>
    <w:p>
      <w:pPr>
        <w:spacing w:after="0" w:line="205" w:lineRule="exact"/>
        <w:rPr>
          <w:sz w:val="24"/>
          <w:szCs w:val="24"/>
          <w:color w:val="auto"/>
        </w:rPr>
      </w:pPr>
    </w:p>
    <w:tbl>
      <w:tblPr>
        <w:tblLayout w:type="fixed"/>
        <w:tblInd w:w="6" w:type="dxa"/>
        <w:tblCellMar>
          <w:top w:w="0" w:type="dxa"/>
          <w:left w:w="0" w:type="dxa"/>
          <w:bottom w:w="0" w:type="dxa"/>
          <w:right w:w="0" w:type="dxa"/>
        </w:tblCellMar>
      </w:tblPr>
      <w:tr>
        <w:trPr>
          <w:trHeight w:val="203"/>
        </w:trPr>
        <w:tc>
          <w:tcPr>
            <w:tcW w:w="45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6"/>
                <w:szCs w:val="16"/>
                <w:b w:val="1"/>
                <w:bCs w:val="1"/>
                <w:color w:val="auto"/>
                <w:w w:val="99"/>
              </w:rPr>
              <w:t>Title of each class</w:t>
            </w:r>
          </w:p>
        </w:tc>
        <w:tc>
          <w:tcPr>
            <w:tcW w:w="1760" w:type="dxa"/>
            <w:vAlign w:val="bottom"/>
            <w:tcBorders>
              <w:bottom w:val="single" w:sz="8" w:color="auto"/>
            </w:tcBorders>
          </w:tcPr>
          <w:p>
            <w:pPr>
              <w:jc w:val="center"/>
              <w:ind w:right="121"/>
              <w:spacing w:after="0"/>
              <w:rPr>
                <w:sz w:val="20"/>
                <w:szCs w:val="20"/>
                <w:color w:val="auto"/>
              </w:rPr>
            </w:pPr>
            <w:r>
              <w:rPr>
                <w:rFonts w:ascii="Times New Roman" w:cs="Times New Roman" w:eastAsia="Times New Roman" w:hAnsi="Times New Roman"/>
                <w:sz w:val="16"/>
                <w:szCs w:val="16"/>
                <w:b w:val="1"/>
                <w:bCs w:val="1"/>
                <w:color w:val="auto"/>
                <w:w w:val="98"/>
              </w:rPr>
              <w:t>Trading symbol(s)</w:t>
            </w:r>
          </w:p>
        </w:tc>
        <w:tc>
          <w:tcPr>
            <w:tcW w:w="3920" w:type="dxa"/>
            <w:vAlign w:val="bottom"/>
            <w:tcBorders>
              <w:bottom w:val="single" w:sz="8" w:color="auto"/>
            </w:tcBorders>
          </w:tcPr>
          <w:p>
            <w:pPr>
              <w:jc w:val="center"/>
              <w:ind w:right="121"/>
              <w:spacing w:after="0"/>
              <w:rPr>
                <w:sz w:val="20"/>
                <w:szCs w:val="20"/>
                <w:color w:val="auto"/>
              </w:rPr>
            </w:pPr>
            <w:r>
              <w:rPr>
                <w:rFonts w:ascii="Times New Roman" w:cs="Times New Roman" w:eastAsia="Times New Roman" w:hAnsi="Times New Roman"/>
                <w:sz w:val="16"/>
                <w:szCs w:val="16"/>
                <w:b w:val="1"/>
                <w:bCs w:val="1"/>
                <w:color w:val="auto"/>
                <w:w w:val="99"/>
              </w:rPr>
              <w:t>Name of each exchange on which registered</w:t>
            </w:r>
          </w:p>
        </w:tc>
        <w:tc>
          <w:tcPr>
            <w:tcW w:w="0" w:type="dxa"/>
            <w:vAlign w:val="bottom"/>
          </w:tcPr>
          <w:p>
            <w:pPr>
              <w:spacing w:after="0"/>
              <w:rPr>
                <w:sz w:val="1"/>
                <w:szCs w:val="1"/>
                <w:color w:val="auto"/>
              </w:rPr>
            </w:pPr>
          </w:p>
        </w:tc>
      </w:tr>
      <w:tr>
        <w:trPr>
          <w:trHeight w:val="237"/>
        </w:trPr>
        <w:tc>
          <w:tcPr>
            <w:tcW w:w="458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9"/>
              </w:rPr>
              <w:t>Class A Common Stock, $0.0001 par value per share</w:t>
            </w:r>
          </w:p>
        </w:tc>
        <w:tc>
          <w:tcPr>
            <w:tcW w:w="1760" w:type="dxa"/>
            <w:vAlign w:val="bottom"/>
          </w:tcPr>
          <w:p>
            <w:pPr>
              <w:jc w:val="center"/>
              <w:ind w:right="121"/>
              <w:spacing w:after="0"/>
              <w:rPr>
                <w:sz w:val="20"/>
                <w:szCs w:val="20"/>
                <w:color w:val="auto"/>
              </w:rPr>
            </w:pPr>
            <w:r>
              <w:rPr>
                <w:rFonts w:ascii="Times New Roman" w:cs="Times New Roman" w:eastAsia="Times New Roman" w:hAnsi="Times New Roman"/>
                <w:sz w:val="16"/>
                <w:szCs w:val="16"/>
                <w:color w:val="auto"/>
              </w:rPr>
              <w:t>MAPS</w:t>
            </w:r>
          </w:p>
        </w:tc>
        <w:tc>
          <w:tcPr>
            <w:tcW w:w="3920" w:type="dxa"/>
            <w:vAlign w:val="bottom"/>
          </w:tcPr>
          <w:p>
            <w:pPr>
              <w:jc w:val="center"/>
              <w:ind w:right="101"/>
              <w:spacing w:after="0"/>
              <w:rPr>
                <w:sz w:val="20"/>
                <w:szCs w:val="20"/>
                <w:color w:val="auto"/>
              </w:rPr>
            </w:pPr>
            <w:r>
              <w:rPr>
                <w:rFonts w:ascii="Times New Roman" w:cs="Times New Roman" w:eastAsia="Times New Roman" w:hAnsi="Times New Roman"/>
                <w:sz w:val="16"/>
                <w:szCs w:val="16"/>
                <w:color w:val="auto"/>
              </w:rPr>
              <w:t>The Nasdaq Global Select Market</w:t>
            </w:r>
          </w:p>
        </w:tc>
        <w:tc>
          <w:tcPr>
            <w:tcW w:w="0" w:type="dxa"/>
            <w:vAlign w:val="bottom"/>
          </w:tcPr>
          <w:p>
            <w:pPr>
              <w:spacing w:after="0"/>
              <w:rPr>
                <w:sz w:val="1"/>
                <w:szCs w:val="1"/>
                <w:color w:val="auto"/>
              </w:rPr>
            </w:pPr>
          </w:p>
        </w:tc>
      </w:tr>
      <w:tr>
        <w:trPr>
          <w:trHeight w:val="235"/>
        </w:trPr>
        <w:tc>
          <w:tcPr>
            <w:tcW w:w="458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9"/>
              </w:rPr>
              <w:t>Warrants, each whole warrant exercisable for one share of Class A</w:t>
            </w:r>
          </w:p>
        </w:tc>
        <w:tc>
          <w:tcPr>
            <w:tcW w:w="1760" w:type="dxa"/>
            <w:vAlign w:val="bottom"/>
            <w:vMerge w:val="restart"/>
          </w:tcPr>
          <w:p>
            <w:pPr>
              <w:jc w:val="center"/>
              <w:ind w:right="121"/>
              <w:spacing w:after="0"/>
              <w:rPr>
                <w:sz w:val="20"/>
                <w:szCs w:val="20"/>
                <w:color w:val="auto"/>
              </w:rPr>
            </w:pPr>
            <w:r>
              <w:rPr>
                <w:rFonts w:ascii="Times New Roman" w:cs="Times New Roman" w:eastAsia="Times New Roman" w:hAnsi="Times New Roman"/>
                <w:sz w:val="16"/>
                <w:szCs w:val="16"/>
                <w:color w:val="auto"/>
              </w:rPr>
              <w:t>MAPSW</w:t>
            </w:r>
          </w:p>
        </w:tc>
        <w:tc>
          <w:tcPr>
            <w:tcW w:w="3920" w:type="dxa"/>
            <w:vAlign w:val="bottom"/>
            <w:vMerge w:val="restart"/>
          </w:tcPr>
          <w:p>
            <w:pPr>
              <w:jc w:val="center"/>
              <w:ind w:right="101"/>
              <w:spacing w:after="0"/>
              <w:rPr>
                <w:sz w:val="20"/>
                <w:szCs w:val="20"/>
                <w:color w:val="auto"/>
              </w:rPr>
            </w:pPr>
            <w:r>
              <w:rPr>
                <w:rFonts w:ascii="Times New Roman" w:cs="Times New Roman" w:eastAsia="Times New Roman" w:hAnsi="Times New Roman"/>
                <w:sz w:val="16"/>
                <w:szCs w:val="16"/>
                <w:color w:val="auto"/>
              </w:rPr>
              <w:t>The Nasdaq Global Select Market</w:t>
            </w:r>
          </w:p>
        </w:tc>
        <w:tc>
          <w:tcPr>
            <w:tcW w:w="0" w:type="dxa"/>
            <w:vAlign w:val="bottom"/>
          </w:tcPr>
          <w:p>
            <w:pPr>
              <w:spacing w:after="0"/>
              <w:rPr>
                <w:sz w:val="1"/>
                <w:szCs w:val="1"/>
                <w:color w:val="auto"/>
              </w:rPr>
            </w:pPr>
          </w:p>
        </w:tc>
      </w:tr>
      <w:tr>
        <w:trPr>
          <w:trHeight w:val="154"/>
        </w:trPr>
        <w:tc>
          <w:tcPr>
            <w:tcW w:w="4580" w:type="dxa"/>
            <w:vAlign w:val="bottom"/>
            <w:vMerge w:val="restart"/>
          </w:tcPr>
          <w:p>
            <w:pPr>
              <w:jc w:val="center"/>
              <w:spacing w:after="0"/>
              <w:rPr>
                <w:sz w:val="20"/>
                <w:szCs w:val="20"/>
                <w:color w:val="auto"/>
              </w:rPr>
            </w:pPr>
            <w:r>
              <w:rPr>
                <w:rFonts w:ascii="Times New Roman" w:cs="Times New Roman" w:eastAsia="Times New Roman" w:hAnsi="Times New Roman"/>
                <w:sz w:val="16"/>
                <w:szCs w:val="16"/>
                <w:color w:val="auto"/>
                <w:w w:val="99"/>
              </w:rPr>
              <w:t>Common Stock at an exercise price of $11.50 per share</w:t>
            </w:r>
          </w:p>
        </w:tc>
        <w:tc>
          <w:tcPr>
            <w:tcW w:w="1760" w:type="dxa"/>
            <w:vAlign w:val="bottom"/>
            <w:vMerge w:val="continue"/>
          </w:tcPr>
          <w:p>
            <w:pPr>
              <w:spacing w:after="0"/>
              <w:rPr>
                <w:sz w:val="13"/>
                <w:szCs w:val="13"/>
                <w:color w:val="auto"/>
              </w:rPr>
            </w:pPr>
          </w:p>
        </w:tc>
        <w:tc>
          <w:tcPr>
            <w:tcW w:w="392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58"/>
        </w:trPr>
        <w:tc>
          <w:tcPr>
            <w:tcW w:w="4580" w:type="dxa"/>
            <w:vAlign w:val="bottom"/>
            <w:vMerge w:val="continue"/>
          </w:tcPr>
          <w:p>
            <w:pPr>
              <w:spacing w:after="0"/>
              <w:rPr>
                <w:sz w:val="5"/>
                <w:szCs w:val="5"/>
                <w:color w:val="auto"/>
              </w:rPr>
            </w:pPr>
          </w:p>
        </w:tc>
        <w:tc>
          <w:tcPr>
            <w:tcW w:w="1760" w:type="dxa"/>
            <w:vAlign w:val="bottom"/>
          </w:tcPr>
          <w:p>
            <w:pPr>
              <w:spacing w:after="0"/>
              <w:rPr>
                <w:sz w:val="5"/>
                <w:szCs w:val="5"/>
                <w:color w:val="auto"/>
              </w:rPr>
            </w:pPr>
          </w:p>
        </w:tc>
        <w:tc>
          <w:tcPr>
            <w:tcW w:w="3920" w:type="dxa"/>
            <w:vAlign w:val="bottom"/>
          </w:tcPr>
          <w:p>
            <w:pPr>
              <w:spacing w:after="0"/>
              <w:rPr>
                <w:sz w:val="5"/>
                <w:szCs w:val="5"/>
                <w:color w:val="auto"/>
              </w:rPr>
            </w:pPr>
          </w:p>
        </w:tc>
        <w:tc>
          <w:tcPr>
            <w:tcW w:w="0" w:type="dxa"/>
            <w:vAlign w:val="bottom"/>
          </w:tcPr>
          <w:p>
            <w:pPr>
              <w:spacing w:after="0"/>
              <w:rPr>
                <w:sz w:val="1"/>
                <w:szCs w:val="1"/>
                <w:color w:val="auto"/>
              </w:rPr>
            </w:pPr>
          </w:p>
        </w:tc>
      </w:tr>
    </w:tbl>
    <w:p>
      <w:pPr>
        <w:spacing w:after="0" w:line="145" w:lineRule="exact"/>
        <w:rPr>
          <w:sz w:val="24"/>
          <w:szCs w:val="24"/>
          <w:color w:val="auto"/>
        </w:rPr>
      </w:pPr>
    </w:p>
    <w:p>
      <w:pPr>
        <w:ind w:left="2986"/>
        <w:spacing w:after="0"/>
        <w:rPr>
          <w:sz w:val="20"/>
          <w:szCs w:val="20"/>
          <w:color w:val="auto"/>
        </w:rPr>
      </w:pPr>
      <w:r>
        <w:rPr>
          <w:rFonts w:ascii="Times New Roman" w:cs="Times New Roman" w:eastAsia="Times New Roman" w:hAnsi="Times New Roman"/>
          <w:sz w:val="16"/>
          <w:szCs w:val="16"/>
          <w:b w:val="1"/>
          <w:bCs w:val="1"/>
          <w:color w:val="auto"/>
        </w:rPr>
        <w:t>Securities registered pursuant to Section 12(g) of the Act: None</w:t>
      </w:r>
    </w:p>
    <w:p>
      <w:pPr>
        <w:spacing w:after="0" w:line="99" w:lineRule="exact"/>
        <w:rPr>
          <w:sz w:val="24"/>
          <w:szCs w:val="24"/>
          <w:color w:val="auto"/>
        </w:rPr>
      </w:pPr>
    </w:p>
    <w:p>
      <w:pPr>
        <w:ind w:left="6"/>
        <w:spacing w:after="0"/>
        <w:rPr>
          <w:sz w:val="20"/>
          <w:szCs w:val="20"/>
          <w:color w:val="auto"/>
        </w:rPr>
      </w:pPr>
      <w:r>
        <w:rPr>
          <w:rFonts w:ascii="Times New Roman" w:cs="Times New Roman" w:eastAsia="Times New Roman" w:hAnsi="Times New Roman"/>
          <w:sz w:val="16"/>
          <w:szCs w:val="16"/>
          <w:color w:val="auto"/>
        </w:rPr>
        <w:t xml:space="preserve">Indicate by check mark if the registrant is a well-known seasoned issuer, as defined in Rule 405 of the Securities Act. Yes </w:t>
      </w:r>
      <w:r>
        <w:rPr>
          <w:rFonts w:ascii="Segoe UI" w:cs="Segoe UI" w:eastAsia="Segoe UI" w:hAnsi="Segoe UI"/>
          <w:sz w:val="16"/>
          <w:szCs w:val="16"/>
          <w:color w:val="auto"/>
        </w:rPr>
        <w:t>տ</w:t>
      </w:r>
      <w:r>
        <w:rPr>
          <w:rFonts w:ascii="Times New Roman" w:cs="Times New Roman" w:eastAsia="Times New Roman" w:hAnsi="Times New Roman"/>
          <w:sz w:val="16"/>
          <w:szCs w:val="16"/>
          <w:color w:val="auto"/>
        </w:rPr>
        <w:t xml:space="preserve"> No </w:t>
      </w:r>
      <w:r>
        <w:rPr>
          <w:rFonts w:ascii="Segoe UI" w:cs="Segoe UI" w:eastAsia="Segoe UI" w:hAnsi="Segoe UI"/>
          <w:sz w:val="16"/>
          <w:szCs w:val="16"/>
          <w:color w:val="auto"/>
        </w:rPr>
        <w:t>ց</w:t>
      </w:r>
    </w:p>
    <w:p>
      <w:pPr>
        <w:spacing w:after="0" w:line="148" w:lineRule="exact"/>
        <w:rPr>
          <w:sz w:val="24"/>
          <w:szCs w:val="24"/>
          <w:color w:val="auto"/>
        </w:rPr>
      </w:pPr>
    </w:p>
    <w:p>
      <w:pPr>
        <w:ind w:left="6"/>
        <w:spacing w:after="0"/>
        <w:rPr>
          <w:sz w:val="20"/>
          <w:szCs w:val="20"/>
          <w:color w:val="auto"/>
        </w:rPr>
      </w:pPr>
      <w:r>
        <w:rPr>
          <w:rFonts w:ascii="Times New Roman" w:cs="Times New Roman" w:eastAsia="Times New Roman" w:hAnsi="Times New Roman"/>
          <w:sz w:val="16"/>
          <w:szCs w:val="16"/>
          <w:color w:val="auto"/>
        </w:rPr>
        <w:t xml:space="preserve">Indicate by check mark if the registrant is not required to file reports pursuant to Section 13 or Section 15(d) of the Act. Yes </w:t>
      </w:r>
      <w:r>
        <w:rPr>
          <w:rFonts w:ascii="Segoe UI" w:cs="Segoe UI" w:eastAsia="Segoe UI" w:hAnsi="Segoe UI"/>
          <w:sz w:val="16"/>
          <w:szCs w:val="16"/>
          <w:color w:val="auto"/>
        </w:rPr>
        <w:t>տ</w:t>
      </w:r>
      <w:r>
        <w:rPr>
          <w:rFonts w:ascii="Times New Roman" w:cs="Times New Roman" w:eastAsia="Times New Roman" w:hAnsi="Times New Roman"/>
          <w:sz w:val="16"/>
          <w:szCs w:val="16"/>
          <w:color w:val="auto"/>
        </w:rPr>
        <w:t xml:space="preserve"> No </w:t>
      </w:r>
      <w:r>
        <w:rPr>
          <w:rFonts w:ascii="Segoe UI" w:cs="Segoe UI" w:eastAsia="Segoe UI" w:hAnsi="Segoe UI"/>
          <w:sz w:val="16"/>
          <w:szCs w:val="16"/>
          <w:color w:val="auto"/>
        </w:rPr>
        <w:t>ց</w:t>
      </w:r>
    </w:p>
    <w:p>
      <w:pPr>
        <w:spacing w:after="0" w:line="198" w:lineRule="exact"/>
        <w:rPr>
          <w:sz w:val="24"/>
          <w:szCs w:val="24"/>
          <w:color w:val="auto"/>
        </w:rPr>
      </w:pPr>
    </w:p>
    <w:p>
      <w:pPr>
        <w:jc w:val="both"/>
        <w:ind w:left="6" w:right="20"/>
        <w:spacing w:after="0" w:line="318" w:lineRule="auto"/>
        <w:rPr>
          <w:sz w:val="20"/>
          <w:szCs w:val="20"/>
          <w:color w:val="auto"/>
        </w:rPr>
      </w:pPr>
      <w:r>
        <w:rPr>
          <w:rFonts w:ascii="Times New Roman" w:cs="Times New Roman" w:eastAsia="Times New Roman" w:hAnsi="Times New Roman"/>
          <w:sz w:val="16"/>
          <w:szCs w:val="16"/>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Segoe UI" w:cs="Segoe UI" w:eastAsia="Segoe UI" w:hAnsi="Segoe UI"/>
          <w:sz w:val="16"/>
          <w:szCs w:val="16"/>
          <w:color w:val="auto"/>
        </w:rPr>
        <w:t>ց</w:t>
      </w:r>
      <w:r>
        <w:rPr>
          <w:rFonts w:ascii="Times New Roman" w:cs="Times New Roman" w:eastAsia="Times New Roman" w:hAnsi="Times New Roman"/>
          <w:sz w:val="16"/>
          <w:szCs w:val="16"/>
          <w:color w:val="auto"/>
        </w:rPr>
        <w:t xml:space="preserve"> No </w:t>
      </w:r>
      <w:r>
        <w:rPr>
          <w:rFonts w:ascii="Segoe UI" w:cs="Segoe UI" w:eastAsia="Segoe UI" w:hAnsi="Segoe UI"/>
          <w:sz w:val="16"/>
          <w:szCs w:val="16"/>
          <w:color w:val="auto"/>
        </w:rPr>
        <w:t>տ</w:t>
      </w:r>
    </w:p>
    <w:p>
      <w:pPr>
        <w:spacing w:after="0" w:line="1" w:lineRule="exact"/>
        <w:rPr>
          <w:sz w:val="24"/>
          <w:szCs w:val="24"/>
          <w:color w:val="auto"/>
        </w:rPr>
      </w:pPr>
    </w:p>
    <w:p>
      <w:pPr>
        <w:jc w:val="both"/>
        <w:ind w:left="6" w:right="20"/>
        <w:spacing w:after="0" w:line="297" w:lineRule="auto"/>
        <w:rPr>
          <w:sz w:val="20"/>
          <w:szCs w:val="20"/>
          <w:color w:val="auto"/>
        </w:rPr>
      </w:pPr>
      <w:r>
        <w:rPr>
          <w:rFonts w:ascii="Times New Roman" w:cs="Times New Roman" w:eastAsia="Times New Roman" w:hAnsi="Times New Roman"/>
          <w:sz w:val="15"/>
          <w:szCs w:val="15"/>
          <w:color w:val="auto"/>
        </w:rPr>
        <w:t>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and post such files). Yes</w:t>
      </w:r>
    </w:p>
    <w:p>
      <w:pPr>
        <w:ind w:left="306" w:hanging="306"/>
        <w:spacing w:after="0"/>
        <w:tabs>
          <w:tab w:leader="none" w:pos="306" w:val="left"/>
        </w:tabs>
        <w:numPr>
          <w:ilvl w:val="0"/>
          <w:numId w:val="3"/>
        </w:numPr>
        <w:rPr>
          <w:rFonts w:ascii="Segoe UI" w:cs="Segoe UI" w:eastAsia="Segoe UI" w:hAnsi="Segoe UI"/>
          <w:sz w:val="16"/>
          <w:szCs w:val="16"/>
          <w:color w:val="auto"/>
        </w:rPr>
      </w:pPr>
      <w:r>
        <w:rPr>
          <w:rFonts w:ascii="Times New Roman" w:cs="Times New Roman" w:eastAsia="Times New Roman" w:hAnsi="Times New Roman"/>
          <w:sz w:val="16"/>
          <w:szCs w:val="16"/>
          <w:color w:val="auto"/>
        </w:rPr>
        <w:t xml:space="preserve">No </w:t>
      </w:r>
      <w:r>
        <w:rPr>
          <w:rFonts w:ascii="Segoe UI" w:cs="Segoe UI" w:eastAsia="Segoe UI" w:hAnsi="Segoe UI"/>
          <w:sz w:val="16"/>
          <w:szCs w:val="16"/>
          <w:color w:val="auto"/>
        </w:rPr>
        <w:t>տ</w:t>
      </w:r>
    </w:p>
    <w:p>
      <w:pPr>
        <w:spacing w:after="0" w:line="174" w:lineRule="exact"/>
        <w:rPr>
          <w:sz w:val="24"/>
          <w:szCs w:val="24"/>
          <w:color w:val="auto"/>
        </w:rPr>
      </w:pPr>
    </w:p>
    <w:p>
      <w:pPr>
        <w:ind w:left="6" w:right="20"/>
        <w:spacing w:after="0" w:line="305" w:lineRule="auto"/>
        <w:rPr>
          <w:sz w:val="20"/>
          <w:szCs w:val="20"/>
          <w:color w:val="auto"/>
        </w:rPr>
      </w:pPr>
      <w:r>
        <w:rPr>
          <w:rFonts w:ascii="Times New Roman" w:cs="Times New Roman" w:eastAsia="Times New Roman" w:hAnsi="Times New Roman"/>
          <w:sz w:val="15"/>
          <w:szCs w:val="15"/>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w:t>
      </w:r>
    </w:p>
    <w:p>
      <w:pPr>
        <w:spacing w:after="0" w:line="1" w:lineRule="exact"/>
        <w:rPr>
          <w:sz w:val="24"/>
          <w:szCs w:val="24"/>
          <w:color w:val="auto"/>
        </w:rPr>
      </w:pPr>
    </w:p>
    <w:p>
      <w:pPr>
        <w:ind w:left="6"/>
        <w:spacing w:after="0"/>
        <w:rPr>
          <w:sz w:val="20"/>
          <w:szCs w:val="20"/>
          <w:color w:val="auto"/>
        </w:rPr>
      </w:pPr>
      <w:r>
        <w:rPr>
          <w:rFonts w:ascii="Times New Roman" w:cs="Times New Roman" w:eastAsia="Times New Roman" w:hAnsi="Times New Roman"/>
          <w:sz w:val="16"/>
          <w:szCs w:val="16"/>
          <w:color w:val="auto"/>
        </w:rPr>
        <w:t>2 of the Exchange Act:</w:t>
      </w:r>
    </w:p>
    <w:p>
      <w:pPr>
        <w:spacing w:after="0" w:line="138" w:lineRule="exact"/>
        <w:rPr>
          <w:sz w:val="24"/>
          <w:szCs w:val="24"/>
          <w:color w:val="auto"/>
        </w:rPr>
      </w:pPr>
    </w:p>
    <w:tbl>
      <w:tblPr>
        <w:tblLayout w:type="fixed"/>
        <w:tblInd w:w="46" w:type="dxa"/>
        <w:tblCellMar>
          <w:top w:w="0" w:type="dxa"/>
          <w:left w:w="0" w:type="dxa"/>
          <w:bottom w:w="0" w:type="dxa"/>
          <w:right w:w="0" w:type="dxa"/>
        </w:tblCellMar>
      </w:tblPr>
      <w:tr>
        <w:trPr>
          <w:trHeight w:val="288"/>
        </w:trPr>
        <w:tc>
          <w:tcPr>
            <w:tcW w:w="2140" w:type="dxa"/>
            <w:vAlign w:val="bottom"/>
          </w:tcPr>
          <w:p>
            <w:pPr>
              <w:spacing w:after="0"/>
              <w:rPr>
                <w:sz w:val="20"/>
                <w:szCs w:val="20"/>
                <w:color w:val="auto"/>
              </w:rPr>
            </w:pPr>
            <w:r>
              <w:rPr>
                <w:rFonts w:ascii="Times New Roman" w:cs="Times New Roman" w:eastAsia="Times New Roman" w:hAnsi="Times New Roman"/>
                <w:sz w:val="16"/>
                <w:szCs w:val="16"/>
                <w:color w:val="auto"/>
              </w:rPr>
              <w:t>Large accelerated filer</w:t>
            </w:r>
          </w:p>
        </w:tc>
        <w:tc>
          <w:tcPr>
            <w:tcW w:w="1060" w:type="dxa"/>
            <w:vAlign w:val="bottom"/>
          </w:tcPr>
          <w:p>
            <w:pPr>
              <w:ind w:left="680"/>
              <w:spacing w:after="0"/>
              <w:rPr>
                <w:sz w:val="20"/>
                <w:szCs w:val="20"/>
                <w:color w:val="auto"/>
              </w:rPr>
            </w:pPr>
            <w:r>
              <w:rPr>
                <w:rFonts w:ascii="Segoe UI" w:cs="Segoe UI" w:eastAsia="Segoe UI" w:hAnsi="Segoe UI"/>
                <w:sz w:val="16"/>
                <w:szCs w:val="16"/>
                <w:color w:val="auto"/>
              </w:rPr>
              <w:t>տ</w:t>
            </w:r>
          </w:p>
        </w:tc>
        <w:tc>
          <w:tcPr>
            <w:tcW w:w="2500" w:type="dxa"/>
            <w:vAlign w:val="bottom"/>
          </w:tcPr>
          <w:p>
            <w:pPr>
              <w:ind w:left="220"/>
              <w:spacing w:after="0"/>
              <w:rPr>
                <w:sz w:val="20"/>
                <w:szCs w:val="20"/>
                <w:color w:val="auto"/>
              </w:rPr>
            </w:pPr>
            <w:r>
              <w:rPr>
                <w:rFonts w:ascii="Times New Roman" w:cs="Times New Roman" w:eastAsia="Times New Roman" w:hAnsi="Times New Roman"/>
                <w:sz w:val="16"/>
                <w:szCs w:val="16"/>
                <w:color w:val="auto"/>
              </w:rPr>
              <w:t>Accelerated filer</w:t>
            </w:r>
          </w:p>
        </w:tc>
        <w:tc>
          <w:tcPr>
            <w:tcW w:w="920" w:type="dxa"/>
            <w:vAlign w:val="bottom"/>
          </w:tcPr>
          <w:p>
            <w:pPr>
              <w:ind w:left="540"/>
              <w:spacing w:after="0"/>
              <w:rPr>
                <w:sz w:val="20"/>
                <w:szCs w:val="20"/>
                <w:color w:val="auto"/>
              </w:rPr>
            </w:pPr>
            <w:r>
              <w:rPr>
                <w:rFonts w:ascii="Segoe UI" w:cs="Segoe UI" w:eastAsia="Segoe UI" w:hAnsi="Segoe UI"/>
                <w:sz w:val="16"/>
                <w:szCs w:val="16"/>
                <w:color w:val="auto"/>
              </w:rPr>
              <w:t>ց</w:t>
            </w:r>
          </w:p>
        </w:tc>
        <w:tc>
          <w:tcPr>
            <w:tcW w:w="2500" w:type="dxa"/>
            <w:vAlign w:val="bottom"/>
          </w:tcPr>
          <w:p>
            <w:pPr>
              <w:spacing w:after="0"/>
              <w:rPr>
                <w:sz w:val="24"/>
                <w:szCs w:val="24"/>
                <w:color w:val="auto"/>
              </w:rPr>
            </w:pPr>
          </w:p>
        </w:tc>
        <w:tc>
          <w:tcPr>
            <w:tcW w:w="680" w:type="dxa"/>
            <w:vAlign w:val="bottom"/>
            <w:vMerge w:val="restart"/>
          </w:tcPr>
          <w:p>
            <w:pPr>
              <w:ind w:left="540"/>
              <w:spacing w:after="0"/>
              <w:rPr>
                <w:sz w:val="20"/>
                <w:szCs w:val="20"/>
                <w:color w:val="auto"/>
              </w:rPr>
            </w:pPr>
            <w:r>
              <w:rPr>
                <w:rFonts w:ascii="Segoe UI" w:cs="Segoe UI" w:eastAsia="Segoe UI" w:hAnsi="Segoe UI"/>
                <w:sz w:val="16"/>
                <w:szCs w:val="16"/>
                <w:color w:val="auto"/>
                <w:w w:val="89"/>
              </w:rPr>
              <w:t>տ</w:t>
            </w:r>
          </w:p>
        </w:tc>
        <w:tc>
          <w:tcPr>
            <w:tcW w:w="0" w:type="dxa"/>
            <w:vAlign w:val="bottom"/>
          </w:tcPr>
          <w:p>
            <w:pPr>
              <w:spacing w:after="0"/>
              <w:rPr>
                <w:sz w:val="1"/>
                <w:szCs w:val="1"/>
                <w:color w:val="auto"/>
              </w:rPr>
            </w:pPr>
          </w:p>
        </w:tc>
      </w:tr>
      <w:tr>
        <w:trPr>
          <w:trHeight w:val="361"/>
        </w:trPr>
        <w:tc>
          <w:tcPr>
            <w:tcW w:w="2140" w:type="dxa"/>
            <w:vAlign w:val="bottom"/>
          </w:tcPr>
          <w:p>
            <w:pPr>
              <w:spacing w:after="0"/>
              <w:rPr>
                <w:sz w:val="20"/>
                <w:szCs w:val="20"/>
                <w:color w:val="auto"/>
              </w:rPr>
            </w:pPr>
            <w:r>
              <w:rPr>
                <w:rFonts w:ascii="Times New Roman" w:cs="Times New Roman" w:eastAsia="Times New Roman" w:hAnsi="Times New Roman"/>
                <w:sz w:val="16"/>
                <w:szCs w:val="16"/>
                <w:color w:val="auto"/>
              </w:rPr>
              <w:t>Non-accelerated filer</w:t>
            </w:r>
          </w:p>
        </w:tc>
        <w:tc>
          <w:tcPr>
            <w:tcW w:w="1060" w:type="dxa"/>
            <w:vAlign w:val="bottom"/>
          </w:tcPr>
          <w:p>
            <w:pPr>
              <w:ind w:left="680"/>
              <w:spacing w:after="0"/>
              <w:rPr>
                <w:sz w:val="20"/>
                <w:szCs w:val="20"/>
                <w:color w:val="auto"/>
              </w:rPr>
            </w:pPr>
            <w:r>
              <w:rPr>
                <w:rFonts w:ascii="Segoe UI" w:cs="Segoe UI" w:eastAsia="Segoe UI" w:hAnsi="Segoe UI"/>
                <w:sz w:val="16"/>
                <w:szCs w:val="16"/>
                <w:color w:val="auto"/>
              </w:rPr>
              <w:t>տ</w:t>
            </w:r>
          </w:p>
        </w:tc>
        <w:tc>
          <w:tcPr>
            <w:tcW w:w="2500" w:type="dxa"/>
            <w:vAlign w:val="bottom"/>
          </w:tcPr>
          <w:p>
            <w:pPr>
              <w:ind w:left="220"/>
              <w:spacing w:after="0"/>
              <w:rPr>
                <w:sz w:val="20"/>
                <w:szCs w:val="20"/>
                <w:color w:val="auto"/>
              </w:rPr>
            </w:pPr>
            <w:r>
              <w:rPr>
                <w:rFonts w:ascii="Times New Roman" w:cs="Times New Roman" w:eastAsia="Times New Roman" w:hAnsi="Times New Roman"/>
                <w:sz w:val="16"/>
                <w:szCs w:val="16"/>
                <w:color w:val="auto"/>
              </w:rPr>
              <w:t>Smaller reporting company</w:t>
            </w:r>
          </w:p>
        </w:tc>
        <w:tc>
          <w:tcPr>
            <w:tcW w:w="920" w:type="dxa"/>
            <w:vAlign w:val="bottom"/>
          </w:tcPr>
          <w:p>
            <w:pPr>
              <w:ind w:left="540"/>
              <w:spacing w:after="0"/>
              <w:rPr>
                <w:sz w:val="20"/>
                <w:szCs w:val="20"/>
                <w:color w:val="auto"/>
              </w:rPr>
            </w:pPr>
            <w:r>
              <w:rPr>
                <w:rFonts w:ascii="Segoe UI" w:cs="Segoe UI" w:eastAsia="Segoe UI" w:hAnsi="Segoe UI"/>
                <w:sz w:val="16"/>
                <w:szCs w:val="16"/>
                <w:color w:val="auto"/>
              </w:rPr>
              <w:t>ց</w:t>
            </w:r>
          </w:p>
        </w:tc>
        <w:tc>
          <w:tcPr>
            <w:tcW w:w="2500" w:type="dxa"/>
            <w:vAlign w:val="bottom"/>
          </w:tcPr>
          <w:p>
            <w:pPr>
              <w:ind w:left="220"/>
              <w:spacing w:after="0"/>
              <w:rPr>
                <w:sz w:val="20"/>
                <w:szCs w:val="20"/>
                <w:color w:val="auto"/>
              </w:rPr>
            </w:pPr>
            <w:r>
              <w:rPr>
                <w:rFonts w:ascii="Times New Roman" w:cs="Times New Roman" w:eastAsia="Times New Roman" w:hAnsi="Times New Roman"/>
                <w:sz w:val="16"/>
                <w:szCs w:val="16"/>
                <w:color w:val="auto"/>
              </w:rPr>
              <w:t>Emerging growth company</w:t>
            </w:r>
          </w:p>
        </w:tc>
        <w:tc>
          <w:tcPr>
            <w:tcW w:w="680" w:type="dxa"/>
            <w:vAlign w:val="bottom"/>
            <w:vMerge w:val="continue"/>
          </w:tcPr>
          <w:p>
            <w:pPr>
              <w:spacing w:after="0"/>
              <w:rPr>
                <w:sz w:val="24"/>
                <w:szCs w:val="24"/>
                <w:color w:val="auto"/>
              </w:rPr>
            </w:pPr>
          </w:p>
        </w:tc>
        <w:tc>
          <w:tcPr>
            <w:tcW w:w="0" w:type="dxa"/>
            <w:vAlign w:val="bottom"/>
          </w:tcPr>
          <w:p>
            <w:pPr>
              <w:spacing w:after="0"/>
              <w:rPr>
                <w:sz w:val="1"/>
                <w:szCs w:val="1"/>
                <w:color w:val="auto"/>
              </w:rPr>
            </w:pPr>
          </w:p>
        </w:tc>
      </w:tr>
    </w:tbl>
    <w:p>
      <w:pPr>
        <w:sectPr>
          <w:pgSz w:w="12240" w:h="15840" w:orient="portrait"/>
          <w:cols w:equalWidth="0" w:num="1">
            <w:col w:w="10266"/>
          </w:cols>
          <w:pgMar w:left="994" w:top="1386" w:right="980" w:bottom="571" w:gutter="0" w:footer="0" w:header="0"/>
        </w:sectPr>
      </w:pPr>
    </w:p>
    <w:bookmarkStart w:id="1" w:name="page2"/>
    <w:bookmarkEnd w:id="1"/>
    <w:p>
      <w:pPr>
        <w:jc w:val="both"/>
        <w:ind w:right="20"/>
        <w:spacing w:after="0" w:line="361" w:lineRule="auto"/>
        <w:rPr>
          <w:sz w:val="20"/>
          <w:szCs w:val="20"/>
          <w:color w:val="auto"/>
        </w:rPr>
      </w:pPr>
      <w:r>
        <w:rPr>
          <w:rFonts w:ascii="Times New Roman" w:cs="Times New Roman" w:eastAsia="Times New Roman" w:hAnsi="Times New Roman"/>
          <w:sz w:val="16"/>
          <w:szCs w:val="16"/>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Segoe UI" w:cs="Segoe UI" w:eastAsia="Segoe UI" w:hAnsi="Segoe UI"/>
          <w:sz w:val="16"/>
          <w:szCs w:val="16"/>
          <w:color w:val="auto"/>
        </w:rPr>
        <w:t>տ</w:t>
      </w:r>
    </w:p>
    <w:p>
      <w:pPr>
        <w:spacing w:after="0" w:line="1" w:lineRule="exact"/>
        <w:rPr>
          <w:sz w:val="20"/>
          <w:szCs w:val="20"/>
          <w:color w:val="auto"/>
        </w:rPr>
      </w:pPr>
    </w:p>
    <w:p>
      <w:pPr>
        <w:jc w:val="both"/>
        <w:ind w:right="20"/>
        <w:spacing w:after="0" w:line="287" w:lineRule="auto"/>
        <w:rPr>
          <w:sz w:val="20"/>
          <w:szCs w:val="20"/>
          <w:color w:val="auto"/>
        </w:rPr>
      </w:pPr>
      <w:r>
        <w:rPr>
          <w:rFonts w:ascii="Times New Roman" w:cs="Times New Roman" w:eastAsia="Times New Roman" w:hAnsi="Times New Roman"/>
          <w:sz w:val="15"/>
          <w:szCs w:val="15"/>
          <w:color w:val="auto"/>
        </w:rPr>
        <w:t>Indicate by check mark whether the registrant has filed a report on and attestation to its management's assessment of the effectiveness of its internal control over financial reporting under Section 404(b) of the Sarbanes-Oxley Act (15 U.S.C.7262(b)) by the registered public accounting firm that prepared or issued its audit</w:t>
      </w:r>
    </w:p>
    <w:p>
      <w:pPr>
        <w:spacing w:after="0"/>
        <w:rPr>
          <w:sz w:val="20"/>
          <w:szCs w:val="20"/>
          <w:color w:val="auto"/>
        </w:rPr>
      </w:pPr>
      <w:r>
        <w:rPr>
          <w:rFonts w:ascii="Times New Roman" w:cs="Times New Roman" w:eastAsia="Times New Roman" w:hAnsi="Times New Roman"/>
          <w:sz w:val="16"/>
          <w:szCs w:val="16"/>
          <w:color w:val="auto"/>
        </w:rPr>
        <w:t>report.</w:t>
      </w:r>
      <w:r>
        <w:rPr>
          <w:rFonts w:ascii="Segoe UI" w:cs="Segoe UI" w:eastAsia="Segoe UI" w:hAnsi="Segoe UI"/>
          <w:sz w:val="20"/>
          <w:szCs w:val="20"/>
          <w:color w:val="auto"/>
        </w:rPr>
        <w:t>ց</w:t>
      </w:r>
    </w:p>
    <w:p>
      <w:pPr>
        <w:spacing w:after="0" w:line="149" w:lineRule="exact"/>
        <w:rPr>
          <w:sz w:val="20"/>
          <w:szCs w:val="20"/>
          <w:color w:val="auto"/>
        </w:rPr>
      </w:pPr>
    </w:p>
    <w:p>
      <w:pPr>
        <w:jc w:val="both"/>
        <w:ind w:right="20"/>
        <w:spacing w:after="0" w:line="344" w:lineRule="auto"/>
        <w:rPr>
          <w:sz w:val="20"/>
          <w:szCs w:val="20"/>
          <w:color w:val="auto"/>
        </w:rPr>
      </w:pPr>
      <w:r>
        <w:rPr>
          <w:rFonts w:ascii="Times New Roman" w:cs="Times New Roman" w:eastAsia="Times New Roman" w:hAnsi="Times New Roman"/>
          <w:sz w:val="16"/>
          <w:szCs w:val="16"/>
          <w:color w:val="auto"/>
        </w:rPr>
        <w:t>If securities are registered pursuant to Section 12(b) of the Act, indicate by check mark whether the financial statements of the registrant included in the filing reflect the correction of an error to previously issued financial statements.</w:t>
      </w:r>
      <w:r>
        <w:rPr>
          <w:rFonts w:ascii="Segoe UI" w:cs="Segoe UI" w:eastAsia="Segoe UI" w:hAnsi="Segoe UI"/>
          <w:sz w:val="16"/>
          <w:szCs w:val="16"/>
          <w:color w:val="auto"/>
        </w:rPr>
        <w:t>ց</w:t>
      </w:r>
    </w:p>
    <w:p>
      <w:pPr>
        <w:jc w:val="both"/>
        <w:ind w:right="20"/>
        <w:spacing w:after="0" w:line="329" w:lineRule="auto"/>
        <w:rPr>
          <w:sz w:val="20"/>
          <w:szCs w:val="20"/>
          <w:color w:val="auto"/>
        </w:rPr>
      </w:pPr>
      <w:r>
        <w:rPr>
          <w:rFonts w:ascii="Times New Roman" w:cs="Times New Roman" w:eastAsia="Times New Roman" w:hAnsi="Times New Roman"/>
          <w:sz w:val="16"/>
          <w:szCs w:val="16"/>
          <w:color w:val="auto"/>
        </w:rPr>
        <w:t xml:space="preserve">Indicate by check mark whether any of those error corrections are restatements that required a recovery analysis of incentive-based compensation received by any of the registrant’s executive officers during the relevant recovery period pursuant to §240.10D-1(b). </w:t>
      </w:r>
      <w:r>
        <w:rPr>
          <w:rFonts w:ascii="Segoe UI" w:cs="Segoe UI" w:eastAsia="Segoe UI" w:hAnsi="Segoe UI"/>
          <w:sz w:val="16"/>
          <w:szCs w:val="16"/>
          <w:color w:val="auto"/>
        </w:rPr>
        <w:t>տ</w:t>
      </w:r>
    </w:p>
    <w:p>
      <w:pPr>
        <w:spacing w:after="0" w:line="1" w:lineRule="exact"/>
        <w:rPr>
          <w:sz w:val="20"/>
          <w:szCs w:val="20"/>
          <w:color w:val="auto"/>
        </w:rPr>
      </w:pPr>
    </w:p>
    <w:p>
      <w:pPr>
        <w:spacing w:after="0"/>
        <w:tabs>
          <w:tab w:leader="none" w:pos="6780" w:val="left"/>
          <w:tab w:leader="none" w:pos="7120" w:val="left"/>
        </w:tabs>
        <w:rPr>
          <w:sz w:val="20"/>
          <w:szCs w:val="20"/>
          <w:color w:val="auto"/>
        </w:rPr>
      </w:pPr>
      <w:r>
        <w:rPr>
          <w:rFonts w:ascii="Times New Roman" w:cs="Times New Roman" w:eastAsia="Times New Roman" w:hAnsi="Times New Roman"/>
          <w:sz w:val="16"/>
          <w:szCs w:val="16"/>
          <w:color w:val="auto"/>
        </w:rPr>
        <w:t>Indicate by check mark whether the registrant is a shell company (as defined in Rule 12b-2 of the Act).</w:t>
        <w:tab/>
        <w:t>Yes</w:t>
      </w:r>
      <w:r>
        <w:rPr>
          <w:sz w:val="20"/>
          <w:szCs w:val="20"/>
          <w:color w:val="auto"/>
        </w:rPr>
        <w:tab/>
      </w:r>
      <w:r>
        <w:rPr>
          <w:rFonts w:ascii="Segoe UI" w:cs="Segoe UI" w:eastAsia="Segoe UI" w:hAnsi="Segoe UI"/>
          <w:sz w:val="16"/>
          <w:szCs w:val="16"/>
          <w:color w:val="auto"/>
        </w:rPr>
        <w:t xml:space="preserve">տ  </w:t>
      </w:r>
      <w:r>
        <w:rPr>
          <w:rFonts w:ascii="Times New Roman" w:cs="Times New Roman" w:eastAsia="Times New Roman" w:hAnsi="Times New Roman"/>
          <w:sz w:val="16"/>
          <w:szCs w:val="16"/>
          <w:color w:val="auto"/>
        </w:rPr>
        <w:t>No</w:t>
      </w:r>
      <w:r>
        <w:rPr>
          <w:rFonts w:ascii="Segoe UI" w:cs="Segoe UI" w:eastAsia="Segoe UI" w:hAnsi="Segoe UI"/>
          <w:sz w:val="16"/>
          <w:szCs w:val="16"/>
          <w:color w:val="auto"/>
        </w:rPr>
        <w:t xml:space="preserve"> ց</w:t>
      </w:r>
    </w:p>
    <w:p>
      <w:pPr>
        <w:spacing w:after="0" w:line="192" w:lineRule="exact"/>
        <w:rPr>
          <w:sz w:val="20"/>
          <w:szCs w:val="20"/>
          <w:color w:val="auto"/>
        </w:rPr>
      </w:pPr>
    </w:p>
    <w:p>
      <w:pPr>
        <w:jc w:val="both"/>
        <w:spacing w:after="0" w:line="304" w:lineRule="auto"/>
        <w:rPr>
          <w:sz w:val="20"/>
          <w:szCs w:val="20"/>
          <w:color w:val="auto"/>
        </w:rPr>
      </w:pPr>
      <w:r>
        <w:rPr>
          <w:rFonts w:ascii="Times New Roman" w:cs="Times New Roman" w:eastAsia="Times New Roman" w:hAnsi="Times New Roman"/>
          <w:sz w:val="16"/>
          <w:szCs w:val="16"/>
          <w:color w:val="auto"/>
        </w:rPr>
        <w:t>The aggregate market value of the voting and non-voting common equity held by non-affiliates of the registrant as of June 30, 2023, the last business day of the registrant’s most recently completed second fiscal quarter, was approximately $69.4 million based upon the closing price reported for such date on the Nasdaq Global Select Market.</w:t>
      </w:r>
    </w:p>
    <w:p>
      <w:pPr>
        <w:spacing w:after="0" w:line="86" w:lineRule="exact"/>
        <w:rPr>
          <w:sz w:val="20"/>
          <w:szCs w:val="20"/>
          <w:color w:val="auto"/>
        </w:rPr>
      </w:pPr>
    </w:p>
    <w:p>
      <w:pPr>
        <w:jc w:val="both"/>
        <w:ind w:right="20"/>
        <w:spacing w:after="0" w:line="284" w:lineRule="auto"/>
        <w:rPr>
          <w:sz w:val="20"/>
          <w:szCs w:val="20"/>
          <w:color w:val="auto"/>
        </w:rPr>
      </w:pPr>
      <w:r>
        <w:rPr>
          <w:rFonts w:ascii="Times New Roman" w:cs="Times New Roman" w:eastAsia="Times New Roman" w:hAnsi="Times New Roman"/>
          <w:sz w:val="16"/>
          <w:szCs w:val="16"/>
          <w:color w:val="auto"/>
        </w:rPr>
        <w:t>As of May 13, 2024, there were 95,051,735 shares of the registrant’s Class A common stock outstanding and 55,486,361 shares of Class V common stock outstanding.</w:t>
      </w:r>
    </w:p>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t>DOCUMENTS INCORPORATED BY REFERENCE</w:t>
      </w:r>
    </w:p>
    <w:p>
      <w:pPr>
        <w:spacing w:after="0" w:line="149" w:lineRule="exact"/>
        <w:rPr>
          <w:sz w:val="20"/>
          <w:szCs w:val="20"/>
          <w:color w:val="auto"/>
        </w:rPr>
      </w:pPr>
    </w:p>
    <w:p>
      <w:pPr>
        <w:jc w:val="both"/>
        <w:ind w:right="20"/>
        <w:spacing w:after="0" w:line="304" w:lineRule="auto"/>
        <w:rPr>
          <w:sz w:val="20"/>
          <w:szCs w:val="20"/>
          <w:color w:val="auto"/>
        </w:rPr>
      </w:pPr>
      <w:r>
        <w:rPr>
          <w:rFonts w:ascii="Times New Roman" w:cs="Times New Roman" w:eastAsia="Times New Roman" w:hAnsi="Times New Roman"/>
          <w:sz w:val="16"/>
          <w:szCs w:val="16"/>
          <w:color w:val="auto"/>
        </w:rPr>
        <w:t>Portions of the registrant’s Proxy Statement for the 2024 Annual Meeting of Stockholders are incorporated herein by reference in Part III of this Annual Report on Form 10-K to the extent stated herein. Such proxy statement will be filed with the Securities and Exchange Commission within 120 days of the registrant’s fiscal year ended December 31, 2023.</w:t>
      </w:r>
    </w:p>
    <w:p>
      <w:pPr>
        <w:sectPr>
          <w:pgSz w:w="12240" w:h="15840" w:orient="portrait"/>
          <w:cols w:equalWidth="0" w:num="1">
            <w:col w:w="10260"/>
          </w:cols>
          <w:pgMar w:left="1000" w:top="895" w:right="980" w:bottom="1440" w:gutter="0" w:footer="0" w:header="0"/>
        </w:sectPr>
      </w:pPr>
    </w:p>
    <w:bookmarkStart w:id="2" w:name="page3"/>
    <w:bookmarkEnd w:id="2"/>
    <w:tbl>
      <w:tblPr>
        <w:tblLayout w:type="fixed"/>
        <w:tblInd w:w="0" w:type="dxa"/>
        <w:tblCellMar>
          <w:top w:w="0" w:type="dxa"/>
          <w:left w:w="0" w:type="dxa"/>
          <w:bottom w:w="0" w:type="dxa"/>
          <w:right w:w="0" w:type="dxa"/>
        </w:tblCellMar>
      </w:tblPr>
      <w:tr>
        <w:trPr>
          <w:trHeight w:val="278"/>
        </w:trPr>
        <w:tc>
          <w:tcPr>
            <w:tcW w:w="9200" w:type="dxa"/>
            <w:vAlign w:val="bottom"/>
          </w:tcPr>
          <w:p>
            <w:pPr>
              <w:ind w:left="3880"/>
              <w:spacing w:after="0"/>
              <w:rPr>
                <w:sz w:val="20"/>
                <w:szCs w:val="20"/>
                <w:color w:val="auto"/>
              </w:rPr>
            </w:pPr>
            <w:r>
              <w:rPr>
                <w:rFonts w:ascii="Times New Roman" w:cs="Times New Roman" w:eastAsia="Times New Roman" w:hAnsi="Times New Roman"/>
                <w:sz w:val="20"/>
                <w:szCs w:val="20"/>
                <w:b w:val="1"/>
                <w:bCs w:val="1"/>
                <w:color w:val="auto"/>
              </w:rPr>
              <w:t>WM TECHNOLOGY, INC.</w:t>
            </w:r>
          </w:p>
        </w:tc>
        <w:tc>
          <w:tcPr>
            <w:tcW w:w="8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11"/>
        </w:trPr>
        <w:tc>
          <w:tcPr>
            <w:tcW w:w="9200" w:type="dxa"/>
            <w:vAlign w:val="bottom"/>
          </w:tcPr>
          <w:p>
            <w:pPr>
              <w:ind w:left="4020"/>
              <w:spacing w:after="0"/>
              <w:rPr>
                <w:sz w:val="20"/>
                <w:szCs w:val="20"/>
                <w:color w:val="auto"/>
              </w:rPr>
            </w:pPr>
            <w:r>
              <w:rPr>
                <w:rFonts w:ascii="Times New Roman" w:cs="Times New Roman" w:eastAsia="Times New Roman" w:hAnsi="Times New Roman"/>
                <w:sz w:val="20"/>
                <w:szCs w:val="20"/>
                <w:b w:val="1"/>
                <w:bCs w:val="1"/>
                <w:color w:val="auto"/>
              </w:rPr>
              <w:t>TABLE OF CONTENTS</w:t>
            </w:r>
          </w:p>
        </w:tc>
        <w:tc>
          <w:tcPr>
            <w:tcW w:w="8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10"/>
        </w:trPr>
        <w:tc>
          <w:tcPr>
            <w:tcW w:w="9200" w:type="dxa"/>
            <w:vAlign w:val="bottom"/>
          </w:tcPr>
          <w:p>
            <w:pPr>
              <w:spacing w:after="0"/>
              <w:rPr>
                <w:sz w:val="24"/>
                <w:szCs w:val="24"/>
                <w:color w:val="auto"/>
              </w:rPr>
            </w:pPr>
          </w:p>
        </w:tc>
        <w:tc>
          <w:tcPr>
            <w:tcW w:w="800" w:type="dxa"/>
            <w:vAlign w:val="bottom"/>
            <w:tcBorders>
              <w:bottom w:val="single" w:sz="8" w:color="auto"/>
            </w:tcBorders>
          </w:tcPr>
          <w:p>
            <w:pPr>
              <w:jc w:val="right"/>
              <w:ind w:right="79"/>
              <w:spacing w:after="0"/>
              <w:rPr>
                <w:sz w:val="20"/>
                <w:szCs w:val="20"/>
                <w:color w:val="auto"/>
              </w:rPr>
            </w:pPr>
            <w:r>
              <w:rPr>
                <w:rFonts w:ascii="Times New Roman" w:cs="Times New Roman" w:eastAsia="Times New Roman" w:hAnsi="Times New Roman"/>
                <w:sz w:val="20"/>
                <w:szCs w:val="20"/>
                <w:b w:val="1"/>
                <w:bCs w:val="1"/>
                <w:color w:val="auto"/>
              </w:rPr>
              <w:t>Page</w:t>
            </w:r>
          </w:p>
        </w:tc>
        <w:tc>
          <w:tcPr>
            <w:tcW w:w="0" w:type="dxa"/>
            <w:vAlign w:val="bottom"/>
          </w:tcPr>
          <w:p>
            <w:pPr>
              <w:spacing w:after="0"/>
              <w:rPr>
                <w:sz w:val="1"/>
                <w:szCs w:val="1"/>
                <w:color w:val="auto"/>
              </w:rPr>
            </w:pPr>
          </w:p>
        </w:tc>
      </w:tr>
      <w:tr>
        <w:trPr>
          <w:trHeight w:val="580"/>
        </w:trPr>
        <w:tc>
          <w:tcPr>
            <w:tcW w:w="9200" w:type="dxa"/>
            <w:vAlign w:val="bottom"/>
          </w:tcPr>
          <w:p>
            <w:pPr>
              <w:ind w:left="800"/>
              <w:spacing w:after="0"/>
              <w:rPr>
                <w:sz w:val="20"/>
                <w:szCs w:val="20"/>
                <w:color w:val="auto"/>
              </w:rPr>
            </w:pPr>
            <w:r>
              <w:rPr>
                <w:rFonts w:ascii="Times New Roman" w:cs="Times New Roman" w:eastAsia="Times New Roman" w:hAnsi="Times New Roman"/>
                <w:sz w:val="20"/>
                <w:szCs w:val="20"/>
                <w:color w:val="auto"/>
              </w:rPr>
              <w:t>Forward-Looking Statements</w:t>
            </w:r>
          </w:p>
        </w:tc>
        <w:tc>
          <w:tcPr>
            <w:tcW w:w="8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88"/>
        </w:trPr>
        <w:tc>
          <w:tcPr>
            <w:tcW w:w="9200" w:type="dxa"/>
            <w:vAlign w:val="bottom"/>
          </w:tcPr>
          <w:p>
            <w:pPr>
              <w:ind w:left="800"/>
              <w:spacing w:after="0"/>
              <w:rPr>
                <w:sz w:val="20"/>
                <w:szCs w:val="20"/>
                <w:color w:val="auto"/>
              </w:rPr>
            </w:pPr>
            <w:r>
              <w:rPr>
                <w:rFonts w:ascii="Times New Roman" w:cs="Times New Roman" w:eastAsia="Times New Roman" w:hAnsi="Times New Roman"/>
                <w:sz w:val="20"/>
                <w:szCs w:val="20"/>
                <w:color w:val="auto"/>
              </w:rPr>
              <w:t>Risk Factor Summary</w:t>
            </w:r>
          </w:p>
        </w:tc>
        <w:tc>
          <w:tcPr>
            <w:tcW w:w="8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69"/>
        </w:trPr>
        <w:tc>
          <w:tcPr>
            <w:tcW w:w="9200" w:type="dxa"/>
            <w:vAlign w:val="bottom"/>
          </w:tcPr>
          <w:p>
            <w:pPr>
              <w:spacing w:after="0"/>
              <w:rPr>
                <w:sz w:val="20"/>
                <w:szCs w:val="20"/>
                <w:color w:val="auto"/>
              </w:rPr>
            </w:pPr>
            <w:r>
              <w:rPr>
                <w:rFonts w:ascii="Times New Roman" w:cs="Times New Roman" w:eastAsia="Times New Roman" w:hAnsi="Times New Roman"/>
                <w:sz w:val="20"/>
                <w:szCs w:val="20"/>
                <w:color w:val="auto"/>
              </w:rPr>
              <w:t>Part I</w:t>
            </w:r>
          </w:p>
        </w:tc>
        <w:tc>
          <w:tcPr>
            <w:tcW w:w="8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81"/>
        </w:trPr>
        <w:tc>
          <w:tcPr>
            <w:tcW w:w="9200" w:type="dxa"/>
            <w:vAlign w:val="bottom"/>
          </w:tcPr>
          <w:p>
            <w:pPr>
              <w:ind w:left="800"/>
              <w:spacing w:after="0"/>
              <w:rPr>
                <w:sz w:val="20"/>
                <w:szCs w:val="20"/>
                <w:color w:val="auto"/>
              </w:rPr>
            </w:pPr>
            <w:r>
              <w:rPr>
                <w:rFonts w:ascii="Times New Roman" w:cs="Times New Roman" w:eastAsia="Times New Roman" w:hAnsi="Times New Roman"/>
                <w:sz w:val="20"/>
                <w:szCs w:val="20"/>
                <w:color w:val="auto"/>
              </w:rPr>
              <w:t>Item 1. Business</w:t>
            </w:r>
          </w:p>
        </w:tc>
        <w:tc>
          <w:tcPr>
            <w:tcW w:w="8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5</w:t>
            </w:r>
          </w:p>
        </w:tc>
        <w:tc>
          <w:tcPr>
            <w:tcW w:w="0" w:type="dxa"/>
            <w:vAlign w:val="bottom"/>
          </w:tcPr>
          <w:p>
            <w:pPr>
              <w:spacing w:after="0"/>
              <w:rPr>
                <w:sz w:val="1"/>
                <w:szCs w:val="1"/>
                <w:color w:val="auto"/>
              </w:rPr>
            </w:pPr>
          </w:p>
        </w:tc>
      </w:tr>
      <w:tr>
        <w:trPr>
          <w:trHeight w:val="288"/>
        </w:trPr>
        <w:tc>
          <w:tcPr>
            <w:tcW w:w="9200" w:type="dxa"/>
            <w:vAlign w:val="bottom"/>
          </w:tcPr>
          <w:p>
            <w:pPr>
              <w:ind w:left="800"/>
              <w:spacing w:after="0"/>
              <w:rPr>
                <w:sz w:val="20"/>
                <w:szCs w:val="20"/>
                <w:color w:val="auto"/>
              </w:rPr>
            </w:pPr>
            <w:r>
              <w:rPr>
                <w:rFonts w:ascii="Times New Roman" w:cs="Times New Roman" w:eastAsia="Times New Roman" w:hAnsi="Times New Roman"/>
                <w:sz w:val="20"/>
                <w:szCs w:val="20"/>
                <w:color w:val="auto"/>
              </w:rPr>
              <w:t>Item 1A. Risk Factors</w:t>
            </w:r>
          </w:p>
        </w:tc>
        <w:tc>
          <w:tcPr>
            <w:tcW w:w="8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16</w:t>
            </w:r>
          </w:p>
        </w:tc>
        <w:tc>
          <w:tcPr>
            <w:tcW w:w="0" w:type="dxa"/>
            <w:vAlign w:val="bottom"/>
          </w:tcPr>
          <w:p>
            <w:pPr>
              <w:spacing w:after="0"/>
              <w:rPr>
                <w:sz w:val="1"/>
                <w:szCs w:val="1"/>
                <w:color w:val="auto"/>
              </w:rPr>
            </w:pPr>
          </w:p>
        </w:tc>
      </w:tr>
      <w:tr>
        <w:trPr>
          <w:trHeight w:val="281"/>
        </w:trPr>
        <w:tc>
          <w:tcPr>
            <w:tcW w:w="9200" w:type="dxa"/>
            <w:vAlign w:val="bottom"/>
          </w:tcPr>
          <w:p>
            <w:pPr>
              <w:ind w:left="800"/>
              <w:spacing w:after="0"/>
              <w:rPr>
                <w:sz w:val="20"/>
                <w:szCs w:val="20"/>
                <w:color w:val="auto"/>
              </w:rPr>
            </w:pPr>
            <w:r>
              <w:rPr>
                <w:rFonts w:ascii="Times New Roman" w:cs="Times New Roman" w:eastAsia="Times New Roman" w:hAnsi="Times New Roman"/>
                <w:sz w:val="20"/>
                <w:szCs w:val="20"/>
                <w:color w:val="auto"/>
              </w:rPr>
              <w:t>Item 1B. Unresolved Staff Comments</w:t>
            </w:r>
          </w:p>
        </w:tc>
        <w:tc>
          <w:tcPr>
            <w:tcW w:w="8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53</w:t>
            </w:r>
          </w:p>
        </w:tc>
        <w:tc>
          <w:tcPr>
            <w:tcW w:w="0" w:type="dxa"/>
            <w:vAlign w:val="bottom"/>
          </w:tcPr>
          <w:p>
            <w:pPr>
              <w:spacing w:after="0"/>
              <w:rPr>
                <w:sz w:val="1"/>
                <w:szCs w:val="1"/>
                <w:color w:val="auto"/>
              </w:rPr>
            </w:pPr>
          </w:p>
        </w:tc>
      </w:tr>
      <w:tr>
        <w:trPr>
          <w:trHeight w:val="288"/>
        </w:trPr>
        <w:tc>
          <w:tcPr>
            <w:tcW w:w="9200" w:type="dxa"/>
            <w:vAlign w:val="bottom"/>
          </w:tcPr>
          <w:p>
            <w:pPr>
              <w:ind w:left="800"/>
              <w:spacing w:after="0"/>
              <w:rPr>
                <w:sz w:val="20"/>
                <w:szCs w:val="20"/>
                <w:color w:val="auto"/>
              </w:rPr>
            </w:pPr>
            <w:r>
              <w:rPr>
                <w:rFonts w:ascii="Times New Roman" w:cs="Times New Roman" w:eastAsia="Times New Roman" w:hAnsi="Times New Roman"/>
                <w:sz w:val="20"/>
                <w:szCs w:val="20"/>
                <w:color w:val="auto"/>
              </w:rPr>
              <w:t>Item 1C. Cybersecurity</w:t>
            </w:r>
          </w:p>
        </w:tc>
        <w:tc>
          <w:tcPr>
            <w:tcW w:w="8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53</w:t>
            </w:r>
          </w:p>
        </w:tc>
        <w:tc>
          <w:tcPr>
            <w:tcW w:w="0" w:type="dxa"/>
            <w:vAlign w:val="bottom"/>
          </w:tcPr>
          <w:p>
            <w:pPr>
              <w:spacing w:after="0"/>
              <w:rPr>
                <w:sz w:val="1"/>
                <w:szCs w:val="1"/>
                <w:color w:val="auto"/>
              </w:rPr>
            </w:pPr>
          </w:p>
        </w:tc>
      </w:tr>
      <w:tr>
        <w:trPr>
          <w:trHeight w:val="288"/>
        </w:trPr>
        <w:tc>
          <w:tcPr>
            <w:tcW w:w="9200" w:type="dxa"/>
            <w:vAlign w:val="bottom"/>
          </w:tcPr>
          <w:p>
            <w:pPr>
              <w:ind w:left="800"/>
              <w:spacing w:after="0"/>
              <w:rPr>
                <w:sz w:val="20"/>
                <w:szCs w:val="20"/>
                <w:color w:val="auto"/>
              </w:rPr>
            </w:pPr>
            <w:r>
              <w:rPr>
                <w:rFonts w:ascii="Times New Roman" w:cs="Times New Roman" w:eastAsia="Times New Roman" w:hAnsi="Times New Roman"/>
                <w:sz w:val="20"/>
                <w:szCs w:val="20"/>
                <w:color w:val="auto"/>
              </w:rPr>
              <w:t>Item 2. Properties</w:t>
            </w:r>
          </w:p>
        </w:tc>
        <w:tc>
          <w:tcPr>
            <w:tcW w:w="8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55</w:t>
            </w:r>
          </w:p>
        </w:tc>
        <w:tc>
          <w:tcPr>
            <w:tcW w:w="0" w:type="dxa"/>
            <w:vAlign w:val="bottom"/>
          </w:tcPr>
          <w:p>
            <w:pPr>
              <w:spacing w:after="0"/>
              <w:rPr>
                <w:sz w:val="1"/>
                <w:szCs w:val="1"/>
                <w:color w:val="auto"/>
              </w:rPr>
            </w:pPr>
          </w:p>
        </w:tc>
      </w:tr>
      <w:tr>
        <w:trPr>
          <w:trHeight w:val="281"/>
        </w:trPr>
        <w:tc>
          <w:tcPr>
            <w:tcW w:w="9200" w:type="dxa"/>
            <w:vAlign w:val="bottom"/>
          </w:tcPr>
          <w:p>
            <w:pPr>
              <w:ind w:left="800"/>
              <w:spacing w:after="0"/>
              <w:rPr>
                <w:sz w:val="20"/>
                <w:szCs w:val="20"/>
                <w:color w:val="auto"/>
              </w:rPr>
            </w:pPr>
            <w:r>
              <w:rPr>
                <w:rFonts w:ascii="Times New Roman" w:cs="Times New Roman" w:eastAsia="Times New Roman" w:hAnsi="Times New Roman"/>
                <w:sz w:val="20"/>
                <w:szCs w:val="20"/>
                <w:color w:val="auto"/>
              </w:rPr>
              <w:t>Item 3. Legal Proceedings</w:t>
            </w:r>
          </w:p>
        </w:tc>
        <w:tc>
          <w:tcPr>
            <w:tcW w:w="8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55</w:t>
            </w:r>
          </w:p>
        </w:tc>
        <w:tc>
          <w:tcPr>
            <w:tcW w:w="0" w:type="dxa"/>
            <w:vAlign w:val="bottom"/>
          </w:tcPr>
          <w:p>
            <w:pPr>
              <w:spacing w:after="0"/>
              <w:rPr>
                <w:sz w:val="1"/>
                <w:szCs w:val="1"/>
                <w:color w:val="auto"/>
              </w:rPr>
            </w:pPr>
          </w:p>
        </w:tc>
      </w:tr>
      <w:tr>
        <w:trPr>
          <w:trHeight w:val="288"/>
        </w:trPr>
        <w:tc>
          <w:tcPr>
            <w:tcW w:w="9200" w:type="dxa"/>
            <w:vAlign w:val="bottom"/>
          </w:tcPr>
          <w:p>
            <w:pPr>
              <w:ind w:left="800"/>
              <w:spacing w:after="0"/>
              <w:rPr>
                <w:sz w:val="20"/>
                <w:szCs w:val="20"/>
                <w:color w:val="auto"/>
              </w:rPr>
            </w:pPr>
            <w:r>
              <w:rPr>
                <w:rFonts w:ascii="Times New Roman" w:cs="Times New Roman" w:eastAsia="Times New Roman" w:hAnsi="Times New Roman"/>
                <w:sz w:val="20"/>
                <w:szCs w:val="20"/>
                <w:color w:val="auto"/>
              </w:rPr>
              <w:t>Item 4. Mine Safety Disclosures</w:t>
            </w:r>
          </w:p>
        </w:tc>
        <w:tc>
          <w:tcPr>
            <w:tcW w:w="8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56</w:t>
            </w:r>
          </w:p>
        </w:tc>
        <w:tc>
          <w:tcPr>
            <w:tcW w:w="0" w:type="dxa"/>
            <w:vAlign w:val="bottom"/>
          </w:tcPr>
          <w:p>
            <w:pPr>
              <w:spacing w:after="0"/>
              <w:rPr>
                <w:sz w:val="1"/>
                <w:szCs w:val="1"/>
                <w:color w:val="auto"/>
              </w:rPr>
            </w:pPr>
          </w:p>
        </w:tc>
      </w:tr>
      <w:tr>
        <w:trPr>
          <w:trHeight w:val="281"/>
        </w:trPr>
        <w:tc>
          <w:tcPr>
            <w:tcW w:w="9200" w:type="dxa"/>
            <w:vAlign w:val="bottom"/>
          </w:tcPr>
          <w:p>
            <w:pPr>
              <w:spacing w:after="0"/>
              <w:rPr>
                <w:sz w:val="20"/>
                <w:szCs w:val="20"/>
                <w:color w:val="auto"/>
              </w:rPr>
            </w:pPr>
            <w:r>
              <w:rPr>
                <w:rFonts w:ascii="Times New Roman" w:cs="Times New Roman" w:eastAsia="Times New Roman" w:hAnsi="Times New Roman"/>
                <w:sz w:val="20"/>
                <w:szCs w:val="20"/>
                <w:color w:val="auto"/>
              </w:rPr>
              <w:t>Part II</w:t>
            </w:r>
          </w:p>
        </w:tc>
        <w:tc>
          <w:tcPr>
            <w:tcW w:w="8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49"/>
        </w:trPr>
        <w:tc>
          <w:tcPr>
            <w:tcW w:w="9200" w:type="dxa"/>
            <w:vAlign w:val="bottom"/>
          </w:tcPr>
          <w:p>
            <w:pPr>
              <w:ind w:left="800"/>
              <w:spacing w:after="0"/>
              <w:rPr>
                <w:sz w:val="20"/>
                <w:szCs w:val="20"/>
                <w:color w:val="auto"/>
              </w:rPr>
            </w:pPr>
            <w:r>
              <w:rPr>
                <w:rFonts w:ascii="Times New Roman" w:cs="Times New Roman" w:eastAsia="Times New Roman" w:hAnsi="Times New Roman"/>
                <w:sz w:val="20"/>
                <w:szCs w:val="20"/>
                <w:color w:val="auto"/>
              </w:rPr>
              <w:t>Item 5. Market for Registrant’s Common Equity, Related Stockholder Matters and Issuer Purchases of</w:t>
            </w:r>
          </w:p>
        </w:tc>
        <w:tc>
          <w:tcPr>
            <w:tcW w:w="800" w:type="dxa"/>
            <w:vAlign w:val="bottom"/>
            <w:vMerge w:val="restart"/>
          </w:tcPr>
          <w:p>
            <w:pPr>
              <w:jc w:val="right"/>
              <w:spacing w:after="0"/>
              <w:rPr>
                <w:sz w:val="20"/>
                <w:szCs w:val="20"/>
                <w:color w:val="auto"/>
              </w:rPr>
            </w:pPr>
            <w:r>
              <w:rPr>
                <w:rFonts w:ascii="Times New Roman" w:cs="Times New Roman" w:eastAsia="Times New Roman" w:hAnsi="Times New Roman"/>
                <w:sz w:val="20"/>
                <w:szCs w:val="20"/>
                <w:color w:val="auto"/>
              </w:rPr>
              <w:t>57</w:t>
            </w:r>
          </w:p>
        </w:tc>
        <w:tc>
          <w:tcPr>
            <w:tcW w:w="0" w:type="dxa"/>
            <w:vAlign w:val="bottom"/>
          </w:tcPr>
          <w:p>
            <w:pPr>
              <w:spacing w:after="0"/>
              <w:rPr>
                <w:sz w:val="1"/>
                <w:szCs w:val="1"/>
                <w:color w:val="auto"/>
              </w:rPr>
            </w:pPr>
          </w:p>
        </w:tc>
      </w:tr>
      <w:tr>
        <w:trPr>
          <w:trHeight w:val="238"/>
        </w:trPr>
        <w:tc>
          <w:tcPr>
            <w:tcW w:w="9200" w:type="dxa"/>
            <w:vAlign w:val="bottom"/>
          </w:tcPr>
          <w:p>
            <w:pPr>
              <w:ind w:left="800"/>
              <w:spacing w:after="0"/>
              <w:rPr>
                <w:sz w:val="20"/>
                <w:szCs w:val="20"/>
                <w:color w:val="auto"/>
              </w:rPr>
            </w:pPr>
            <w:r>
              <w:rPr>
                <w:rFonts w:ascii="Times New Roman" w:cs="Times New Roman" w:eastAsia="Times New Roman" w:hAnsi="Times New Roman"/>
                <w:sz w:val="20"/>
                <w:szCs w:val="20"/>
                <w:color w:val="auto"/>
              </w:rPr>
              <w:t>Equity Securities</w:t>
            </w:r>
          </w:p>
        </w:tc>
        <w:tc>
          <w:tcPr>
            <w:tcW w:w="800" w:type="dxa"/>
            <w:vAlign w:val="bottom"/>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270"/>
        </w:trPr>
        <w:tc>
          <w:tcPr>
            <w:tcW w:w="9200" w:type="dxa"/>
            <w:vAlign w:val="bottom"/>
          </w:tcPr>
          <w:p>
            <w:pPr>
              <w:ind w:left="800"/>
              <w:spacing w:after="0"/>
              <w:rPr>
                <w:sz w:val="20"/>
                <w:szCs w:val="20"/>
                <w:color w:val="auto"/>
              </w:rPr>
            </w:pPr>
            <w:r>
              <w:rPr>
                <w:rFonts w:ascii="Times New Roman" w:cs="Times New Roman" w:eastAsia="Times New Roman" w:hAnsi="Times New Roman"/>
                <w:sz w:val="20"/>
                <w:szCs w:val="20"/>
                <w:color w:val="auto"/>
              </w:rPr>
              <w:t>Item 6. [Reserved]</w:t>
            </w:r>
          </w:p>
        </w:tc>
        <w:tc>
          <w:tcPr>
            <w:tcW w:w="8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57</w:t>
            </w:r>
          </w:p>
        </w:tc>
        <w:tc>
          <w:tcPr>
            <w:tcW w:w="0" w:type="dxa"/>
            <w:vAlign w:val="bottom"/>
          </w:tcPr>
          <w:p>
            <w:pPr>
              <w:spacing w:after="0"/>
              <w:rPr>
                <w:sz w:val="1"/>
                <w:szCs w:val="1"/>
                <w:color w:val="auto"/>
              </w:rPr>
            </w:pPr>
          </w:p>
        </w:tc>
      </w:tr>
      <w:tr>
        <w:trPr>
          <w:trHeight w:val="281"/>
        </w:trPr>
        <w:tc>
          <w:tcPr>
            <w:tcW w:w="9200" w:type="dxa"/>
            <w:vAlign w:val="bottom"/>
          </w:tcPr>
          <w:p>
            <w:pPr>
              <w:ind w:left="800"/>
              <w:spacing w:after="0"/>
              <w:rPr>
                <w:sz w:val="20"/>
                <w:szCs w:val="20"/>
                <w:color w:val="auto"/>
              </w:rPr>
            </w:pPr>
            <w:r>
              <w:rPr>
                <w:rFonts w:ascii="Times New Roman" w:cs="Times New Roman" w:eastAsia="Times New Roman" w:hAnsi="Times New Roman"/>
                <w:sz w:val="20"/>
                <w:szCs w:val="20"/>
                <w:color w:val="auto"/>
              </w:rPr>
              <w:t>Item 7. Management’s Discussion and Analysis of Financial Condition and Results of Operations</w:t>
            </w:r>
          </w:p>
        </w:tc>
        <w:tc>
          <w:tcPr>
            <w:tcW w:w="8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57</w:t>
            </w:r>
          </w:p>
        </w:tc>
        <w:tc>
          <w:tcPr>
            <w:tcW w:w="0" w:type="dxa"/>
            <w:vAlign w:val="bottom"/>
          </w:tcPr>
          <w:p>
            <w:pPr>
              <w:spacing w:after="0"/>
              <w:rPr>
                <w:sz w:val="1"/>
                <w:szCs w:val="1"/>
                <w:color w:val="auto"/>
              </w:rPr>
            </w:pPr>
          </w:p>
        </w:tc>
      </w:tr>
      <w:tr>
        <w:trPr>
          <w:trHeight w:val="288"/>
        </w:trPr>
        <w:tc>
          <w:tcPr>
            <w:tcW w:w="9200" w:type="dxa"/>
            <w:vAlign w:val="bottom"/>
          </w:tcPr>
          <w:p>
            <w:pPr>
              <w:ind w:left="800"/>
              <w:spacing w:after="0"/>
              <w:rPr>
                <w:sz w:val="20"/>
                <w:szCs w:val="20"/>
                <w:color w:val="auto"/>
              </w:rPr>
            </w:pPr>
            <w:r>
              <w:rPr>
                <w:rFonts w:ascii="Times New Roman" w:cs="Times New Roman" w:eastAsia="Times New Roman" w:hAnsi="Times New Roman"/>
                <w:sz w:val="20"/>
                <w:szCs w:val="20"/>
                <w:color w:val="auto"/>
              </w:rPr>
              <w:t>Item 7A. Quantitative and Qualitative Disclosures About Market Risk</w:t>
            </w:r>
          </w:p>
        </w:tc>
        <w:tc>
          <w:tcPr>
            <w:tcW w:w="8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73</w:t>
            </w:r>
          </w:p>
        </w:tc>
        <w:tc>
          <w:tcPr>
            <w:tcW w:w="0" w:type="dxa"/>
            <w:vAlign w:val="bottom"/>
          </w:tcPr>
          <w:p>
            <w:pPr>
              <w:spacing w:after="0"/>
              <w:rPr>
                <w:sz w:val="1"/>
                <w:szCs w:val="1"/>
                <w:color w:val="auto"/>
              </w:rPr>
            </w:pPr>
          </w:p>
        </w:tc>
      </w:tr>
      <w:tr>
        <w:trPr>
          <w:trHeight w:val="281"/>
        </w:trPr>
        <w:tc>
          <w:tcPr>
            <w:tcW w:w="9200" w:type="dxa"/>
            <w:vAlign w:val="bottom"/>
          </w:tcPr>
          <w:p>
            <w:pPr>
              <w:ind w:left="800"/>
              <w:spacing w:after="0"/>
              <w:rPr>
                <w:sz w:val="20"/>
                <w:szCs w:val="20"/>
                <w:color w:val="auto"/>
              </w:rPr>
            </w:pPr>
            <w:r>
              <w:rPr>
                <w:rFonts w:ascii="Times New Roman" w:cs="Times New Roman" w:eastAsia="Times New Roman" w:hAnsi="Times New Roman"/>
                <w:sz w:val="20"/>
                <w:szCs w:val="20"/>
                <w:color w:val="auto"/>
              </w:rPr>
              <w:t>Item 8. Financial Statements and Supplementary Data</w:t>
            </w:r>
          </w:p>
        </w:tc>
        <w:tc>
          <w:tcPr>
            <w:tcW w:w="8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74</w:t>
            </w:r>
          </w:p>
        </w:tc>
        <w:tc>
          <w:tcPr>
            <w:tcW w:w="0" w:type="dxa"/>
            <w:vAlign w:val="bottom"/>
          </w:tcPr>
          <w:p>
            <w:pPr>
              <w:spacing w:after="0"/>
              <w:rPr>
                <w:sz w:val="1"/>
                <w:szCs w:val="1"/>
                <w:color w:val="auto"/>
              </w:rPr>
            </w:pPr>
          </w:p>
        </w:tc>
      </w:tr>
      <w:tr>
        <w:trPr>
          <w:trHeight w:val="288"/>
        </w:trPr>
        <w:tc>
          <w:tcPr>
            <w:tcW w:w="9200" w:type="dxa"/>
            <w:vAlign w:val="bottom"/>
          </w:tcPr>
          <w:p>
            <w:pPr>
              <w:ind w:left="800"/>
              <w:spacing w:after="0"/>
              <w:rPr>
                <w:sz w:val="20"/>
                <w:szCs w:val="20"/>
                <w:color w:val="auto"/>
              </w:rPr>
            </w:pPr>
            <w:r>
              <w:rPr>
                <w:rFonts w:ascii="Times New Roman" w:cs="Times New Roman" w:eastAsia="Times New Roman" w:hAnsi="Times New Roman"/>
                <w:sz w:val="20"/>
                <w:szCs w:val="20"/>
                <w:color w:val="auto"/>
              </w:rPr>
              <w:t>Item 9. Changes in and Disagreements With Accountants on Accounting and Financial Disclosure</w:t>
            </w:r>
          </w:p>
        </w:tc>
        <w:tc>
          <w:tcPr>
            <w:tcW w:w="8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74</w:t>
            </w:r>
          </w:p>
        </w:tc>
        <w:tc>
          <w:tcPr>
            <w:tcW w:w="0" w:type="dxa"/>
            <w:vAlign w:val="bottom"/>
          </w:tcPr>
          <w:p>
            <w:pPr>
              <w:spacing w:after="0"/>
              <w:rPr>
                <w:sz w:val="1"/>
                <w:szCs w:val="1"/>
                <w:color w:val="auto"/>
              </w:rPr>
            </w:pPr>
          </w:p>
        </w:tc>
      </w:tr>
      <w:tr>
        <w:trPr>
          <w:trHeight w:val="281"/>
        </w:trPr>
        <w:tc>
          <w:tcPr>
            <w:tcW w:w="9200" w:type="dxa"/>
            <w:vAlign w:val="bottom"/>
          </w:tcPr>
          <w:p>
            <w:pPr>
              <w:ind w:left="800"/>
              <w:spacing w:after="0"/>
              <w:rPr>
                <w:sz w:val="20"/>
                <w:szCs w:val="20"/>
                <w:color w:val="auto"/>
              </w:rPr>
            </w:pPr>
            <w:r>
              <w:rPr>
                <w:rFonts w:ascii="Times New Roman" w:cs="Times New Roman" w:eastAsia="Times New Roman" w:hAnsi="Times New Roman"/>
                <w:sz w:val="20"/>
                <w:szCs w:val="20"/>
                <w:color w:val="auto"/>
              </w:rPr>
              <w:t>Item 9A. Controls and Procedures</w:t>
            </w:r>
          </w:p>
        </w:tc>
        <w:tc>
          <w:tcPr>
            <w:tcW w:w="8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74</w:t>
            </w:r>
          </w:p>
        </w:tc>
        <w:tc>
          <w:tcPr>
            <w:tcW w:w="0" w:type="dxa"/>
            <w:vAlign w:val="bottom"/>
          </w:tcPr>
          <w:p>
            <w:pPr>
              <w:spacing w:after="0"/>
              <w:rPr>
                <w:sz w:val="1"/>
                <w:szCs w:val="1"/>
                <w:color w:val="auto"/>
              </w:rPr>
            </w:pPr>
          </w:p>
        </w:tc>
      </w:tr>
      <w:tr>
        <w:trPr>
          <w:trHeight w:val="288"/>
        </w:trPr>
        <w:tc>
          <w:tcPr>
            <w:tcW w:w="9200" w:type="dxa"/>
            <w:vAlign w:val="bottom"/>
          </w:tcPr>
          <w:p>
            <w:pPr>
              <w:ind w:left="800"/>
              <w:spacing w:after="0"/>
              <w:rPr>
                <w:sz w:val="20"/>
                <w:szCs w:val="20"/>
                <w:color w:val="auto"/>
              </w:rPr>
            </w:pPr>
            <w:r>
              <w:rPr>
                <w:rFonts w:ascii="Times New Roman" w:cs="Times New Roman" w:eastAsia="Times New Roman" w:hAnsi="Times New Roman"/>
                <w:sz w:val="20"/>
                <w:szCs w:val="20"/>
                <w:color w:val="auto"/>
              </w:rPr>
              <w:t>Item 9B. Other Information</w:t>
            </w:r>
          </w:p>
        </w:tc>
        <w:tc>
          <w:tcPr>
            <w:tcW w:w="8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76</w:t>
            </w:r>
          </w:p>
        </w:tc>
        <w:tc>
          <w:tcPr>
            <w:tcW w:w="0" w:type="dxa"/>
            <w:vAlign w:val="bottom"/>
          </w:tcPr>
          <w:p>
            <w:pPr>
              <w:spacing w:after="0"/>
              <w:rPr>
                <w:sz w:val="1"/>
                <w:szCs w:val="1"/>
                <w:color w:val="auto"/>
              </w:rPr>
            </w:pPr>
          </w:p>
        </w:tc>
      </w:tr>
      <w:tr>
        <w:trPr>
          <w:trHeight w:val="288"/>
        </w:trPr>
        <w:tc>
          <w:tcPr>
            <w:tcW w:w="9200" w:type="dxa"/>
            <w:vAlign w:val="bottom"/>
          </w:tcPr>
          <w:p>
            <w:pPr>
              <w:ind w:left="800"/>
              <w:spacing w:after="0"/>
              <w:rPr>
                <w:sz w:val="20"/>
                <w:szCs w:val="20"/>
                <w:color w:val="auto"/>
              </w:rPr>
            </w:pPr>
            <w:r>
              <w:rPr>
                <w:rFonts w:ascii="Times New Roman" w:cs="Times New Roman" w:eastAsia="Times New Roman" w:hAnsi="Times New Roman"/>
                <w:sz w:val="20"/>
                <w:szCs w:val="20"/>
                <w:color w:val="auto"/>
              </w:rPr>
              <w:t>Item 9C. Disclosure Regarding Foreign Jurisdictions that Prevent Inspections</w:t>
            </w:r>
          </w:p>
        </w:tc>
        <w:tc>
          <w:tcPr>
            <w:tcW w:w="8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76</w:t>
            </w:r>
          </w:p>
        </w:tc>
        <w:tc>
          <w:tcPr>
            <w:tcW w:w="0" w:type="dxa"/>
            <w:vAlign w:val="bottom"/>
          </w:tcPr>
          <w:p>
            <w:pPr>
              <w:spacing w:after="0"/>
              <w:rPr>
                <w:sz w:val="1"/>
                <w:szCs w:val="1"/>
                <w:color w:val="auto"/>
              </w:rPr>
            </w:pPr>
          </w:p>
        </w:tc>
      </w:tr>
      <w:tr>
        <w:trPr>
          <w:trHeight w:val="281"/>
        </w:trPr>
        <w:tc>
          <w:tcPr>
            <w:tcW w:w="9200" w:type="dxa"/>
            <w:vAlign w:val="bottom"/>
          </w:tcPr>
          <w:p>
            <w:pPr>
              <w:spacing w:after="0"/>
              <w:rPr>
                <w:sz w:val="20"/>
                <w:szCs w:val="20"/>
                <w:color w:val="auto"/>
              </w:rPr>
            </w:pPr>
            <w:r>
              <w:rPr>
                <w:rFonts w:ascii="Times New Roman" w:cs="Times New Roman" w:eastAsia="Times New Roman" w:hAnsi="Times New Roman"/>
                <w:sz w:val="20"/>
                <w:szCs w:val="20"/>
                <w:color w:val="auto"/>
              </w:rPr>
              <w:t>Part III</w:t>
            </w:r>
          </w:p>
        </w:tc>
        <w:tc>
          <w:tcPr>
            <w:tcW w:w="8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88"/>
        </w:trPr>
        <w:tc>
          <w:tcPr>
            <w:tcW w:w="9200" w:type="dxa"/>
            <w:vAlign w:val="bottom"/>
          </w:tcPr>
          <w:p>
            <w:pPr>
              <w:ind w:left="800"/>
              <w:spacing w:after="0"/>
              <w:rPr>
                <w:sz w:val="20"/>
                <w:szCs w:val="20"/>
                <w:color w:val="auto"/>
              </w:rPr>
            </w:pPr>
            <w:r>
              <w:rPr>
                <w:rFonts w:ascii="Times New Roman" w:cs="Times New Roman" w:eastAsia="Times New Roman" w:hAnsi="Times New Roman"/>
                <w:sz w:val="20"/>
                <w:szCs w:val="20"/>
                <w:color w:val="auto"/>
              </w:rPr>
              <w:t>Item 10. Directors, Executive Officers and Corporate Governance</w:t>
            </w:r>
          </w:p>
        </w:tc>
        <w:tc>
          <w:tcPr>
            <w:tcW w:w="8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77</w:t>
            </w:r>
          </w:p>
        </w:tc>
        <w:tc>
          <w:tcPr>
            <w:tcW w:w="0" w:type="dxa"/>
            <w:vAlign w:val="bottom"/>
          </w:tcPr>
          <w:p>
            <w:pPr>
              <w:spacing w:after="0"/>
              <w:rPr>
                <w:sz w:val="1"/>
                <w:szCs w:val="1"/>
                <w:color w:val="auto"/>
              </w:rPr>
            </w:pPr>
          </w:p>
        </w:tc>
      </w:tr>
      <w:tr>
        <w:trPr>
          <w:trHeight w:val="281"/>
        </w:trPr>
        <w:tc>
          <w:tcPr>
            <w:tcW w:w="9200" w:type="dxa"/>
            <w:vAlign w:val="bottom"/>
          </w:tcPr>
          <w:p>
            <w:pPr>
              <w:ind w:left="800"/>
              <w:spacing w:after="0"/>
              <w:rPr>
                <w:sz w:val="20"/>
                <w:szCs w:val="20"/>
                <w:color w:val="auto"/>
              </w:rPr>
            </w:pPr>
            <w:r>
              <w:rPr>
                <w:rFonts w:ascii="Times New Roman" w:cs="Times New Roman" w:eastAsia="Times New Roman" w:hAnsi="Times New Roman"/>
                <w:sz w:val="20"/>
                <w:szCs w:val="20"/>
                <w:color w:val="auto"/>
              </w:rPr>
              <w:t>Item 11. Executive Compensation</w:t>
            </w:r>
          </w:p>
        </w:tc>
        <w:tc>
          <w:tcPr>
            <w:tcW w:w="8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86</w:t>
            </w:r>
          </w:p>
        </w:tc>
        <w:tc>
          <w:tcPr>
            <w:tcW w:w="0" w:type="dxa"/>
            <w:vAlign w:val="bottom"/>
          </w:tcPr>
          <w:p>
            <w:pPr>
              <w:spacing w:after="0"/>
              <w:rPr>
                <w:sz w:val="1"/>
                <w:szCs w:val="1"/>
                <w:color w:val="auto"/>
              </w:rPr>
            </w:pPr>
          </w:p>
        </w:tc>
      </w:tr>
      <w:tr>
        <w:trPr>
          <w:trHeight w:val="249"/>
        </w:trPr>
        <w:tc>
          <w:tcPr>
            <w:tcW w:w="9200" w:type="dxa"/>
            <w:vAlign w:val="bottom"/>
          </w:tcPr>
          <w:p>
            <w:pPr>
              <w:ind w:left="800"/>
              <w:spacing w:after="0"/>
              <w:rPr>
                <w:sz w:val="20"/>
                <w:szCs w:val="20"/>
                <w:color w:val="auto"/>
              </w:rPr>
            </w:pPr>
            <w:r>
              <w:rPr>
                <w:rFonts w:ascii="Times New Roman" w:cs="Times New Roman" w:eastAsia="Times New Roman" w:hAnsi="Times New Roman"/>
                <w:sz w:val="20"/>
                <w:szCs w:val="20"/>
                <w:color w:val="auto"/>
              </w:rPr>
              <w:t>Item 12. Security Ownership of Certain Beneficial Owners and Management and Related Stockholder</w:t>
            </w:r>
          </w:p>
        </w:tc>
        <w:tc>
          <w:tcPr>
            <w:tcW w:w="800" w:type="dxa"/>
            <w:vAlign w:val="bottom"/>
            <w:vMerge w:val="restart"/>
          </w:tcPr>
          <w:p>
            <w:pPr>
              <w:jc w:val="right"/>
              <w:spacing w:after="0"/>
              <w:rPr>
                <w:sz w:val="20"/>
                <w:szCs w:val="20"/>
                <w:color w:val="auto"/>
              </w:rPr>
            </w:pPr>
            <w:r>
              <w:rPr>
                <w:rFonts w:ascii="Times New Roman" w:cs="Times New Roman" w:eastAsia="Times New Roman" w:hAnsi="Times New Roman"/>
                <w:sz w:val="20"/>
                <w:szCs w:val="20"/>
                <w:color w:val="auto"/>
              </w:rPr>
              <w:t>99</w:t>
            </w:r>
          </w:p>
        </w:tc>
        <w:tc>
          <w:tcPr>
            <w:tcW w:w="0" w:type="dxa"/>
            <w:vAlign w:val="bottom"/>
          </w:tcPr>
          <w:p>
            <w:pPr>
              <w:spacing w:after="0"/>
              <w:rPr>
                <w:sz w:val="1"/>
                <w:szCs w:val="1"/>
                <w:color w:val="auto"/>
              </w:rPr>
            </w:pPr>
          </w:p>
        </w:tc>
      </w:tr>
      <w:tr>
        <w:trPr>
          <w:trHeight w:val="238"/>
        </w:trPr>
        <w:tc>
          <w:tcPr>
            <w:tcW w:w="9200" w:type="dxa"/>
            <w:vAlign w:val="bottom"/>
          </w:tcPr>
          <w:p>
            <w:pPr>
              <w:ind w:left="800"/>
              <w:spacing w:after="0"/>
              <w:rPr>
                <w:sz w:val="20"/>
                <w:szCs w:val="20"/>
                <w:color w:val="auto"/>
              </w:rPr>
            </w:pPr>
            <w:r>
              <w:rPr>
                <w:rFonts w:ascii="Times New Roman" w:cs="Times New Roman" w:eastAsia="Times New Roman" w:hAnsi="Times New Roman"/>
                <w:sz w:val="20"/>
                <w:szCs w:val="20"/>
                <w:color w:val="auto"/>
              </w:rPr>
              <w:t>Matters</w:t>
            </w:r>
          </w:p>
        </w:tc>
        <w:tc>
          <w:tcPr>
            <w:tcW w:w="800" w:type="dxa"/>
            <w:vAlign w:val="bottom"/>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270"/>
        </w:trPr>
        <w:tc>
          <w:tcPr>
            <w:tcW w:w="9200" w:type="dxa"/>
            <w:vAlign w:val="bottom"/>
          </w:tcPr>
          <w:p>
            <w:pPr>
              <w:ind w:left="800"/>
              <w:spacing w:after="0"/>
              <w:rPr>
                <w:sz w:val="20"/>
                <w:szCs w:val="20"/>
                <w:color w:val="auto"/>
              </w:rPr>
            </w:pPr>
            <w:r>
              <w:rPr>
                <w:rFonts w:ascii="Times New Roman" w:cs="Times New Roman" w:eastAsia="Times New Roman" w:hAnsi="Times New Roman"/>
                <w:sz w:val="20"/>
                <w:szCs w:val="20"/>
                <w:color w:val="auto"/>
              </w:rPr>
              <w:t>Item 13. Certain Relationships and Related Transactions and Director Independence</w:t>
            </w:r>
          </w:p>
        </w:tc>
        <w:tc>
          <w:tcPr>
            <w:tcW w:w="8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101</w:t>
            </w:r>
          </w:p>
        </w:tc>
        <w:tc>
          <w:tcPr>
            <w:tcW w:w="0" w:type="dxa"/>
            <w:vAlign w:val="bottom"/>
          </w:tcPr>
          <w:p>
            <w:pPr>
              <w:spacing w:after="0"/>
              <w:rPr>
                <w:sz w:val="1"/>
                <w:szCs w:val="1"/>
                <w:color w:val="auto"/>
              </w:rPr>
            </w:pPr>
          </w:p>
        </w:tc>
      </w:tr>
      <w:tr>
        <w:trPr>
          <w:trHeight w:val="281"/>
        </w:trPr>
        <w:tc>
          <w:tcPr>
            <w:tcW w:w="9200" w:type="dxa"/>
            <w:vAlign w:val="bottom"/>
          </w:tcPr>
          <w:p>
            <w:pPr>
              <w:ind w:left="800"/>
              <w:spacing w:after="0"/>
              <w:rPr>
                <w:sz w:val="20"/>
                <w:szCs w:val="20"/>
                <w:color w:val="auto"/>
              </w:rPr>
            </w:pPr>
            <w:r>
              <w:rPr>
                <w:rFonts w:ascii="Times New Roman" w:cs="Times New Roman" w:eastAsia="Times New Roman" w:hAnsi="Times New Roman"/>
                <w:sz w:val="20"/>
                <w:szCs w:val="20"/>
                <w:color w:val="auto"/>
              </w:rPr>
              <w:t>Item 14. Principal Accounting Fees and Services</w:t>
            </w:r>
          </w:p>
        </w:tc>
        <w:tc>
          <w:tcPr>
            <w:tcW w:w="8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106</w:t>
            </w:r>
          </w:p>
        </w:tc>
        <w:tc>
          <w:tcPr>
            <w:tcW w:w="0" w:type="dxa"/>
            <w:vAlign w:val="bottom"/>
          </w:tcPr>
          <w:p>
            <w:pPr>
              <w:spacing w:after="0"/>
              <w:rPr>
                <w:sz w:val="1"/>
                <w:szCs w:val="1"/>
                <w:color w:val="auto"/>
              </w:rPr>
            </w:pPr>
          </w:p>
        </w:tc>
      </w:tr>
      <w:tr>
        <w:trPr>
          <w:trHeight w:val="288"/>
        </w:trPr>
        <w:tc>
          <w:tcPr>
            <w:tcW w:w="9200" w:type="dxa"/>
            <w:vAlign w:val="bottom"/>
          </w:tcPr>
          <w:p>
            <w:pPr>
              <w:spacing w:after="0"/>
              <w:rPr>
                <w:sz w:val="20"/>
                <w:szCs w:val="20"/>
                <w:color w:val="auto"/>
              </w:rPr>
            </w:pPr>
            <w:r>
              <w:rPr>
                <w:rFonts w:ascii="Times New Roman" w:cs="Times New Roman" w:eastAsia="Times New Roman" w:hAnsi="Times New Roman"/>
                <w:sz w:val="20"/>
                <w:szCs w:val="20"/>
                <w:color w:val="auto"/>
              </w:rPr>
              <w:t>Part IV</w:t>
            </w:r>
          </w:p>
        </w:tc>
        <w:tc>
          <w:tcPr>
            <w:tcW w:w="8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81"/>
        </w:trPr>
        <w:tc>
          <w:tcPr>
            <w:tcW w:w="9200" w:type="dxa"/>
            <w:vAlign w:val="bottom"/>
          </w:tcPr>
          <w:p>
            <w:pPr>
              <w:ind w:left="800"/>
              <w:spacing w:after="0"/>
              <w:rPr>
                <w:sz w:val="20"/>
                <w:szCs w:val="20"/>
                <w:color w:val="auto"/>
              </w:rPr>
            </w:pPr>
            <w:r>
              <w:rPr>
                <w:rFonts w:ascii="Times New Roman" w:cs="Times New Roman" w:eastAsia="Times New Roman" w:hAnsi="Times New Roman"/>
                <w:sz w:val="20"/>
                <w:szCs w:val="20"/>
                <w:color w:val="auto"/>
              </w:rPr>
              <w:t>Item 15. Exhibits and Financial Statement Schedules</w:t>
            </w:r>
          </w:p>
        </w:tc>
        <w:tc>
          <w:tcPr>
            <w:tcW w:w="8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107</w:t>
            </w:r>
          </w:p>
        </w:tc>
        <w:tc>
          <w:tcPr>
            <w:tcW w:w="0" w:type="dxa"/>
            <w:vAlign w:val="bottom"/>
          </w:tcPr>
          <w:p>
            <w:pPr>
              <w:spacing w:after="0"/>
              <w:rPr>
                <w:sz w:val="1"/>
                <w:szCs w:val="1"/>
                <w:color w:val="auto"/>
              </w:rPr>
            </w:pPr>
          </w:p>
        </w:tc>
      </w:tr>
      <w:tr>
        <w:trPr>
          <w:trHeight w:val="288"/>
        </w:trPr>
        <w:tc>
          <w:tcPr>
            <w:tcW w:w="9200" w:type="dxa"/>
            <w:vAlign w:val="bottom"/>
          </w:tcPr>
          <w:p>
            <w:pPr>
              <w:ind w:left="800"/>
              <w:spacing w:after="0"/>
              <w:rPr>
                <w:sz w:val="20"/>
                <w:szCs w:val="20"/>
                <w:color w:val="auto"/>
              </w:rPr>
            </w:pPr>
            <w:r>
              <w:rPr>
                <w:rFonts w:ascii="Times New Roman" w:cs="Times New Roman" w:eastAsia="Times New Roman" w:hAnsi="Times New Roman"/>
                <w:sz w:val="20"/>
                <w:szCs w:val="20"/>
                <w:color w:val="auto"/>
              </w:rPr>
              <w:t>Item 16. Form 10–K Summary</w:t>
            </w:r>
          </w:p>
        </w:tc>
        <w:tc>
          <w:tcPr>
            <w:tcW w:w="8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109</w:t>
            </w:r>
          </w:p>
        </w:tc>
        <w:tc>
          <w:tcPr>
            <w:tcW w:w="0" w:type="dxa"/>
            <w:vAlign w:val="bottom"/>
          </w:tcPr>
          <w:p>
            <w:pPr>
              <w:spacing w:after="0"/>
              <w:rPr>
                <w:sz w:val="1"/>
                <w:szCs w:val="1"/>
                <w:color w:val="auto"/>
              </w:rPr>
            </w:pPr>
          </w:p>
        </w:tc>
      </w:tr>
      <w:tr>
        <w:trPr>
          <w:trHeight w:val="281"/>
        </w:trPr>
        <w:tc>
          <w:tcPr>
            <w:tcW w:w="9200" w:type="dxa"/>
            <w:vAlign w:val="bottom"/>
          </w:tcPr>
          <w:p>
            <w:pPr>
              <w:spacing w:after="0"/>
              <w:rPr>
                <w:sz w:val="20"/>
                <w:szCs w:val="20"/>
                <w:color w:val="auto"/>
              </w:rPr>
            </w:pPr>
            <w:r>
              <w:rPr>
                <w:rFonts w:ascii="Times New Roman" w:cs="Times New Roman" w:eastAsia="Times New Roman" w:hAnsi="Times New Roman"/>
                <w:sz w:val="20"/>
                <w:szCs w:val="20"/>
                <w:color w:val="auto"/>
              </w:rPr>
              <w:t>Signatures</w:t>
            </w:r>
          </w:p>
        </w:tc>
        <w:tc>
          <w:tcPr>
            <w:tcW w:w="8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110</w:t>
            </w:r>
          </w:p>
        </w:tc>
        <w:tc>
          <w:tcPr>
            <w:tcW w:w="0" w:type="dxa"/>
            <w:vAlign w:val="bottom"/>
          </w:tcPr>
          <w:p>
            <w:pPr>
              <w:spacing w:after="0"/>
              <w:rPr>
                <w:sz w:val="1"/>
                <w:szCs w:val="1"/>
                <w:color w:val="auto"/>
              </w:rPr>
            </w:pPr>
          </w:p>
        </w:tc>
      </w:tr>
    </w:tbl>
    <w:p>
      <w:pPr>
        <w:sectPr>
          <w:pgSz w:w="12240" w:h="15840" w:orient="portrait"/>
          <w:cols w:equalWidth="0" w:num="1">
            <w:col w:w="10000"/>
          </w:cols>
          <w:pgMar w:left="1040" w:top="882" w:right="1200" w:bottom="1440" w:gutter="0" w:footer="0" w:header="0"/>
        </w:sectPr>
      </w:pPr>
    </w:p>
    <w:bookmarkStart w:id="3" w:name="page4"/>
    <w:bookmarkEnd w:id="3"/>
    <w:p>
      <w:pPr>
        <w:jc w:val="center"/>
        <w:spacing w:after="0"/>
        <w:rPr>
          <w:sz w:val="20"/>
          <w:szCs w:val="20"/>
          <w:color w:val="auto"/>
        </w:rPr>
      </w:pPr>
      <w:r>
        <w:rPr>
          <w:rFonts w:ascii="Times New Roman" w:cs="Times New Roman" w:eastAsia="Times New Roman" w:hAnsi="Times New Roman"/>
          <w:sz w:val="20"/>
          <w:szCs w:val="20"/>
          <w:b w:val="1"/>
          <w:bCs w:val="1"/>
          <w:color w:val="auto"/>
        </w:rPr>
        <w:t>EXPLANATORY NOTE</w:t>
      </w:r>
    </w:p>
    <w:p>
      <w:pPr>
        <w:spacing w:after="0" w:line="48"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Restatement Background</w:t>
      </w:r>
    </w:p>
    <w:p>
      <w:pPr>
        <w:spacing w:after="0" w:line="150" w:lineRule="exact"/>
        <w:rPr>
          <w:sz w:val="20"/>
          <w:szCs w:val="20"/>
          <w:color w:val="auto"/>
        </w:rPr>
      </w:pPr>
    </w:p>
    <w:p>
      <w:pPr>
        <w:jc w:val="both"/>
        <w:spacing w:after="0" w:line="292" w:lineRule="auto"/>
        <w:rPr>
          <w:sz w:val="20"/>
          <w:szCs w:val="20"/>
          <w:color w:val="auto"/>
        </w:rPr>
      </w:pPr>
      <w:r>
        <w:rPr>
          <w:rFonts w:ascii="Times New Roman" w:cs="Times New Roman" w:eastAsia="Times New Roman" w:hAnsi="Times New Roman"/>
          <w:sz w:val="20"/>
          <w:szCs w:val="20"/>
          <w:color w:val="auto"/>
        </w:rPr>
        <w:t>As described in the Current Report on Form 8-K filed with the Securities and Exchange Commission (“SEC”), on May 24, 2024, WM Technology, Inc. (the “Company”, “we” or “us”) discovered that in 2023, it had an inadequate policy associated with its revenue recognition related to the cash collection of a certain subset of its customers that had been placed on a cash basis. The Company determined that it improperly recognized revenue related to satisfied performance obligations and should have instead recognized a credit loss recovery related to these cash receipts. As a result of these errors, management and the audit committee of our board of directors (“Audit Committee”) concluded that our previously issued unaudited condensed consolidated financial statements as of and for the three months ended March 31, 2023, six months ended June 30, 2023 and nine months ended September 30, 2023 were materially misstated. Accordingly, our unaudited condensed consolidated financial statements for the foregoing periods require restatement and should no longer be relied upon.</w:t>
      </w:r>
    </w:p>
    <w:p>
      <w:pPr>
        <w:spacing w:after="0" w:line="81" w:lineRule="exact"/>
        <w:rPr>
          <w:sz w:val="20"/>
          <w:szCs w:val="20"/>
          <w:color w:val="auto"/>
        </w:rPr>
      </w:pPr>
    </w:p>
    <w:p>
      <w:pPr>
        <w:jc w:val="both"/>
        <w:spacing w:after="0" w:line="309" w:lineRule="auto"/>
        <w:rPr>
          <w:sz w:val="20"/>
          <w:szCs w:val="20"/>
          <w:color w:val="auto"/>
        </w:rPr>
      </w:pPr>
      <w:r>
        <w:rPr>
          <w:rFonts w:ascii="Times New Roman" w:cs="Times New Roman" w:eastAsia="Times New Roman" w:hAnsi="Times New Roman"/>
          <w:sz w:val="19"/>
          <w:szCs w:val="19"/>
          <w:color w:val="auto"/>
        </w:rPr>
        <w:t>Note 2, “Summary of Significant Accounting Policies” to the consolidated financial statements included in Part II, Item 8 of this Annual Report on Form 10-K provides restated unaudited financial information as of and for the three months ended March 31, 2023, six months ended June 30, 2023 and nine months ended September 30, 2023, including the impact on the specific accounts. The financial information included in Note 2 supersedes the financial information that has been previously filed or otherwise reported as of and for the three months ended March 31, 2023, six months ended June 30, 2023 and nine months ended September 30, 2023 in our Quarterly Reports on Form 10-Q filed with the SEC on May 9, 2023, August 9, 2023 and November 8, 2023, respectively. We have not filed, and do not intend to file, amendments to the previously filed Quarterly Reports on Form 10-Q. We will effect the restatements to our 2023 unaudited condensed consolidated quarterly financial statements in our future filings of Quarterly Reports on Form 10-Q in 2024. Accordingly, investors should rely only on the financial information and other disclosures regarding the restated periods in this Annual Report on Form 10-K or in future filings with the SEC (as applicable), and not on any previously issued or filed reports, earnings releases or similar communications relating to these periods.</w:t>
      </w:r>
    </w:p>
    <w:p>
      <w:pPr>
        <w:spacing w:after="0" w:line="65"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Internal Control Considerations</w:t>
      </w:r>
    </w:p>
    <w:p>
      <w:pPr>
        <w:spacing w:after="0" w:line="168" w:lineRule="exact"/>
        <w:rPr>
          <w:sz w:val="20"/>
          <w:szCs w:val="20"/>
          <w:color w:val="auto"/>
        </w:rPr>
      </w:pPr>
    </w:p>
    <w:p>
      <w:pPr>
        <w:jc w:val="both"/>
        <w:spacing w:after="0" w:line="313" w:lineRule="auto"/>
        <w:rPr>
          <w:sz w:val="20"/>
          <w:szCs w:val="20"/>
          <w:color w:val="auto"/>
        </w:rPr>
      </w:pPr>
      <w:r>
        <w:rPr>
          <w:rFonts w:ascii="Times New Roman" w:cs="Times New Roman" w:eastAsia="Times New Roman" w:hAnsi="Times New Roman"/>
          <w:sz w:val="19"/>
          <w:szCs w:val="19"/>
          <w:color w:val="auto"/>
        </w:rPr>
        <w:t>In the course of preparing the Company’s annual financial statements for 2023, management determined that the material weakness related to the design and maintenance of effective process-level controls related to the order-to-cash cycle resulted in the misapplication of the Company’s revenue recognition policies related to the cash collection of a certain subset of its customers that had been placed on a cash basis and, in turn, the restatement of our unaudited condensed consolidated financial statements as of and for the three months ended March 31, 2023, six months ended June 30, 2023 and nine months ended September 30, 2023</w:t>
      </w:r>
      <w:r>
        <w:rPr>
          <w:rFonts w:ascii="Times New Roman" w:cs="Times New Roman" w:eastAsia="Times New Roman" w:hAnsi="Times New Roman"/>
          <w:sz w:val="22"/>
          <w:szCs w:val="22"/>
          <w:color w:val="auto"/>
        </w:rPr>
        <w:t>.</w:t>
      </w:r>
      <w:r>
        <w:rPr>
          <w:rFonts w:ascii="Times New Roman" w:cs="Times New Roman" w:eastAsia="Times New Roman" w:hAnsi="Times New Roman"/>
          <w:sz w:val="19"/>
          <w:szCs w:val="19"/>
          <w:color w:val="auto"/>
        </w:rPr>
        <w:t xml:space="preserve"> For a discussion of management’s considerations of our disclosure controls and procedures, internal control over financial reporting, and material weaknesses identified, refer to Part II, Item 9A included elsewhere in this Annual Report on Form 10-K.</w:t>
      </w:r>
    </w:p>
    <w:p>
      <w:pPr>
        <w:sectPr>
          <w:pgSz w:w="12240" w:h="15840" w:orient="portrait"/>
          <w:cols w:equalWidth="0" w:num="1">
            <w:col w:w="10260"/>
          </w:cols>
          <w:pgMar w:left="1000" w:top="1278" w:right="980" w:bottom="1440" w:gutter="0" w:footer="0" w:header="0"/>
        </w:sectPr>
      </w:pPr>
    </w:p>
    <w:bookmarkStart w:id="4" w:name="page5"/>
    <w:bookmarkEnd w:id="4"/>
    <w:p>
      <w:pPr>
        <w:jc w:val="center"/>
        <w:spacing w:after="0"/>
        <w:rPr>
          <w:sz w:val="20"/>
          <w:szCs w:val="20"/>
          <w:color w:val="auto"/>
        </w:rPr>
      </w:pPr>
      <w:r>
        <w:rPr>
          <w:rFonts w:ascii="Times New Roman" w:cs="Times New Roman" w:eastAsia="Times New Roman" w:hAnsi="Times New Roman"/>
          <w:sz w:val="20"/>
          <w:szCs w:val="20"/>
          <w:b w:val="1"/>
          <w:bCs w:val="1"/>
          <w:color w:val="auto"/>
        </w:rPr>
        <w:t>CAUTIONARY NOTE REGARDING FORWARD-LOOKING STATEMENTS</w:t>
      </w:r>
    </w:p>
    <w:p>
      <w:pPr>
        <w:spacing w:after="0" w:line="154" w:lineRule="exact"/>
        <w:rPr>
          <w:sz w:val="20"/>
          <w:szCs w:val="20"/>
          <w:color w:val="auto"/>
        </w:rPr>
      </w:pPr>
    </w:p>
    <w:p>
      <w:pPr>
        <w:jc w:val="both"/>
        <w:spacing w:after="0" w:line="292" w:lineRule="auto"/>
        <w:rPr>
          <w:sz w:val="20"/>
          <w:szCs w:val="20"/>
          <w:color w:val="auto"/>
        </w:rPr>
      </w:pPr>
      <w:r>
        <w:rPr>
          <w:rFonts w:ascii="Times New Roman" w:cs="Times New Roman" w:eastAsia="Times New Roman" w:hAnsi="Times New Roman"/>
          <w:sz w:val="20"/>
          <w:szCs w:val="20"/>
          <w:color w:val="auto"/>
        </w:rPr>
        <w:t>This Annual Report on Form 10-K contains forward-looking statements within the meaning of Section 27A of the Securities Act of 1933, as amended, (the “Securities Act”), and Section 21E of the Securities Exchange Act of 1934, as amended (the “Exchange Act”), about us and our industry that involve substantial risks and uncertainties. All statements other than statements of historical facts contained in this report, including statements regarding our future results of operations and financial condition, business strategy and plans and objectives of management for future operations, are forward-looking statements. In some cases, forward-looking statements may be identified by words such as “anticipate,” “believe,” “continue,” “could,” “design,” “estimate,” “expect,” “intend,” “may,” “plan,” “potentially,” “predict,” “project,” “should,” “will,” “would,” or the negative of these terms or other similar expressions. These forward-looking statements include, but are not limited to, statements concerning the following:</w:t>
      </w:r>
    </w:p>
    <w:p>
      <w:pPr>
        <w:spacing w:after="0" w:line="81" w:lineRule="exact"/>
        <w:rPr>
          <w:sz w:val="20"/>
          <w:szCs w:val="20"/>
          <w:color w:val="auto"/>
        </w:rPr>
      </w:pPr>
    </w:p>
    <w:p>
      <w:pPr>
        <w:ind w:left="720" w:hanging="366"/>
        <w:spacing w:after="0"/>
        <w:tabs>
          <w:tab w:leader="none" w:pos="720" w:val="left"/>
        </w:tabs>
        <w:numPr>
          <w:ilvl w:val="0"/>
          <w:numId w:val="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our financial and business performance, including key business metrics and any underlying assumptions thereunder;</w:t>
      </w:r>
    </w:p>
    <w:p>
      <w:pPr>
        <w:spacing w:after="0" w:line="108" w:lineRule="exact"/>
        <w:rPr>
          <w:rFonts w:ascii="Times New Roman" w:cs="Times New Roman" w:eastAsia="Times New Roman" w:hAnsi="Times New Roman"/>
          <w:sz w:val="20"/>
          <w:szCs w:val="20"/>
          <w:color w:val="auto"/>
        </w:rPr>
      </w:pPr>
    </w:p>
    <w:p>
      <w:pPr>
        <w:ind w:left="720" w:hanging="366"/>
        <w:spacing w:after="0"/>
        <w:tabs>
          <w:tab w:leader="none" w:pos="720" w:val="left"/>
        </w:tabs>
        <w:numPr>
          <w:ilvl w:val="0"/>
          <w:numId w:val="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our market opportunity and our ability to acquire new clients and retain existing clients;</w:t>
      </w:r>
    </w:p>
    <w:p>
      <w:pPr>
        <w:spacing w:after="0" w:line="108" w:lineRule="exact"/>
        <w:rPr>
          <w:rFonts w:ascii="Times New Roman" w:cs="Times New Roman" w:eastAsia="Times New Roman" w:hAnsi="Times New Roman"/>
          <w:sz w:val="20"/>
          <w:szCs w:val="20"/>
          <w:color w:val="auto"/>
        </w:rPr>
      </w:pPr>
    </w:p>
    <w:p>
      <w:pPr>
        <w:ind w:left="720" w:hanging="366"/>
        <w:spacing w:after="0"/>
        <w:tabs>
          <w:tab w:leader="none" w:pos="720" w:val="left"/>
        </w:tabs>
        <w:numPr>
          <w:ilvl w:val="0"/>
          <w:numId w:val="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our expectations and timing related to commercial product launches;</w:t>
      </w:r>
    </w:p>
    <w:p>
      <w:pPr>
        <w:spacing w:after="0" w:line="101" w:lineRule="exact"/>
        <w:rPr>
          <w:rFonts w:ascii="Times New Roman" w:cs="Times New Roman" w:eastAsia="Times New Roman" w:hAnsi="Times New Roman"/>
          <w:sz w:val="20"/>
          <w:szCs w:val="20"/>
          <w:color w:val="auto"/>
        </w:rPr>
      </w:pPr>
    </w:p>
    <w:p>
      <w:pPr>
        <w:ind w:left="720" w:hanging="366"/>
        <w:spacing w:after="0"/>
        <w:tabs>
          <w:tab w:leader="none" w:pos="720" w:val="left"/>
        </w:tabs>
        <w:numPr>
          <w:ilvl w:val="0"/>
          <w:numId w:val="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success of our go-to-market strategy;</w:t>
      </w:r>
    </w:p>
    <w:p>
      <w:pPr>
        <w:spacing w:after="0" w:line="108" w:lineRule="exact"/>
        <w:rPr>
          <w:rFonts w:ascii="Times New Roman" w:cs="Times New Roman" w:eastAsia="Times New Roman" w:hAnsi="Times New Roman"/>
          <w:sz w:val="20"/>
          <w:szCs w:val="20"/>
          <w:color w:val="auto"/>
        </w:rPr>
      </w:pPr>
    </w:p>
    <w:p>
      <w:pPr>
        <w:ind w:left="720" w:hanging="366"/>
        <w:spacing w:after="0"/>
        <w:tabs>
          <w:tab w:leader="none" w:pos="720" w:val="left"/>
        </w:tabs>
        <w:numPr>
          <w:ilvl w:val="0"/>
          <w:numId w:val="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our ability to scale our business and expand our offerings;</w:t>
      </w:r>
    </w:p>
    <w:p>
      <w:pPr>
        <w:spacing w:after="0" w:line="108" w:lineRule="exact"/>
        <w:rPr>
          <w:rFonts w:ascii="Times New Roman" w:cs="Times New Roman" w:eastAsia="Times New Roman" w:hAnsi="Times New Roman"/>
          <w:sz w:val="20"/>
          <w:szCs w:val="20"/>
          <w:color w:val="auto"/>
        </w:rPr>
      </w:pPr>
    </w:p>
    <w:p>
      <w:pPr>
        <w:ind w:left="720" w:hanging="366"/>
        <w:spacing w:after="0"/>
        <w:tabs>
          <w:tab w:leader="none" w:pos="720" w:val="left"/>
        </w:tabs>
        <w:numPr>
          <w:ilvl w:val="0"/>
          <w:numId w:val="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our competitive advantages and growth strategies;</w:t>
      </w:r>
    </w:p>
    <w:p>
      <w:pPr>
        <w:spacing w:after="0" w:line="101" w:lineRule="exact"/>
        <w:rPr>
          <w:rFonts w:ascii="Times New Roman" w:cs="Times New Roman" w:eastAsia="Times New Roman" w:hAnsi="Times New Roman"/>
          <w:sz w:val="20"/>
          <w:szCs w:val="20"/>
          <w:color w:val="auto"/>
        </w:rPr>
      </w:pPr>
    </w:p>
    <w:p>
      <w:pPr>
        <w:ind w:left="720" w:hanging="366"/>
        <w:spacing w:after="0"/>
        <w:tabs>
          <w:tab w:leader="none" w:pos="720" w:val="left"/>
        </w:tabs>
        <w:numPr>
          <w:ilvl w:val="0"/>
          <w:numId w:val="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our future capital requirements and sources and uses of cash;</w:t>
      </w:r>
    </w:p>
    <w:p>
      <w:pPr>
        <w:spacing w:after="0" w:line="108" w:lineRule="exact"/>
        <w:rPr>
          <w:rFonts w:ascii="Times New Roman" w:cs="Times New Roman" w:eastAsia="Times New Roman" w:hAnsi="Times New Roman"/>
          <w:sz w:val="20"/>
          <w:szCs w:val="20"/>
          <w:color w:val="auto"/>
        </w:rPr>
      </w:pPr>
    </w:p>
    <w:p>
      <w:pPr>
        <w:ind w:left="720" w:hanging="366"/>
        <w:spacing w:after="0"/>
        <w:tabs>
          <w:tab w:leader="none" w:pos="720" w:val="left"/>
        </w:tabs>
        <w:numPr>
          <w:ilvl w:val="0"/>
          <w:numId w:val="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our ability to obtain funding for our future operations;</w:t>
      </w:r>
    </w:p>
    <w:p>
      <w:pPr>
        <w:spacing w:after="0" w:line="108" w:lineRule="exact"/>
        <w:rPr>
          <w:rFonts w:ascii="Times New Roman" w:cs="Times New Roman" w:eastAsia="Times New Roman" w:hAnsi="Times New Roman"/>
          <w:sz w:val="20"/>
          <w:szCs w:val="20"/>
          <w:color w:val="auto"/>
        </w:rPr>
      </w:pPr>
    </w:p>
    <w:p>
      <w:pPr>
        <w:ind w:left="720" w:right="20" w:hanging="366"/>
        <w:spacing w:after="0" w:line="299" w:lineRule="auto"/>
        <w:tabs>
          <w:tab w:leader="none" w:pos="720" w:val="left"/>
        </w:tabs>
        <w:numPr>
          <w:ilvl w:val="0"/>
          <w:numId w:val="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impact of material weaknesses in our internal controls and our ability to remediate any such material weakness on the timing we anticipate, or at all;</w:t>
      </w:r>
    </w:p>
    <w:p>
      <w:pPr>
        <w:spacing w:after="0" w:line="38" w:lineRule="exact"/>
        <w:rPr>
          <w:rFonts w:ascii="Times New Roman" w:cs="Times New Roman" w:eastAsia="Times New Roman" w:hAnsi="Times New Roman"/>
          <w:sz w:val="20"/>
          <w:szCs w:val="20"/>
          <w:color w:val="auto"/>
        </w:rPr>
      </w:pPr>
    </w:p>
    <w:p>
      <w:pPr>
        <w:ind w:left="720" w:right="20" w:hanging="366"/>
        <w:spacing w:after="0" w:line="263" w:lineRule="auto"/>
        <w:tabs>
          <w:tab w:leader="none" w:pos="720" w:val="left"/>
        </w:tabs>
        <w:numPr>
          <w:ilvl w:val="0"/>
          <w:numId w:val="4"/>
        </w:numPr>
        <w:rPr>
          <w:rFonts w:ascii="Arial" w:cs="Arial" w:eastAsia="Arial" w:hAnsi="Arial"/>
          <w:sz w:val="24"/>
          <w:szCs w:val="24"/>
          <w:color w:val="auto"/>
        </w:rPr>
      </w:pPr>
      <w:r>
        <w:rPr>
          <w:rFonts w:ascii="Times New Roman" w:cs="Times New Roman" w:eastAsia="Times New Roman" w:hAnsi="Times New Roman"/>
          <w:sz w:val="20"/>
          <w:szCs w:val="20"/>
          <w:color w:val="auto"/>
        </w:rPr>
        <w:t>the impact of the restatement on our reputation and investor confidence in us and the increased possibility of legal proceedings and regulatory inquiries;</w:t>
      </w:r>
    </w:p>
    <w:p>
      <w:pPr>
        <w:spacing w:after="0" w:line="21" w:lineRule="exact"/>
        <w:rPr>
          <w:rFonts w:ascii="Arial" w:cs="Arial" w:eastAsia="Arial" w:hAnsi="Arial"/>
          <w:sz w:val="24"/>
          <w:szCs w:val="24"/>
          <w:color w:val="auto"/>
        </w:rPr>
      </w:pPr>
    </w:p>
    <w:p>
      <w:pPr>
        <w:ind w:left="720" w:hanging="366"/>
        <w:spacing w:after="0"/>
        <w:tabs>
          <w:tab w:leader="none" w:pos="720" w:val="left"/>
        </w:tabs>
        <w:numPr>
          <w:ilvl w:val="0"/>
          <w:numId w:val="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outcome of any known and unknown litigation and regulatory proceedings;</w:t>
      </w:r>
    </w:p>
    <w:p>
      <w:pPr>
        <w:spacing w:after="0" w:line="108" w:lineRule="exact"/>
        <w:rPr>
          <w:rFonts w:ascii="Times New Roman" w:cs="Times New Roman" w:eastAsia="Times New Roman" w:hAnsi="Times New Roman"/>
          <w:sz w:val="20"/>
          <w:szCs w:val="20"/>
          <w:color w:val="auto"/>
        </w:rPr>
      </w:pPr>
    </w:p>
    <w:p>
      <w:pPr>
        <w:ind w:left="720" w:hanging="366"/>
        <w:spacing w:after="0"/>
        <w:tabs>
          <w:tab w:leader="none" w:pos="720" w:val="left"/>
        </w:tabs>
        <w:numPr>
          <w:ilvl w:val="0"/>
          <w:numId w:val="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changes in domestic and foreign business, market, financial, political and legal conditions;</w:t>
      </w:r>
    </w:p>
    <w:p>
      <w:pPr>
        <w:spacing w:after="0" w:line="144" w:lineRule="exact"/>
        <w:rPr>
          <w:rFonts w:ascii="Times New Roman" w:cs="Times New Roman" w:eastAsia="Times New Roman" w:hAnsi="Times New Roman"/>
          <w:sz w:val="20"/>
          <w:szCs w:val="20"/>
          <w:color w:val="auto"/>
        </w:rPr>
      </w:pPr>
    </w:p>
    <w:p>
      <w:pPr>
        <w:jc w:val="both"/>
        <w:ind w:left="720" w:hanging="366"/>
        <w:spacing w:after="0" w:line="282" w:lineRule="auto"/>
        <w:tabs>
          <w:tab w:leader="none" w:pos="720" w:val="left"/>
        </w:tabs>
        <w:numPr>
          <w:ilvl w:val="0"/>
          <w:numId w:val="4"/>
        </w:numPr>
        <w:rPr>
          <w:rFonts w:ascii="Arial" w:cs="Arial" w:eastAsia="Arial" w:hAnsi="Arial"/>
          <w:sz w:val="24"/>
          <w:szCs w:val="24"/>
          <w:color w:val="auto"/>
        </w:rPr>
      </w:pPr>
      <w:r>
        <w:rPr>
          <w:rFonts w:ascii="Times New Roman" w:cs="Times New Roman" w:eastAsia="Times New Roman" w:hAnsi="Times New Roman"/>
          <w:sz w:val="20"/>
          <w:szCs w:val="20"/>
          <w:color w:val="auto"/>
        </w:rPr>
        <w:t>the effect of macroeconomic conditions, including but not limited to inflation, uncertain credit and global financial markets, recent and potential future disruptions in access to bank deposits or lending commitments due to bank failures; geopolitical events, including the military conflicts between Russia and Ukraine and Israel and Hamas; and the occurrence of a catastrophic event, including but not limited to severe weather, war, or terrorist attack;</w:t>
      </w:r>
    </w:p>
    <w:p>
      <w:pPr>
        <w:spacing w:after="0" w:line="24" w:lineRule="exact"/>
        <w:rPr>
          <w:rFonts w:ascii="Arial" w:cs="Arial" w:eastAsia="Arial" w:hAnsi="Arial"/>
          <w:sz w:val="24"/>
          <w:szCs w:val="24"/>
          <w:color w:val="auto"/>
        </w:rPr>
      </w:pPr>
    </w:p>
    <w:p>
      <w:pPr>
        <w:ind w:left="720" w:hanging="366"/>
        <w:spacing w:after="0"/>
        <w:tabs>
          <w:tab w:leader="none" w:pos="720" w:val="left"/>
        </w:tabs>
        <w:numPr>
          <w:ilvl w:val="0"/>
          <w:numId w:val="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future global, regional or local economic and market conditions affecting the cannabis industry;</w:t>
      </w:r>
    </w:p>
    <w:p>
      <w:pPr>
        <w:spacing w:after="0" w:line="108" w:lineRule="exact"/>
        <w:rPr>
          <w:rFonts w:ascii="Times New Roman" w:cs="Times New Roman" w:eastAsia="Times New Roman" w:hAnsi="Times New Roman"/>
          <w:sz w:val="20"/>
          <w:szCs w:val="20"/>
          <w:color w:val="auto"/>
        </w:rPr>
      </w:pPr>
    </w:p>
    <w:p>
      <w:pPr>
        <w:ind w:left="720" w:right="20" w:hanging="366"/>
        <w:spacing w:after="0" w:line="319" w:lineRule="auto"/>
        <w:tabs>
          <w:tab w:leader="none" w:pos="720" w:val="left"/>
        </w:tabs>
        <w:numPr>
          <w:ilvl w:val="0"/>
          <w:numId w:val="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development, effects and enforcement of and changes to laws and regulations, including with respect to the cannabis industry;</w:t>
      </w:r>
    </w:p>
    <w:p>
      <w:pPr>
        <w:ind w:left="720" w:hanging="366"/>
        <w:spacing w:after="0" w:line="319" w:lineRule="auto"/>
        <w:tabs>
          <w:tab w:leader="none" w:pos="720" w:val="left"/>
        </w:tabs>
        <w:numPr>
          <w:ilvl w:val="0"/>
          <w:numId w:val="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our ability to successfully capitalize on new and existing cannabis markets, including our ability to successfully monetize our solutions in those markets;</w:t>
      </w:r>
    </w:p>
    <w:p>
      <w:pPr>
        <w:ind w:left="720" w:hanging="366"/>
        <w:spacing w:after="0"/>
        <w:tabs>
          <w:tab w:leader="none" w:pos="720" w:val="left"/>
        </w:tabs>
        <w:numPr>
          <w:ilvl w:val="0"/>
          <w:numId w:val="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our ability to manage future growth;</w:t>
      </w:r>
    </w:p>
    <w:p>
      <w:pPr>
        <w:spacing w:after="0" w:line="108" w:lineRule="exact"/>
        <w:rPr>
          <w:rFonts w:ascii="Times New Roman" w:cs="Times New Roman" w:eastAsia="Times New Roman" w:hAnsi="Times New Roman"/>
          <w:sz w:val="20"/>
          <w:szCs w:val="20"/>
          <w:color w:val="auto"/>
        </w:rPr>
      </w:pPr>
    </w:p>
    <w:p>
      <w:pPr>
        <w:ind w:left="720" w:hanging="366"/>
        <w:spacing w:after="0"/>
        <w:tabs>
          <w:tab w:leader="none" w:pos="720" w:val="left"/>
        </w:tabs>
        <w:numPr>
          <w:ilvl w:val="0"/>
          <w:numId w:val="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our ability to effectively anticipate and address changes in the end-user market in the cannabis industry;</w:t>
      </w:r>
    </w:p>
    <w:p>
      <w:pPr>
        <w:spacing w:after="0" w:line="101" w:lineRule="exact"/>
        <w:rPr>
          <w:rFonts w:ascii="Times New Roman" w:cs="Times New Roman" w:eastAsia="Times New Roman" w:hAnsi="Times New Roman"/>
          <w:sz w:val="20"/>
          <w:szCs w:val="20"/>
          <w:color w:val="auto"/>
        </w:rPr>
      </w:pPr>
    </w:p>
    <w:p>
      <w:pPr>
        <w:jc w:val="both"/>
        <w:ind w:left="720" w:hanging="366"/>
        <w:spacing w:after="0" w:line="309" w:lineRule="auto"/>
        <w:tabs>
          <w:tab w:leader="none" w:pos="720" w:val="left"/>
        </w:tabs>
        <w:numPr>
          <w:ilvl w:val="0"/>
          <w:numId w:val="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our ability to develop new products and solutions, bring them to market in a timely manner and make enhancements to our platform and our ability to maintain and grow our two-sided marketplace, including our ability to acquire and retain paying clients;</w:t>
      </w:r>
    </w:p>
    <w:p>
      <w:pPr>
        <w:spacing w:after="0" w:line="4" w:lineRule="exact"/>
        <w:rPr>
          <w:rFonts w:ascii="Times New Roman" w:cs="Times New Roman" w:eastAsia="Times New Roman" w:hAnsi="Times New Roman"/>
          <w:sz w:val="20"/>
          <w:szCs w:val="20"/>
          <w:color w:val="auto"/>
        </w:rPr>
      </w:pPr>
    </w:p>
    <w:p>
      <w:pPr>
        <w:ind w:left="720" w:hanging="366"/>
        <w:spacing w:after="0"/>
        <w:tabs>
          <w:tab w:leader="none" w:pos="720" w:val="left"/>
        </w:tabs>
        <w:numPr>
          <w:ilvl w:val="0"/>
          <w:numId w:val="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effects of competition on our future business;</w:t>
      </w:r>
    </w:p>
    <w:p>
      <w:pPr>
        <w:spacing w:after="0" w:line="101" w:lineRule="exact"/>
        <w:rPr>
          <w:rFonts w:ascii="Times New Roman" w:cs="Times New Roman" w:eastAsia="Times New Roman" w:hAnsi="Times New Roman"/>
          <w:sz w:val="20"/>
          <w:szCs w:val="20"/>
          <w:color w:val="auto"/>
        </w:rPr>
      </w:pPr>
    </w:p>
    <w:p>
      <w:pPr>
        <w:ind w:left="720" w:hanging="366"/>
        <w:spacing w:after="0"/>
        <w:tabs>
          <w:tab w:leader="none" w:pos="720" w:val="left"/>
        </w:tabs>
        <w:numPr>
          <w:ilvl w:val="0"/>
          <w:numId w:val="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our success in retaining or recruiting, or changes required in, officers, key employees or directors;</w:t>
      </w:r>
    </w:p>
    <w:p>
      <w:pPr>
        <w:spacing w:after="0" w:line="108" w:lineRule="exact"/>
        <w:rPr>
          <w:rFonts w:ascii="Times New Roman" w:cs="Times New Roman" w:eastAsia="Times New Roman" w:hAnsi="Times New Roman"/>
          <w:sz w:val="20"/>
          <w:szCs w:val="20"/>
          <w:color w:val="auto"/>
        </w:rPr>
      </w:pPr>
    </w:p>
    <w:p>
      <w:pPr>
        <w:ind w:left="720" w:hanging="366"/>
        <w:spacing w:after="0"/>
        <w:tabs>
          <w:tab w:leader="none" w:pos="720" w:val="left"/>
        </w:tabs>
        <w:numPr>
          <w:ilvl w:val="0"/>
          <w:numId w:val="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cyber-attacks and security vulnerabilities; and</w:t>
      </w:r>
    </w:p>
    <w:p>
      <w:pPr>
        <w:spacing w:after="0" w:line="108" w:lineRule="exact"/>
        <w:rPr>
          <w:rFonts w:ascii="Times New Roman" w:cs="Times New Roman" w:eastAsia="Times New Roman" w:hAnsi="Times New Roman"/>
          <w:sz w:val="20"/>
          <w:szCs w:val="20"/>
          <w:color w:val="auto"/>
        </w:rPr>
      </w:pPr>
    </w:p>
    <w:p>
      <w:pPr>
        <w:ind w:left="720" w:hanging="366"/>
        <w:spacing w:after="0"/>
        <w:tabs>
          <w:tab w:leader="none" w:pos="720" w:val="left"/>
        </w:tabs>
        <w:numPr>
          <w:ilvl w:val="0"/>
          <w:numId w:val="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possibility that we may be adversely affected by other economic, business or competitive factors.</w:t>
      </w:r>
    </w:p>
    <w:p>
      <w:pPr>
        <w:sectPr>
          <w:pgSz w:w="12240" w:h="15840" w:orient="portrait"/>
          <w:cols w:equalWidth="0" w:num="1">
            <w:col w:w="10260"/>
          </w:cols>
          <w:pgMar w:left="1000" w:top="1156" w:right="980" w:bottom="1020" w:gutter="0" w:footer="0" w:header="0"/>
        </w:sectPr>
      </w:pPr>
    </w:p>
    <w:bookmarkStart w:id="5" w:name="page6"/>
    <w:bookmarkEnd w:id="5"/>
    <w:p>
      <w:pPr>
        <w:jc w:val="both"/>
        <w:spacing w:after="0" w:line="293" w:lineRule="auto"/>
        <w:rPr>
          <w:sz w:val="20"/>
          <w:szCs w:val="20"/>
          <w:color w:val="auto"/>
        </w:rPr>
      </w:pPr>
      <w:r>
        <w:rPr>
          <w:rFonts w:ascii="Times New Roman" w:cs="Times New Roman" w:eastAsia="Times New Roman" w:hAnsi="Times New Roman"/>
          <w:sz w:val="20"/>
          <w:szCs w:val="20"/>
          <w:color w:val="auto"/>
        </w:rPr>
        <w:t>You should not rely on forward-looking statements as predictions of future events. We have based the forward-looking statements contained in this Annual Report on Form 10-K primarily on our current expectations and projections about future events and trends that we believe may affect our business, financial condition and operating results. The outcome of the events described in these forward-looking statements is subject to risks, uncertainties and other factors described in the section titled “Risk Factors.” Moreover, we operate in a very competitive and rapidly changing environment. New risks and uncertainties emerge from time to time, and it is not possible for us to predict all risks and uncertainties that could have an impact on the forward-looking statements contained in this Annual Report on Form 10-K. The results, events and circumstances reflected in the forward-looking statements may not be achieved or occur, and actual results, events, or circumstances could differ materially from those described in the forward-looking statements.</w:t>
      </w:r>
    </w:p>
    <w:p>
      <w:pPr>
        <w:spacing w:after="0" w:line="79" w:lineRule="exact"/>
        <w:rPr>
          <w:sz w:val="20"/>
          <w:szCs w:val="20"/>
          <w:color w:val="auto"/>
        </w:rPr>
      </w:pPr>
    </w:p>
    <w:p>
      <w:pPr>
        <w:jc w:val="both"/>
        <w:spacing w:after="0" w:line="297" w:lineRule="auto"/>
        <w:rPr>
          <w:sz w:val="20"/>
          <w:szCs w:val="20"/>
          <w:color w:val="auto"/>
        </w:rPr>
      </w:pPr>
      <w:r>
        <w:rPr>
          <w:rFonts w:ascii="Times New Roman" w:cs="Times New Roman" w:eastAsia="Times New Roman" w:hAnsi="Times New Roman"/>
          <w:sz w:val="20"/>
          <w:szCs w:val="20"/>
          <w:color w:val="auto"/>
        </w:rPr>
        <w:t>In addition, statements that “we believe,” and similar statements reflect our beliefs and opinions on the relevant subject. These statements are based on information available to us as of the date of this Annual Report on Form 10-K. While we believe that information provides a reasonable basis for these statements, that information may be limited or incomplete. Our statements should not be read to indicate that we have conducted an exhaustive inquiry into, or review of, all relevant information. These statements are inherently uncertain, and investors are cautioned not to unduly rely on these statements.</w:t>
      </w:r>
    </w:p>
    <w:p>
      <w:pPr>
        <w:spacing w:after="0" w:line="75" w:lineRule="exact"/>
        <w:rPr>
          <w:sz w:val="20"/>
          <w:szCs w:val="20"/>
          <w:color w:val="auto"/>
        </w:rPr>
      </w:pPr>
    </w:p>
    <w:p>
      <w:pPr>
        <w:jc w:val="both"/>
        <w:spacing w:after="0" w:line="294" w:lineRule="auto"/>
        <w:rPr>
          <w:sz w:val="20"/>
          <w:szCs w:val="20"/>
          <w:color w:val="auto"/>
        </w:rPr>
      </w:pPr>
      <w:r>
        <w:rPr>
          <w:rFonts w:ascii="Times New Roman" w:cs="Times New Roman" w:eastAsia="Times New Roman" w:hAnsi="Times New Roman"/>
          <w:sz w:val="20"/>
          <w:szCs w:val="20"/>
          <w:color w:val="auto"/>
        </w:rPr>
        <w:t>The forward-looking statements made in this Annual Report on Form 10-K relate only to events as of the date on which the statements are made. We undertake no obligation to update any forward-looking statements made in this Annual Report on Form 10-K to reflect events or circumstances after the date of this Annual Report on Form 10-K or to reflect new information or the occurrence of unanticipated events, except as required by law. We may not actually achieve the plans, intentions, or expectations disclosed in our forward-looking statements, and you should not place undue reliance on our forward-looking statements. Our forward-looking statements do not reflect the potential impact of any future acquisitions, mergers, dispositions, joint ventures, or investments.</w:t>
      </w:r>
    </w:p>
    <w:p>
      <w:pPr>
        <w:sectPr>
          <w:pgSz w:w="12240" w:h="15840" w:orient="portrait"/>
          <w:cols w:equalWidth="0" w:num="1">
            <w:col w:w="10260"/>
          </w:cols>
          <w:pgMar w:left="1000" w:top="884" w:right="980" w:bottom="1440" w:gutter="0" w:footer="0" w:header="0"/>
        </w:sectPr>
      </w:pPr>
    </w:p>
    <w:bookmarkStart w:id="6" w:name="page7"/>
    <w:bookmarkEnd w:id="6"/>
    <w:p>
      <w:pPr>
        <w:jc w:val="center"/>
        <w:ind w:right="20"/>
        <w:spacing w:after="0"/>
        <w:rPr>
          <w:sz w:val="20"/>
          <w:szCs w:val="20"/>
          <w:color w:val="auto"/>
        </w:rPr>
      </w:pPr>
      <w:r>
        <w:rPr>
          <w:rFonts w:ascii="Times New Roman" w:cs="Times New Roman" w:eastAsia="Times New Roman" w:hAnsi="Times New Roman"/>
          <w:sz w:val="20"/>
          <w:szCs w:val="20"/>
          <w:b w:val="1"/>
          <w:bCs w:val="1"/>
          <w:color w:val="auto"/>
        </w:rPr>
        <w:t>RISK FACTOR SUMMARY</w:t>
      </w:r>
    </w:p>
    <w:p>
      <w:pPr>
        <w:spacing w:after="0" w:line="139" w:lineRule="exact"/>
        <w:rPr>
          <w:sz w:val="20"/>
          <w:szCs w:val="20"/>
          <w:color w:val="auto"/>
        </w:rPr>
      </w:pPr>
    </w:p>
    <w:p>
      <w:pPr>
        <w:jc w:val="both"/>
        <w:ind w:right="20"/>
        <w:spacing w:after="0" w:line="313" w:lineRule="auto"/>
        <w:rPr>
          <w:sz w:val="20"/>
          <w:szCs w:val="20"/>
          <w:color w:val="auto"/>
        </w:rPr>
      </w:pPr>
      <w:r>
        <w:rPr>
          <w:rFonts w:ascii="Times New Roman" w:cs="Times New Roman" w:eastAsia="Times New Roman" w:hAnsi="Times New Roman"/>
          <w:sz w:val="19"/>
          <w:szCs w:val="19"/>
          <w:color w:val="auto"/>
        </w:rPr>
        <w:t>Below is a summary of material factors that make an investment in our securities speculative or risky. Importantly, this summary does not address all of the risks and uncertainties that we face. Additional discussion of the risks and uncertainties summarized in this risk factor summary, as well as other risks and uncertainties that we face, can be found under the section titled “Risk Factors” as well as elsewhere in this Annual Report on Form 10-K and our other filings with the SEC. The below summary is qualified in its entirety by that more complete discussion of such risks and uncertainties. You should consider carefully the risks and uncertainties described under the section titled “Risk Factors” as part of your evaluation of an investment in our securities:</w:t>
      </w:r>
    </w:p>
    <w:p>
      <w:pPr>
        <w:spacing w:after="0" w:line="61" w:lineRule="exact"/>
        <w:rPr>
          <w:sz w:val="20"/>
          <w:szCs w:val="20"/>
          <w:color w:val="auto"/>
        </w:rPr>
      </w:pPr>
    </w:p>
    <w:p>
      <w:pPr>
        <w:ind w:left="720" w:hanging="366"/>
        <w:spacing w:after="0"/>
        <w:tabs>
          <w:tab w:leader="none" w:pos="720" w:val="left"/>
        </w:tabs>
        <w:numPr>
          <w:ilvl w:val="0"/>
          <w:numId w:val="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As our costs increase, we may not be able to generate sufficient revenue to achieve profitability in the future.</w:t>
      </w:r>
    </w:p>
    <w:p>
      <w:pPr>
        <w:spacing w:after="0" w:line="108" w:lineRule="exact"/>
        <w:rPr>
          <w:rFonts w:ascii="Times New Roman" w:cs="Times New Roman" w:eastAsia="Times New Roman" w:hAnsi="Times New Roman"/>
          <w:sz w:val="20"/>
          <w:szCs w:val="20"/>
          <w:color w:val="auto"/>
        </w:rPr>
      </w:pPr>
    </w:p>
    <w:p>
      <w:pPr>
        <w:ind w:left="720" w:right="20" w:hanging="366"/>
        <w:spacing w:after="0" w:line="319" w:lineRule="auto"/>
        <w:tabs>
          <w:tab w:leader="none" w:pos="720" w:val="left"/>
        </w:tabs>
        <w:numPr>
          <w:ilvl w:val="0"/>
          <w:numId w:val="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If we fail to retain our existing clients and consumers or to acquire new clients and consumers in a cost-effective manner, our revenue may decrease and our business may be harmed.</w:t>
      </w:r>
    </w:p>
    <w:p>
      <w:pPr>
        <w:ind w:left="720" w:hanging="366"/>
        <w:spacing w:after="0"/>
        <w:tabs>
          <w:tab w:leader="none" w:pos="720" w:val="left"/>
        </w:tabs>
        <w:numPr>
          <w:ilvl w:val="0"/>
          <w:numId w:val="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We may fail to offer the optimal pricing of our products and solutions.</w:t>
      </w:r>
    </w:p>
    <w:p>
      <w:pPr>
        <w:spacing w:after="0" w:line="108" w:lineRule="exact"/>
        <w:rPr>
          <w:rFonts w:ascii="Times New Roman" w:cs="Times New Roman" w:eastAsia="Times New Roman" w:hAnsi="Times New Roman"/>
          <w:sz w:val="20"/>
          <w:szCs w:val="20"/>
          <w:color w:val="auto"/>
        </w:rPr>
      </w:pPr>
    </w:p>
    <w:p>
      <w:pPr>
        <w:ind w:left="720" w:hanging="366"/>
        <w:spacing w:after="0"/>
        <w:tabs>
          <w:tab w:leader="none" w:pos="720" w:val="left"/>
        </w:tabs>
        <w:numPr>
          <w:ilvl w:val="0"/>
          <w:numId w:val="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If we fail to expand effectively into new markets, our revenue and business will be adversely affected.</w:t>
      </w:r>
    </w:p>
    <w:p>
      <w:pPr>
        <w:spacing w:after="0" w:line="101" w:lineRule="exact"/>
        <w:rPr>
          <w:rFonts w:ascii="Times New Roman" w:cs="Times New Roman" w:eastAsia="Times New Roman" w:hAnsi="Times New Roman"/>
          <w:sz w:val="20"/>
          <w:szCs w:val="20"/>
          <w:color w:val="auto"/>
        </w:rPr>
      </w:pPr>
    </w:p>
    <w:p>
      <w:pPr>
        <w:ind w:left="720" w:hanging="366"/>
        <w:spacing w:after="0"/>
        <w:tabs>
          <w:tab w:leader="none" w:pos="720" w:val="left"/>
        </w:tabs>
        <w:numPr>
          <w:ilvl w:val="0"/>
          <w:numId w:val="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Competition from the illicit cannabis market could impact our ability to succeed.</w:t>
      </w:r>
    </w:p>
    <w:p>
      <w:pPr>
        <w:spacing w:after="0" w:line="108" w:lineRule="exact"/>
        <w:rPr>
          <w:rFonts w:ascii="Times New Roman" w:cs="Times New Roman" w:eastAsia="Times New Roman" w:hAnsi="Times New Roman"/>
          <w:sz w:val="20"/>
          <w:szCs w:val="20"/>
          <w:color w:val="auto"/>
        </w:rPr>
      </w:pPr>
    </w:p>
    <w:p>
      <w:pPr>
        <w:ind w:left="720" w:right="20" w:hanging="366"/>
        <w:spacing w:after="0" w:line="319" w:lineRule="auto"/>
        <w:tabs>
          <w:tab w:leader="none" w:pos="720" w:val="left"/>
        </w:tabs>
        <w:numPr>
          <w:ilvl w:val="0"/>
          <w:numId w:val="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Our business is concentrated in California, and, as a result, our performance may be affected by factors unique to the California market.</w:t>
      </w:r>
    </w:p>
    <w:p>
      <w:pPr>
        <w:jc w:val="both"/>
        <w:ind w:left="720" w:hanging="366"/>
        <w:spacing w:after="0" w:line="324" w:lineRule="auto"/>
        <w:tabs>
          <w:tab w:leader="none" w:pos="720" w:val="left"/>
        </w:tabs>
        <w:numPr>
          <w:ilvl w:val="0"/>
          <w:numId w:val="5"/>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Federal law enforcement may deem our clients to be in violation of U.S. federal law, and, in particular the Controlled Substances Act (“CSA”). A change in U.S. federal policy on cannabis enforcement and strict enforcement of federal cannabis laws against our clients would undermine our business model and materially affect our business and operations.</w:t>
      </w:r>
    </w:p>
    <w:p>
      <w:pPr>
        <w:jc w:val="both"/>
        <w:ind w:left="720" w:hanging="366"/>
        <w:spacing w:after="0" w:line="296" w:lineRule="auto"/>
        <w:tabs>
          <w:tab w:leader="none" w:pos="720" w:val="left"/>
        </w:tabs>
        <w:numPr>
          <w:ilvl w:val="0"/>
          <w:numId w:val="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Some of our clients or their listings currently and in the future may not be in compliance with licensing and related requirements under applicable laws and regulations. Allowing unlicensed or noncompliant businesses to access our products, or allowing businesses to use our solutions in a noncompliant manner, may subject us to legal or regulatory enforcement and negative publicity, which could adversely impact our business, operating results, financial condition, brand and reputation. In addition, allowing businesses that engage in false or deceptive advertising practices to use our solutions may subject us to negative publicity, which could have similar adverse impacts on us.</w:t>
      </w:r>
    </w:p>
    <w:p>
      <w:pPr>
        <w:spacing w:after="0" w:line="19" w:lineRule="exact"/>
        <w:rPr>
          <w:rFonts w:ascii="Times New Roman" w:cs="Times New Roman" w:eastAsia="Times New Roman" w:hAnsi="Times New Roman"/>
          <w:sz w:val="20"/>
          <w:szCs w:val="20"/>
          <w:color w:val="auto"/>
        </w:rPr>
      </w:pPr>
    </w:p>
    <w:p>
      <w:pPr>
        <w:jc w:val="both"/>
        <w:ind w:left="720" w:hanging="366"/>
        <w:spacing w:after="0" w:line="295" w:lineRule="auto"/>
        <w:tabs>
          <w:tab w:leader="none" w:pos="720" w:val="left"/>
        </w:tabs>
        <w:numPr>
          <w:ilvl w:val="0"/>
          <w:numId w:val="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We generally do not, and cannot, ensure that our clients will conduct their business activities in a manner compliant with such regulations and requirements, despite providing features to help support our clients’ compliance with the complex, disparate and constantly evolving regulations and other legal requirements applicable to the cannabis industry. As a result, federal, state, provincial or local government authorities may seek to bring criminal, administrative or regulatory enforcement actions against our clients, which could have a material adverse effect on our business, operating results or financial conditions, or could force us to cease operations.</w:t>
      </w:r>
    </w:p>
    <w:p>
      <w:pPr>
        <w:spacing w:after="0" w:line="17" w:lineRule="exact"/>
        <w:rPr>
          <w:rFonts w:ascii="Times New Roman" w:cs="Times New Roman" w:eastAsia="Times New Roman" w:hAnsi="Times New Roman"/>
          <w:sz w:val="20"/>
          <w:szCs w:val="20"/>
          <w:color w:val="auto"/>
        </w:rPr>
      </w:pPr>
    </w:p>
    <w:p>
      <w:pPr>
        <w:ind w:left="720" w:hanging="366"/>
        <w:spacing w:after="0"/>
        <w:tabs>
          <w:tab w:leader="none" w:pos="720" w:val="left"/>
        </w:tabs>
        <w:numPr>
          <w:ilvl w:val="0"/>
          <w:numId w:val="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Our business is dependent on U.S. state laws and regulations.</w:t>
      </w:r>
    </w:p>
    <w:p>
      <w:pPr>
        <w:spacing w:after="0" w:line="108" w:lineRule="exact"/>
        <w:rPr>
          <w:rFonts w:ascii="Times New Roman" w:cs="Times New Roman" w:eastAsia="Times New Roman" w:hAnsi="Times New Roman"/>
          <w:sz w:val="20"/>
          <w:szCs w:val="20"/>
          <w:color w:val="auto"/>
        </w:rPr>
      </w:pPr>
    </w:p>
    <w:p>
      <w:pPr>
        <w:ind w:left="720" w:hanging="366"/>
        <w:spacing w:after="0" w:line="319" w:lineRule="auto"/>
        <w:tabs>
          <w:tab w:leader="none" w:pos="720" w:val="left"/>
        </w:tabs>
        <w:numPr>
          <w:ilvl w:val="0"/>
          <w:numId w:val="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rapid changes in the cannabis industry and applicable laws and regulations make predicting and evaluating our future prospects difficult, and may increase the risk that we will not be successful.</w:t>
      </w:r>
    </w:p>
    <w:p>
      <w:pPr>
        <w:ind w:left="720" w:right="20" w:hanging="366"/>
        <w:spacing w:after="0" w:line="319" w:lineRule="auto"/>
        <w:tabs>
          <w:tab w:leader="none" w:pos="720" w:val="left"/>
        </w:tabs>
        <w:numPr>
          <w:ilvl w:val="0"/>
          <w:numId w:val="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Because our business is dependent, in part, upon continued market acceptance of cannabis by consumers, any negative trends could adversely affect our business operations.</w:t>
      </w:r>
    </w:p>
    <w:p>
      <w:pPr>
        <w:ind w:left="720" w:hanging="366"/>
        <w:spacing w:after="0"/>
        <w:tabs>
          <w:tab w:leader="none" w:pos="720" w:val="left"/>
        </w:tabs>
        <w:numPr>
          <w:ilvl w:val="0"/>
          <w:numId w:val="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Expansion of our business is dependent on the continued legalization of cannabis.</w:t>
      </w:r>
    </w:p>
    <w:p>
      <w:pPr>
        <w:spacing w:after="0" w:line="101" w:lineRule="exact"/>
        <w:rPr>
          <w:rFonts w:ascii="Times New Roman" w:cs="Times New Roman" w:eastAsia="Times New Roman" w:hAnsi="Times New Roman"/>
          <w:sz w:val="20"/>
          <w:szCs w:val="20"/>
          <w:color w:val="auto"/>
        </w:rPr>
      </w:pPr>
    </w:p>
    <w:p>
      <w:pPr>
        <w:jc w:val="both"/>
        <w:ind w:left="720" w:hanging="366"/>
        <w:spacing w:after="0" w:line="309" w:lineRule="auto"/>
        <w:tabs>
          <w:tab w:leader="none" w:pos="720" w:val="left"/>
        </w:tabs>
        <w:numPr>
          <w:ilvl w:val="0"/>
          <w:numId w:val="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Our clients face challenges unique to the cannabis industry that can impact their financial health and long-term viability. If our clients struggle financially or do not remain viable, it can negatively impact our ability to generate new revenue, maintain existing revenue or collect on outstanding receivables.</w:t>
      </w:r>
    </w:p>
    <w:p>
      <w:pPr>
        <w:spacing w:after="0" w:line="4" w:lineRule="exact"/>
        <w:rPr>
          <w:rFonts w:ascii="Times New Roman" w:cs="Times New Roman" w:eastAsia="Times New Roman" w:hAnsi="Times New Roman"/>
          <w:sz w:val="20"/>
          <w:szCs w:val="20"/>
          <w:color w:val="auto"/>
        </w:rPr>
      </w:pPr>
    </w:p>
    <w:p>
      <w:pPr>
        <w:ind w:left="720" w:right="20" w:hanging="366"/>
        <w:spacing w:after="0" w:line="319" w:lineRule="auto"/>
        <w:tabs>
          <w:tab w:leader="none" w:pos="720" w:val="left"/>
        </w:tabs>
        <w:numPr>
          <w:ilvl w:val="0"/>
          <w:numId w:val="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If clients and consumers using our platform fail to provide high-quality content that attracts consumers, we may not be able to generate sufficient consumer traffic to remain competitive.</w:t>
      </w:r>
    </w:p>
    <w:p>
      <w:pPr>
        <w:ind w:left="720" w:right="20" w:hanging="366"/>
        <w:spacing w:after="0" w:line="319" w:lineRule="auto"/>
        <w:tabs>
          <w:tab w:leader="none" w:pos="720" w:val="left"/>
        </w:tabs>
        <w:numPr>
          <w:ilvl w:val="0"/>
          <w:numId w:val="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Our business is highly dependent upon our brand recognition and reputation, and the erosion or degradation of our brand recognition or reputation would likely adversely affect our business and operating results.</w:t>
      </w:r>
    </w:p>
    <w:p>
      <w:pPr>
        <w:ind w:left="720" w:hanging="366"/>
        <w:spacing w:after="0" w:line="326" w:lineRule="auto"/>
        <w:tabs>
          <w:tab w:leader="none" w:pos="720" w:val="left"/>
        </w:tabs>
        <w:numPr>
          <w:ilvl w:val="0"/>
          <w:numId w:val="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We currently face intense competition in the cannabis information market, and we expect competition to further intensify as the cannabis industry continues to evolve.</w:t>
      </w:r>
    </w:p>
    <w:p>
      <w:pPr>
        <w:sectPr>
          <w:pgSz w:w="12240" w:h="15840" w:orient="portrait"/>
          <w:cols w:equalWidth="0" w:num="1">
            <w:col w:w="10260"/>
          </w:cols>
          <w:pgMar w:left="1000" w:top="882" w:right="980" w:bottom="726" w:gutter="0" w:footer="0" w:header="0"/>
        </w:sectPr>
      </w:pPr>
    </w:p>
    <w:bookmarkStart w:id="7" w:name="page8"/>
    <w:bookmarkEnd w:id="7"/>
    <w:p>
      <w:pPr>
        <w:ind w:left="366" w:right="20" w:hanging="366"/>
        <w:spacing w:after="0" w:line="319" w:lineRule="auto"/>
        <w:tabs>
          <w:tab w:leader="none" w:pos="366" w:val="left"/>
        </w:tabs>
        <w:numPr>
          <w:ilvl w:val="0"/>
          <w:numId w:val="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If we fail to manage our employee operations and organization effectively, our brand, business and operating results could be harmed.</w:t>
      </w:r>
    </w:p>
    <w:p>
      <w:pPr>
        <w:ind w:left="366" w:hanging="366"/>
        <w:spacing w:after="0"/>
        <w:tabs>
          <w:tab w:leader="none" w:pos="366" w:val="left"/>
        </w:tabs>
        <w:numPr>
          <w:ilvl w:val="0"/>
          <w:numId w:val="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If we are unable to recruit, train, retain and motivate key personnel, we may not achieve our business objectives.</w:t>
      </w:r>
    </w:p>
    <w:p>
      <w:pPr>
        <w:spacing w:after="0" w:line="108" w:lineRule="exact"/>
        <w:rPr>
          <w:rFonts w:ascii="Times New Roman" w:cs="Times New Roman" w:eastAsia="Times New Roman" w:hAnsi="Times New Roman"/>
          <w:sz w:val="20"/>
          <w:szCs w:val="20"/>
          <w:color w:val="auto"/>
        </w:rPr>
      </w:pPr>
    </w:p>
    <w:p>
      <w:pPr>
        <w:jc w:val="both"/>
        <w:ind w:left="366" w:hanging="366"/>
        <w:spacing w:after="0" w:line="301" w:lineRule="auto"/>
        <w:tabs>
          <w:tab w:leader="none" w:pos="366" w:val="left"/>
        </w:tabs>
        <w:numPr>
          <w:ilvl w:val="0"/>
          <w:numId w:val="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We rely on search engine placement, syndicated content, paid digital advertising and social media marketing to attract a meaningful portion of our clients and consumers. If we are not able to generate traffic to our website through search engines and paid digital advertising, or increase the profile of our company brand through social media engagement, our ability to attract new clients may be impaired.</w:t>
      </w:r>
    </w:p>
    <w:p>
      <w:pPr>
        <w:spacing w:after="0" w:line="5" w:lineRule="exact"/>
        <w:rPr>
          <w:rFonts w:ascii="Times New Roman" w:cs="Times New Roman" w:eastAsia="Times New Roman" w:hAnsi="Times New Roman"/>
          <w:sz w:val="20"/>
          <w:szCs w:val="20"/>
          <w:color w:val="auto"/>
        </w:rPr>
      </w:pPr>
    </w:p>
    <w:p>
      <w:pPr>
        <w:ind w:left="366" w:hanging="366"/>
        <w:spacing w:after="0" w:line="319" w:lineRule="auto"/>
        <w:tabs>
          <w:tab w:leader="none" w:pos="367" w:val="left"/>
        </w:tabs>
        <w:numPr>
          <w:ilvl w:val="0"/>
          <w:numId w:val="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If our current marketing model is not effective in attracting new clients, we may need to employ higher-cost sales and marketing methods to attract and retain clients, which could adversely affect our profitability.</w:t>
      </w:r>
    </w:p>
    <w:p>
      <w:pPr>
        <w:jc w:val="both"/>
        <w:ind w:left="366" w:hanging="366"/>
        <w:spacing w:after="0" w:line="309" w:lineRule="auto"/>
        <w:tabs>
          <w:tab w:leader="none" w:pos="366" w:val="left"/>
        </w:tabs>
        <w:numPr>
          <w:ilvl w:val="0"/>
          <w:numId w:val="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If the Google Play Store or Apple iTunes App Store limit the functionality or availability of our mobile application platform, including as a result of changes or violations of terms and conditions, access to and utilization of our platform may suffer.</w:t>
      </w:r>
    </w:p>
    <w:p>
      <w:pPr>
        <w:spacing w:after="0" w:line="4" w:lineRule="exact"/>
        <w:rPr>
          <w:rFonts w:ascii="Times New Roman" w:cs="Times New Roman" w:eastAsia="Times New Roman" w:hAnsi="Times New Roman"/>
          <w:sz w:val="20"/>
          <w:szCs w:val="20"/>
          <w:color w:val="auto"/>
        </w:rPr>
      </w:pPr>
    </w:p>
    <w:p>
      <w:pPr>
        <w:ind w:left="366" w:hanging="366"/>
        <w:spacing w:after="0" w:line="319" w:lineRule="auto"/>
        <w:tabs>
          <w:tab w:leader="none" w:pos="366" w:val="left"/>
        </w:tabs>
        <w:numPr>
          <w:ilvl w:val="0"/>
          <w:numId w:val="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We may be unable to scale and adapt our existing technology and network infrastructure in a timely or effective manner to ensure that our platform is accessible, which would harm our reputation, business and operating results.</w:t>
      </w:r>
    </w:p>
    <w:p>
      <w:pPr>
        <w:ind w:left="366" w:right="20" w:hanging="366"/>
        <w:spacing w:after="0" w:line="319" w:lineRule="auto"/>
        <w:tabs>
          <w:tab w:leader="none" w:pos="366" w:val="left"/>
        </w:tabs>
        <w:numPr>
          <w:ilvl w:val="0"/>
          <w:numId w:val="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Our payment system and the payment systems of our clients depend on third-party providers and are subject to evolving laws and regulations.</w:t>
      </w:r>
    </w:p>
    <w:p>
      <w:pPr>
        <w:ind w:left="366" w:hanging="366"/>
        <w:spacing w:after="0" w:line="319" w:lineRule="auto"/>
        <w:tabs>
          <w:tab w:leader="none" w:pos="366" w:val="left"/>
        </w:tabs>
        <w:numPr>
          <w:ilvl w:val="0"/>
          <w:numId w:val="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We are dependent on our banking relations, and we may have difficulty accessing or consistently maintaining banking or other financial services due to our connection with the cannabis industry.</w:t>
      </w:r>
    </w:p>
    <w:p>
      <w:pPr>
        <w:jc w:val="both"/>
        <w:ind w:left="366" w:hanging="366"/>
        <w:spacing w:after="0" w:line="306" w:lineRule="auto"/>
        <w:tabs>
          <w:tab w:leader="none" w:pos="366" w:val="left"/>
        </w:tabs>
        <w:numPr>
          <w:ilvl w:val="0"/>
          <w:numId w:val="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We track certain performance metrics with internal tools and do not independently verify such metrics. Certain of our performance metrics are subject to inherent challenges in measurement, and real or perceived inaccuracies in such metrics may harm our reputation and negatively affect our business.</w:t>
      </w:r>
    </w:p>
    <w:p>
      <w:pPr>
        <w:spacing w:after="0" w:line="5" w:lineRule="exact"/>
        <w:rPr>
          <w:rFonts w:ascii="Times New Roman" w:cs="Times New Roman" w:eastAsia="Times New Roman" w:hAnsi="Times New Roman"/>
          <w:sz w:val="20"/>
          <w:szCs w:val="20"/>
          <w:color w:val="auto"/>
        </w:rPr>
      </w:pPr>
    </w:p>
    <w:p>
      <w:pPr>
        <w:ind w:left="366" w:right="20" w:hanging="366"/>
        <w:spacing w:after="0" w:line="319" w:lineRule="auto"/>
        <w:tabs>
          <w:tab w:leader="none" w:pos="366" w:val="left"/>
        </w:tabs>
        <w:numPr>
          <w:ilvl w:val="0"/>
          <w:numId w:val="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Our ability to successfully drive engagement on our platform, as well as changes to our user engagement and advertising strategy and practices, pose risks to our business.</w:t>
      </w:r>
    </w:p>
    <w:p>
      <w:pPr>
        <w:jc w:val="both"/>
        <w:ind w:left="366" w:hanging="366"/>
        <w:spacing w:after="0" w:line="308" w:lineRule="auto"/>
        <w:tabs>
          <w:tab w:leader="none" w:pos="366" w:val="left"/>
        </w:tabs>
        <w:numPr>
          <w:ilvl w:val="0"/>
          <w:numId w:val="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Any security incident, including a distributed denial of service attack, ransomware attack, security breach or unauthorized data access could impair or incapacitate our information technology systems and delay or interrupt service to our clients and consumers, harm our reputation, or subject us to significant liability.</w:t>
      </w:r>
    </w:p>
    <w:p>
      <w:pPr>
        <w:ind w:left="366" w:right="20" w:hanging="366"/>
        <w:spacing w:after="0" w:line="319" w:lineRule="auto"/>
        <w:tabs>
          <w:tab w:leader="none" w:pos="366" w:val="left"/>
        </w:tabs>
        <w:numPr>
          <w:ilvl w:val="0"/>
          <w:numId w:val="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Governmental regulation of the internet continues to develop, and unfavorable changes could substantially harm our business and operating results.</w:t>
      </w:r>
    </w:p>
    <w:p>
      <w:pPr>
        <w:jc w:val="both"/>
        <w:ind w:left="366" w:right="20" w:hanging="366"/>
        <w:spacing w:after="0" w:line="320" w:lineRule="auto"/>
        <w:tabs>
          <w:tab w:leader="none" w:pos="366" w:val="left"/>
        </w:tabs>
        <w:numPr>
          <w:ilvl w:val="0"/>
          <w:numId w:val="6"/>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We have identified a material weaknesses in our internal control over financial reporting as of December 31, 2023. If we are unable to remediate these material weaknesses or to develop and maintain an effective system of internal control over financial reporting, we may not be able to accurately report our financial results in a timely manner, which may adversely affect investor confidence in us and materially and adversely affect our business and operating results.</w:t>
      </w:r>
    </w:p>
    <w:p>
      <w:pPr>
        <w:spacing w:after="0" w:line="1" w:lineRule="exact"/>
        <w:rPr>
          <w:rFonts w:ascii="Times New Roman" w:cs="Times New Roman" w:eastAsia="Times New Roman" w:hAnsi="Times New Roman"/>
          <w:sz w:val="19"/>
          <w:szCs w:val="19"/>
          <w:color w:val="auto"/>
        </w:rPr>
      </w:pPr>
    </w:p>
    <w:p>
      <w:pPr>
        <w:jc w:val="both"/>
        <w:ind w:left="366" w:right="20" w:hanging="366"/>
        <w:spacing w:after="0" w:line="308" w:lineRule="auto"/>
        <w:tabs>
          <w:tab w:leader="none" w:pos="366" w:val="left"/>
        </w:tabs>
        <w:numPr>
          <w:ilvl w:val="0"/>
          <w:numId w:val="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restatement of our prior quarterly financial statements may affect investor confidence and raise reputational issues and may subject us to additional risks and uncertainties, including increased professional costs and the increased possibility of legal proceedings and regulatory inquiries.</w:t>
      </w:r>
    </w:p>
    <w:p>
      <w:pPr>
        <w:ind w:left="366" w:right="20" w:hanging="366"/>
        <w:spacing w:after="0" w:line="334" w:lineRule="auto"/>
        <w:tabs>
          <w:tab w:leader="none" w:pos="366" w:val="left"/>
        </w:tabs>
        <w:numPr>
          <w:ilvl w:val="0"/>
          <w:numId w:val="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trading price of our Class A Common Stock and certain of our Public Warrants have been, and may continue to be, volatile, and the value of our Class A Common Stock and such Warrants may decline.</w:t>
      </w:r>
    </w:p>
    <w:p>
      <w:pPr>
        <w:sectPr>
          <w:pgSz w:w="12240" w:h="15840" w:orient="portrait"/>
          <w:cols w:equalWidth="0" w:num="1">
            <w:col w:w="9906"/>
          </w:cols>
          <w:pgMar w:left="1354" w:top="884" w:right="980" w:bottom="1440" w:gutter="0" w:footer="0" w:header="0"/>
        </w:sectPr>
      </w:pPr>
    </w:p>
    <w:bookmarkStart w:id="8" w:name="page9"/>
    <w:bookmarkEnd w:id="8"/>
    <w:p>
      <w:pPr>
        <w:spacing w:after="0"/>
        <w:rPr>
          <w:sz w:val="20"/>
          <w:szCs w:val="20"/>
          <w:color w:val="auto"/>
        </w:rPr>
      </w:pPr>
      <w:r>
        <w:rPr>
          <w:rFonts w:ascii="Times New Roman" w:cs="Times New Roman" w:eastAsia="Times New Roman" w:hAnsi="Times New Roman"/>
          <w:sz w:val="20"/>
          <w:szCs w:val="20"/>
          <w:b w:val="1"/>
          <w:bCs w:val="1"/>
          <w:color w:val="auto"/>
        </w:rPr>
        <w:t>PART I</w:t>
      </w:r>
    </w:p>
    <w:p>
      <w:pPr>
        <w:spacing w:after="0" w:line="288" w:lineRule="exact"/>
        <w:rPr>
          <w:sz w:val="20"/>
          <w:szCs w:val="20"/>
          <w:color w:val="auto"/>
        </w:rPr>
      </w:pPr>
    </w:p>
    <w:p>
      <w:pPr>
        <w:spacing w:after="0"/>
        <w:tabs>
          <w:tab w:leader="none" w:pos="1060" w:val="left"/>
        </w:tabs>
        <w:rPr>
          <w:sz w:val="20"/>
          <w:szCs w:val="20"/>
          <w:color w:val="auto"/>
        </w:rPr>
      </w:pPr>
      <w:r>
        <w:rPr>
          <w:rFonts w:ascii="Times New Roman" w:cs="Times New Roman" w:eastAsia="Times New Roman" w:hAnsi="Times New Roman"/>
          <w:sz w:val="20"/>
          <w:szCs w:val="20"/>
          <w:b w:val="1"/>
          <w:bCs w:val="1"/>
          <w:color w:val="auto"/>
        </w:rPr>
        <w:t>ITEM 1.</w:t>
      </w:r>
      <w:r>
        <w:rPr>
          <w:sz w:val="20"/>
          <w:szCs w:val="20"/>
          <w:color w:val="auto"/>
        </w:rPr>
        <w:tab/>
      </w:r>
      <w:r>
        <w:rPr>
          <w:rFonts w:ascii="Times New Roman" w:cs="Times New Roman" w:eastAsia="Times New Roman" w:hAnsi="Times New Roman"/>
          <w:sz w:val="19"/>
          <w:szCs w:val="19"/>
          <w:b w:val="1"/>
          <w:bCs w:val="1"/>
          <w:color w:val="auto"/>
        </w:rPr>
        <w:t>BUSINESS</w:t>
      </w:r>
    </w:p>
    <w:p>
      <w:pPr>
        <w:spacing w:after="0" w:line="16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Our Company</w:t>
      </w:r>
    </w:p>
    <w:p>
      <w:pPr>
        <w:spacing w:after="0" w:line="168" w:lineRule="exact"/>
        <w:rPr>
          <w:sz w:val="20"/>
          <w:szCs w:val="20"/>
          <w:color w:val="auto"/>
        </w:rPr>
      </w:pPr>
    </w:p>
    <w:p>
      <w:pPr>
        <w:jc w:val="both"/>
        <w:spacing w:after="0" w:line="295" w:lineRule="auto"/>
        <w:rPr>
          <w:sz w:val="20"/>
          <w:szCs w:val="20"/>
          <w:color w:val="auto"/>
        </w:rPr>
      </w:pPr>
      <w:r>
        <w:rPr>
          <w:rFonts w:ascii="Times New Roman" w:cs="Times New Roman" w:eastAsia="Times New Roman" w:hAnsi="Times New Roman"/>
          <w:sz w:val="20"/>
          <w:szCs w:val="20"/>
          <w:color w:val="auto"/>
        </w:rPr>
        <w:t>Founded in 2008, and headquartered in Irvine, California, WM Technology, Inc. operates a leading online cannabis marketplace for consumers together with a comprehensive set of eCommerce and compliance software solutions for cannabis businesses, which are sold to both storefront locations and delivery operators (“retailers”) and brands in the legalized cannabis markets in states and territories of the United States. Our comprehensive business-to-consumer and business-to-business suite of products afford cannabis retailers and brands of all sizes integrated tools to compliantly run their businesses and to reach, convert, and retain consumers.</w:t>
      </w:r>
    </w:p>
    <w:p>
      <w:pPr>
        <w:spacing w:after="0" w:line="75" w:lineRule="exact"/>
        <w:rPr>
          <w:sz w:val="20"/>
          <w:szCs w:val="20"/>
          <w:color w:val="auto"/>
        </w:rPr>
      </w:pPr>
    </w:p>
    <w:p>
      <w:pPr>
        <w:jc w:val="both"/>
        <w:spacing w:after="0" w:line="292" w:lineRule="auto"/>
        <w:rPr>
          <w:sz w:val="20"/>
          <w:szCs w:val="20"/>
          <w:color w:val="auto"/>
        </w:rPr>
      </w:pPr>
      <w:r>
        <w:rPr>
          <w:rFonts w:ascii="Times New Roman" w:cs="Times New Roman" w:eastAsia="Times New Roman" w:hAnsi="Times New Roman"/>
          <w:sz w:val="20"/>
          <w:szCs w:val="20"/>
          <w:color w:val="auto"/>
        </w:rPr>
        <w:t>WM Technology, Inc. was initially incorporated in the Cayman Islands on June 7, 2019 under the name “Silver Spike Acquisition Corp” (“Silver Spike”). Silver Spike was formed for the purpose of effecting a merger, amalgamation, share exchange, asset acquisition, share purchase, reorganization or similar business combination with one or more businesses. On June 16, 2021 (the “Closing Date”), Silver Spike consummated the business combination (the “Business Combination”), pursuant to that certain Agreement and Plan of Merger, dated December 10, 2020, by and among Silver Spike, Silver Spike Merger Sub LLC, a Delaware limited liability company and a wholly owned direct subsidiary of Silver Spike Acquisition Corp., WM Holding Company, LLC, a Delaware limited liability company (when referred to in its pre-Business Combination capacity, “Legacy WMH” and following the Business Combination, “WMH LLC”), and Ghost Media Group, LLC, a Nevada limited liability company. On the Closing Date, and in connection with the closing of the Business Combination, Silver Spike was domesticated and continues as a Delaware corporation, and changed its name to WM Technology, Inc.</w:t>
      </w:r>
    </w:p>
    <w:p>
      <w:pPr>
        <w:spacing w:after="0" w:line="82" w:lineRule="exact"/>
        <w:rPr>
          <w:sz w:val="20"/>
          <w:szCs w:val="20"/>
          <w:color w:val="auto"/>
        </w:rPr>
      </w:pPr>
    </w:p>
    <w:p>
      <w:pPr>
        <w:jc w:val="both"/>
        <w:ind w:firstLine="1"/>
        <w:spacing w:after="0" w:line="292" w:lineRule="auto"/>
        <w:rPr>
          <w:sz w:val="20"/>
          <w:szCs w:val="20"/>
          <w:color w:val="auto"/>
        </w:rPr>
      </w:pPr>
      <w:r>
        <w:rPr>
          <w:rFonts w:ascii="Times New Roman" w:cs="Times New Roman" w:eastAsia="Times New Roman" w:hAnsi="Times New Roman"/>
          <w:sz w:val="20"/>
          <w:szCs w:val="20"/>
          <w:color w:val="auto"/>
        </w:rPr>
        <w:t>Our business primarily consists of our commerce-driven marketplace (“Weedmaps”), and our fully integrated suite of end-to-end Software-as-a-Service (“SaaS”) solutions software offering (“Weedmaps for Business”). The Weedmaps marketplace provides cannabis consumers with information regarding cannabis retailers and brands. In addition, the Weedmaps marketplace aggregates data from a variety of sources, including retailer point-of-sale (“POS”) solutions, to provide consumers with the ability to browse by strain, price, cannabinoids and other information regarding locally available cannabis products, through our website and mobile apps. The marketplace provides consumers with product discovery, access to deals and discounts, and reservation of products for pickup by consumers or delivery to consumers by participating retailers (retailers complete orders and process payments outside of the Weedmaps marketplace as Weedmaps serves only as a portal, passing a consumer’s inquiry to the dispensary). The marketplace also provides education and learning information to help newer consumers learn about the types of products to purchase. We believe the size, loyalty and engagement of our user base and the frequency of consumption of cannabis by our user base makes the Weedmaps marketplace highly valuable to our clients.</w:t>
      </w:r>
    </w:p>
    <w:p>
      <w:pPr>
        <w:spacing w:after="0" w:line="83" w:lineRule="exact"/>
        <w:rPr>
          <w:sz w:val="20"/>
          <w:szCs w:val="20"/>
          <w:color w:val="auto"/>
        </w:rPr>
      </w:pPr>
    </w:p>
    <w:p>
      <w:pPr>
        <w:jc w:val="both"/>
        <w:ind w:right="20"/>
        <w:spacing w:after="0" w:line="306" w:lineRule="auto"/>
        <w:rPr>
          <w:sz w:val="20"/>
          <w:szCs w:val="20"/>
          <w:color w:val="auto"/>
        </w:rPr>
      </w:pPr>
      <w:r>
        <w:rPr>
          <w:rFonts w:ascii="Times New Roman" w:cs="Times New Roman" w:eastAsia="Times New Roman" w:hAnsi="Times New Roman"/>
          <w:sz w:val="20"/>
          <w:szCs w:val="20"/>
          <w:color w:val="auto"/>
        </w:rPr>
        <w:t>Weedmaps for Business, our SaaS offering, is a comprehensive set of eCommerce and compliance software solutions catered towards cannabis retailers, delivery services and brands that streamline front and back-end operations and help manage compliance needs. These tools support cannabis businesses at every stage in the consumer funnel, enabling them to:</w:t>
      </w:r>
    </w:p>
    <w:p>
      <w:pPr>
        <w:spacing w:after="0" w:line="94" w:lineRule="exact"/>
        <w:rPr>
          <w:sz w:val="20"/>
          <w:szCs w:val="20"/>
          <w:color w:val="auto"/>
        </w:rPr>
      </w:pPr>
    </w:p>
    <w:p>
      <w:pPr>
        <w:ind w:left="720" w:hanging="366"/>
        <w:spacing w:after="0"/>
        <w:tabs>
          <w:tab w:leader="none" w:pos="720" w:val="left"/>
        </w:tabs>
        <w:numPr>
          <w:ilvl w:val="0"/>
          <w:numId w:val="7"/>
        </w:numPr>
        <w:rPr>
          <w:rFonts w:ascii="Arial" w:cs="Arial" w:eastAsia="Arial" w:hAnsi="Arial"/>
          <w:sz w:val="24"/>
          <w:szCs w:val="24"/>
          <w:color w:val="auto"/>
        </w:rPr>
      </w:pPr>
      <w:r>
        <w:rPr>
          <w:rFonts w:ascii="Times New Roman" w:cs="Times New Roman" w:eastAsia="Times New Roman" w:hAnsi="Times New Roman"/>
          <w:sz w:val="20"/>
          <w:szCs w:val="20"/>
          <w:color w:val="auto"/>
        </w:rPr>
        <w:t>Strategically reach prospective cannabis consumers.</w:t>
      </w:r>
    </w:p>
    <w:p>
      <w:pPr>
        <w:spacing w:after="0" w:line="98" w:lineRule="exact"/>
        <w:rPr>
          <w:rFonts w:ascii="Arial" w:cs="Arial" w:eastAsia="Arial" w:hAnsi="Arial"/>
          <w:sz w:val="24"/>
          <w:szCs w:val="24"/>
          <w:color w:val="auto"/>
        </w:rPr>
      </w:pPr>
    </w:p>
    <w:p>
      <w:pPr>
        <w:ind w:left="720" w:hanging="366"/>
        <w:spacing w:after="0"/>
        <w:tabs>
          <w:tab w:leader="none" w:pos="720" w:val="left"/>
        </w:tabs>
        <w:numPr>
          <w:ilvl w:val="0"/>
          <w:numId w:val="7"/>
        </w:numPr>
        <w:rPr>
          <w:rFonts w:ascii="Arial" w:cs="Arial" w:eastAsia="Arial" w:hAnsi="Arial"/>
          <w:sz w:val="24"/>
          <w:szCs w:val="24"/>
          <w:color w:val="auto"/>
        </w:rPr>
      </w:pPr>
      <w:r>
        <w:rPr>
          <w:rFonts w:ascii="Times New Roman" w:cs="Times New Roman" w:eastAsia="Times New Roman" w:hAnsi="Times New Roman"/>
          <w:sz w:val="20"/>
          <w:szCs w:val="20"/>
          <w:color w:val="auto"/>
        </w:rPr>
        <w:t>Manage pickup, delivery and inventory in compliance with local regulations.</w:t>
      </w:r>
    </w:p>
    <w:p>
      <w:pPr>
        <w:spacing w:after="0" w:line="111" w:lineRule="exact"/>
        <w:rPr>
          <w:rFonts w:ascii="Arial" w:cs="Arial" w:eastAsia="Arial" w:hAnsi="Arial"/>
          <w:sz w:val="24"/>
          <w:szCs w:val="24"/>
          <w:color w:val="auto"/>
        </w:rPr>
      </w:pPr>
    </w:p>
    <w:p>
      <w:pPr>
        <w:ind w:left="720" w:right="20" w:hanging="366"/>
        <w:spacing w:after="0" w:line="278" w:lineRule="auto"/>
        <w:tabs>
          <w:tab w:leader="none" w:pos="720" w:val="left"/>
        </w:tabs>
        <w:numPr>
          <w:ilvl w:val="0"/>
          <w:numId w:val="7"/>
        </w:numPr>
        <w:rPr>
          <w:rFonts w:ascii="Arial" w:cs="Arial" w:eastAsia="Arial" w:hAnsi="Arial"/>
          <w:sz w:val="24"/>
          <w:szCs w:val="24"/>
          <w:color w:val="auto"/>
        </w:rPr>
      </w:pPr>
      <w:r>
        <w:rPr>
          <w:rFonts w:ascii="Times New Roman" w:cs="Times New Roman" w:eastAsia="Times New Roman" w:hAnsi="Times New Roman"/>
          <w:sz w:val="20"/>
          <w:szCs w:val="20"/>
          <w:color w:val="auto"/>
        </w:rPr>
        <w:t>Help improve the customer experience by creating online browsing and ordering functionality on a brand or retailer (including delivery) operator’s website.</w:t>
      </w:r>
    </w:p>
    <w:p>
      <w:pPr>
        <w:spacing w:after="0" w:line="55" w:lineRule="exact"/>
        <w:rPr>
          <w:rFonts w:ascii="Arial" w:cs="Arial" w:eastAsia="Arial" w:hAnsi="Arial"/>
          <w:sz w:val="24"/>
          <w:szCs w:val="24"/>
          <w:color w:val="auto"/>
        </w:rPr>
      </w:pPr>
    </w:p>
    <w:p>
      <w:pPr>
        <w:ind w:left="720" w:hanging="366"/>
        <w:spacing w:after="0"/>
        <w:tabs>
          <w:tab w:leader="none" w:pos="720" w:val="left"/>
        </w:tabs>
        <w:numPr>
          <w:ilvl w:val="0"/>
          <w:numId w:val="7"/>
        </w:numPr>
        <w:rPr>
          <w:rFonts w:ascii="Arial" w:cs="Arial" w:eastAsia="Arial" w:hAnsi="Arial"/>
          <w:sz w:val="24"/>
          <w:szCs w:val="24"/>
          <w:color w:val="auto"/>
        </w:rPr>
      </w:pPr>
      <w:r>
        <w:rPr>
          <w:rFonts w:ascii="Times New Roman" w:cs="Times New Roman" w:eastAsia="Times New Roman" w:hAnsi="Times New Roman"/>
          <w:sz w:val="20"/>
          <w:szCs w:val="20"/>
          <w:color w:val="auto"/>
        </w:rPr>
        <w:t>Foster customer loyalty and re-engage with segments of consumers.</w:t>
      </w:r>
    </w:p>
    <w:p>
      <w:pPr>
        <w:spacing w:after="0" w:line="111" w:lineRule="exact"/>
        <w:rPr>
          <w:rFonts w:ascii="Arial" w:cs="Arial" w:eastAsia="Arial" w:hAnsi="Arial"/>
          <w:sz w:val="24"/>
          <w:szCs w:val="24"/>
          <w:color w:val="auto"/>
        </w:rPr>
      </w:pPr>
    </w:p>
    <w:p>
      <w:pPr>
        <w:ind w:left="720" w:hanging="366"/>
        <w:spacing w:after="0" w:line="271" w:lineRule="auto"/>
        <w:tabs>
          <w:tab w:leader="none" w:pos="720" w:val="left"/>
        </w:tabs>
        <w:numPr>
          <w:ilvl w:val="0"/>
          <w:numId w:val="7"/>
        </w:numPr>
        <w:rPr>
          <w:rFonts w:ascii="Arial" w:cs="Arial" w:eastAsia="Arial" w:hAnsi="Arial"/>
          <w:sz w:val="24"/>
          <w:szCs w:val="24"/>
          <w:color w:val="auto"/>
        </w:rPr>
      </w:pPr>
      <w:r>
        <w:rPr>
          <w:rFonts w:ascii="Times New Roman" w:cs="Times New Roman" w:eastAsia="Times New Roman" w:hAnsi="Times New Roman"/>
          <w:sz w:val="20"/>
          <w:szCs w:val="20"/>
          <w:color w:val="auto"/>
        </w:rPr>
        <w:t>Leverage the Weedmaps for Business products in conjunction with any other preferred software solutions via integrations and application programming interfaces (“APIs”).</w:t>
      </w:r>
    </w:p>
    <w:p>
      <w:pPr>
        <w:spacing w:after="0" w:line="76" w:lineRule="exact"/>
        <w:rPr>
          <w:rFonts w:ascii="Arial" w:cs="Arial" w:eastAsia="Arial" w:hAnsi="Arial"/>
          <w:sz w:val="24"/>
          <w:szCs w:val="24"/>
          <w:color w:val="auto"/>
        </w:rPr>
      </w:pPr>
    </w:p>
    <w:p>
      <w:pPr>
        <w:ind w:left="720" w:hanging="366"/>
        <w:spacing w:after="0" w:line="278" w:lineRule="auto"/>
        <w:tabs>
          <w:tab w:leader="none" w:pos="720" w:val="left"/>
        </w:tabs>
        <w:numPr>
          <w:ilvl w:val="0"/>
          <w:numId w:val="7"/>
        </w:numPr>
        <w:rPr>
          <w:rFonts w:ascii="Arial" w:cs="Arial" w:eastAsia="Arial" w:hAnsi="Arial"/>
          <w:sz w:val="24"/>
          <w:szCs w:val="24"/>
          <w:color w:val="auto"/>
        </w:rPr>
      </w:pPr>
      <w:r>
        <w:rPr>
          <w:rFonts w:ascii="Times New Roman" w:cs="Times New Roman" w:eastAsia="Times New Roman" w:hAnsi="Times New Roman"/>
          <w:sz w:val="20"/>
          <w:szCs w:val="20"/>
          <w:color w:val="auto"/>
        </w:rPr>
        <w:t>Make informed marketing and merchandising decisions using performance analytics and consumer and brand insights to promote products to specific consumer groups.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20"/>
          <w:szCs w:val="20"/>
          <w:color w:val="auto"/>
        </w:rPr>
        <w:t>5</w:t>
      </w:r>
    </w:p>
    <w:p>
      <w:pPr>
        <w:sectPr>
          <w:pgSz w:w="12240" w:h="15840" w:orient="portrait"/>
          <w:cols w:equalWidth="0" w:num="1">
            <w:col w:w="10260"/>
          </w:cols>
          <w:pgMar w:left="1000" w:top="882" w:right="980" w:bottom="222" w:gutter="0" w:footer="0" w:header="0"/>
        </w:sectPr>
      </w:pPr>
    </w:p>
    <w:bookmarkStart w:id="9" w:name="page10"/>
    <w:bookmarkEnd w:id="9"/>
    <w:p>
      <w:pPr>
        <w:jc w:val="both"/>
        <w:ind w:left="6"/>
        <w:spacing w:after="0" w:line="293" w:lineRule="auto"/>
        <w:rPr>
          <w:sz w:val="20"/>
          <w:szCs w:val="20"/>
          <w:color w:val="auto"/>
        </w:rPr>
      </w:pPr>
      <w:r>
        <w:rPr>
          <w:rFonts w:ascii="Times New Roman" w:cs="Times New Roman" w:eastAsia="Times New Roman" w:hAnsi="Times New Roman"/>
          <w:sz w:val="20"/>
          <w:szCs w:val="20"/>
          <w:color w:val="auto"/>
        </w:rPr>
        <w:t>We offer this functionality through a packaged software solution that includes (based on availability within any given market and state-level regulations) (i) a listing page with product menu on weedmaps.com, our iOS Weedmaps mobile application and our Android Weedmaps mobile application, which allows clients to disclose their license information, hours of operation, contact information, discount policies and other information that may be required under applicable state law, (ii) the ability to reserve products for pickup by consumers or delivery to consumers (either through weedmaps.com, on a white labeled WM Store website or third-party websites through our orders and menu embed product), (iii) customizable menus for brands, retailers and delivery operators to embed on their website, (iv) access to our APIs, including real-time connectivity between Weedmaps for Business to a POS to streamline workflows and promote compliance through accuracy and (v) analytics dashboards. We also offer add-on and a la carte products and services for additional fees, as discussed below.</w:t>
      </w:r>
    </w:p>
    <w:p>
      <w:pPr>
        <w:spacing w:after="0" w:line="80" w:lineRule="exact"/>
        <w:rPr>
          <w:sz w:val="20"/>
          <w:szCs w:val="20"/>
          <w:color w:val="auto"/>
        </w:rPr>
      </w:pPr>
    </w:p>
    <w:p>
      <w:pPr>
        <w:jc w:val="both"/>
        <w:ind w:left="6"/>
        <w:spacing w:after="0" w:line="296" w:lineRule="auto"/>
        <w:rPr>
          <w:sz w:val="20"/>
          <w:szCs w:val="20"/>
          <w:color w:val="auto"/>
        </w:rPr>
      </w:pPr>
      <w:r>
        <w:rPr>
          <w:rFonts w:ascii="Times New Roman" w:cs="Times New Roman" w:eastAsia="Times New Roman" w:hAnsi="Times New Roman"/>
          <w:sz w:val="19"/>
          <w:szCs w:val="19"/>
          <w:color w:val="auto"/>
        </w:rPr>
        <w:t>The state-legal cannabis industry in the United States has grown consistently in recent years and was estimated to be between approximately $27-$28 billion in 2023, according to Wall Street analyst estimates, and is expected by some estimates to grow to $40 billion by 2027, assuming a continued pace of new state legalization, with 70%</w:t>
      </w:r>
      <w:r>
        <w:rPr>
          <w:rFonts w:ascii="Times New Roman" w:cs="Times New Roman" w:eastAsia="Times New Roman" w:hAnsi="Times New Roman"/>
          <w:sz w:val="24"/>
          <w:szCs w:val="24"/>
          <w:color w:val="auto"/>
          <w:vertAlign w:val="superscript"/>
        </w:rPr>
        <w:t>1</w:t>
      </w:r>
      <w:r>
        <w:rPr>
          <w:rFonts w:ascii="Times New Roman" w:cs="Times New Roman" w:eastAsia="Times New Roman" w:hAnsi="Times New Roman"/>
          <w:sz w:val="19"/>
          <w:szCs w:val="19"/>
          <w:color w:val="auto"/>
        </w:rPr>
        <w:t xml:space="preserve"> of U.S. adults since 2020 in support of having legal access to cannabis. Currently, thirty-nine states, the District of Columbia, Puerto Rico, the Virgin Islands, Guam and the Northern Mariana have legalized some form of cannabis use for certain medical purposes. Twenty-four of those states, the District of Columbia, Guam and Northern Mariana have legalized cannabis for adults for non-medical purposes as well (sometimes referred to as adult or recreational use). Eight additional states have legalized forms of low-potency cannabis, for select medical conditions. Only three states continue to prohibit cannabis entirely. Despite expectations of growth, the regulated cannabis market in the United States is still nascent and fragmented, with significant challenges facing both consumers seeking to understand cannabis and find the right products for them and businesses seeking to operate compliantly and to effectively reach and market to cannabis consumers. Within the U.S., cannabis users (defined as adults, aged 21 and older, who have consumed cannabis in the past year) represent less than 22% of the total U.S. adult, aged 21 and older, population today (and less than 16% for those that consumed in the past month)</w:t>
      </w:r>
      <w:r>
        <w:rPr>
          <w:rFonts w:ascii="Times New Roman" w:cs="Times New Roman" w:eastAsia="Times New Roman" w:hAnsi="Times New Roman"/>
          <w:sz w:val="24"/>
          <w:szCs w:val="24"/>
          <w:color w:val="auto"/>
          <w:vertAlign w:val="superscript"/>
        </w:rPr>
        <w:t>2</w:t>
      </w:r>
      <w:r>
        <w:rPr>
          <w:rFonts w:ascii="Times New Roman" w:cs="Times New Roman" w:eastAsia="Times New Roman" w:hAnsi="Times New Roman"/>
          <w:sz w:val="19"/>
          <w:szCs w:val="19"/>
          <w:color w:val="auto"/>
        </w:rPr>
        <w:t>. On the client side, as of December 31, 2023, there were approximately 11,900 retail licenses across the United States with medical and/or adult-use regulations in place, which is an effective retail density of approximately one retail license per 21,570 residents across these markets in the aggregate, based on data available from individual governmental cannabis license databases and the U.S. Census Bureau estimates for both licenses and population.</w:t>
      </w:r>
    </w:p>
    <w:p>
      <w:pPr>
        <w:spacing w:after="0" w:line="83" w:lineRule="exact"/>
        <w:rPr>
          <w:sz w:val="20"/>
          <w:szCs w:val="20"/>
          <w:color w:val="auto"/>
        </w:rPr>
      </w:pPr>
    </w:p>
    <w:p>
      <w:pPr>
        <w:jc w:val="both"/>
        <w:ind w:left="6"/>
        <w:spacing w:after="0" w:line="307" w:lineRule="auto"/>
        <w:rPr>
          <w:sz w:val="20"/>
          <w:szCs w:val="20"/>
          <w:color w:val="auto"/>
        </w:rPr>
      </w:pPr>
      <w:r>
        <w:rPr>
          <w:rFonts w:ascii="Times New Roman" w:cs="Times New Roman" w:eastAsia="Times New Roman" w:hAnsi="Times New Roman"/>
          <w:sz w:val="19"/>
          <w:szCs w:val="19"/>
          <w:color w:val="auto"/>
        </w:rPr>
        <w:t>In addition to these nascent consumer and business dynamics, cannabis itself is a highly complex, regulated and diverse, non-shelf stable consumer good that spans hundreds of strains and a growing set of form factors available for consumption, including flower, pre-rolls, vapes, edibles, tinctures and concentrates. Despite these complexities, consumers still expect the same product information, discovery and comparison options across multiple channels from cannabis businesses that they expect from other retailers or brands. These consumer expectations, coupled with the lack of normalized product information in the industry, in addition to the unique attributes of cannabis as a nascent and highly regulated consumer product, create significant challenges for retailers and brands who serve cannabis consumers. Retailers and brands must meet these consumer expectations and provide omni-channel engagement opportunities with the same (i) level of service, (ii) richness of product information, (iii) ability to compare prices, and (iv) ease of product and brand discovery that consumers would receive when researching other consumer product categories. Further, brands are limited in their ability to market and sell directly and need to find ways to communicate to consumers. At the same time, these businesses must comply with a rapidly evolving legal and regulatory landscape that differs by state and across cities and counties within each state, creating challenges in the ability to scale in a capital-efficient way.</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0</wp:posOffset>
                </wp:positionH>
                <wp:positionV relativeFrom="paragraph">
                  <wp:posOffset>1409700</wp:posOffset>
                </wp:positionV>
                <wp:extent cx="1828800" cy="0"/>
                <wp:wrapNone/>
                <wp:docPr id="3" name="Shape 3"/>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1828800" cy="4763"/>
                        </a:xfrm>
                        <a:prstGeom prst="line">
                          <a:avLst/>
                        </a:prstGeom>
                        <a:solidFill>
                          <a:srgbClr val="FFFFFF"/>
                        </a:solidFill>
                        <a:ln w="9144">
                          <a:solidFill>
                            <a:srgbClr val="000000"/>
                          </a:solidFill>
                          <a:miter lim="800000"/>
                          <a:headEnd/>
                          <a:tailEnd/>
                        </a:ln>
                      </wps:spPr>
                      <wps:bodyPr/>
                    </wps:wsp>
                  </a:graphicData>
                </a:graphic>
              </wp:anchor>
            </w:drawing>
          </mc:Choice>
          <mc:Fallback>
            <w:pict>
              <v:line id="Shape 3" o:spid="_x0000_s1028"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0pt,111pt" to="144pt,111pt" o:allowincell="f" strokecolor="#000000" strokeweight="0.72pt"/>
            </w:pict>
          </mc:Fallback>
        </mc:AlternateConten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4" w:lineRule="exact"/>
        <w:rPr>
          <w:sz w:val="20"/>
          <w:szCs w:val="20"/>
          <w:color w:val="auto"/>
        </w:rPr>
      </w:pPr>
    </w:p>
    <w:p>
      <w:pPr>
        <w:ind w:left="106" w:hanging="106"/>
        <w:spacing w:after="0"/>
        <w:tabs>
          <w:tab w:leader="none" w:pos="106" w:val="left"/>
        </w:tabs>
        <w:numPr>
          <w:ilvl w:val="0"/>
          <w:numId w:val="8"/>
        </w:numPr>
        <w:rPr>
          <w:rFonts w:ascii="Times New Roman" w:cs="Times New Roman" w:eastAsia="Times New Roman" w:hAnsi="Times New Roman"/>
          <w:sz w:val="24"/>
          <w:szCs w:val="24"/>
          <w:color w:val="auto"/>
          <w:vertAlign w:val="superscript"/>
        </w:rPr>
      </w:pPr>
      <w:r>
        <w:rPr>
          <w:rFonts w:ascii="Times New Roman" w:cs="Times New Roman" w:eastAsia="Times New Roman" w:hAnsi="Times New Roman"/>
          <w:sz w:val="18"/>
          <w:szCs w:val="18"/>
          <w:color w:val="auto"/>
        </w:rPr>
        <w:t>news.gallup.com - Grassroots Support for Legalizing Marijuana Hits Record 70%</w:t>
      </w:r>
    </w:p>
    <w:p>
      <w:pPr>
        <w:spacing w:after="0" w:line="97" w:lineRule="exact"/>
        <w:rPr>
          <w:rFonts w:ascii="Times New Roman" w:cs="Times New Roman" w:eastAsia="Times New Roman" w:hAnsi="Times New Roman"/>
          <w:sz w:val="24"/>
          <w:szCs w:val="24"/>
          <w:color w:val="auto"/>
          <w:vertAlign w:val="superscript"/>
        </w:rPr>
      </w:pPr>
    </w:p>
    <w:p>
      <w:pPr>
        <w:ind w:left="106" w:hanging="106"/>
        <w:spacing w:after="0"/>
        <w:tabs>
          <w:tab w:leader="none" w:pos="106" w:val="left"/>
        </w:tabs>
        <w:numPr>
          <w:ilvl w:val="0"/>
          <w:numId w:val="8"/>
        </w:numPr>
        <w:rPr>
          <w:rFonts w:ascii="Times New Roman" w:cs="Times New Roman" w:eastAsia="Times New Roman" w:hAnsi="Times New Roman"/>
          <w:sz w:val="26"/>
          <w:szCs w:val="26"/>
          <w:color w:val="auto"/>
          <w:vertAlign w:val="superscript"/>
        </w:rPr>
      </w:pPr>
      <w:r>
        <w:rPr>
          <w:rFonts w:ascii="Times New Roman" w:cs="Times New Roman" w:eastAsia="Times New Roman" w:hAnsi="Times New Roman"/>
          <w:sz w:val="18"/>
          <w:szCs w:val="18"/>
          <w:color w:val="auto"/>
        </w:rPr>
        <w:t>Numbers of users aged 21 and older are from the 2022 National Survey on Drug Use and Health, number of adults in the United States aged</w:t>
      </w:r>
    </w:p>
    <w:p>
      <w:pPr>
        <w:spacing w:after="0" w:line="37" w:lineRule="exact"/>
        <w:rPr>
          <w:rFonts w:ascii="Times New Roman" w:cs="Times New Roman" w:eastAsia="Times New Roman" w:hAnsi="Times New Roman"/>
          <w:sz w:val="26"/>
          <w:szCs w:val="26"/>
          <w:color w:val="auto"/>
          <w:vertAlign w:val="superscript"/>
        </w:rPr>
      </w:pPr>
    </w:p>
    <w:p>
      <w:pPr>
        <w:ind w:left="226" w:hanging="226"/>
        <w:spacing w:after="0"/>
        <w:tabs>
          <w:tab w:leader="none" w:pos="226"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and older are from U.S. Census data</w:t>
      </w:r>
    </w:p>
    <w:p>
      <w:pPr>
        <w:spacing w:after="0" w:line="133" w:lineRule="exact"/>
        <w:rPr>
          <w:sz w:val="20"/>
          <w:szCs w:val="20"/>
          <w:color w:val="auto"/>
        </w:rPr>
      </w:pPr>
    </w:p>
    <w:p>
      <w:pPr>
        <w:jc w:val="center"/>
        <w:ind w:right="14"/>
        <w:spacing w:after="0"/>
        <w:rPr>
          <w:sz w:val="20"/>
          <w:szCs w:val="20"/>
          <w:color w:val="auto"/>
        </w:rPr>
      </w:pPr>
      <w:r>
        <w:rPr>
          <w:rFonts w:ascii="Times New Roman" w:cs="Times New Roman" w:eastAsia="Times New Roman" w:hAnsi="Times New Roman"/>
          <w:sz w:val="20"/>
          <w:szCs w:val="20"/>
          <w:color w:val="auto"/>
        </w:rPr>
        <w:t>6</w:t>
      </w:r>
    </w:p>
    <w:p>
      <w:pPr>
        <w:sectPr>
          <w:pgSz w:w="12240" w:h="15840" w:orient="portrait"/>
          <w:cols w:equalWidth="0" w:num="1">
            <w:col w:w="10266"/>
          </w:cols>
          <w:pgMar w:left="994" w:top="884" w:right="980" w:bottom="222" w:gutter="0" w:footer="0" w:header="0"/>
        </w:sectPr>
      </w:pPr>
    </w:p>
    <w:bookmarkStart w:id="10" w:name="page11"/>
    <w:bookmarkEnd w:id="10"/>
    <w:p>
      <w:pPr>
        <w:spacing w:after="0"/>
        <w:rPr>
          <w:sz w:val="20"/>
          <w:szCs w:val="20"/>
          <w:color w:val="auto"/>
        </w:rPr>
      </w:pPr>
      <w:r>
        <w:rPr>
          <w:rFonts w:ascii="Times New Roman" w:cs="Times New Roman" w:eastAsia="Times New Roman" w:hAnsi="Times New Roman"/>
          <w:sz w:val="20"/>
          <w:szCs w:val="20"/>
          <w:b w:val="1"/>
          <w:bCs w:val="1"/>
          <w:color w:val="auto"/>
        </w:rPr>
        <w:t>Our Product and Solution Ecosystem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120650</wp:posOffset>
            </wp:positionV>
            <wp:extent cx="6515100" cy="360045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8">
                      <a:extLst>
                        <a:ext uri="{28A0092B-C50C-407E-A947-70E740481C1C}"/>
                      </a:extLst>
                    </a:blip>
                    <a:srcRect/>
                    <a:stretch>
                      <a:fillRect/>
                    </a:stretch>
                  </pic:blipFill>
                  <pic:spPr bwMode="auto">
                    <a:xfrm>
                      <a:off x="0" y="0"/>
                      <a:ext cx="6515100" cy="360045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5" w:lineRule="exact"/>
        <w:rPr>
          <w:sz w:val="20"/>
          <w:szCs w:val="20"/>
          <w:color w:val="auto"/>
        </w:rPr>
      </w:pPr>
    </w:p>
    <w:p>
      <w:pPr>
        <w:jc w:val="both"/>
        <w:ind w:right="20"/>
        <w:spacing w:after="0" w:line="295" w:lineRule="auto"/>
        <w:rPr>
          <w:sz w:val="20"/>
          <w:szCs w:val="20"/>
          <w:color w:val="auto"/>
        </w:rPr>
      </w:pPr>
      <w:r>
        <w:rPr>
          <w:rFonts w:ascii="Times New Roman" w:cs="Times New Roman" w:eastAsia="Times New Roman" w:hAnsi="Times New Roman"/>
          <w:sz w:val="20"/>
          <w:szCs w:val="20"/>
          <w:color w:val="auto"/>
        </w:rPr>
        <w:t>Our solutions are designed to address the challenges facing cannabis consumers and businesses. The Weedmaps marketplace allows cannabis consumers to search for and browse cannabis products from retailers and brands, and ultimately reserve products from certain local retailers, in a manner similar to other technology platforms with breadth and depth of product, brand and retailer selection. With the development of Weedmaps for Business, we offer an end-to-end platform for licensed cannabis retailers to comply with state law. We sell a monthly subscription offering to retailer and brand clients as well as upsell and add-on offerings to licensed clients.</w:t>
      </w:r>
    </w:p>
    <w:p>
      <w:pPr>
        <w:spacing w:after="0" w:line="75"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Our current Weedmaps for Business monthly subscription package includes:</w:t>
      </w:r>
    </w:p>
    <w:p>
      <w:pPr>
        <w:spacing w:after="0" w:line="166" w:lineRule="exact"/>
        <w:rPr>
          <w:sz w:val="20"/>
          <w:szCs w:val="20"/>
          <w:color w:val="auto"/>
        </w:rPr>
      </w:pPr>
    </w:p>
    <w:p>
      <w:pPr>
        <w:jc w:val="both"/>
        <w:ind w:left="720" w:right="20" w:hanging="366"/>
        <w:spacing w:after="0" w:line="301" w:lineRule="auto"/>
        <w:tabs>
          <w:tab w:leader="none" w:pos="720" w:val="left"/>
        </w:tabs>
        <w:numPr>
          <w:ilvl w:val="0"/>
          <w:numId w:val="1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WM Listings: A listing page with product menu for a retailer or brand on the Weedmaps marketplace, enabling our clients to be discovered by the marketplace’s users. This also allows clients to disclose their license information, hours of operation, contact information, discount policies and other information that may be required under applicable state law.</w:t>
      </w:r>
    </w:p>
    <w:p>
      <w:pPr>
        <w:spacing w:after="0" w:line="12" w:lineRule="exact"/>
        <w:rPr>
          <w:rFonts w:ascii="Times New Roman" w:cs="Times New Roman" w:eastAsia="Times New Roman" w:hAnsi="Times New Roman"/>
          <w:sz w:val="20"/>
          <w:szCs w:val="20"/>
          <w:color w:val="auto"/>
        </w:rPr>
      </w:pPr>
    </w:p>
    <w:p>
      <w:pPr>
        <w:jc w:val="both"/>
        <w:ind w:left="720" w:hanging="366"/>
        <w:spacing w:after="0" w:line="297" w:lineRule="auto"/>
        <w:tabs>
          <w:tab w:leader="none" w:pos="720" w:val="left"/>
        </w:tabs>
        <w:numPr>
          <w:ilvl w:val="0"/>
          <w:numId w:val="1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WM Orders: Software for retailers to receive pickup and delivery orders directly from a Weedmaps listing and connect orders directly with a client’s POS system (for certain POS systems). The marketplace also enables brands to route customer purchase interest to a retailer that carries the brand’s product. After a dispensary receives the order request from the consumer, the dispensary and the consumer can continue to communicate, adjust items in the request, and handle any stock issues, prior to and while the dispensary processes and fulfills the order.</w:t>
      </w:r>
    </w:p>
    <w:p>
      <w:pPr>
        <w:spacing w:after="0" w:line="17" w:lineRule="exact"/>
        <w:rPr>
          <w:rFonts w:ascii="Times New Roman" w:cs="Times New Roman" w:eastAsia="Times New Roman" w:hAnsi="Times New Roman"/>
          <w:sz w:val="20"/>
          <w:szCs w:val="20"/>
          <w:color w:val="auto"/>
        </w:rPr>
      </w:pPr>
    </w:p>
    <w:p>
      <w:pPr>
        <w:jc w:val="both"/>
        <w:ind w:left="720" w:hanging="366"/>
        <w:spacing w:after="0" w:line="301" w:lineRule="auto"/>
        <w:tabs>
          <w:tab w:leader="none" w:pos="720" w:val="left"/>
        </w:tabs>
        <w:numPr>
          <w:ilvl w:val="0"/>
          <w:numId w:val="1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WM Store: Customizable order and menus embed which allows retailers and brands to import their Weedmaps listing menu or product reservation functionality to their own white-labeled WM Store website or separately owned website. WM Store facilitates customer pickup or delivery orders and enables retailers to reach more customers by bringing the breadth of the Weedmaps marketplace to a client’s own website.</w:t>
      </w:r>
    </w:p>
    <w:p>
      <w:pPr>
        <w:spacing w:after="0" w:line="12" w:lineRule="exact"/>
        <w:rPr>
          <w:rFonts w:ascii="Times New Roman" w:cs="Times New Roman" w:eastAsia="Times New Roman" w:hAnsi="Times New Roman"/>
          <w:sz w:val="20"/>
          <w:szCs w:val="20"/>
          <w:color w:val="auto"/>
        </w:rPr>
      </w:pPr>
    </w:p>
    <w:p>
      <w:pPr>
        <w:jc w:val="both"/>
        <w:ind w:left="720" w:hanging="366"/>
        <w:spacing w:after="0" w:line="297" w:lineRule="auto"/>
        <w:tabs>
          <w:tab w:leader="none" w:pos="720" w:val="left"/>
        </w:tabs>
        <w:numPr>
          <w:ilvl w:val="0"/>
          <w:numId w:val="1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WM Connectors: A centralized integration platform, including API tools, for easier menu management, automatic inventory updates and streamlined order fulfillment to enable clients to save time and more easily integrate into the WM Technology ecosystem and integrate with disparate software systems. This creates business efficiencies and improves the accuracy and timeliness of information across Weedmaps, creating a more positive experience for consumers and businesses.</w:t>
      </w:r>
    </w:p>
    <w:p>
      <w:pPr>
        <w:spacing w:after="0" w:line="334"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20"/>
          <w:szCs w:val="20"/>
          <w:color w:val="auto"/>
        </w:rPr>
        <w:t>7</w:t>
      </w:r>
    </w:p>
    <w:p>
      <w:pPr>
        <w:sectPr>
          <w:pgSz w:w="12240" w:h="15840" w:orient="portrait"/>
          <w:cols w:equalWidth="0" w:num="1">
            <w:col w:w="10260"/>
          </w:cols>
          <w:pgMar w:left="1000" w:top="882" w:right="980" w:bottom="222" w:gutter="0" w:footer="0" w:header="0"/>
        </w:sectPr>
      </w:pPr>
    </w:p>
    <w:bookmarkStart w:id="11" w:name="page12"/>
    <w:bookmarkEnd w:id="11"/>
    <w:p>
      <w:pPr>
        <w:jc w:val="both"/>
        <w:ind w:left="720" w:hanging="366"/>
        <w:spacing w:after="0" w:line="301" w:lineRule="auto"/>
        <w:tabs>
          <w:tab w:leader="none" w:pos="720" w:val="left"/>
        </w:tabs>
        <w:numPr>
          <w:ilvl w:val="0"/>
          <w:numId w:val="1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WM Insights: An insights and analytics platform for clients leveraging data across the Weedmaps marketplace and software solutions. WM Insights provides data and analytics on user engagement and traffic trends to a client’s listing page. For Brand clients, WM Insights allows them to monitor their brand and product rankings, identify retailers not carrying products and keep track of top brands and products by category and state.</w:t>
      </w:r>
    </w:p>
    <w:p>
      <w:pPr>
        <w:spacing w:after="0" w:line="70"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0"/>
          <w:szCs w:val="20"/>
          <w:color w:val="auto"/>
        </w:rPr>
        <w:t>We also offer other add-on products for additional fees, including:</w:t>
      </w:r>
    </w:p>
    <w:p>
      <w:pPr>
        <w:spacing w:after="0" w:line="166" w:lineRule="exact"/>
        <w:rPr>
          <w:sz w:val="20"/>
          <w:szCs w:val="20"/>
          <w:color w:val="auto"/>
        </w:rPr>
      </w:pPr>
    </w:p>
    <w:p>
      <w:pPr>
        <w:ind w:left="720" w:right="20" w:hanging="366"/>
        <w:spacing w:after="0" w:line="326" w:lineRule="auto"/>
        <w:tabs>
          <w:tab w:leader="none" w:pos="720" w:val="left"/>
        </w:tabs>
        <w:numPr>
          <w:ilvl w:val="0"/>
          <w:numId w:val="1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WM Ads: Ad solutions on the Weedmaps marketplace designed for clients to amplify their businesses and reach more highly engaged cannabis consumers throughout their buying journey including:</w:t>
      </w:r>
    </w:p>
    <w:p>
      <w:pPr>
        <w:spacing w:after="0" w:line="44" w:lineRule="exact"/>
        <w:rPr>
          <w:rFonts w:ascii="Times New Roman" w:cs="Times New Roman" w:eastAsia="Times New Roman" w:hAnsi="Times New Roman"/>
          <w:sz w:val="20"/>
          <w:szCs w:val="20"/>
          <w:color w:val="auto"/>
        </w:rPr>
      </w:pPr>
    </w:p>
    <w:p>
      <w:pPr>
        <w:ind w:left="1440" w:right="20" w:hanging="366"/>
        <w:spacing w:after="0" w:line="336" w:lineRule="auto"/>
        <w:tabs>
          <w:tab w:leader="none" w:pos="1440" w:val="left"/>
        </w:tabs>
        <w:numPr>
          <w:ilvl w:val="1"/>
          <w:numId w:val="12"/>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Featured Listings: Premium placement ad solutions on high visibility locations on the Weedmaps marketplace (desktop and mobile) to amplify our clients’ businesses and maximize clients’ listings and deal presence.</w:t>
      </w:r>
    </w:p>
    <w:p>
      <w:pPr>
        <w:jc w:val="both"/>
        <w:ind w:left="1440" w:right="20" w:hanging="366"/>
        <w:spacing w:after="0" w:line="309" w:lineRule="auto"/>
        <w:tabs>
          <w:tab w:leader="none" w:pos="1440" w:val="left"/>
        </w:tabs>
        <w:numPr>
          <w:ilvl w:val="1"/>
          <w:numId w:val="1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WM Deals: Discount and promotion pricing tools that let clients strategically reach prospective price-conscious cannabis customers with deals or discounts to drive conversion. In some jurisdictions, it is required by applicable law to showcase discounts.</w:t>
      </w:r>
    </w:p>
    <w:p>
      <w:pPr>
        <w:spacing w:after="0" w:line="4" w:lineRule="exact"/>
        <w:rPr>
          <w:rFonts w:ascii="Times New Roman" w:cs="Times New Roman" w:eastAsia="Times New Roman" w:hAnsi="Times New Roman"/>
          <w:sz w:val="20"/>
          <w:szCs w:val="20"/>
          <w:color w:val="auto"/>
        </w:rPr>
      </w:pPr>
    </w:p>
    <w:p>
      <w:pPr>
        <w:jc w:val="both"/>
        <w:ind w:left="1440" w:hanging="366"/>
        <w:spacing w:after="0" w:line="306" w:lineRule="auto"/>
        <w:tabs>
          <w:tab w:leader="none" w:pos="1440" w:val="left"/>
        </w:tabs>
        <w:numPr>
          <w:ilvl w:val="1"/>
          <w:numId w:val="1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Other WM Ads solutions: Includes banner ads and promotion tiles on our marketplace as well as banner ads that can be tied to keyword searches. These products provide clients with targeted ad solutions in highly visible slots across our digital surfaces.</w:t>
      </w:r>
    </w:p>
    <w:p>
      <w:pPr>
        <w:spacing w:after="0" w:line="5" w:lineRule="exact"/>
        <w:rPr>
          <w:rFonts w:ascii="Times New Roman" w:cs="Times New Roman" w:eastAsia="Times New Roman" w:hAnsi="Times New Roman"/>
          <w:sz w:val="20"/>
          <w:szCs w:val="20"/>
          <w:color w:val="auto"/>
        </w:rPr>
      </w:pPr>
    </w:p>
    <w:p>
      <w:pPr>
        <w:jc w:val="both"/>
        <w:ind w:left="720" w:hanging="366"/>
        <w:spacing w:after="0" w:line="309" w:lineRule="auto"/>
        <w:tabs>
          <w:tab w:leader="none" w:pos="720" w:val="left"/>
        </w:tabs>
        <w:numPr>
          <w:ilvl w:val="0"/>
          <w:numId w:val="1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WM Dispatch: Compliant, automated and optimized logistics and fulfillment last-mile delivery software (including driver apps) that helps clients manage their delivery fleets. This product streamlines the delivery experience from in-store to front-door.</w:t>
      </w:r>
    </w:p>
    <w:p>
      <w:pPr>
        <w:spacing w:after="0" w:line="120" w:lineRule="exact"/>
        <w:rPr>
          <w:sz w:val="20"/>
          <w:szCs w:val="20"/>
          <w:color w:val="auto"/>
        </w:rPr>
      </w:pPr>
    </w:p>
    <w:p>
      <w:pPr>
        <w:jc w:val="both"/>
        <w:ind w:right="20"/>
        <w:spacing w:after="0" w:line="309" w:lineRule="auto"/>
        <w:rPr>
          <w:sz w:val="20"/>
          <w:szCs w:val="20"/>
          <w:color w:val="auto"/>
        </w:rPr>
      </w:pPr>
      <w:r>
        <w:rPr>
          <w:rFonts w:ascii="Times New Roman" w:cs="Times New Roman" w:eastAsia="Times New Roman" w:hAnsi="Times New Roman"/>
          <w:sz w:val="20"/>
          <w:szCs w:val="20"/>
          <w:color w:val="auto"/>
        </w:rPr>
        <w:t>In December 2023, we completed the sunset of WM AdSuite, WM CRM and WM Screens product offerings as we continue to focus our efforts on other Weedmaps for Business products that support the Weedmaps marketplace and improve the eCommerce experience for our clients and users.</w:t>
      </w:r>
    </w:p>
    <w:p>
      <w:pPr>
        <w:spacing w:after="0" w:line="62" w:lineRule="exact"/>
        <w:rPr>
          <w:sz w:val="20"/>
          <w:szCs w:val="20"/>
          <w:color w:val="auto"/>
        </w:rPr>
      </w:pPr>
    </w:p>
    <w:p>
      <w:pPr>
        <w:jc w:val="both"/>
        <w:ind w:right="20"/>
        <w:spacing w:after="0" w:line="295" w:lineRule="auto"/>
        <w:rPr>
          <w:sz w:val="20"/>
          <w:szCs w:val="20"/>
          <w:color w:val="auto"/>
        </w:rPr>
      </w:pPr>
      <w:r>
        <w:rPr>
          <w:rFonts w:ascii="Times New Roman" w:cs="Times New Roman" w:eastAsia="Times New Roman" w:hAnsi="Times New Roman"/>
          <w:sz w:val="20"/>
          <w:szCs w:val="20"/>
          <w:color w:val="auto"/>
        </w:rPr>
        <w:t>We sell our Weedmaps for Business suite in the United States and have a limited number of non-monetized listings in several other countries including Austria, Canada, Germany, the Netherlands, Spain and Switzerland. We operate in the United States, Canada and other foreign jurisdictions where medical and/or adult cannabis use is legal under state or national law. As of December 31, 2023, we actively operated in over 35 U.S. states and territories that have adult-use and/or medical-use regulations in place. We define actively operated markets as those U.S. states or territories with greater than $1,000 monthly revenue. Substantially all of our revenue was generated in the United States.</w:t>
      </w:r>
    </w:p>
    <w:p>
      <w:pPr>
        <w:spacing w:after="0" w:line="75" w:lineRule="exact"/>
        <w:rPr>
          <w:sz w:val="20"/>
          <w:szCs w:val="20"/>
          <w:color w:val="auto"/>
        </w:rPr>
      </w:pPr>
    </w:p>
    <w:p>
      <w:pPr>
        <w:jc w:val="both"/>
        <w:ind w:right="20"/>
        <w:spacing w:after="0" w:line="296" w:lineRule="auto"/>
        <w:rPr>
          <w:sz w:val="20"/>
          <w:szCs w:val="20"/>
          <w:color w:val="auto"/>
        </w:rPr>
      </w:pPr>
      <w:r>
        <w:rPr>
          <w:rFonts w:ascii="Times New Roman" w:cs="Times New Roman" w:eastAsia="Times New Roman" w:hAnsi="Times New Roman"/>
          <w:sz w:val="20"/>
          <w:szCs w:val="20"/>
          <w:color w:val="auto"/>
        </w:rPr>
        <w:t>Our mission is to power a transparent and inclusive global cannabis economy. Our technology addresses the challenges facing both consumers seeking to understand cannabis products and businesses who serve cannabis users in a legally compliant fashion. Since our founding in 2008, Weedmaps has become a premier destination for cannabis consumers to discover and browse information regarding cannabis and cannabis products, permitting product discovery and order-ahead for pickup or delivery by participating retailers. Weedmaps for Business is a set of eCommerce-enablement tools designed to help retailers and brands get the best out of the Weedmaps’ consumer experience, create labor efficiencies and manage compliance needs.</w:t>
      </w:r>
    </w:p>
    <w:p>
      <w:pPr>
        <w:spacing w:after="0" w:line="76" w:lineRule="exact"/>
        <w:rPr>
          <w:sz w:val="20"/>
          <w:szCs w:val="20"/>
          <w:color w:val="auto"/>
        </w:rPr>
      </w:pPr>
    </w:p>
    <w:p>
      <w:pPr>
        <w:jc w:val="both"/>
        <w:ind w:right="20"/>
        <w:spacing w:after="0" w:line="297" w:lineRule="auto"/>
        <w:rPr>
          <w:sz w:val="20"/>
          <w:szCs w:val="20"/>
          <w:color w:val="auto"/>
        </w:rPr>
      </w:pPr>
      <w:r>
        <w:rPr>
          <w:rFonts w:ascii="Times New Roman" w:cs="Times New Roman" w:eastAsia="Times New Roman" w:hAnsi="Times New Roman"/>
          <w:sz w:val="20"/>
          <w:szCs w:val="20"/>
          <w:color w:val="auto"/>
        </w:rPr>
        <w:t>We hold a strong belief in the importance of enabling safe, legal access to cannabis for consumers worldwide. We believe we offer the only comprehensive software platform that allows cannabis retailers to reach their target audience, quickly and cost effectively, addressing a wide range of needs. We are committed to building the software solutions that power cannabis businesses compliantly in the industry, to advocating for legalization, licensing and social equity of cannabis and to facilitating further learning through partnership with subject matter experts to provide detailed, accurate information about cannabis.</w:t>
      </w:r>
    </w:p>
    <w:p>
      <w:pPr>
        <w:spacing w:after="0" w:line="74" w:lineRule="exact"/>
        <w:rPr>
          <w:sz w:val="20"/>
          <w:szCs w:val="20"/>
          <w:color w:val="auto"/>
        </w:rPr>
      </w:pPr>
    </w:p>
    <w:p>
      <w:pPr>
        <w:jc w:val="both"/>
        <w:spacing w:after="0" w:line="294" w:lineRule="auto"/>
        <w:rPr>
          <w:sz w:val="20"/>
          <w:szCs w:val="20"/>
          <w:color w:val="auto"/>
        </w:rPr>
      </w:pPr>
      <w:r>
        <w:rPr>
          <w:rFonts w:ascii="Times New Roman" w:cs="Times New Roman" w:eastAsia="Times New Roman" w:hAnsi="Times New Roman"/>
          <w:sz w:val="20"/>
          <w:szCs w:val="20"/>
          <w:color w:val="auto"/>
        </w:rPr>
        <w:t>As we continue to expand the presence and increase the number of consumers on the Weedmaps marketplace and broaden our offerings, we generate more value for our business clients. As we continue to expand the presence and increase the number of cannabis businesses listed on weedmaps.com, we become a more compelling marketplace for consumers. To capitalize on the growth opportunities of our two-sided marketplace and solutions, we plan to continue making investments in raising brand awareness, increasing penetration within existing markets and expanding to new markets, as well as continuing to develop and monetize new solutions to extend the functionality of our platform. These investments serve to deepen the consumer experience with our platform and continue to provide a high level of support to our business clients.</w:t>
      </w:r>
    </w:p>
    <w:p>
      <w:pPr>
        <w:spacing w:after="0" w:line="282"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20"/>
          <w:szCs w:val="20"/>
          <w:color w:val="auto"/>
        </w:rPr>
        <w:t>8</w:t>
      </w:r>
    </w:p>
    <w:p>
      <w:pPr>
        <w:sectPr>
          <w:pgSz w:w="12240" w:h="15840" w:orient="portrait"/>
          <w:cols w:equalWidth="0" w:num="1">
            <w:col w:w="10260"/>
          </w:cols>
          <w:pgMar w:left="1000" w:top="884" w:right="980" w:bottom="222" w:gutter="0" w:footer="0" w:header="0"/>
        </w:sectPr>
      </w:pPr>
    </w:p>
    <w:bookmarkStart w:id="12" w:name="page13"/>
    <w:bookmarkEnd w:id="12"/>
    <w:p>
      <w:pPr>
        <w:jc w:val="both"/>
        <w:ind w:left="6"/>
        <w:spacing w:after="0" w:line="309" w:lineRule="auto"/>
        <w:rPr>
          <w:sz w:val="20"/>
          <w:szCs w:val="20"/>
          <w:color w:val="auto"/>
        </w:rPr>
      </w:pPr>
      <w:r>
        <w:rPr>
          <w:rFonts w:ascii="Times New Roman" w:cs="Times New Roman" w:eastAsia="Times New Roman" w:hAnsi="Times New Roman"/>
          <w:sz w:val="20"/>
          <w:szCs w:val="20"/>
          <w:color w:val="auto"/>
        </w:rPr>
        <w:t>While the cannabis industry is still in the early innings of what could be decades of growth, we have established a leading position and a recognized brand given our 15-year operating history. Over the coming years, we plan to continue expanding our solutions and service offerings.</w:t>
      </w:r>
    </w:p>
    <w:p>
      <w:pPr>
        <w:spacing w:after="0" w:line="60" w:lineRule="exact"/>
        <w:rPr>
          <w:sz w:val="20"/>
          <w:szCs w:val="20"/>
          <w:color w:val="auto"/>
        </w:rPr>
      </w:pPr>
    </w:p>
    <w:p>
      <w:pPr>
        <w:ind w:left="6"/>
        <w:spacing w:after="0"/>
        <w:rPr>
          <w:sz w:val="20"/>
          <w:szCs w:val="20"/>
          <w:color w:val="auto"/>
        </w:rPr>
      </w:pPr>
      <w:r>
        <w:rPr>
          <w:rFonts w:ascii="Times New Roman" w:cs="Times New Roman" w:eastAsia="Times New Roman" w:hAnsi="Times New Roman"/>
          <w:sz w:val="20"/>
          <w:szCs w:val="20"/>
          <w:b w:val="1"/>
          <w:bCs w:val="1"/>
          <w:color w:val="auto"/>
        </w:rPr>
        <w:t>Challenges in Our End-Markets</w:t>
      </w:r>
    </w:p>
    <w:p>
      <w:pPr>
        <w:spacing w:after="0" w:line="168" w:lineRule="exact"/>
        <w:rPr>
          <w:sz w:val="20"/>
          <w:szCs w:val="20"/>
          <w:color w:val="auto"/>
        </w:rPr>
      </w:pPr>
    </w:p>
    <w:p>
      <w:pPr>
        <w:jc w:val="both"/>
        <w:ind w:left="6" w:right="20"/>
        <w:spacing w:after="0" w:line="326" w:lineRule="auto"/>
        <w:rPr>
          <w:sz w:val="20"/>
          <w:szCs w:val="20"/>
          <w:color w:val="auto"/>
        </w:rPr>
      </w:pPr>
      <w:r>
        <w:rPr>
          <w:rFonts w:ascii="Times New Roman" w:cs="Times New Roman" w:eastAsia="Times New Roman" w:hAnsi="Times New Roman"/>
          <w:sz w:val="20"/>
          <w:szCs w:val="20"/>
          <w:color w:val="auto"/>
        </w:rPr>
        <w:t>Despite cannabis being a large and growing sector in the United States, we believe that cannabis is unlike many other consumer goods and retail categories for a number of reasons:</w:t>
      </w:r>
    </w:p>
    <w:p>
      <w:pPr>
        <w:spacing w:after="0" w:line="45" w:lineRule="exact"/>
        <w:rPr>
          <w:sz w:val="20"/>
          <w:szCs w:val="20"/>
          <w:color w:val="auto"/>
        </w:rPr>
      </w:pPr>
    </w:p>
    <w:p>
      <w:pPr>
        <w:ind w:left="726" w:hanging="366"/>
        <w:spacing w:after="0"/>
        <w:tabs>
          <w:tab w:leader="none" w:pos="726" w:val="left"/>
        </w:tabs>
        <w:numPr>
          <w:ilvl w:val="0"/>
          <w:numId w:val="1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Cannabis as a regulated industry is still in a nascent stage of development.</w:t>
      </w:r>
    </w:p>
    <w:p>
      <w:pPr>
        <w:spacing w:after="0" w:line="108" w:lineRule="exact"/>
        <w:rPr>
          <w:rFonts w:ascii="Times New Roman" w:cs="Times New Roman" w:eastAsia="Times New Roman" w:hAnsi="Times New Roman"/>
          <w:sz w:val="20"/>
          <w:szCs w:val="20"/>
          <w:color w:val="auto"/>
        </w:rPr>
      </w:pPr>
    </w:p>
    <w:p>
      <w:pPr>
        <w:jc w:val="both"/>
        <w:ind w:left="726" w:hanging="366"/>
        <w:spacing w:after="0" w:line="267" w:lineRule="auto"/>
        <w:tabs>
          <w:tab w:leader="none" w:pos="727" w:val="left"/>
        </w:tabs>
        <w:numPr>
          <w:ilvl w:val="0"/>
          <w:numId w:val="1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Cannabis users (defined as adults, aged 21 and older, who have consumed cannabis in the past year) represent less than 22% of the total U.S. adult, aged 21 and older, population today</w:t>
      </w:r>
      <w:r>
        <w:rPr>
          <w:rFonts w:ascii="Times New Roman" w:cs="Times New Roman" w:eastAsia="Times New Roman" w:hAnsi="Times New Roman"/>
          <w:sz w:val="25"/>
          <w:szCs w:val="25"/>
          <w:color w:val="auto"/>
          <w:vertAlign w:val="superscript"/>
        </w:rPr>
        <w:t>3</w:t>
      </w:r>
      <w:r>
        <w:rPr>
          <w:rFonts w:ascii="Times New Roman" w:cs="Times New Roman" w:eastAsia="Times New Roman" w:hAnsi="Times New Roman"/>
          <w:sz w:val="20"/>
          <w:szCs w:val="20"/>
          <w:color w:val="auto"/>
        </w:rPr>
        <w:t xml:space="preserve"> (and less than 16% for those that consumed in the past month)</w:t>
      </w:r>
      <w:r>
        <w:rPr>
          <w:rFonts w:ascii="Times New Roman" w:cs="Times New Roman" w:eastAsia="Times New Roman" w:hAnsi="Times New Roman"/>
          <w:sz w:val="25"/>
          <w:szCs w:val="25"/>
          <w:color w:val="auto"/>
          <w:vertAlign w:val="superscript"/>
        </w:rPr>
        <w:t>3</w:t>
      </w:r>
      <w:r>
        <w:rPr>
          <w:rFonts w:ascii="Times New Roman" w:cs="Times New Roman" w:eastAsia="Times New Roman" w:hAnsi="Times New Roman"/>
          <w:sz w:val="20"/>
          <w:szCs w:val="20"/>
          <w:color w:val="auto"/>
        </w:rPr>
        <w:t xml:space="preserve"> without a “typical” user profile</w:t>
      </w:r>
      <w:r>
        <w:rPr>
          <w:rFonts w:ascii="Times New Roman" w:cs="Times New Roman" w:eastAsia="Times New Roman" w:hAnsi="Times New Roman"/>
          <w:sz w:val="25"/>
          <w:szCs w:val="25"/>
          <w:color w:val="auto"/>
          <w:vertAlign w:val="superscript"/>
        </w:rPr>
        <w:t>4</w:t>
      </w:r>
      <w:r>
        <w:rPr>
          <w:rFonts w:ascii="Times New Roman" w:cs="Times New Roman" w:eastAsia="Times New Roman" w:hAnsi="Times New Roman"/>
          <w:sz w:val="20"/>
          <w:szCs w:val="20"/>
          <w:color w:val="auto"/>
        </w:rPr>
        <w:t>.</w:t>
      </w:r>
    </w:p>
    <w:p>
      <w:pPr>
        <w:ind w:left="726" w:hanging="366"/>
        <w:spacing w:after="0"/>
        <w:tabs>
          <w:tab w:leader="none" w:pos="726" w:val="left"/>
        </w:tabs>
        <w:numPr>
          <w:ilvl w:val="0"/>
          <w:numId w:val="1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Regulations governing cannabis are complex and vary state-by-state and by city and county within states.</w:t>
      </w:r>
    </w:p>
    <w:p>
      <w:pPr>
        <w:spacing w:after="0" w:line="98" w:lineRule="exact"/>
        <w:rPr>
          <w:rFonts w:ascii="Times New Roman" w:cs="Times New Roman" w:eastAsia="Times New Roman" w:hAnsi="Times New Roman"/>
          <w:sz w:val="20"/>
          <w:szCs w:val="20"/>
          <w:color w:val="auto"/>
        </w:rPr>
      </w:pPr>
    </w:p>
    <w:p>
      <w:pPr>
        <w:ind w:left="726" w:right="20" w:hanging="367"/>
        <w:spacing w:after="0" w:line="319" w:lineRule="auto"/>
        <w:tabs>
          <w:tab w:leader="none" w:pos="726" w:val="left"/>
        </w:tabs>
        <w:numPr>
          <w:ilvl w:val="0"/>
          <w:numId w:val="1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Cannabis has wide variance in characteristics that make it complex for consumers to make an informed purchase decision.</w:t>
      </w:r>
    </w:p>
    <w:p>
      <w:pPr>
        <w:ind w:left="726" w:hanging="366"/>
        <w:spacing w:after="0"/>
        <w:tabs>
          <w:tab w:leader="none" w:pos="726" w:val="left"/>
        </w:tabs>
        <w:numPr>
          <w:ilvl w:val="0"/>
          <w:numId w:val="1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Cannabis is a perishable good with a lack of product homogeneity.</w:t>
      </w:r>
    </w:p>
    <w:p>
      <w:pPr>
        <w:spacing w:after="0" w:line="101" w:lineRule="exact"/>
        <w:rPr>
          <w:rFonts w:ascii="Times New Roman" w:cs="Times New Roman" w:eastAsia="Times New Roman" w:hAnsi="Times New Roman"/>
          <w:sz w:val="20"/>
          <w:szCs w:val="20"/>
          <w:color w:val="auto"/>
        </w:rPr>
      </w:pPr>
    </w:p>
    <w:p>
      <w:pPr>
        <w:ind w:left="726" w:hanging="366"/>
        <w:spacing w:after="0"/>
        <w:tabs>
          <w:tab w:leader="none" w:pos="726" w:val="left"/>
        </w:tabs>
        <w:numPr>
          <w:ilvl w:val="0"/>
          <w:numId w:val="1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Brands are only in the early stages of establishing a consumer presence.</w:t>
      </w:r>
    </w:p>
    <w:p>
      <w:pPr>
        <w:spacing w:after="0" w:line="108" w:lineRule="exact"/>
        <w:rPr>
          <w:rFonts w:ascii="Times New Roman" w:cs="Times New Roman" w:eastAsia="Times New Roman" w:hAnsi="Times New Roman"/>
          <w:sz w:val="20"/>
          <w:szCs w:val="20"/>
          <w:color w:val="auto"/>
        </w:rPr>
      </w:pPr>
    </w:p>
    <w:p>
      <w:pPr>
        <w:ind w:left="726" w:hanging="366"/>
        <w:spacing w:after="0"/>
        <w:tabs>
          <w:tab w:leader="none" w:pos="726" w:val="left"/>
        </w:tabs>
        <w:numPr>
          <w:ilvl w:val="0"/>
          <w:numId w:val="1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Competition with the illicit market is still an issue, particularly in states like California.</w:t>
      </w:r>
    </w:p>
    <w:p>
      <w:pPr>
        <w:spacing w:after="0" w:line="108" w:lineRule="exact"/>
        <w:rPr>
          <w:rFonts w:ascii="Times New Roman" w:cs="Times New Roman" w:eastAsia="Times New Roman" w:hAnsi="Times New Roman"/>
          <w:sz w:val="20"/>
          <w:szCs w:val="20"/>
          <w:color w:val="auto"/>
        </w:rPr>
      </w:pPr>
    </w:p>
    <w:p>
      <w:pPr>
        <w:ind w:left="726" w:hanging="366"/>
        <w:spacing w:after="0" w:line="319" w:lineRule="auto"/>
        <w:tabs>
          <w:tab w:leader="none" w:pos="726" w:val="left"/>
        </w:tabs>
        <w:numPr>
          <w:ilvl w:val="0"/>
          <w:numId w:val="1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industry has experienced periods of price deflation, including over the past two years, impacting the financial performance of businesses across the value chain.</w:t>
      </w:r>
    </w:p>
    <w:p>
      <w:pPr>
        <w:jc w:val="both"/>
        <w:ind w:left="726" w:hanging="366"/>
        <w:spacing w:after="0" w:line="306" w:lineRule="auto"/>
        <w:tabs>
          <w:tab w:leader="none" w:pos="726" w:val="left"/>
        </w:tabs>
        <w:numPr>
          <w:ilvl w:val="0"/>
          <w:numId w:val="1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Limited access to capital (relative to other industries) and limitations under Section 280E of the Internal Revenue Code of 1986, as amended (the “Code”) on deduction or credit for certain expenses of cannabis business can reduce the cash flow and liquidity of many industry participants.</w:t>
      </w:r>
    </w:p>
    <w:p>
      <w:pPr>
        <w:spacing w:after="0" w:line="40" w:lineRule="exact"/>
        <w:rPr>
          <w:sz w:val="20"/>
          <w:szCs w:val="20"/>
          <w:color w:val="auto"/>
        </w:rPr>
      </w:pPr>
    </w:p>
    <w:p>
      <w:pPr>
        <w:ind w:left="6"/>
        <w:spacing w:after="0"/>
        <w:rPr>
          <w:sz w:val="20"/>
          <w:szCs w:val="20"/>
          <w:color w:val="auto"/>
        </w:rPr>
      </w:pPr>
      <w:r>
        <w:rPr>
          <w:rFonts w:ascii="Times New Roman" w:cs="Times New Roman" w:eastAsia="Times New Roman" w:hAnsi="Times New Roman"/>
          <w:sz w:val="20"/>
          <w:szCs w:val="20"/>
          <w:b w:val="1"/>
          <w:bCs w:val="1"/>
          <w:color w:val="auto"/>
        </w:rPr>
        <w:t>Our Competitive Strengths</w:t>
      </w:r>
    </w:p>
    <w:p>
      <w:pPr>
        <w:spacing w:after="0" w:line="168" w:lineRule="exact"/>
        <w:rPr>
          <w:sz w:val="20"/>
          <w:szCs w:val="20"/>
          <w:color w:val="auto"/>
        </w:rPr>
      </w:pPr>
    </w:p>
    <w:p>
      <w:pPr>
        <w:ind w:left="6"/>
        <w:spacing w:after="0" w:line="334" w:lineRule="auto"/>
        <w:rPr>
          <w:sz w:val="20"/>
          <w:szCs w:val="20"/>
          <w:color w:val="auto"/>
        </w:rPr>
      </w:pPr>
      <w:r>
        <w:rPr>
          <w:rFonts w:ascii="Times New Roman" w:cs="Times New Roman" w:eastAsia="Times New Roman" w:hAnsi="Times New Roman"/>
          <w:sz w:val="20"/>
          <w:szCs w:val="20"/>
          <w:color w:val="auto"/>
        </w:rPr>
        <w:t>Since our founding in 2008, we have grown to become a leading provider of technology solutions to the cannabis industry by leveraging our competitive strengths, including:</w:t>
      </w:r>
    </w:p>
    <w:p>
      <w:pPr>
        <w:spacing w:after="0" w:line="37" w:lineRule="exact"/>
        <w:rPr>
          <w:sz w:val="20"/>
          <w:szCs w:val="20"/>
          <w:color w:val="auto"/>
        </w:rPr>
      </w:pPr>
    </w:p>
    <w:p>
      <w:pPr>
        <w:jc w:val="both"/>
        <w:ind w:left="726" w:right="20" w:hanging="366"/>
        <w:spacing w:after="0" w:line="295" w:lineRule="auto"/>
        <w:tabs>
          <w:tab w:leader="none" w:pos="726" w:val="left"/>
        </w:tabs>
        <w:numPr>
          <w:ilvl w:val="0"/>
          <w:numId w:val="1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b w:val="1"/>
          <w:bCs w:val="1"/>
          <w:i w:val="1"/>
          <w:iCs w:val="1"/>
          <w:color w:val="auto"/>
        </w:rPr>
        <w:t xml:space="preserve">Long History as a Technology Leader Serving the Cannabis Industry. </w:t>
      </w:r>
      <w:r>
        <w:rPr>
          <w:rFonts w:ascii="Times New Roman" w:cs="Times New Roman" w:eastAsia="Times New Roman" w:hAnsi="Times New Roman"/>
          <w:sz w:val="20"/>
          <w:szCs w:val="20"/>
          <w:color w:val="auto"/>
        </w:rPr>
        <w:t>Founded in 2008, we have a long history and</w:t>
      </w:r>
      <w:r>
        <w:rPr>
          <w:rFonts w:ascii="Times New Roman" w:cs="Times New Roman" w:eastAsia="Times New Roman" w:hAnsi="Times New Roman"/>
          <w:sz w:val="20"/>
          <w:szCs w:val="20"/>
          <w:b w:val="1"/>
          <w:bCs w:val="1"/>
          <w:i w:val="1"/>
          <w:iCs w:val="1"/>
          <w:color w:val="auto"/>
        </w:rPr>
        <w:t xml:space="preserve"> </w:t>
      </w:r>
      <w:r>
        <w:rPr>
          <w:rFonts w:ascii="Times New Roman" w:cs="Times New Roman" w:eastAsia="Times New Roman" w:hAnsi="Times New Roman"/>
          <w:sz w:val="20"/>
          <w:szCs w:val="20"/>
          <w:color w:val="auto"/>
        </w:rPr>
        <w:t>established relationships with cannabis businesses and consumers across the United States. This long history has given us several competitive advantages, such as scale, attractive operating margins and local insights into emerging consumer and business trends across many markets. Our policy expertise allows us to anticipate and react quickly to changes in cannabis regulations and informs all aspects of our business, including our product ideation, development and go-to-market strategies.</w:t>
      </w:r>
    </w:p>
    <w:p>
      <w:pPr>
        <w:spacing w:after="0" w:line="17" w:lineRule="exact"/>
        <w:rPr>
          <w:rFonts w:ascii="Times New Roman" w:cs="Times New Roman" w:eastAsia="Times New Roman" w:hAnsi="Times New Roman"/>
          <w:sz w:val="20"/>
          <w:szCs w:val="20"/>
          <w:color w:val="auto"/>
        </w:rPr>
      </w:pPr>
    </w:p>
    <w:p>
      <w:pPr>
        <w:jc w:val="both"/>
        <w:ind w:left="726" w:hanging="366"/>
        <w:spacing w:after="0" w:line="293" w:lineRule="auto"/>
        <w:tabs>
          <w:tab w:leader="none" w:pos="727" w:val="left"/>
        </w:tabs>
        <w:numPr>
          <w:ilvl w:val="0"/>
          <w:numId w:val="1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b w:val="1"/>
          <w:bCs w:val="1"/>
          <w:i w:val="1"/>
          <w:iCs w:val="1"/>
          <w:color w:val="auto"/>
        </w:rPr>
        <w:t xml:space="preserve">Largest Two-Sided Platform for Cannabis Businesses and Consumers. </w:t>
      </w:r>
      <w:r>
        <w:rPr>
          <w:rFonts w:ascii="Times New Roman" w:cs="Times New Roman" w:eastAsia="Times New Roman" w:hAnsi="Times New Roman"/>
          <w:sz w:val="20"/>
          <w:szCs w:val="20"/>
          <w:color w:val="auto"/>
        </w:rPr>
        <w:t>With $188.0 million in revenue and 5,419</w:t>
      </w:r>
      <w:r>
        <w:rPr>
          <w:rFonts w:ascii="Times New Roman" w:cs="Times New Roman" w:eastAsia="Times New Roman" w:hAnsi="Times New Roman"/>
          <w:sz w:val="20"/>
          <w:szCs w:val="20"/>
          <w:b w:val="1"/>
          <w:bCs w:val="1"/>
          <w:i w:val="1"/>
          <w:iCs w:val="1"/>
          <w:color w:val="auto"/>
        </w:rPr>
        <w:t xml:space="preserve"> </w:t>
      </w:r>
      <w:r>
        <w:rPr>
          <w:rFonts w:ascii="Times New Roman" w:cs="Times New Roman" w:eastAsia="Times New Roman" w:hAnsi="Times New Roman"/>
          <w:sz w:val="20"/>
          <w:szCs w:val="20"/>
          <w:color w:val="auto"/>
        </w:rPr>
        <w:t>average monthly paying clients for the year ended December 31, 2023, we believe we are the largest two-sided platform for cannabis businesses and consumers in the United States. As we increase the number of users on our platform, we generate more engagements and can more easily persuade our business clients to consolidate their service providers by switching to our value-priced Weedmaps for Business bundled solution. As we continue to increase the number of businesses on our marketplace, we in turn become a more compelling platform for users. As more businesses and users join the platform, we gain a richer trove of industry data to perform market research and assist in product development and improvement. The result is a self-reinforcing, mutually beneficial, two-sided network effect, which we believe is difficult to replicate.</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0</wp:posOffset>
                </wp:positionH>
                <wp:positionV relativeFrom="paragraph">
                  <wp:posOffset>407035</wp:posOffset>
                </wp:positionV>
                <wp:extent cx="1828800" cy="0"/>
                <wp:wrapNone/>
                <wp:docPr id="5" name="Shape 5"/>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1828800" cy="4763"/>
                        </a:xfrm>
                        <a:prstGeom prst="line">
                          <a:avLst/>
                        </a:prstGeom>
                        <a:solidFill>
                          <a:srgbClr val="FFFFFF"/>
                        </a:solidFill>
                        <a:ln w="9144">
                          <a:solidFill>
                            <a:srgbClr val="000000"/>
                          </a:solidFill>
                          <a:miter lim="800000"/>
                          <a:headEnd/>
                          <a:tailEnd/>
                        </a:ln>
                      </wps:spPr>
                      <wps:bodyPr/>
                    </wps:wsp>
                  </a:graphicData>
                </a:graphic>
              </wp:anchor>
            </w:drawing>
          </mc:Choice>
          <mc:Fallback>
            <w:pict>
              <v:line id="Shape 5" o:spid="_x0000_s1030"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0pt,32.05pt" to="144pt,32.05pt" o:allowincell="f" strokecolor="#000000" strokeweight="0.72pt"/>
            </w:pict>
          </mc:Fallback>
        </mc:AlternateConten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0" w:lineRule="exact"/>
        <w:rPr>
          <w:sz w:val="20"/>
          <w:szCs w:val="20"/>
          <w:color w:val="auto"/>
        </w:rPr>
      </w:pPr>
    </w:p>
    <w:p>
      <w:pPr>
        <w:ind w:left="6" w:right="240" w:hanging="6"/>
        <w:spacing w:after="0" w:line="233" w:lineRule="auto"/>
        <w:tabs>
          <w:tab w:leader="none" w:pos="114" w:val="left"/>
        </w:tabs>
        <w:numPr>
          <w:ilvl w:val="0"/>
          <w:numId w:val="15"/>
        </w:numPr>
        <w:rPr>
          <w:rFonts w:ascii="Times New Roman" w:cs="Times New Roman" w:eastAsia="Times New Roman" w:hAnsi="Times New Roman"/>
          <w:sz w:val="26"/>
          <w:szCs w:val="26"/>
          <w:color w:val="auto"/>
          <w:vertAlign w:val="superscript"/>
        </w:rPr>
      </w:pPr>
      <w:r>
        <w:rPr>
          <w:rFonts w:ascii="Times New Roman" w:cs="Times New Roman" w:eastAsia="Times New Roman" w:hAnsi="Times New Roman"/>
          <w:sz w:val="18"/>
          <w:szCs w:val="18"/>
          <w:color w:val="auto"/>
        </w:rPr>
        <w:t>Numbers of users 21 and above are from the 2022 National Survey on Drug Use and Health, number of 21 and above adults in the United States are from U.S. Census data</w:t>
      </w:r>
    </w:p>
    <w:p>
      <w:pPr>
        <w:spacing w:after="0" w:line="1" w:lineRule="exact"/>
        <w:rPr>
          <w:rFonts w:ascii="Times New Roman" w:cs="Times New Roman" w:eastAsia="Times New Roman" w:hAnsi="Times New Roman"/>
          <w:sz w:val="26"/>
          <w:szCs w:val="26"/>
          <w:color w:val="auto"/>
          <w:vertAlign w:val="superscript"/>
        </w:rPr>
      </w:pPr>
    </w:p>
    <w:p>
      <w:pPr>
        <w:ind w:left="106" w:hanging="106"/>
        <w:spacing w:after="0" w:line="213" w:lineRule="auto"/>
        <w:tabs>
          <w:tab w:leader="none" w:pos="106" w:val="left"/>
        </w:tabs>
        <w:numPr>
          <w:ilvl w:val="0"/>
          <w:numId w:val="15"/>
        </w:numPr>
        <w:rPr>
          <w:rFonts w:ascii="Times New Roman" w:cs="Times New Roman" w:eastAsia="Times New Roman" w:hAnsi="Times New Roman"/>
          <w:sz w:val="26"/>
          <w:szCs w:val="26"/>
          <w:color w:val="auto"/>
          <w:vertAlign w:val="superscript"/>
        </w:rPr>
      </w:pPr>
      <w:r>
        <w:rPr>
          <w:rFonts w:ascii="Times New Roman" w:cs="Times New Roman" w:eastAsia="Times New Roman" w:hAnsi="Times New Roman"/>
          <w:sz w:val="18"/>
          <w:szCs w:val="18"/>
          <w:color w:val="auto"/>
        </w:rPr>
        <w:t>Per 2022 National Survey of Drug Use and Health and U.S. Census data</w:t>
      </w:r>
    </w:p>
    <w:p>
      <w:pPr>
        <w:spacing w:after="0" w:line="256" w:lineRule="exact"/>
        <w:rPr>
          <w:sz w:val="20"/>
          <w:szCs w:val="20"/>
          <w:color w:val="auto"/>
        </w:rPr>
      </w:pPr>
    </w:p>
    <w:p>
      <w:pPr>
        <w:jc w:val="center"/>
        <w:ind w:right="14"/>
        <w:spacing w:after="0"/>
        <w:rPr>
          <w:sz w:val="20"/>
          <w:szCs w:val="20"/>
          <w:color w:val="auto"/>
        </w:rPr>
      </w:pPr>
      <w:r>
        <w:rPr>
          <w:rFonts w:ascii="Times New Roman" w:cs="Times New Roman" w:eastAsia="Times New Roman" w:hAnsi="Times New Roman"/>
          <w:sz w:val="20"/>
          <w:szCs w:val="20"/>
          <w:color w:val="auto"/>
        </w:rPr>
        <w:t>9</w:t>
      </w:r>
    </w:p>
    <w:p>
      <w:pPr>
        <w:sectPr>
          <w:pgSz w:w="12240" w:h="15840" w:orient="portrait"/>
          <w:cols w:equalWidth="0" w:num="1">
            <w:col w:w="10266"/>
          </w:cols>
          <w:pgMar w:left="994" w:top="884" w:right="980" w:bottom="222" w:gutter="0" w:footer="0" w:header="0"/>
        </w:sectPr>
      </w:pPr>
    </w:p>
    <w:bookmarkStart w:id="13" w:name="page14"/>
    <w:bookmarkEnd w:id="13"/>
    <w:p>
      <w:pPr>
        <w:jc w:val="both"/>
        <w:ind w:left="720" w:hanging="366"/>
        <w:spacing w:after="0" w:line="292" w:lineRule="auto"/>
        <w:tabs>
          <w:tab w:leader="none" w:pos="720" w:val="left"/>
        </w:tabs>
        <w:numPr>
          <w:ilvl w:val="0"/>
          <w:numId w:val="1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b w:val="1"/>
          <w:bCs w:val="1"/>
          <w:i w:val="1"/>
          <w:iCs w:val="1"/>
          <w:color w:val="auto"/>
        </w:rPr>
        <w:t xml:space="preserve">A Fully-Integrated Business-in-a-Box SaaS Solution Specific to the Cannabis Industry. </w:t>
      </w:r>
      <w:r>
        <w:rPr>
          <w:rFonts w:ascii="Times New Roman" w:cs="Times New Roman" w:eastAsia="Times New Roman" w:hAnsi="Times New Roman"/>
          <w:sz w:val="20"/>
          <w:szCs w:val="20"/>
          <w:color w:val="auto"/>
        </w:rPr>
        <w:t>We believe our Weedmaps</w:t>
      </w:r>
      <w:r>
        <w:rPr>
          <w:rFonts w:ascii="Times New Roman" w:cs="Times New Roman" w:eastAsia="Times New Roman" w:hAnsi="Times New Roman"/>
          <w:sz w:val="20"/>
          <w:szCs w:val="20"/>
          <w:b w:val="1"/>
          <w:bCs w:val="1"/>
          <w:i w:val="1"/>
          <w:iCs w:val="1"/>
          <w:color w:val="auto"/>
        </w:rPr>
        <w:t xml:space="preserve"> </w:t>
      </w:r>
      <w:r>
        <w:rPr>
          <w:rFonts w:ascii="Times New Roman" w:cs="Times New Roman" w:eastAsia="Times New Roman" w:hAnsi="Times New Roman"/>
          <w:sz w:val="20"/>
          <w:szCs w:val="20"/>
          <w:color w:val="auto"/>
        </w:rPr>
        <w:t>for Business is the industry’s only comprehensive business-in-a-box solution and incorporates embedded compliance functionality so that our clients comply with state law through integrated software solutions ranging from live menus, logistics and fulfillment, POS integrations, inventory management and data and analytics. We also believe we are the only platform servicing cannabis that combines both a scaled marketplace and software - most other technology providers offer software solutions without the marketplace or a marketplace without software. We also believe we offer the most comprehensive software platform that allows cannabis retailers to reach their target audience, quickly and cost effectively, addressing a wide range of needs. Our platform features self-service administrative functionality that enables clients to manage their listings page, including adding images, adjusting their menus, editing product information and responding to reviews as well as analyzing traffic trends.</w:t>
      </w:r>
    </w:p>
    <w:p>
      <w:pPr>
        <w:spacing w:after="0" w:line="24" w:lineRule="exact"/>
        <w:rPr>
          <w:rFonts w:ascii="Times New Roman" w:cs="Times New Roman" w:eastAsia="Times New Roman" w:hAnsi="Times New Roman"/>
          <w:sz w:val="20"/>
          <w:szCs w:val="20"/>
          <w:color w:val="auto"/>
        </w:rPr>
      </w:pPr>
    </w:p>
    <w:p>
      <w:pPr>
        <w:jc w:val="both"/>
        <w:ind w:left="720" w:hanging="366"/>
        <w:spacing w:after="0" w:line="295" w:lineRule="auto"/>
        <w:tabs>
          <w:tab w:leader="none" w:pos="720" w:val="left"/>
        </w:tabs>
        <w:numPr>
          <w:ilvl w:val="0"/>
          <w:numId w:val="1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b w:val="1"/>
          <w:bCs w:val="1"/>
          <w:i w:val="1"/>
          <w:iCs w:val="1"/>
          <w:color w:val="auto"/>
        </w:rPr>
        <w:t xml:space="preserve">Unique and Growing Data Asset. </w:t>
      </w:r>
      <w:r>
        <w:rPr>
          <w:rFonts w:ascii="Times New Roman" w:cs="Times New Roman" w:eastAsia="Times New Roman" w:hAnsi="Times New Roman"/>
          <w:sz w:val="20"/>
          <w:szCs w:val="20"/>
          <w:color w:val="auto"/>
        </w:rPr>
        <w:t>As a result our established presence, scale and the breadth of product offerings that</w:t>
      </w:r>
      <w:r>
        <w:rPr>
          <w:rFonts w:ascii="Times New Roman" w:cs="Times New Roman" w:eastAsia="Times New Roman" w:hAnsi="Times New Roman"/>
          <w:sz w:val="20"/>
          <w:szCs w:val="20"/>
          <w:b w:val="1"/>
          <w:bCs w:val="1"/>
          <w:i w:val="1"/>
          <w:iCs w:val="1"/>
          <w:color w:val="auto"/>
        </w:rPr>
        <w:t xml:space="preserve"> </w:t>
      </w:r>
      <w:r>
        <w:rPr>
          <w:rFonts w:ascii="Times New Roman" w:cs="Times New Roman" w:eastAsia="Times New Roman" w:hAnsi="Times New Roman"/>
          <w:sz w:val="20"/>
          <w:szCs w:val="20"/>
          <w:color w:val="auto"/>
        </w:rPr>
        <w:t>provide us with a high volume of retail-level information and user insights, we have a growing and unique first-party data asset. Currently, the cannabis industry has few reliable sources of fulsome datasets. Our data gives us insights on local market trends and the shape of the consumer journey from exploration and discovery to point of direct interaction with retailers across multiple retailers, brands and products. As our network of clients and consumers continues to grow, our data set will become deeper and richer, increasing its value and our potential monetization opportunities.</w:t>
      </w:r>
    </w:p>
    <w:p>
      <w:pPr>
        <w:spacing w:after="0" w:line="17" w:lineRule="exact"/>
        <w:rPr>
          <w:rFonts w:ascii="Times New Roman" w:cs="Times New Roman" w:eastAsia="Times New Roman" w:hAnsi="Times New Roman"/>
          <w:sz w:val="20"/>
          <w:szCs w:val="20"/>
          <w:color w:val="auto"/>
        </w:rPr>
      </w:pPr>
    </w:p>
    <w:p>
      <w:pPr>
        <w:jc w:val="both"/>
        <w:ind w:left="720" w:hanging="366"/>
        <w:spacing w:after="0" w:line="309" w:lineRule="auto"/>
        <w:tabs>
          <w:tab w:leader="none" w:pos="720" w:val="left"/>
        </w:tabs>
        <w:numPr>
          <w:ilvl w:val="0"/>
          <w:numId w:val="16"/>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b w:val="1"/>
          <w:bCs w:val="1"/>
          <w:i w:val="1"/>
          <w:iCs w:val="1"/>
          <w:color w:val="auto"/>
        </w:rPr>
        <w:t xml:space="preserve">Ability to Innovate Rapidly and Launch New Products Efficiently at Scale. </w:t>
      </w:r>
      <w:r>
        <w:rPr>
          <w:rFonts w:ascii="Times New Roman" w:cs="Times New Roman" w:eastAsia="Times New Roman" w:hAnsi="Times New Roman"/>
          <w:sz w:val="19"/>
          <w:szCs w:val="19"/>
          <w:color w:val="auto"/>
        </w:rPr>
        <w:t>We have an agile product innovation and</w:t>
      </w:r>
      <w:r>
        <w:rPr>
          <w:rFonts w:ascii="Times New Roman" w:cs="Times New Roman" w:eastAsia="Times New Roman" w:hAnsi="Times New Roman"/>
          <w:sz w:val="19"/>
          <w:szCs w:val="19"/>
          <w:b w:val="1"/>
          <w:bCs w:val="1"/>
          <w:i w:val="1"/>
          <w:iCs w:val="1"/>
          <w:color w:val="auto"/>
        </w:rPr>
        <w:t xml:space="preserve"> </w:t>
      </w:r>
      <w:r>
        <w:rPr>
          <w:rFonts w:ascii="Times New Roman" w:cs="Times New Roman" w:eastAsia="Times New Roman" w:hAnsi="Times New Roman"/>
          <w:sz w:val="19"/>
          <w:szCs w:val="19"/>
          <w:color w:val="auto"/>
        </w:rPr>
        <w:t>deployment process. Our sales team frequently engages with our paid clients about the products they use, as well as their business objectives and performance. We constantly strive to generate product ideas through this deep engagement with our clients, as well as empirical research. During the initial development phases, we test a proposed offering with relevant areas of our business such as sales, compliance, legal, marketing and technology, and use the resulting cross-functional input to develop a clear business rationale and explicit articulation of the goals, client problems that need to be solved, compliance features that need to be incorporated, and potential product-market fit prior to the investment of developer time and company resources. We leverage reusable microservices architecture and modular technology that can be redeployed across multiple new offerings for quicker development cycles. This streamlined approach yields smaller initiatives requiring less investment, enabling us to deliver cost-effective product innovation at a rapid pace.</w:t>
      </w:r>
    </w:p>
    <w:p>
      <w:pPr>
        <w:spacing w:after="0" w:line="9" w:lineRule="exact"/>
        <w:rPr>
          <w:rFonts w:ascii="Times New Roman" w:cs="Times New Roman" w:eastAsia="Times New Roman" w:hAnsi="Times New Roman"/>
          <w:sz w:val="19"/>
          <w:szCs w:val="19"/>
          <w:color w:val="auto"/>
        </w:rPr>
      </w:pPr>
    </w:p>
    <w:p>
      <w:pPr>
        <w:jc w:val="both"/>
        <w:ind w:left="720" w:hanging="366"/>
        <w:spacing w:after="0" w:line="294" w:lineRule="auto"/>
        <w:tabs>
          <w:tab w:leader="none" w:pos="720" w:val="left"/>
        </w:tabs>
        <w:numPr>
          <w:ilvl w:val="0"/>
          <w:numId w:val="1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b w:val="1"/>
          <w:bCs w:val="1"/>
          <w:i w:val="1"/>
          <w:iCs w:val="1"/>
          <w:color w:val="auto"/>
        </w:rPr>
        <w:t xml:space="preserve">Capital-Efficient Business Model with Historical Track Record of Positive Cash Flows. </w:t>
      </w:r>
      <w:r>
        <w:rPr>
          <w:rFonts w:ascii="Times New Roman" w:cs="Times New Roman" w:eastAsia="Times New Roman" w:hAnsi="Times New Roman"/>
          <w:sz w:val="20"/>
          <w:szCs w:val="20"/>
          <w:color w:val="auto"/>
        </w:rPr>
        <w:t>We operate a cloud-based</w:t>
      </w:r>
      <w:r>
        <w:rPr>
          <w:rFonts w:ascii="Times New Roman" w:cs="Times New Roman" w:eastAsia="Times New Roman" w:hAnsi="Times New Roman"/>
          <w:sz w:val="20"/>
          <w:szCs w:val="20"/>
          <w:b w:val="1"/>
          <w:bCs w:val="1"/>
          <w:i w:val="1"/>
          <w:iCs w:val="1"/>
          <w:color w:val="auto"/>
        </w:rPr>
        <w:t xml:space="preserve"> </w:t>
      </w:r>
      <w:r>
        <w:rPr>
          <w:rFonts w:ascii="Times New Roman" w:cs="Times New Roman" w:eastAsia="Times New Roman" w:hAnsi="Times New Roman"/>
          <w:sz w:val="20"/>
          <w:szCs w:val="20"/>
          <w:color w:val="auto"/>
        </w:rPr>
        <w:t>platform, and unlike other cannabis-related businesses, we require minimal physical footprint and are not directly exposed to fluctuations in product input costs. We do not require real estate or other significant capital outlays to enter new markets. Our offerings can be efficiently customized to new markets to facilitate expansion, which provides significant flexibility to scale and enter new markets with minimal investment. The capital-efficiency of our business model is evidenced by our historical robust margin profile and, prior to 2022, our track record of positive Adjusted EBITDA and cash flows from operating activities,</w:t>
      </w:r>
    </w:p>
    <w:p>
      <w:pPr>
        <w:spacing w:after="0" w:line="15" w:lineRule="exact"/>
        <w:rPr>
          <w:rFonts w:ascii="Times New Roman" w:cs="Times New Roman" w:eastAsia="Times New Roman" w:hAnsi="Times New Roman"/>
          <w:sz w:val="20"/>
          <w:szCs w:val="20"/>
          <w:color w:val="auto"/>
        </w:rPr>
      </w:pPr>
    </w:p>
    <w:p>
      <w:pPr>
        <w:jc w:val="both"/>
        <w:ind w:left="720" w:hanging="366"/>
        <w:spacing w:after="0" w:line="296" w:lineRule="auto"/>
        <w:tabs>
          <w:tab w:leader="none" w:pos="720" w:val="left"/>
        </w:tabs>
        <w:numPr>
          <w:ilvl w:val="0"/>
          <w:numId w:val="1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b w:val="1"/>
          <w:bCs w:val="1"/>
          <w:i w:val="1"/>
          <w:iCs w:val="1"/>
          <w:color w:val="auto"/>
        </w:rPr>
        <w:t xml:space="preserve">Operationally-Focused Management Team with Deep Experience. </w:t>
      </w:r>
      <w:r>
        <w:rPr>
          <w:rFonts w:ascii="Times New Roman" w:cs="Times New Roman" w:eastAsia="Times New Roman" w:hAnsi="Times New Roman"/>
          <w:sz w:val="20"/>
          <w:szCs w:val="20"/>
          <w:color w:val="auto"/>
        </w:rPr>
        <w:t>Our executive leadership team has extensive and</w:t>
      </w:r>
      <w:r>
        <w:rPr>
          <w:rFonts w:ascii="Times New Roman" w:cs="Times New Roman" w:eastAsia="Times New Roman" w:hAnsi="Times New Roman"/>
          <w:sz w:val="20"/>
          <w:szCs w:val="20"/>
          <w:b w:val="1"/>
          <w:bCs w:val="1"/>
          <w:i w:val="1"/>
          <w:iCs w:val="1"/>
          <w:color w:val="auto"/>
        </w:rPr>
        <w:t xml:space="preserve"> </w:t>
      </w:r>
      <w:r>
        <w:rPr>
          <w:rFonts w:ascii="Times New Roman" w:cs="Times New Roman" w:eastAsia="Times New Roman" w:hAnsi="Times New Roman"/>
          <w:sz w:val="20"/>
          <w:szCs w:val="20"/>
          <w:color w:val="auto"/>
        </w:rPr>
        <w:t>relevant professional experience spanning the technology, consumer, retail, legal and financial services industries, with a track record of operational execution and driving growth. Our Executive Chair and Principal Executive Officer, Douglas Francis is a co-founder of WM Technology and, prior to 2019, had served as its Chief Executive Officer. We believe our deep knowledge of our end-markets and broad-based operational expertise spanning several industry sectors provides a key competitive advantage in executing against our growth strategy.</w:t>
      </w:r>
    </w:p>
    <w:p>
      <w:pPr>
        <w:spacing w:after="0" w:line="74"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Our Growth Strategy</w:t>
      </w:r>
    </w:p>
    <w:p>
      <w:pPr>
        <w:spacing w:after="0" w:line="168" w:lineRule="exact"/>
        <w:rPr>
          <w:sz w:val="20"/>
          <w:szCs w:val="20"/>
          <w:color w:val="auto"/>
        </w:rPr>
      </w:pPr>
    </w:p>
    <w:p>
      <w:pPr>
        <w:jc w:val="both"/>
        <w:spacing w:after="0" w:line="301" w:lineRule="auto"/>
        <w:rPr>
          <w:sz w:val="20"/>
          <w:szCs w:val="20"/>
          <w:color w:val="auto"/>
        </w:rPr>
      </w:pPr>
      <w:r>
        <w:rPr>
          <w:rFonts w:ascii="Times New Roman" w:cs="Times New Roman" w:eastAsia="Times New Roman" w:hAnsi="Times New Roman"/>
          <w:sz w:val="20"/>
          <w:szCs w:val="20"/>
          <w:color w:val="auto"/>
        </w:rPr>
        <w:t>As a leading marketplace and software platform, our goal is not only to grow our market share but to grow the entire market by promoting wider access to licensed cannabis, educating consumers on how to shop for cannabis and providing licensed operators with the tools they need to access users and grow their businesses. We believe we are well-positioned to capitalize on underlying growth across our end-markets by executing against our strategy as follows:</w:t>
      </w:r>
    </w:p>
    <w:p>
      <w:pPr>
        <w:spacing w:after="0" w:line="70" w:lineRule="exact"/>
        <w:rPr>
          <w:sz w:val="20"/>
          <w:szCs w:val="20"/>
          <w:color w:val="auto"/>
        </w:rPr>
      </w:pPr>
    </w:p>
    <w:p>
      <w:pPr>
        <w:jc w:val="both"/>
        <w:ind w:left="720" w:hanging="367"/>
        <w:spacing w:after="0" w:line="321" w:lineRule="auto"/>
        <w:tabs>
          <w:tab w:leader="none" w:pos="720" w:val="left"/>
        </w:tabs>
        <w:numPr>
          <w:ilvl w:val="0"/>
          <w:numId w:val="17"/>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b w:val="1"/>
          <w:bCs w:val="1"/>
          <w:i w:val="1"/>
          <w:iCs w:val="1"/>
          <w:color w:val="auto"/>
        </w:rPr>
        <w:t xml:space="preserve">Grow Our Two-Sided Marketplace. </w:t>
      </w:r>
      <w:r>
        <w:rPr>
          <w:rFonts w:ascii="Times New Roman" w:cs="Times New Roman" w:eastAsia="Times New Roman" w:hAnsi="Times New Roman"/>
          <w:sz w:val="19"/>
          <w:szCs w:val="19"/>
          <w:color w:val="auto"/>
        </w:rPr>
        <w:t>Our goal is to be the center of commerce for consumers seeking cannabis. To</w:t>
      </w:r>
      <w:r>
        <w:rPr>
          <w:rFonts w:ascii="Times New Roman" w:cs="Times New Roman" w:eastAsia="Times New Roman" w:hAnsi="Times New Roman"/>
          <w:sz w:val="19"/>
          <w:szCs w:val="19"/>
          <w:b w:val="1"/>
          <w:bCs w:val="1"/>
          <w:i w:val="1"/>
          <w:iCs w:val="1"/>
          <w:color w:val="auto"/>
        </w:rPr>
        <w:t xml:space="preserve"> </w:t>
      </w:r>
      <w:r>
        <w:rPr>
          <w:rFonts w:ascii="Times New Roman" w:cs="Times New Roman" w:eastAsia="Times New Roman" w:hAnsi="Times New Roman"/>
          <w:sz w:val="19"/>
          <w:szCs w:val="19"/>
          <w:color w:val="auto"/>
        </w:rPr>
        <w:t>support this goal, we intend to continue growing the number of consumers on our platform through original content that educates, entertains, facilitates discovery of new products, increases awareness of our platform and encourages repeat usage. As we grow our users and user engagements, we will continue to engage with our clients to demonstrate the value</w:t>
      </w:r>
    </w:p>
    <w:p>
      <w:pPr>
        <w:spacing w:after="0" w:line="27"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20"/>
          <w:szCs w:val="20"/>
          <w:color w:val="auto"/>
        </w:rPr>
        <w:t>10</w:t>
      </w:r>
    </w:p>
    <w:p>
      <w:pPr>
        <w:sectPr>
          <w:pgSz w:w="12240" w:h="15840" w:orient="portrait"/>
          <w:cols w:equalWidth="0" w:num="1">
            <w:col w:w="10260"/>
          </w:cols>
          <w:pgMar w:left="1000" w:top="884" w:right="980" w:bottom="222" w:gutter="0" w:footer="0" w:header="0"/>
        </w:sectPr>
      </w:pPr>
    </w:p>
    <w:bookmarkStart w:id="14" w:name="page15"/>
    <w:bookmarkEnd w:id="14"/>
    <w:p>
      <w:pPr>
        <w:ind w:left="720" w:right="20"/>
        <w:spacing w:after="0" w:line="319" w:lineRule="auto"/>
        <w:rPr>
          <w:sz w:val="20"/>
          <w:szCs w:val="20"/>
          <w:color w:val="auto"/>
        </w:rPr>
      </w:pPr>
      <w:r>
        <w:rPr>
          <w:rFonts w:ascii="Times New Roman" w:cs="Times New Roman" w:eastAsia="Times New Roman" w:hAnsi="Times New Roman"/>
          <w:sz w:val="20"/>
          <w:szCs w:val="20"/>
          <w:color w:val="auto"/>
        </w:rPr>
        <w:t>we believe they receive on our platform and can convince more businesses to increase adoption of our Weedmaps for Business services through our Weedmaps for Business subscription offering and additional add-ons.</w:t>
      </w:r>
    </w:p>
    <w:p>
      <w:pPr>
        <w:spacing w:after="0" w:line="1" w:lineRule="exact"/>
        <w:rPr>
          <w:sz w:val="20"/>
          <w:szCs w:val="20"/>
          <w:color w:val="auto"/>
        </w:rPr>
      </w:pPr>
    </w:p>
    <w:p>
      <w:pPr>
        <w:jc w:val="both"/>
        <w:ind w:left="720" w:hanging="366"/>
        <w:spacing w:after="0" w:line="306" w:lineRule="auto"/>
        <w:tabs>
          <w:tab w:leader="none" w:pos="721" w:val="left"/>
        </w:tabs>
        <w:numPr>
          <w:ilvl w:val="0"/>
          <w:numId w:val="18"/>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b w:val="1"/>
          <w:bCs w:val="1"/>
          <w:i w:val="1"/>
          <w:iCs w:val="1"/>
          <w:color w:val="auto"/>
        </w:rPr>
        <w:t xml:space="preserve">Expand Our Existing Markets and Enter New Markets. </w:t>
      </w:r>
      <w:r>
        <w:rPr>
          <w:rFonts w:ascii="Times New Roman" w:cs="Times New Roman" w:eastAsia="Times New Roman" w:hAnsi="Times New Roman"/>
          <w:sz w:val="19"/>
          <w:szCs w:val="19"/>
          <w:color w:val="auto"/>
        </w:rPr>
        <w:t>We have a significant opportunity to grow our client base both</w:t>
      </w:r>
      <w:r>
        <w:rPr>
          <w:rFonts w:ascii="Times New Roman" w:cs="Times New Roman" w:eastAsia="Times New Roman" w:hAnsi="Times New Roman"/>
          <w:sz w:val="19"/>
          <w:szCs w:val="19"/>
          <w:b w:val="1"/>
          <w:bCs w:val="1"/>
          <w:i w:val="1"/>
          <w:iCs w:val="1"/>
          <w:color w:val="auto"/>
        </w:rPr>
        <w:t xml:space="preserve"> </w:t>
      </w:r>
      <w:r>
        <w:rPr>
          <w:rFonts w:ascii="Times New Roman" w:cs="Times New Roman" w:eastAsia="Times New Roman" w:hAnsi="Times New Roman"/>
          <w:sz w:val="19"/>
          <w:szCs w:val="19"/>
          <w:color w:val="auto"/>
        </w:rPr>
        <w:t>within existing markets that are continuing to grow and new markets as they become open to regulated cannabis. We believe we are a nationally-recognized brand in the cannabis industry, and we are monetizing our platform in over 35 U.S. states and territories, as of December 31, 2023. Based on our internal research, we believe the minimum level of acceptable retail density to have a healthy and functioning licensed market is one licensed retailer per 10,000 residents. Many of the U.S. states where we operate today are still under-penetrated with low levels of licensed retail density. We believe that there are tremendous growth opportunities for us within our existing markets as retail licenses continue to be issued, and states move towards, and eventually beyond, the one retail license per 10,000 people ratio. As of December 31, 2023, there were approximately 11,900 existing retail and delivery licenses across the United States. Assuming no cap on the number of licenses issued or other restrictions on the number of licenses issued, if these same markets were to issue enough licenses to match a ratio of one retail license per 10,000 residents, approximately 22,000 new retail licenses would be issued. This may require continued liberalization of license restrictions across cities and counties within certain states where we do business today. In addition, we believe that legalization by additional states and eventually the U.S. government is inevitable. Assuming no other restrictions on the number of licenses issued, if the entire United States reached a minimum level of density of one retail license per 10,000 residents, the total universe of retail licenses would reach approximately 34,000, which is approximately 2.8 times the current count of retail licenses in the United States. If our assumptions and projections are correct, this represents a significant growth opportunity for us as every new retail license issued is an opportunity to onboard a new client onto our platform and increase their monthly spend as they leverage more of our services, solutions and upsell / add-on products.</w:t>
      </w:r>
    </w:p>
    <w:p>
      <w:pPr>
        <w:spacing w:after="0" w:line="15" w:lineRule="exact"/>
        <w:rPr>
          <w:rFonts w:ascii="Times New Roman" w:cs="Times New Roman" w:eastAsia="Times New Roman" w:hAnsi="Times New Roman"/>
          <w:sz w:val="19"/>
          <w:szCs w:val="19"/>
          <w:color w:val="auto"/>
        </w:rPr>
      </w:pPr>
    </w:p>
    <w:p>
      <w:pPr>
        <w:jc w:val="both"/>
        <w:ind w:left="720" w:hanging="367"/>
        <w:spacing w:after="0" w:line="292" w:lineRule="auto"/>
        <w:tabs>
          <w:tab w:leader="none" w:pos="720" w:val="left"/>
        </w:tabs>
        <w:numPr>
          <w:ilvl w:val="0"/>
          <w:numId w:val="1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b w:val="1"/>
          <w:bCs w:val="1"/>
          <w:i w:val="1"/>
          <w:iCs w:val="1"/>
          <w:color w:val="auto"/>
        </w:rPr>
        <w:t xml:space="preserve">Expand Our Weedmaps for Business Solutions and Monetize Gross Merchandise Value (“GMV”) Consistent with Federal and State Laws. </w:t>
      </w:r>
      <w:r>
        <w:rPr>
          <w:rFonts w:ascii="Times New Roman" w:cs="Times New Roman" w:eastAsia="Times New Roman" w:hAnsi="Times New Roman"/>
          <w:sz w:val="20"/>
          <w:szCs w:val="20"/>
          <w:color w:val="auto"/>
        </w:rPr>
        <w:t>We intend to continue expanding our suite of valuable advertising and software solutions and</w:t>
      </w:r>
      <w:r>
        <w:rPr>
          <w:rFonts w:ascii="Times New Roman" w:cs="Times New Roman" w:eastAsia="Times New Roman" w:hAnsi="Times New Roman"/>
          <w:sz w:val="20"/>
          <w:szCs w:val="20"/>
          <w:b w:val="1"/>
          <w:bCs w:val="1"/>
          <w:i w:val="1"/>
          <w:iCs w:val="1"/>
          <w:color w:val="auto"/>
        </w:rPr>
        <w:t xml:space="preserve"> </w:t>
      </w:r>
      <w:r>
        <w:rPr>
          <w:rFonts w:ascii="Times New Roman" w:cs="Times New Roman" w:eastAsia="Times New Roman" w:hAnsi="Times New Roman"/>
          <w:sz w:val="20"/>
          <w:szCs w:val="20"/>
          <w:color w:val="auto"/>
        </w:rPr>
        <w:t>the functionality of our Weedmaps for Business solutions through additional offerings of premium analytics and loyalty tools, among other solutions, which we intend to monetize through additional higher priced tiers within our subscription offering. We will continue to expand the availability of our POS integrations across additional states. We also are continuously improving the base-level functionality across our Weedmaps for Business solutions. We believe these initiatives will result in a more engaged client who utilizes more of our services across our platform and is more ripe for monetization opportunities over time. While we do not believe GMV is a driver of our revenue currently, GMV could represent significant monetization potential over time when and if U.S. federal regulations allow us to monetize our clients’ currently off-platform transaction activity through take-rates or payment fees.</w:t>
      </w:r>
    </w:p>
    <w:p>
      <w:pPr>
        <w:spacing w:after="0" w:line="15" w:lineRule="exact"/>
        <w:rPr>
          <w:rFonts w:ascii="Times New Roman" w:cs="Times New Roman" w:eastAsia="Times New Roman" w:hAnsi="Times New Roman"/>
          <w:sz w:val="20"/>
          <w:szCs w:val="20"/>
          <w:color w:val="auto"/>
        </w:rPr>
      </w:pPr>
    </w:p>
    <w:p>
      <w:pPr>
        <w:jc w:val="both"/>
        <w:ind w:left="720" w:hanging="367"/>
        <w:spacing w:after="0" w:line="309" w:lineRule="auto"/>
        <w:tabs>
          <w:tab w:leader="none" w:pos="720" w:val="left"/>
        </w:tabs>
        <w:numPr>
          <w:ilvl w:val="0"/>
          <w:numId w:val="1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b w:val="1"/>
          <w:bCs w:val="1"/>
          <w:i w:val="1"/>
          <w:iCs w:val="1"/>
          <w:color w:val="auto"/>
        </w:rPr>
        <w:t xml:space="preserve">Pursue Strategic Acquisitions. </w:t>
      </w:r>
      <w:r>
        <w:rPr>
          <w:rFonts w:ascii="Times New Roman" w:cs="Times New Roman" w:eastAsia="Times New Roman" w:hAnsi="Times New Roman"/>
          <w:sz w:val="20"/>
          <w:szCs w:val="20"/>
          <w:color w:val="auto"/>
        </w:rPr>
        <w:t>We take a measured approach to acquisition-related growth. We intend to continue</w:t>
      </w:r>
      <w:r>
        <w:rPr>
          <w:rFonts w:ascii="Times New Roman" w:cs="Times New Roman" w:eastAsia="Times New Roman" w:hAnsi="Times New Roman"/>
          <w:sz w:val="20"/>
          <w:szCs w:val="20"/>
          <w:b w:val="1"/>
          <w:bCs w:val="1"/>
          <w:i w:val="1"/>
          <w:iCs w:val="1"/>
          <w:color w:val="auto"/>
        </w:rPr>
        <w:t xml:space="preserve"> </w:t>
      </w:r>
      <w:r>
        <w:rPr>
          <w:rFonts w:ascii="Times New Roman" w:cs="Times New Roman" w:eastAsia="Times New Roman" w:hAnsi="Times New Roman"/>
          <w:sz w:val="20"/>
          <w:szCs w:val="20"/>
          <w:color w:val="auto"/>
        </w:rPr>
        <w:t>selectively pursuing opportunities to invest in and acquire technology offerings that either complement our existing products and services or allow us to accelerate our growth.</w:t>
      </w:r>
    </w:p>
    <w:p>
      <w:pPr>
        <w:spacing w:after="0" w:line="6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Competition</w:t>
      </w:r>
    </w:p>
    <w:p>
      <w:pPr>
        <w:spacing w:after="0" w:line="168" w:lineRule="exact"/>
        <w:rPr>
          <w:sz w:val="20"/>
          <w:szCs w:val="20"/>
          <w:color w:val="auto"/>
        </w:rPr>
      </w:pPr>
    </w:p>
    <w:p>
      <w:pPr>
        <w:jc w:val="both"/>
        <w:spacing w:after="0" w:line="291" w:lineRule="auto"/>
        <w:rPr>
          <w:sz w:val="20"/>
          <w:szCs w:val="20"/>
          <w:color w:val="auto"/>
        </w:rPr>
      </w:pPr>
      <w:r>
        <w:rPr>
          <w:rFonts w:ascii="Times New Roman" w:cs="Times New Roman" w:eastAsia="Times New Roman" w:hAnsi="Times New Roman"/>
          <w:sz w:val="20"/>
          <w:szCs w:val="20"/>
          <w:color w:val="auto"/>
        </w:rPr>
        <w:t>Our direct competitors for individual components or parts of our platform include cannabis-focused, technology companies like Leafly, Dutchie and Jane Technologies and a variety of cannabis-focused marketing and advertising technology solutions. In addition, for our retail listing pages, our platform may also compete with current or potential products and solutions offered by internet search engines and advertising networks like Google, Yelp, various other newspaper, television and media companies, as well as outdoor billboard advertising. We believe that the principal competitive factors in our market include the scale of our network, comprehensiveness of offerings, ease of adoption and use, ability to facilitate compliance with the complex, disparate regulations applicable to businesses operating in the cannabis industry and the breadth and trustworthiness of information available to consumers and brand. We believe we compete favorably based on these factors. On May 16, 2024, President Biden announced that the U.S. Attorney General initiated proceedings to transfer cannabis from Schedule I to Schedule III, through a Notice of Proposed Rulemaking ("NPRM") published on May 21, 2024 This decision is expected to have far reaching implications that are not yet fully understood. For example, rescheduling may increase competitors in this space if non-cannabis technology companies who have previously avoided the space now decide to enter the market.</w:t>
      </w:r>
    </w:p>
    <w:p>
      <w:pPr>
        <w:spacing w:after="0" w:line="200" w:lineRule="exact"/>
        <w:rPr>
          <w:sz w:val="20"/>
          <w:szCs w:val="20"/>
          <w:color w:val="auto"/>
        </w:rPr>
      </w:pPr>
    </w:p>
    <w:p>
      <w:pPr>
        <w:spacing w:after="0" w:line="313"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20"/>
          <w:szCs w:val="20"/>
          <w:color w:val="auto"/>
        </w:rPr>
        <w:t>11</w:t>
      </w:r>
    </w:p>
    <w:p>
      <w:pPr>
        <w:sectPr>
          <w:pgSz w:w="12240" w:h="15840" w:orient="portrait"/>
          <w:cols w:equalWidth="0" w:num="1">
            <w:col w:w="10260"/>
          </w:cols>
          <w:pgMar w:left="1000" w:top="884" w:right="980" w:bottom="222" w:gutter="0" w:footer="0" w:header="0"/>
        </w:sectPr>
      </w:pPr>
    </w:p>
    <w:bookmarkStart w:id="15" w:name="page16"/>
    <w:bookmarkEnd w:id="15"/>
    <w:p>
      <w:pPr>
        <w:jc w:val="both"/>
        <w:spacing w:after="0" w:line="309" w:lineRule="auto"/>
        <w:rPr>
          <w:sz w:val="20"/>
          <w:szCs w:val="20"/>
          <w:color w:val="auto"/>
        </w:rPr>
      </w:pPr>
      <w:r>
        <w:rPr>
          <w:rFonts w:ascii="Times New Roman" w:cs="Times New Roman" w:eastAsia="Times New Roman" w:hAnsi="Times New Roman"/>
          <w:sz w:val="20"/>
          <w:szCs w:val="20"/>
          <w:color w:val="auto"/>
        </w:rPr>
        <w:t>For additional information about the risks to our business related to competition, see the section entitled “Risk Factors-Risks Related to our Business and Industry—We currently face intense competition in the market and we expect competition to further intensify as the cannabis industry continues to evolve.”</w:t>
      </w:r>
    </w:p>
    <w:p>
      <w:pPr>
        <w:spacing w:after="0" w:line="6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Sales and Marketing</w:t>
      </w:r>
    </w:p>
    <w:p>
      <w:pPr>
        <w:spacing w:after="0" w:line="17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Sales</w:t>
      </w:r>
    </w:p>
    <w:p>
      <w:pPr>
        <w:spacing w:after="0" w:line="164" w:lineRule="exact"/>
        <w:rPr>
          <w:sz w:val="20"/>
          <w:szCs w:val="20"/>
          <w:color w:val="auto"/>
        </w:rPr>
      </w:pPr>
    </w:p>
    <w:p>
      <w:pPr>
        <w:jc w:val="both"/>
        <w:ind w:right="20"/>
        <w:spacing w:after="0" w:line="326" w:lineRule="auto"/>
        <w:rPr>
          <w:sz w:val="20"/>
          <w:szCs w:val="20"/>
          <w:color w:val="auto"/>
        </w:rPr>
      </w:pPr>
      <w:r>
        <w:rPr>
          <w:rFonts w:ascii="Times New Roman" w:cs="Times New Roman" w:eastAsia="Times New Roman" w:hAnsi="Times New Roman"/>
          <w:sz w:val="20"/>
          <w:szCs w:val="20"/>
          <w:color w:val="auto"/>
        </w:rPr>
        <w:t>Our sales team is primarily based out of our Irvine, California headquarters. Members of our sales team are knowledgeable about the products and add-ons that we offer and assist new and existing clients with our platform.</w:t>
      </w:r>
    </w:p>
    <w:p>
      <w:pPr>
        <w:spacing w:after="0" w:line="45" w:lineRule="exact"/>
        <w:rPr>
          <w:sz w:val="20"/>
          <w:szCs w:val="20"/>
          <w:color w:val="auto"/>
        </w:rPr>
      </w:pPr>
    </w:p>
    <w:p>
      <w:pPr>
        <w:jc w:val="both"/>
        <w:ind w:right="20"/>
        <w:spacing w:after="0" w:line="309" w:lineRule="auto"/>
        <w:rPr>
          <w:sz w:val="20"/>
          <w:szCs w:val="20"/>
          <w:color w:val="auto"/>
        </w:rPr>
      </w:pPr>
      <w:r>
        <w:rPr>
          <w:rFonts w:ascii="Times New Roman" w:cs="Times New Roman" w:eastAsia="Times New Roman" w:hAnsi="Times New Roman"/>
          <w:sz w:val="20"/>
          <w:szCs w:val="20"/>
          <w:color w:val="auto"/>
        </w:rPr>
        <w:t>We generate many leads for new listing pages through the applicable state cannabis regulators’ lists of licensees. Other leads are created from inbound requests by applicants for cannabis licenses to begin establishing their business’ presence on our platform pending an expected cannabis license.</w:t>
      </w:r>
    </w:p>
    <w:p>
      <w:pPr>
        <w:spacing w:after="0" w:line="64"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Marketing</w:t>
      </w:r>
    </w:p>
    <w:p>
      <w:pPr>
        <w:spacing w:after="0" w:line="164" w:lineRule="exact"/>
        <w:rPr>
          <w:sz w:val="20"/>
          <w:szCs w:val="20"/>
          <w:color w:val="auto"/>
        </w:rPr>
      </w:pPr>
    </w:p>
    <w:p>
      <w:pPr>
        <w:jc w:val="both"/>
        <w:spacing w:after="0" w:line="306" w:lineRule="auto"/>
        <w:rPr>
          <w:sz w:val="20"/>
          <w:szCs w:val="20"/>
          <w:color w:val="auto"/>
        </w:rPr>
      </w:pPr>
      <w:r>
        <w:rPr>
          <w:rFonts w:ascii="Times New Roman" w:cs="Times New Roman" w:eastAsia="Times New Roman" w:hAnsi="Times New Roman"/>
          <w:sz w:val="20"/>
          <w:szCs w:val="20"/>
          <w:color w:val="auto"/>
        </w:rPr>
        <w:t>We believe the quality and strength of our platform is our most valuable marketing asset. Our marketing strategy, across both business-to-consumer and business-to-business commerce, consists of user acquisition, brand marketing, communications and field marketing.</w:t>
      </w:r>
    </w:p>
    <w:p>
      <w:pPr>
        <w:spacing w:after="0" w:line="63" w:lineRule="exact"/>
        <w:rPr>
          <w:sz w:val="20"/>
          <w:szCs w:val="20"/>
          <w:color w:val="auto"/>
        </w:rPr>
      </w:pPr>
    </w:p>
    <w:p>
      <w:pPr>
        <w:jc w:val="both"/>
        <w:spacing w:after="0" w:line="284" w:lineRule="auto"/>
        <w:rPr>
          <w:sz w:val="20"/>
          <w:szCs w:val="20"/>
          <w:color w:val="auto"/>
        </w:rPr>
      </w:pPr>
      <w:r>
        <w:rPr>
          <w:rFonts w:ascii="Times New Roman" w:cs="Times New Roman" w:eastAsia="Times New Roman" w:hAnsi="Times New Roman"/>
          <w:sz w:val="20"/>
          <w:szCs w:val="20"/>
          <w:color w:val="auto"/>
        </w:rPr>
        <w:t>Our key marketing efforts consist of driving awareness of the marketplace, new user acquisition, and increasing platform engagement with existing users. To drive awareness, we apply a range of strategies from broad integrated marketing campaigns, such as our work each year on April 20</w:t>
      </w:r>
      <w:r>
        <w:rPr>
          <w:rFonts w:ascii="Times New Roman" w:cs="Times New Roman" w:eastAsia="Times New Roman" w:hAnsi="Times New Roman"/>
          <w:sz w:val="25"/>
          <w:szCs w:val="25"/>
          <w:color w:val="auto"/>
          <w:vertAlign w:val="superscript"/>
        </w:rPr>
        <w:t>th</w:t>
      </w:r>
      <w:r>
        <w:rPr>
          <w:rFonts w:ascii="Times New Roman" w:cs="Times New Roman" w:eastAsia="Times New Roman" w:hAnsi="Times New Roman"/>
          <w:sz w:val="20"/>
          <w:szCs w:val="20"/>
          <w:color w:val="auto"/>
        </w:rPr>
        <w:t xml:space="preserve"> (“420”), to local, on-the ground events in partnership with brands and retailers like Jack in the Box. While many traditional paid channels are still not available to cannabis industry brands (Google search and some social platforms for example) we have an evolving playbook of tactics to acquire new users that includes a combination of targeted out-of-home, programmatic display, and affiliate marketing campaigns. We augment our paid efforts with social media and SEO tactics to drive organic traffic. To engage and retain existing users, we apply lifecycle tactics, leveraging our first party data to personalize touch points based on user interests.</w:t>
      </w:r>
    </w:p>
    <w:p>
      <w:pPr>
        <w:spacing w:after="0" w:line="88" w:lineRule="exact"/>
        <w:rPr>
          <w:sz w:val="20"/>
          <w:szCs w:val="20"/>
          <w:color w:val="auto"/>
        </w:rPr>
      </w:pPr>
    </w:p>
    <w:p>
      <w:pPr>
        <w:jc w:val="both"/>
        <w:spacing w:after="0" w:line="301" w:lineRule="auto"/>
        <w:rPr>
          <w:sz w:val="20"/>
          <w:szCs w:val="20"/>
          <w:color w:val="auto"/>
        </w:rPr>
      </w:pPr>
      <w:r>
        <w:rPr>
          <w:rFonts w:ascii="Times New Roman" w:cs="Times New Roman" w:eastAsia="Times New Roman" w:hAnsi="Times New Roman"/>
          <w:sz w:val="20"/>
          <w:szCs w:val="20"/>
          <w:color w:val="auto"/>
        </w:rPr>
        <w:t>In 2023, our marketing function continued to focus on ways to drive greater adoption of our platform through new and innovative tactics such as in-app promotions and shopping tools, and self-help chat bots. Given the strength of our brand, we have continued to see strength in the performance of our marketing tactics in what can be a crowded market, easing the acquisition or upsell process for our sales team.</w:t>
      </w:r>
    </w:p>
    <w:p>
      <w:pPr>
        <w:spacing w:after="0" w:line="68"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Social Impact</w:t>
      </w:r>
    </w:p>
    <w:p>
      <w:pPr>
        <w:spacing w:after="0" w:line="168" w:lineRule="exact"/>
        <w:rPr>
          <w:sz w:val="20"/>
          <w:szCs w:val="20"/>
          <w:color w:val="auto"/>
        </w:rPr>
      </w:pPr>
    </w:p>
    <w:p>
      <w:pPr>
        <w:jc w:val="both"/>
        <w:spacing w:after="0" w:line="293" w:lineRule="auto"/>
        <w:rPr>
          <w:sz w:val="20"/>
          <w:szCs w:val="20"/>
          <w:color w:val="auto"/>
        </w:rPr>
      </w:pPr>
      <w:r>
        <w:rPr>
          <w:rFonts w:ascii="Times New Roman" w:cs="Times New Roman" w:eastAsia="Times New Roman" w:hAnsi="Times New Roman"/>
          <w:sz w:val="20"/>
          <w:szCs w:val="20"/>
          <w:color w:val="auto"/>
        </w:rPr>
        <w:t>To support the growth of an inclusive cannabis industry, we participate in policy panels and organize educational sessions to educate attendees about the importance of social equity programs and other policy initiatives that are designed to ensure the ability of people of color and those impacted by the war on drugs to participate in the legal cannabis markets that are opening (i.e. social equity licensing programs). We have drafted white papers and mock legislative provisions that were designed to support the enactment of social equity licensing programs and have advocated for state and local governments to enact social equity licensing programs. We have established a program, WM Teal, which stands for “Together for Equity Access and Legislation”, through which we provide free software, advertising, educational materials and training programs to applicants or licenses under social equity licensing programs.</w:t>
      </w:r>
    </w:p>
    <w:p>
      <w:pPr>
        <w:spacing w:after="0" w:line="77"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Product Development</w:t>
      </w:r>
    </w:p>
    <w:p>
      <w:pPr>
        <w:spacing w:after="0" w:line="168" w:lineRule="exact"/>
        <w:rPr>
          <w:sz w:val="20"/>
          <w:szCs w:val="20"/>
          <w:color w:val="auto"/>
        </w:rPr>
      </w:pPr>
    </w:p>
    <w:p>
      <w:pPr>
        <w:jc w:val="both"/>
        <w:spacing w:after="0" w:line="301" w:lineRule="auto"/>
        <w:rPr>
          <w:sz w:val="20"/>
          <w:szCs w:val="20"/>
          <w:color w:val="auto"/>
        </w:rPr>
      </w:pPr>
      <w:r>
        <w:rPr>
          <w:rFonts w:ascii="Times New Roman" w:cs="Times New Roman" w:eastAsia="Times New Roman" w:hAnsi="Times New Roman"/>
          <w:sz w:val="20"/>
          <w:szCs w:val="20"/>
          <w:color w:val="auto"/>
        </w:rPr>
        <w:t>Our product development efforts focus on adding new features and solutions to our platform, as well as increasing the functionality and enhancing the ease of use of our platform. While we expect product development costs to increase as we continue to increase the functionality of our platform, we expect the percentage of total revenues represented by such costs to remain unchanged.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0"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20"/>
          <w:szCs w:val="20"/>
          <w:color w:val="auto"/>
        </w:rPr>
        <w:t>12</w:t>
      </w:r>
    </w:p>
    <w:p>
      <w:pPr>
        <w:sectPr>
          <w:pgSz w:w="12240" w:h="15840" w:orient="portrait"/>
          <w:cols w:equalWidth="0" w:num="1">
            <w:col w:w="10260"/>
          </w:cols>
          <w:pgMar w:left="1000" w:top="884" w:right="980" w:bottom="222" w:gutter="0" w:footer="0" w:header="0"/>
        </w:sectPr>
      </w:pPr>
    </w:p>
    <w:bookmarkStart w:id="16" w:name="page17"/>
    <w:bookmarkEnd w:id="16"/>
    <w:p>
      <w:pPr>
        <w:spacing w:after="0"/>
        <w:rPr>
          <w:sz w:val="20"/>
          <w:szCs w:val="20"/>
          <w:color w:val="auto"/>
        </w:rPr>
      </w:pPr>
      <w:r>
        <w:rPr>
          <w:rFonts w:ascii="Times New Roman" w:cs="Times New Roman" w:eastAsia="Times New Roman" w:hAnsi="Times New Roman"/>
          <w:sz w:val="20"/>
          <w:szCs w:val="20"/>
          <w:b w:val="1"/>
          <w:bCs w:val="1"/>
          <w:color w:val="auto"/>
        </w:rPr>
        <w:t>Intellectual Property</w:t>
      </w:r>
    </w:p>
    <w:p>
      <w:pPr>
        <w:spacing w:after="0" w:line="168" w:lineRule="exact"/>
        <w:rPr>
          <w:sz w:val="20"/>
          <w:szCs w:val="20"/>
          <w:color w:val="auto"/>
        </w:rPr>
      </w:pPr>
    </w:p>
    <w:p>
      <w:pPr>
        <w:jc w:val="both"/>
        <w:ind w:right="20"/>
        <w:spacing w:after="0" w:line="291" w:lineRule="auto"/>
        <w:rPr>
          <w:sz w:val="20"/>
          <w:szCs w:val="20"/>
          <w:color w:val="auto"/>
        </w:rPr>
      </w:pPr>
      <w:r>
        <w:rPr>
          <w:rFonts w:ascii="Times New Roman" w:cs="Times New Roman" w:eastAsia="Times New Roman" w:hAnsi="Times New Roman"/>
          <w:sz w:val="20"/>
          <w:szCs w:val="20"/>
          <w:color w:val="auto"/>
        </w:rPr>
        <w:t>Our intellectual property and proprietary rights are valuable assets that are important to our business. In our efforts to safeguard our intellectual property, including copyrights, trade secrets, trademarks, patents and other forms of intellectual property rights, we rely on a combination of federal, state, common law and international rights in the jurisdictions in which we operate.</w:t>
      </w:r>
    </w:p>
    <w:p>
      <w:pPr>
        <w:spacing w:after="0" w:line="56" w:lineRule="exact"/>
        <w:rPr>
          <w:sz w:val="20"/>
          <w:szCs w:val="20"/>
          <w:color w:val="auto"/>
        </w:rPr>
      </w:pPr>
    </w:p>
    <w:p>
      <w:pPr>
        <w:jc w:val="both"/>
        <w:ind w:right="20"/>
        <w:spacing w:after="0" w:line="309" w:lineRule="auto"/>
        <w:rPr>
          <w:sz w:val="20"/>
          <w:szCs w:val="20"/>
          <w:color w:val="auto"/>
        </w:rPr>
      </w:pPr>
      <w:r>
        <w:rPr>
          <w:rFonts w:ascii="Times New Roman" w:cs="Times New Roman" w:eastAsia="Times New Roman" w:hAnsi="Times New Roman"/>
          <w:sz w:val="20"/>
          <w:szCs w:val="20"/>
          <w:color w:val="auto"/>
        </w:rPr>
        <w:t>We have an ongoing trademark and service mark registration program pursuant to which we register our brand names, taglines and logos in the United States, Canada, the European Union and other jurisdictions to the extent we determine they are appropriate and cost-effective.</w:t>
      </w:r>
    </w:p>
    <w:p>
      <w:pPr>
        <w:spacing w:after="0" w:line="62" w:lineRule="exact"/>
        <w:rPr>
          <w:sz w:val="20"/>
          <w:szCs w:val="20"/>
          <w:color w:val="auto"/>
        </w:rPr>
      </w:pPr>
    </w:p>
    <w:p>
      <w:pPr>
        <w:jc w:val="both"/>
        <w:spacing w:after="0" w:line="306" w:lineRule="auto"/>
        <w:rPr>
          <w:sz w:val="20"/>
          <w:szCs w:val="20"/>
          <w:color w:val="auto"/>
        </w:rPr>
      </w:pPr>
      <w:r>
        <w:rPr>
          <w:rFonts w:ascii="Times New Roman" w:cs="Times New Roman" w:eastAsia="Times New Roman" w:hAnsi="Times New Roman"/>
          <w:sz w:val="20"/>
          <w:szCs w:val="20"/>
          <w:color w:val="auto"/>
        </w:rPr>
        <w:t>As of December 31, 2023, we have been issued trademark registrations in the United States, Canada, Japan, the European Union, the United Kingdom, Mexico and Australia. We have also been issued an international trademark registration with designation in Australia and the European Union for “Weedmaps.”</w:t>
      </w:r>
    </w:p>
    <w:p>
      <w:pPr>
        <w:spacing w:after="0" w:line="63" w:lineRule="exact"/>
        <w:rPr>
          <w:sz w:val="20"/>
          <w:szCs w:val="20"/>
          <w:color w:val="auto"/>
        </w:rPr>
      </w:pPr>
    </w:p>
    <w:p>
      <w:pPr>
        <w:jc w:val="both"/>
        <w:ind w:right="20"/>
        <w:spacing w:after="0" w:line="301" w:lineRule="auto"/>
        <w:rPr>
          <w:sz w:val="20"/>
          <w:szCs w:val="20"/>
          <w:color w:val="auto"/>
        </w:rPr>
      </w:pPr>
      <w:r>
        <w:rPr>
          <w:rFonts w:ascii="Times New Roman" w:cs="Times New Roman" w:eastAsia="Times New Roman" w:hAnsi="Times New Roman"/>
          <w:sz w:val="20"/>
          <w:szCs w:val="20"/>
          <w:color w:val="auto"/>
        </w:rPr>
        <w:t>In addition to our numerous trademark applications and registrations, we have United States copyright registrations for our weedmaps.com website, “Grow One,” and two versions of our Lab API documentation. Further, we own several domain names, including: weedmaps.com, marijuana.com, cannabis.com, wmpolicy.com, themuseumofweed.com, wm-retail.com, wmforbusiness.com and WM.store. Our trademarks and domain names are material to our business and brand identity.</w:t>
      </w:r>
    </w:p>
    <w:p>
      <w:pPr>
        <w:spacing w:after="0" w:line="70" w:lineRule="exact"/>
        <w:rPr>
          <w:sz w:val="20"/>
          <w:szCs w:val="20"/>
          <w:color w:val="auto"/>
        </w:rPr>
      </w:pPr>
    </w:p>
    <w:p>
      <w:pPr>
        <w:jc w:val="both"/>
        <w:spacing w:after="0" w:line="309" w:lineRule="auto"/>
        <w:rPr>
          <w:sz w:val="20"/>
          <w:szCs w:val="20"/>
          <w:color w:val="auto"/>
        </w:rPr>
      </w:pPr>
      <w:r>
        <w:rPr>
          <w:rFonts w:ascii="Times New Roman" w:cs="Times New Roman" w:eastAsia="Times New Roman" w:hAnsi="Times New Roman"/>
          <w:sz w:val="20"/>
          <w:szCs w:val="20"/>
          <w:color w:val="auto"/>
        </w:rPr>
        <w:t>We also rely on non-disclosure agreements, invention assignment agreements, intellectual property assignment agreements, or license agreements with employees, independent contractors, consumers, software providers and other third parties, which protect and limit access to and use of our proprietary intellectual property.</w:t>
      </w:r>
    </w:p>
    <w:p>
      <w:pPr>
        <w:spacing w:after="0" w:line="62" w:lineRule="exact"/>
        <w:rPr>
          <w:sz w:val="20"/>
          <w:szCs w:val="20"/>
          <w:color w:val="auto"/>
        </w:rPr>
      </w:pPr>
    </w:p>
    <w:p>
      <w:pPr>
        <w:jc w:val="both"/>
        <w:spacing w:after="0" w:line="309" w:lineRule="auto"/>
        <w:rPr>
          <w:sz w:val="20"/>
          <w:szCs w:val="20"/>
          <w:color w:val="auto"/>
        </w:rPr>
      </w:pPr>
      <w:r>
        <w:rPr>
          <w:rFonts w:ascii="Times New Roman" w:cs="Times New Roman" w:eastAsia="Times New Roman" w:hAnsi="Times New Roman"/>
          <w:sz w:val="20"/>
          <w:szCs w:val="20"/>
          <w:color w:val="auto"/>
        </w:rPr>
        <w:t>Though we rely, in part, upon these legal and contractual protections, we believe that factors such as the skills and ingenuity of our employees, as well as the functionality and frequent enhancements to our platform are larger contributors to our success in the marketplace.</w:t>
      </w:r>
    </w:p>
    <w:p>
      <w:pPr>
        <w:spacing w:after="0" w:line="62" w:lineRule="exact"/>
        <w:rPr>
          <w:sz w:val="20"/>
          <w:szCs w:val="20"/>
          <w:color w:val="auto"/>
        </w:rPr>
      </w:pPr>
    </w:p>
    <w:p>
      <w:pPr>
        <w:jc w:val="both"/>
        <w:ind w:right="20"/>
        <w:spacing w:after="0" w:line="326" w:lineRule="auto"/>
        <w:rPr>
          <w:sz w:val="20"/>
          <w:szCs w:val="20"/>
          <w:color w:val="auto"/>
        </w:rPr>
      </w:pPr>
      <w:r>
        <w:rPr>
          <w:rFonts w:ascii="Times New Roman" w:cs="Times New Roman" w:eastAsia="Times New Roman" w:hAnsi="Times New Roman"/>
          <w:sz w:val="20"/>
          <w:szCs w:val="20"/>
          <w:color w:val="auto"/>
        </w:rPr>
        <w:t>Circumstances outside our control could pose a threat to our intellectual property rights. For more information, see the section entitled “Risk Factors—Risks Related to our Business and Industry.”</w:t>
      </w:r>
    </w:p>
    <w:p>
      <w:pPr>
        <w:spacing w:after="0" w:line="43"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Seasonality</w:t>
      </w:r>
    </w:p>
    <w:p>
      <w:pPr>
        <w:spacing w:after="0" w:line="168" w:lineRule="exact"/>
        <w:rPr>
          <w:sz w:val="20"/>
          <w:szCs w:val="20"/>
          <w:color w:val="auto"/>
        </w:rPr>
      </w:pPr>
    </w:p>
    <w:p>
      <w:pPr>
        <w:jc w:val="both"/>
        <w:ind w:right="20"/>
        <w:spacing w:after="0" w:line="283" w:lineRule="auto"/>
        <w:rPr>
          <w:sz w:val="20"/>
          <w:szCs w:val="20"/>
          <w:color w:val="auto"/>
        </w:rPr>
      </w:pPr>
      <w:r>
        <w:rPr>
          <w:rFonts w:ascii="Times New Roman" w:cs="Times New Roman" w:eastAsia="Times New Roman" w:hAnsi="Times New Roman"/>
          <w:sz w:val="20"/>
          <w:szCs w:val="20"/>
          <w:color w:val="auto"/>
        </w:rPr>
        <w:t>The cannabis industry has certain industry holidays that in recent years have resulted in increased purchases by cannabis consumers. Such “holidays” include, but are not limited to 420, July 10</w:t>
      </w:r>
      <w:r>
        <w:rPr>
          <w:rFonts w:ascii="Times New Roman" w:cs="Times New Roman" w:eastAsia="Times New Roman" w:hAnsi="Times New Roman"/>
          <w:sz w:val="25"/>
          <w:szCs w:val="25"/>
          <w:color w:val="auto"/>
          <w:vertAlign w:val="superscript"/>
        </w:rPr>
        <w:t>th</w:t>
      </w:r>
      <w:r>
        <w:rPr>
          <w:rFonts w:ascii="Times New Roman" w:cs="Times New Roman" w:eastAsia="Times New Roman" w:hAnsi="Times New Roman"/>
          <w:sz w:val="20"/>
          <w:szCs w:val="20"/>
          <w:color w:val="auto"/>
        </w:rPr>
        <w:t xml:space="preserve"> and the Wednesday before Thanksgiving (“Green Wednesday”). Likewise, our clients will typically increase spend heading into these events. We also typically invest in marketing spend around these holidays which can create some seasonality in our sales and market expenses from quarter to quarter. While seasonality has not had a significant impact on our results in the past, our clients may experience seasonality in their businesses which in turn can impact the revenue generated from them. Our business may become more seasonal in the future and historical patterns in our business may not be a reliable indicator of future performance.</w:t>
      </w:r>
    </w:p>
    <w:p>
      <w:pPr>
        <w:spacing w:after="0" w:line="84"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People Operations and Human Capital Resources</w:t>
      </w:r>
    </w:p>
    <w:p>
      <w:pPr>
        <w:spacing w:after="0" w:line="168" w:lineRule="exact"/>
        <w:rPr>
          <w:sz w:val="20"/>
          <w:szCs w:val="20"/>
          <w:color w:val="auto"/>
        </w:rPr>
      </w:pPr>
    </w:p>
    <w:p>
      <w:pPr>
        <w:jc w:val="both"/>
        <w:ind w:right="20"/>
        <w:spacing w:after="0" w:line="309" w:lineRule="auto"/>
        <w:rPr>
          <w:sz w:val="20"/>
          <w:szCs w:val="20"/>
          <w:color w:val="auto"/>
        </w:rPr>
      </w:pPr>
      <w:r>
        <w:rPr>
          <w:rFonts w:ascii="Times New Roman" w:cs="Times New Roman" w:eastAsia="Times New Roman" w:hAnsi="Times New Roman"/>
          <w:sz w:val="20"/>
          <w:szCs w:val="20"/>
          <w:color w:val="auto"/>
        </w:rPr>
        <w:t>As of December 31, 2023, we had 440 full-time employees and 19 temporary employees, including 196 in engineering, product and design, 181 in sales and marketing and 82 in general and administrative. Of these employees, 450 are located in the United States and 9 are located in Canada.</w:t>
      </w:r>
    </w:p>
    <w:p>
      <w:pPr>
        <w:spacing w:after="0" w:line="62" w:lineRule="exact"/>
        <w:rPr>
          <w:sz w:val="20"/>
          <w:szCs w:val="20"/>
          <w:color w:val="auto"/>
        </w:rPr>
      </w:pPr>
    </w:p>
    <w:p>
      <w:pPr>
        <w:jc w:val="both"/>
        <w:spacing w:after="0" w:line="294" w:lineRule="auto"/>
        <w:rPr>
          <w:sz w:val="20"/>
          <w:szCs w:val="20"/>
          <w:color w:val="auto"/>
        </w:rPr>
      </w:pPr>
      <w:r>
        <w:rPr>
          <w:rFonts w:ascii="Times New Roman" w:cs="Times New Roman" w:eastAsia="Times New Roman" w:hAnsi="Times New Roman"/>
          <w:sz w:val="20"/>
          <w:szCs w:val="20"/>
          <w:color w:val="auto"/>
        </w:rPr>
        <w:t>We believe that being able to attract and retain top talent is both a strategic advantage for us and necessary to realize our mission of powering a transparent and inclusive global cannabis economy. Our position as a leading technology provider to the cannabis industry helps us attract high caliber candidates who are technically skilled and passionate about our mission and products. We devote substantial resources to this task. Our dedicated, best-in-class Talent Acquisition team is focused on finding and attracting diverse and capable talent, and our People &amp; Workplace team is focused on making us a world class employer of choice for that talent once they get here. None of our employees are represented by a labor union or covered by collective bargaining agreements and we have not experienced any work stoppages.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6"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20"/>
          <w:szCs w:val="20"/>
          <w:color w:val="auto"/>
        </w:rPr>
        <w:t>13</w:t>
      </w:r>
    </w:p>
    <w:p>
      <w:pPr>
        <w:sectPr>
          <w:pgSz w:w="12240" w:h="15840" w:orient="portrait"/>
          <w:cols w:equalWidth="0" w:num="1">
            <w:col w:w="10260"/>
          </w:cols>
          <w:pgMar w:left="1000" w:top="882" w:right="980" w:bottom="222" w:gutter="0" w:footer="0" w:header="0"/>
        </w:sectPr>
      </w:pPr>
    </w:p>
    <w:bookmarkStart w:id="17" w:name="page18"/>
    <w:bookmarkEnd w:id="17"/>
    <w:p>
      <w:pPr>
        <w:spacing w:after="0"/>
        <w:rPr>
          <w:sz w:val="20"/>
          <w:szCs w:val="20"/>
          <w:color w:val="auto"/>
        </w:rPr>
      </w:pPr>
      <w:r>
        <w:rPr>
          <w:rFonts w:ascii="Times New Roman" w:cs="Times New Roman" w:eastAsia="Times New Roman" w:hAnsi="Times New Roman"/>
          <w:sz w:val="20"/>
          <w:szCs w:val="20"/>
          <w:b w:val="1"/>
          <w:bCs w:val="1"/>
          <w:color w:val="auto"/>
        </w:rPr>
        <w:t>Government Regulation</w:t>
      </w:r>
    </w:p>
    <w:p>
      <w:pPr>
        <w:spacing w:after="0" w:line="168" w:lineRule="exact"/>
        <w:rPr>
          <w:sz w:val="20"/>
          <w:szCs w:val="20"/>
          <w:color w:val="auto"/>
        </w:rPr>
      </w:pPr>
    </w:p>
    <w:p>
      <w:pPr>
        <w:jc w:val="both"/>
        <w:ind w:right="20"/>
        <w:spacing w:after="0" w:line="309" w:lineRule="auto"/>
        <w:rPr>
          <w:sz w:val="20"/>
          <w:szCs w:val="20"/>
          <w:color w:val="auto"/>
        </w:rPr>
      </w:pPr>
      <w:r>
        <w:rPr>
          <w:rFonts w:ascii="Times New Roman" w:cs="Times New Roman" w:eastAsia="Times New Roman" w:hAnsi="Times New Roman"/>
          <w:sz w:val="20"/>
          <w:szCs w:val="20"/>
          <w:color w:val="auto"/>
        </w:rPr>
        <w:t>Numerous countries and territories have moved in recent years to regulate and tax cannabis, particularly medical cannabis. Most of these jurisdictions present complex regulatory regimes that require licensed operators to comply with substantial reporting, testing, packaging, distribution and security requirements.</w:t>
      </w:r>
    </w:p>
    <w:p>
      <w:pPr>
        <w:spacing w:after="0" w:line="64"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United States and Territories</w:t>
      </w:r>
    </w:p>
    <w:p>
      <w:pPr>
        <w:spacing w:after="0" w:line="164" w:lineRule="exact"/>
        <w:rPr>
          <w:sz w:val="20"/>
          <w:szCs w:val="20"/>
          <w:color w:val="auto"/>
        </w:rPr>
      </w:pPr>
    </w:p>
    <w:p>
      <w:pPr>
        <w:jc w:val="both"/>
        <w:spacing w:after="0" w:line="301" w:lineRule="auto"/>
        <w:rPr>
          <w:sz w:val="20"/>
          <w:szCs w:val="20"/>
          <w:color w:val="auto"/>
        </w:rPr>
      </w:pPr>
      <w:r>
        <w:rPr>
          <w:rFonts w:ascii="Times New Roman" w:cs="Times New Roman" w:eastAsia="Times New Roman" w:hAnsi="Times New Roman"/>
          <w:sz w:val="20"/>
          <w:szCs w:val="20"/>
          <w:color w:val="auto"/>
        </w:rPr>
        <w:t>Notwithstanding the trend toward further state legalization, the U.S. government continues to categorize cannabis as a prohibited controlled substance, and accordingly the cultivation, processing, distribution, sale, advertisement of sale and possession by our customers violate federal law, as discussed further in the sections entitled “Risk Factors—Risks Related to our Business and Industry.”</w:t>
      </w:r>
    </w:p>
    <w:p>
      <w:pPr>
        <w:spacing w:after="0" w:line="70" w:lineRule="exact"/>
        <w:rPr>
          <w:sz w:val="20"/>
          <w:szCs w:val="20"/>
          <w:color w:val="auto"/>
        </w:rPr>
      </w:pPr>
    </w:p>
    <w:p>
      <w:pPr>
        <w:jc w:val="both"/>
        <w:spacing w:after="0" w:line="292" w:lineRule="auto"/>
        <w:rPr>
          <w:sz w:val="20"/>
          <w:szCs w:val="20"/>
          <w:color w:val="auto"/>
        </w:rPr>
      </w:pPr>
      <w:r>
        <w:rPr>
          <w:rFonts w:ascii="Times New Roman" w:cs="Times New Roman" w:eastAsia="Times New Roman" w:hAnsi="Times New Roman"/>
          <w:sz w:val="20"/>
          <w:szCs w:val="20"/>
          <w:color w:val="auto"/>
        </w:rPr>
        <w:t>On January 4, 2018, then U.S. Attorney General Jeff Sessions issued a memorandum for all U.S. Attorneys (the “Sessions Memo”) rescinding certain past Department of Justice (“DOJ”) memoranda on cannabis law enforcement, including the Memorandum by former Deputy Attorney General James Michael Cole (the “Cole Memo”) issued on August 29, 2013, under the Obama administration. Describing the criminal enforcement of federal cannabis prohibitions against those complying with state cannabis regulatory systems as an inefficient use of federal investigative and prosecutorial resources, the Cole Memo gave federal prosecutors discretion not to prosecute state law compliant cannabis companies in states that were regulating cannabis, unless one or more of eight federal priorities were implicated, including use of cannabis by minors, violence, or the use of federal lands for cultivation. The Sessions Memo, which remains in effect, states that each U.S. Attorney’s Office should follow established principles that govern all federal prosecutions when deciding which cannabis activities to prosecute.</w:t>
      </w:r>
    </w:p>
    <w:p>
      <w:pPr>
        <w:spacing w:after="0" w:line="81" w:lineRule="exact"/>
        <w:rPr>
          <w:sz w:val="20"/>
          <w:szCs w:val="20"/>
          <w:color w:val="auto"/>
        </w:rPr>
      </w:pPr>
    </w:p>
    <w:p>
      <w:pPr>
        <w:jc w:val="both"/>
        <w:spacing w:after="0" w:line="301" w:lineRule="auto"/>
        <w:rPr>
          <w:sz w:val="20"/>
          <w:szCs w:val="20"/>
          <w:color w:val="auto"/>
        </w:rPr>
      </w:pPr>
      <w:r>
        <w:rPr>
          <w:rFonts w:ascii="Times New Roman" w:cs="Times New Roman" w:eastAsia="Times New Roman" w:hAnsi="Times New Roman"/>
          <w:sz w:val="20"/>
          <w:szCs w:val="20"/>
          <w:color w:val="auto"/>
        </w:rPr>
        <w:t>Since 2014, versions of the U.S. omnibus spending bill have included a provision prohibiting the DOJ, which includes the Drug Enforcement Administration (“DEA”), from using appropriated funds to prevent states from implementing their medical-use cannabis laws. Federal courts have held that the provision prohibits the DOJ from spending funds to prosecute individuals who engage in conduct permitted by state medical-use cannabis laws and who strictly comply with such laws.</w:t>
      </w:r>
    </w:p>
    <w:p>
      <w:pPr>
        <w:spacing w:after="0" w:line="70" w:lineRule="exact"/>
        <w:rPr>
          <w:sz w:val="20"/>
          <w:szCs w:val="20"/>
          <w:color w:val="auto"/>
        </w:rPr>
      </w:pPr>
    </w:p>
    <w:p>
      <w:pPr>
        <w:jc w:val="both"/>
        <w:spacing w:after="0" w:line="270" w:lineRule="auto"/>
        <w:rPr>
          <w:sz w:val="20"/>
          <w:szCs w:val="20"/>
          <w:color w:val="auto"/>
        </w:rPr>
      </w:pPr>
      <w:r>
        <w:rPr>
          <w:rFonts w:ascii="Times New Roman" w:cs="Times New Roman" w:eastAsia="Times New Roman" w:hAnsi="Times New Roman"/>
          <w:sz w:val="20"/>
          <w:szCs w:val="20"/>
          <w:color w:val="auto"/>
        </w:rPr>
        <w:t>Despite the Sessions Memo, the U.S. government has not prioritized the enforcement of those laws against cannabis companies complying with state law and their vendors, and has not since 2014. No reversal of that policy of prosecutorial discretion is expected under a Biden administration given his actions on cannabis to date, and the statements of Attorney General Merrick Garland on the subject, although prosecutions against state-legal entities cannot be ruled out entirely at this time. During his campaign, President Biden promised federal reform on cannabis, including decriminalization generally and has made history in several impactful ways. First, in 2022, President Biden signed into law the “Medical Marijuana and Cannabidiol Research Expansion Act,” a bill aimed at easing restrictions on cannabis research -- bipartisan legislation which is the first standalone cannabis reform bill to pass both the House and Senate. Additionally, on October 6, 2022, President Biden issued a presidential proclamation pardoning federal convictions for simple marijuana possession offenses, encouraging state governors to do the same on the state level where permissible, and requesting that the Secretary of Health and Human Services and the Attorney General initiate an administrative process to review cannabis’s Schedule I classification under the CSA. On August 29, 2023, HHS issued a letter to the DEA recommending that cannabis be reclassified as a Schedule III controlled substance under the CSA. On May 16, 2024, President Joe Biden announced that his administration is officially moving to reclassify cannabis from a Schedule I to a Schedule III controlled substance under the CSA. There will then be a 60-day public comment period before the rule is potentially finalized. If this move is confirmed, it would be a momentous change whose full implications are currently unknown. The DEA’s decision to reclassify cannabis would neither legalize nor likely eliminate current state cannabis program. If placed under Schedule III, cannabis will cannabis will remain a controlled substance and state-legal programs will continue to operate outside of federally legal channels in their distribution of the substance particularly because no state operator holds a DEA registration to possess or distribute cannabis. One notable impact for our clients is that rescheduling cannabis to Schedule III would remove the various tax-related hindrances tied to IRS code section 280E, and cannabis-related businesses (whether involved in medical or adult-use cannabis) would finally be able to take advantage of all applicable deductions and credits on their business taxes that other businesses enjoy. However, some fear that the DEA or FDA may impose additional requirements or begin to target enforcement on state cannabis programs. In the unlikely event that the federal government were to reverse its long-standing hands-off approach to the state legal cannabis markets and start more broadly enforcing federal law regarding cannabis, we would likely be unable to execute our business plan, and our business and financial results would be adversely affected.</w:t>
      </w:r>
    </w:p>
    <w:p>
      <w:pPr>
        <w:spacing w:after="0" w:line="200" w:lineRule="exact"/>
        <w:rPr>
          <w:sz w:val="20"/>
          <w:szCs w:val="20"/>
          <w:color w:val="auto"/>
        </w:rPr>
      </w:pPr>
    </w:p>
    <w:p>
      <w:pPr>
        <w:spacing w:after="0" w:line="223"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20"/>
          <w:szCs w:val="20"/>
          <w:color w:val="auto"/>
        </w:rPr>
        <w:t>14</w:t>
      </w:r>
    </w:p>
    <w:p>
      <w:pPr>
        <w:sectPr>
          <w:pgSz w:w="12240" w:h="15840" w:orient="portrait"/>
          <w:cols w:equalWidth="0" w:num="1">
            <w:col w:w="10260"/>
          </w:cols>
          <w:pgMar w:left="1000" w:top="882" w:right="980" w:bottom="222" w:gutter="0" w:footer="0" w:header="0"/>
        </w:sectPr>
      </w:pPr>
    </w:p>
    <w:bookmarkStart w:id="18" w:name="page19"/>
    <w:bookmarkEnd w:id="18"/>
    <w:p>
      <w:pPr>
        <w:jc w:val="both"/>
        <w:spacing w:after="0" w:line="310" w:lineRule="auto"/>
        <w:rPr>
          <w:sz w:val="20"/>
          <w:szCs w:val="20"/>
          <w:color w:val="auto"/>
        </w:rPr>
      </w:pPr>
      <w:r>
        <w:rPr>
          <w:rFonts w:ascii="Times New Roman" w:cs="Times New Roman" w:eastAsia="Times New Roman" w:hAnsi="Times New Roman"/>
          <w:sz w:val="19"/>
          <w:szCs w:val="19"/>
          <w:color w:val="auto"/>
        </w:rPr>
        <w:t>U.S. Attorney General, Merrick Garland, is expected to not interfere with cannabis businesses operating in compliance with states’ laws. During his confirmation hearing before the U.S. Senate, Judge Garland testified that prosecuting state-legal cannabis companies would not be a “useful use of limited resources.” In April, 2022, Attorney General Garland reiterated that prosecuting the possession of cannabis is “not an efficient use” of federal resources, especially “given the ongoing opioid and methamphetamine epidemic[s]” facing the nation. On March 1, 2023, Attorney General Garland confirmed that his Department is continuing work on a new cannabis enforcement guidance, which he states would be “very close to what was done in the Cole memorandum.” Although any such guidance issued would not have the force of law, and could not be enforced by the courts, such a guidance would likely mean that the status quo of federal non-enforcement is likely to continue for the foreseeable future.</w:t>
      </w:r>
    </w:p>
    <w:p>
      <w:pPr>
        <w:spacing w:after="0" w:line="68" w:lineRule="exact"/>
        <w:rPr>
          <w:sz w:val="20"/>
          <w:szCs w:val="20"/>
          <w:color w:val="auto"/>
        </w:rPr>
      </w:pPr>
    </w:p>
    <w:p>
      <w:pPr>
        <w:jc w:val="both"/>
        <w:spacing w:after="0" w:line="299" w:lineRule="auto"/>
        <w:rPr>
          <w:sz w:val="20"/>
          <w:szCs w:val="20"/>
          <w:color w:val="auto"/>
        </w:rPr>
      </w:pPr>
      <w:r>
        <w:rPr>
          <w:rFonts w:ascii="Times New Roman" w:cs="Times New Roman" w:eastAsia="Times New Roman" w:hAnsi="Times New Roman"/>
          <w:sz w:val="20"/>
          <w:szCs w:val="20"/>
          <w:color w:val="auto"/>
        </w:rPr>
        <w:t>Members of the U.S. Congress from both parties have introduced bills to end the federal cannabis prohibition, by de-scheduling cannabis completely and regulating it. In addition to broader reforms, this session has seen additional incremental reform bills that aim to increase research, cement medical cannabis patients’ rights, or facilitate state-legal cannabis. While the timing of federal reform remains unknown, it is expected that federal policy on cannabis will continue becoming more, rather than less, permissive and legislative efforts to legalize cannabis or cannabis banking at the national level are likely to progress in 2024.</w:t>
      </w:r>
    </w:p>
    <w:p>
      <w:pPr>
        <w:spacing w:after="0" w:line="72" w:lineRule="exact"/>
        <w:rPr>
          <w:sz w:val="20"/>
          <w:szCs w:val="20"/>
          <w:color w:val="auto"/>
        </w:rPr>
      </w:pPr>
    </w:p>
    <w:p>
      <w:pPr>
        <w:jc w:val="both"/>
        <w:spacing w:after="0" w:line="291" w:lineRule="auto"/>
        <w:rPr>
          <w:sz w:val="20"/>
          <w:szCs w:val="20"/>
          <w:color w:val="auto"/>
        </w:rPr>
      </w:pPr>
      <w:r>
        <w:rPr>
          <w:rFonts w:ascii="Times New Roman" w:cs="Times New Roman" w:eastAsia="Times New Roman" w:hAnsi="Times New Roman"/>
          <w:sz w:val="20"/>
          <w:szCs w:val="20"/>
          <w:color w:val="auto"/>
        </w:rPr>
        <w:t>Some of our retail clients sell products with hemp-derived cannabinoids, including CBD. In December 2018, the U.S. government removed hemp and extracts of hemp from the CSA schedules through the Agriculture Improvement Act of 2018, Pub. L. 115-334 (the “2018 Farm Bill”). Accordingly, the production, sale and possession of hemp or extracts of hemp, including certain CBD products, no longer violate the CSA. The states have implemented a patchwork of different laws on hemp and its extracts. Additionally, the Food &amp; Drug Administration (“FDA”) claims that the Food, Drugs &amp; Cosmetics Act significantly limits the legality of certain hemp-derived CBD products. In January 2023, FDA affirmed that the agency will not compromise—or create new standards—in evaluating or permitting cannabis or cannabinoid compounds and products, and particularly cannabidiol (“CBD”), indicating that Congress must take action to end the stalemate between federal and state laws and the purgatory of FDA selective enforcement. While enforcement regarding hemp-derived products has generally been limited, changes in enforcement priorities or further federal regulations could negatively impact our clients that sell such products, which could adversely impact our business, operating results, financial condition, brand and reputation.</w:t>
      </w:r>
    </w:p>
    <w:p>
      <w:pPr>
        <w:spacing w:after="0" w:line="86" w:lineRule="exact"/>
        <w:rPr>
          <w:sz w:val="20"/>
          <w:szCs w:val="20"/>
          <w:color w:val="auto"/>
        </w:rPr>
      </w:pPr>
    </w:p>
    <w:p>
      <w:pPr>
        <w:jc w:val="both"/>
        <w:spacing w:after="0" w:line="291" w:lineRule="auto"/>
        <w:rPr>
          <w:sz w:val="20"/>
          <w:szCs w:val="20"/>
          <w:color w:val="auto"/>
        </w:rPr>
      </w:pPr>
      <w:r>
        <w:rPr>
          <w:rFonts w:ascii="Times New Roman" w:cs="Times New Roman" w:eastAsia="Times New Roman" w:hAnsi="Times New Roman"/>
          <w:sz w:val="20"/>
          <w:szCs w:val="20"/>
          <w:color w:val="auto"/>
        </w:rPr>
        <w:t>We have been neither a defendant in a criminal action nor the subject of a civil or regulatory enforcement proceeding, prosecuted by a U.S. governmental authority based on our provision of products and solutions to the cannabis industry. Furthermore, we believe that Section 230 provides immunity from civil and state criminal liability to internet service provider intermediaries in the United States, such as us, for content provided on their platforms that they did not create or develop. We do not create or develop the information that appears on our clients’ listing pages and other advertising placements, although our moderation teams may take down a client’s information if it breaches our listing restrictions or admonish consumers who post reviews that violate our community terms of use (which, for example, prohibit profanity and racism). We do author and edit certain original content that appears in other sections of our website, such as WM News and WM Learn. All of these sections are general news and information, and none of these sections are advertisements for, or listing pages of, cannabis businesses. For additional information about Section 230, see the sections entitled “Business—Overview” and “Risk Factors—Risks Related to our Business and Industry.”</w:t>
      </w:r>
    </w:p>
    <w:p>
      <w:pPr>
        <w:spacing w:after="0" w:line="87" w:lineRule="exact"/>
        <w:rPr>
          <w:sz w:val="20"/>
          <w:szCs w:val="20"/>
          <w:color w:val="auto"/>
        </w:rPr>
      </w:pPr>
    </w:p>
    <w:p>
      <w:pPr>
        <w:jc w:val="both"/>
        <w:spacing w:after="0" w:line="293" w:lineRule="auto"/>
        <w:rPr>
          <w:sz w:val="20"/>
          <w:szCs w:val="20"/>
          <w:color w:val="auto"/>
        </w:rPr>
      </w:pPr>
      <w:r>
        <w:rPr>
          <w:rFonts w:ascii="Times New Roman" w:cs="Times New Roman" w:eastAsia="Times New Roman" w:hAnsi="Times New Roman"/>
          <w:sz w:val="20"/>
          <w:szCs w:val="20"/>
          <w:color w:val="auto"/>
        </w:rPr>
        <w:t>Our clients are subject to licensing and related requirements under applicable laws and regulations, and our own compliance policies, and some of our clients currently and in the future may not be in compliance with all such requirements. Currently, we require all cannabis retailers on Weedmaps to display a valid, unexpired state-issued license number on their listing. We have a dedicated Policy &amp; Compliance Operations team that reviews license information, both on submission and on an ongoing basis, to ensure validity and accuracy. For certain Weedmaps products or services, we may request additional verification and documentation. Additionally, we require contractual representations and warranties from our clients that they are complying with state law. If, despite our policies to verify state-licensure, unlicensed or noncompliant businesses are able to access our products, it could subject us to legal or regulatory enforcement and negative publicity, which could adversely impact our business, operating results, financial condition, brand and reputation.</w:t>
      </w:r>
    </w:p>
    <w:p>
      <w:pPr>
        <w:spacing w:after="0" w:line="81"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Canada</w:t>
      </w:r>
    </w:p>
    <w:p>
      <w:pPr>
        <w:spacing w:after="0" w:line="164" w:lineRule="exact"/>
        <w:rPr>
          <w:sz w:val="20"/>
          <w:szCs w:val="20"/>
          <w:color w:val="auto"/>
        </w:rPr>
      </w:pPr>
    </w:p>
    <w:p>
      <w:pPr>
        <w:jc w:val="both"/>
        <w:ind w:right="20"/>
        <w:spacing w:after="0" w:line="326" w:lineRule="auto"/>
        <w:rPr>
          <w:sz w:val="20"/>
          <w:szCs w:val="20"/>
          <w:color w:val="auto"/>
        </w:rPr>
      </w:pPr>
      <w:r>
        <w:rPr>
          <w:rFonts w:ascii="Times New Roman" w:cs="Times New Roman" w:eastAsia="Times New Roman" w:hAnsi="Times New Roman"/>
          <w:sz w:val="20"/>
          <w:szCs w:val="20"/>
          <w:color w:val="auto"/>
        </w:rPr>
        <w:t>Medical cannabis has been legal in Canada since 1999 through various regulatory regimes. On October 17, 2018, the Cannabis Act (Canada) came into force. The Cannabis Act governs both the medical and the regulated adult-use markets in Canada. Prior</w:t>
      </w:r>
    </w:p>
    <w:p>
      <w:pPr>
        <w:spacing w:after="0" w:line="175"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20"/>
          <w:szCs w:val="20"/>
          <w:color w:val="auto"/>
        </w:rPr>
        <w:t>15</w:t>
      </w:r>
    </w:p>
    <w:p>
      <w:pPr>
        <w:sectPr>
          <w:pgSz w:w="12240" w:h="15840" w:orient="portrait"/>
          <w:cols w:equalWidth="0" w:num="1">
            <w:col w:w="10260"/>
          </w:cols>
          <w:pgMar w:left="1000" w:top="884" w:right="980" w:bottom="222" w:gutter="0" w:footer="0" w:header="0"/>
        </w:sectPr>
      </w:pPr>
    </w:p>
    <w:bookmarkStart w:id="19" w:name="page20"/>
    <w:bookmarkEnd w:id="19"/>
    <w:p>
      <w:pPr>
        <w:jc w:val="both"/>
        <w:ind w:right="20"/>
        <w:spacing w:after="0" w:line="301" w:lineRule="auto"/>
        <w:rPr>
          <w:sz w:val="20"/>
          <w:szCs w:val="20"/>
          <w:color w:val="auto"/>
        </w:rPr>
      </w:pPr>
      <w:r>
        <w:rPr>
          <w:rFonts w:ascii="Times New Roman" w:cs="Times New Roman" w:eastAsia="Times New Roman" w:hAnsi="Times New Roman"/>
          <w:sz w:val="20"/>
          <w:szCs w:val="20"/>
          <w:color w:val="auto"/>
        </w:rPr>
        <w:t>to October 17, 2018, legal access to and use of medical cannabis in Canada was regulated under the Controlled Drugs and Substances Act and the associated Access to Cannabis for Medical Purposes Regulations (“ACMPR”). Under the Cannabis Act, holders of licenses to cultivate and/or process cannabis are also permitted to supply cannabis under their existing licenses obtained pursuant to the ACMPR to the regulated adult-use market.</w:t>
      </w:r>
    </w:p>
    <w:p>
      <w:pPr>
        <w:spacing w:after="0" w:line="72"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Rest of the World</w:t>
      </w:r>
    </w:p>
    <w:p>
      <w:pPr>
        <w:spacing w:after="0" w:line="164" w:lineRule="exact"/>
        <w:rPr>
          <w:sz w:val="20"/>
          <w:szCs w:val="20"/>
          <w:color w:val="auto"/>
        </w:rPr>
      </w:pPr>
    </w:p>
    <w:p>
      <w:pPr>
        <w:jc w:val="both"/>
        <w:spacing w:after="0" w:line="309" w:lineRule="auto"/>
        <w:rPr>
          <w:sz w:val="20"/>
          <w:szCs w:val="20"/>
          <w:color w:val="auto"/>
        </w:rPr>
      </w:pPr>
      <w:r>
        <w:rPr>
          <w:rFonts w:ascii="Times New Roman" w:cs="Times New Roman" w:eastAsia="Times New Roman" w:hAnsi="Times New Roman"/>
          <w:sz w:val="20"/>
          <w:szCs w:val="20"/>
          <w:color w:val="auto"/>
        </w:rPr>
        <w:t>Legalized cannabis is expanding in other parts of the world with countries adopting varying degrees of legalization or decriminalization. We do not yet regard these countries as viable marketplaces for our products, though we have ongoing tests of a small number of listings in several markets where listings are legally permissible.</w:t>
      </w:r>
    </w:p>
    <w:p>
      <w:pPr>
        <w:spacing w:after="0" w:line="64"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Available Information</w:t>
      </w:r>
    </w:p>
    <w:p>
      <w:pPr>
        <w:spacing w:after="0" w:line="164" w:lineRule="exact"/>
        <w:rPr>
          <w:sz w:val="20"/>
          <w:szCs w:val="20"/>
          <w:color w:val="auto"/>
        </w:rPr>
      </w:pPr>
    </w:p>
    <w:p>
      <w:pPr>
        <w:jc w:val="both"/>
        <w:spacing w:after="0" w:line="297" w:lineRule="auto"/>
        <w:rPr>
          <w:sz w:val="20"/>
          <w:szCs w:val="20"/>
          <w:color w:val="auto"/>
        </w:rPr>
      </w:pPr>
      <w:r>
        <w:rPr>
          <w:rFonts w:ascii="Times New Roman" w:cs="Times New Roman" w:eastAsia="Times New Roman" w:hAnsi="Times New Roman"/>
          <w:sz w:val="20"/>
          <w:szCs w:val="20"/>
          <w:color w:val="auto"/>
        </w:rPr>
        <w:t>Our Internet address is www.weedmaps.com. Our investor relations website is located at https://ir.weedmaps.com. Our Annual Reports on Form 10-K, Quarterly Reports on Form 10-Q, Current Reports on Form 8-K and our Proxy Statements and any amendments to these reports, are available through our investor relations website, free of charge, after we file them with the SEC. We may from time to time provide important disclosures to investors by posting them in the investor relations section of our website, as allowed by SEC rules.</w:t>
      </w:r>
    </w:p>
    <w:p>
      <w:pPr>
        <w:spacing w:after="0" w:line="75" w:lineRule="exact"/>
        <w:rPr>
          <w:sz w:val="20"/>
          <w:szCs w:val="20"/>
          <w:color w:val="auto"/>
        </w:rPr>
      </w:pPr>
    </w:p>
    <w:p>
      <w:pPr>
        <w:jc w:val="both"/>
        <w:spacing w:after="0" w:line="301" w:lineRule="auto"/>
        <w:rPr>
          <w:sz w:val="20"/>
          <w:szCs w:val="20"/>
          <w:color w:val="auto"/>
        </w:rPr>
      </w:pPr>
      <w:r>
        <w:rPr>
          <w:rFonts w:ascii="Times New Roman" w:cs="Times New Roman" w:eastAsia="Times New Roman" w:hAnsi="Times New Roman"/>
          <w:sz w:val="20"/>
          <w:szCs w:val="20"/>
          <w:color w:val="auto"/>
        </w:rPr>
        <w:t>The SEC maintains an Internet website at www.sec.gov that contains reports, proxy and information statements and other information regarding our company that we file electronically with the SEC. The contents of our websites are not incorporated by reference into this Annual Report on Form 10-K or in any other report or document we file with the SEC, and any references to our websites are intended to be inactive textual references only.</w:t>
      </w:r>
    </w:p>
    <w:p>
      <w:pPr>
        <w:spacing w:after="0" w:line="68" w:lineRule="exact"/>
        <w:rPr>
          <w:sz w:val="20"/>
          <w:szCs w:val="20"/>
          <w:color w:val="auto"/>
        </w:rPr>
      </w:pPr>
    </w:p>
    <w:p>
      <w:pPr>
        <w:spacing w:after="0"/>
        <w:tabs>
          <w:tab w:leader="none" w:pos="1060" w:val="left"/>
        </w:tabs>
        <w:rPr>
          <w:sz w:val="20"/>
          <w:szCs w:val="20"/>
          <w:color w:val="auto"/>
        </w:rPr>
      </w:pPr>
      <w:r>
        <w:rPr>
          <w:rFonts w:ascii="Times New Roman" w:cs="Times New Roman" w:eastAsia="Times New Roman" w:hAnsi="Times New Roman"/>
          <w:sz w:val="20"/>
          <w:szCs w:val="20"/>
          <w:b w:val="1"/>
          <w:bCs w:val="1"/>
          <w:color w:val="auto"/>
        </w:rPr>
        <w:t>ITEM 1A.</w:t>
      </w:r>
      <w:r>
        <w:rPr>
          <w:sz w:val="20"/>
          <w:szCs w:val="20"/>
          <w:color w:val="auto"/>
        </w:rPr>
        <w:tab/>
      </w:r>
      <w:r>
        <w:rPr>
          <w:rFonts w:ascii="Times New Roman" w:cs="Times New Roman" w:eastAsia="Times New Roman" w:hAnsi="Times New Roman"/>
          <w:sz w:val="19"/>
          <w:szCs w:val="19"/>
          <w:b w:val="1"/>
          <w:bCs w:val="1"/>
          <w:color w:val="auto"/>
        </w:rPr>
        <w:t>RISK FACTORS</w:t>
      </w:r>
    </w:p>
    <w:p>
      <w:pPr>
        <w:spacing w:after="0" w:line="168" w:lineRule="exact"/>
        <w:rPr>
          <w:sz w:val="20"/>
          <w:szCs w:val="20"/>
          <w:color w:val="auto"/>
        </w:rPr>
      </w:pPr>
    </w:p>
    <w:p>
      <w:pPr>
        <w:jc w:val="both"/>
        <w:spacing w:after="0" w:line="294" w:lineRule="auto"/>
        <w:rPr>
          <w:sz w:val="20"/>
          <w:szCs w:val="20"/>
          <w:color w:val="auto"/>
        </w:rPr>
      </w:pPr>
      <w:r>
        <w:rPr>
          <w:rFonts w:ascii="Times New Roman" w:cs="Times New Roman" w:eastAsia="Times New Roman" w:hAnsi="Times New Roman"/>
          <w:sz w:val="20"/>
          <w:szCs w:val="20"/>
          <w:color w:val="auto"/>
        </w:rPr>
        <w:t>Investing in our securities involves risks. Before you make a decision to buy our securities, in addition to the risks and uncertainties discussed above under “Cautionary Note Regarding Forward-Looking Statements,” you should carefully consider the specific risks set forth herein. If any of these risks actually occur, it may materially harm our business, financial condition, liquidity and results of operations. As a result, the market price of our securities could decline and you could lose all or part of your investment. Additionally, the risks and uncertainties described in this Annual Report on Form 10-K or our Quarterly Reports on Form 10-Q are not the only risks and uncertainties that we face. Additional risks and uncertainties not presently known to us or that we currently believe to be immaterial may become material and adversely affect our business.</w:t>
      </w:r>
    </w:p>
    <w:p>
      <w:pPr>
        <w:spacing w:after="0" w:line="78"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Risks Related to our Business and Industry</w:t>
      </w:r>
    </w:p>
    <w:p>
      <w:pPr>
        <w:spacing w:after="0" w:line="17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As our costs increase, we may not be able to generate sufficient revenue to achieve profitability in the future.</w:t>
      </w:r>
    </w:p>
    <w:p>
      <w:pPr>
        <w:spacing w:after="0" w:line="164" w:lineRule="exact"/>
        <w:rPr>
          <w:sz w:val="20"/>
          <w:szCs w:val="20"/>
          <w:color w:val="auto"/>
        </w:rPr>
      </w:pPr>
    </w:p>
    <w:p>
      <w:pPr>
        <w:jc w:val="both"/>
        <w:spacing w:after="0" w:line="296" w:lineRule="auto"/>
        <w:rPr>
          <w:sz w:val="20"/>
          <w:szCs w:val="20"/>
          <w:color w:val="auto"/>
        </w:rPr>
      </w:pPr>
      <w:r>
        <w:rPr>
          <w:rFonts w:ascii="Times New Roman" w:cs="Times New Roman" w:eastAsia="Times New Roman" w:hAnsi="Times New Roman"/>
          <w:sz w:val="20"/>
          <w:szCs w:val="20"/>
          <w:color w:val="auto"/>
        </w:rPr>
        <w:t>Our revenue declined in 2023 compared with 2022 and remained relatively flat when compared with 2021. Our revenue may continue to decline due to a number of factors including, but not limited to, slowdowns in the pace of issuance of new licenses to cannabis retailers and brands, and the decline in the number of new major geographic markets in which the sale of cannabis is permitted and to which we have not already expanded. Accordingly, we may not be able to generate sufficient revenue to offset potential cost increases and our ability to achieve and sustain profitability may be impacted. Additionally, we expect our costs to increase in future periods as we expend substantial financial and other resources on, among other things:</w:t>
      </w:r>
    </w:p>
    <w:p>
      <w:pPr>
        <w:spacing w:after="0" w:line="76" w:lineRule="exact"/>
        <w:rPr>
          <w:sz w:val="20"/>
          <w:szCs w:val="20"/>
          <w:color w:val="auto"/>
        </w:rPr>
      </w:pPr>
    </w:p>
    <w:p>
      <w:pPr>
        <w:ind w:left="720" w:hanging="366"/>
        <w:spacing w:after="0"/>
        <w:tabs>
          <w:tab w:leader="none" w:pos="720" w:val="left"/>
        </w:tabs>
        <w:numPr>
          <w:ilvl w:val="0"/>
          <w:numId w:val="1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sales and marketing, including continued investment in our current marketing efforts and future marketing initiatives;</w:t>
      </w:r>
    </w:p>
    <w:p>
      <w:pPr>
        <w:spacing w:after="0" w:line="101" w:lineRule="exact"/>
        <w:rPr>
          <w:rFonts w:ascii="Times New Roman" w:cs="Times New Roman" w:eastAsia="Times New Roman" w:hAnsi="Times New Roman"/>
          <w:sz w:val="20"/>
          <w:szCs w:val="20"/>
          <w:color w:val="auto"/>
        </w:rPr>
      </w:pPr>
    </w:p>
    <w:p>
      <w:pPr>
        <w:ind w:left="720" w:hanging="366"/>
        <w:spacing w:after="0"/>
        <w:tabs>
          <w:tab w:leader="none" w:pos="720" w:val="left"/>
        </w:tabs>
        <w:numPr>
          <w:ilvl w:val="0"/>
          <w:numId w:val="1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hiring of additional employees, including in our product and engineering teams;</w:t>
      </w:r>
    </w:p>
    <w:p>
      <w:pPr>
        <w:spacing w:after="0" w:line="108" w:lineRule="exact"/>
        <w:rPr>
          <w:rFonts w:ascii="Times New Roman" w:cs="Times New Roman" w:eastAsia="Times New Roman" w:hAnsi="Times New Roman"/>
          <w:sz w:val="20"/>
          <w:szCs w:val="20"/>
          <w:color w:val="auto"/>
        </w:rPr>
      </w:pPr>
    </w:p>
    <w:p>
      <w:pPr>
        <w:ind w:left="720" w:right="20" w:hanging="366"/>
        <w:spacing w:after="0" w:line="319" w:lineRule="auto"/>
        <w:tabs>
          <w:tab w:leader="none" w:pos="720" w:val="left"/>
        </w:tabs>
        <w:numPr>
          <w:ilvl w:val="0"/>
          <w:numId w:val="1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expansion domestically and internationally in an effort to increase our consumer and client usage, client base and our sales to our clients;</w:t>
      </w:r>
    </w:p>
    <w:p>
      <w:pPr>
        <w:ind w:left="720" w:hanging="366"/>
        <w:spacing w:after="0"/>
        <w:tabs>
          <w:tab w:leader="none" w:pos="720" w:val="left"/>
        </w:tabs>
        <w:numPr>
          <w:ilvl w:val="0"/>
          <w:numId w:val="1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development of new products, and increased investment in the ongoing development of our existing products;</w:t>
      </w:r>
    </w:p>
    <w:p>
      <w:pPr>
        <w:spacing w:after="0" w:line="108" w:lineRule="exact"/>
        <w:rPr>
          <w:rFonts w:ascii="Times New Roman" w:cs="Times New Roman" w:eastAsia="Times New Roman" w:hAnsi="Times New Roman"/>
          <w:sz w:val="20"/>
          <w:szCs w:val="20"/>
          <w:color w:val="auto"/>
        </w:rPr>
      </w:pPr>
    </w:p>
    <w:p>
      <w:pPr>
        <w:ind w:left="720" w:hanging="366"/>
        <w:spacing w:after="0"/>
        <w:tabs>
          <w:tab w:leader="none" w:pos="720" w:val="left"/>
        </w:tabs>
        <w:numPr>
          <w:ilvl w:val="0"/>
          <w:numId w:val="1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integrating any acquired companies into our operations; and</w:t>
      </w:r>
    </w:p>
    <w:p>
      <w:pPr>
        <w:spacing w:after="0" w:line="101" w:lineRule="exact"/>
        <w:rPr>
          <w:rFonts w:ascii="Times New Roman" w:cs="Times New Roman" w:eastAsia="Times New Roman" w:hAnsi="Times New Roman"/>
          <w:sz w:val="20"/>
          <w:szCs w:val="20"/>
          <w:color w:val="auto"/>
        </w:rPr>
      </w:pPr>
    </w:p>
    <w:p>
      <w:pPr>
        <w:ind w:left="720" w:hanging="366"/>
        <w:spacing w:after="0" w:line="334" w:lineRule="auto"/>
        <w:tabs>
          <w:tab w:leader="none" w:pos="720" w:val="left"/>
        </w:tabs>
        <w:numPr>
          <w:ilvl w:val="0"/>
          <w:numId w:val="1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general administration, including continued compliance with various regulations applicable to public companies and cannabis industry businesses and other work arising from the growth and maturity of our company.</w:t>
      </w:r>
    </w:p>
    <w:p>
      <w:pPr>
        <w:spacing w:after="0" w:line="200" w:lineRule="exact"/>
        <w:rPr>
          <w:sz w:val="20"/>
          <w:szCs w:val="20"/>
          <w:color w:val="auto"/>
        </w:rPr>
      </w:pPr>
    </w:p>
    <w:p>
      <w:pPr>
        <w:spacing w:after="0" w:line="200" w:lineRule="exact"/>
        <w:rPr>
          <w:sz w:val="20"/>
          <w:szCs w:val="20"/>
          <w:color w:val="auto"/>
        </w:rPr>
      </w:pPr>
    </w:p>
    <w:p>
      <w:pPr>
        <w:spacing w:after="0" w:line="241"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20"/>
          <w:szCs w:val="20"/>
          <w:color w:val="auto"/>
        </w:rPr>
        <w:t>16</w:t>
      </w:r>
    </w:p>
    <w:p>
      <w:pPr>
        <w:sectPr>
          <w:pgSz w:w="12240" w:h="15840" w:orient="portrait"/>
          <w:cols w:equalWidth="0" w:num="1">
            <w:col w:w="10260"/>
          </w:cols>
          <w:pgMar w:left="1000" w:top="884" w:right="980" w:bottom="222" w:gutter="0" w:footer="0" w:header="0"/>
        </w:sectPr>
      </w:pPr>
    </w:p>
    <w:bookmarkStart w:id="20" w:name="page21"/>
    <w:bookmarkEnd w:id="20"/>
    <w:p>
      <w:pPr>
        <w:jc w:val="both"/>
        <w:spacing w:after="0" w:line="309" w:lineRule="auto"/>
        <w:rPr>
          <w:sz w:val="20"/>
          <w:szCs w:val="20"/>
          <w:color w:val="auto"/>
        </w:rPr>
      </w:pPr>
      <w:r>
        <w:rPr>
          <w:rFonts w:ascii="Times New Roman" w:cs="Times New Roman" w:eastAsia="Times New Roman" w:hAnsi="Times New Roman"/>
          <w:sz w:val="20"/>
          <w:szCs w:val="20"/>
          <w:color w:val="auto"/>
        </w:rPr>
        <w:t>These expenditures may not result in additional revenue or the growth of our business. If we fail to continue to grow revenue or to achieve profitability, the market price of our securities could decline, and our business, operating results and financial condition could be adversely affected.</w:t>
      </w:r>
    </w:p>
    <w:p>
      <w:pPr>
        <w:spacing w:after="0" w:line="64" w:lineRule="exact"/>
        <w:rPr>
          <w:sz w:val="20"/>
          <w:szCs w:val="20"/>
          <w:color w:val="auto"/>
        </w:rPr>
      </w:pPr>
    </w:p>
    <w:p>
      <w:pPr>
        <w:jc w:val="both"/>
        <w:ind w:right="20"/>
        <w:spacing w:after="0" w:line="324" w:lineRule="auto"/>
        <w:rPr>
          <w:sz w:val="20"/>
          <w:szCs w:val="20"/>
          <w:color w:val="auto"/>
        </w:rPr>
      </w:pPr>
      <w:r>
        <w:rPr>
          <w:rFonts w:ascii="Times New Roman" w:cs="Times New Roman" w:eastAsia="Times New Roman" w:hAnsi="Times New Roman"/>
          <w:sz w:val="20"/>
          <w:szCs w:val="20"/>
          <w:b w:val="1"/>
          <w:bCs w:val="1"/>
          <w:i w:val="1"/>
          <w:iCs w:val="1"/>
          <w:color w:val="auto"/>
        </w:rPr>
        <w:t>If we fail to retain our existing clients and consumers or to acquire new clients and consumers in a cost-effective manner, our revenue may decrease and our business may be harmed.</w:t>
      </w:r>
    </w:p>
    <w:p>
      <w:pPr>
        <w:spacing w:after="0" w:line="47" w:lineRule="exact"/>
        <w:rPr>
          <w:sz w:val="20"/>
          <w:szCs w:val="20"/>
          <w:color w:val="auto"/>
        </w:rPr>
      </w:pPr>
    </w:p>
    <w:p>
      <w:pPr>
        <w:jc w:val="both"/>
        <w:spacing w:after="0" w:line="293" w:lineRule="auto"/>
        <w:rPr>
          <w:sz w:val="20"/>
          <w:szCs w:val="20"/>
          <w:color w:val="auto"/>
        </w:rPr>
      </w:pPr>
      <w:r>
        <w:rPr>
          <w:rFonts w:ascii="Times New Roman" w:cs="Times New Roman" w:eastAsia="Times New Roman" w:hAnsi="Times New Roman"/>
          <w:sz w:val="20"/>
          <w:szCs w:val="20"/>
          <w:color w:val="auto"/>
        </w:rPr>
        <w:t>We compete in a dynamic, innovative market, which we expect will continue to evolve rapidly. We believe that our success is dependent on our ability to continue identifying and anticipating the needs of our clients and consumers and growing our two-sided marketplace by retaining our existing clients and consumers and adding new clients and consumers. This two-sided marketplace may grow more slowly than we expect or than it has grown in the past. As we have become larger through organic growth, the number of paying clients and monthly revenue per client have at times slowed or declined and may similarly slow or decline in the future, even if we continue to add clients and consumers on an absolute basis. Although we expect that our growth rates will continue to slow during certain periods as our business increases in size, if we fail to retain either our existing clients or consumers, the value of our two-sided marketplace will be diminished.</w:t>
      </w:r>
    </w:p>
    <w:p>
      <w:pPr>
        <w:spacing w:after="0" w:line="79" w:lineRule="exact"/>
        <w:rPr>
          <w:sz w:val="20"/>
          <w:szCs w:val="20"/>
          <w:color w:val="auto"/>
        </w:rPr>
      </w:pPr>
    </w:p>
    <w:p>
      <w:pPr>
        <w:jc w:val="both"/>
        <w:spacing w:after="0" w:line="292" w:lineRule="auto"/>
        <w:rPr>
          <w:sz w:val="20"/>
          <w:szCs w:val="20"/>
          <w:color w:val="auto"/>
        </w:rPr>
      </w:pPr>
      <w:r>
        <w:rPr>
          <w:rFonts w:ascii="Times New Roman" w:cs="Times New Roman" w:eastAsia="Times New Roman" w:hAnsi="Times New Roman"/>
          <w:sz w:val="20"/>
          <w:szCs w:val="20"/>
          <w:color w:val="auto"/>
        </w:rPr>
        <w:t>In addition, the costs associated with client and consumer retention are substantially lower than costs associated with the acquisition of new clients or consumers. We have incurred significant costs to attract clients and consumers to our platform and expect to incur significant additional costs to attract and retain clients and consumers for the foreseeable future. Because expenditures on our platform can represent a significant financial investment for our clients, our ability to retain clients depends in part on our ability to create and maintain high levels of client and consumer satisfaction, which we may not always be capable of providing, including for reasons outside of our control. Additionally, in order to retain our clients, we may be required to identify ways to help our clients convert consumers more effectively. Our clients generally do not have long-term obligations to purchase our products and solutions and generally may cancel their use of our products and solutions at any time without penalty. Thus, any decrease in client satisfaction or other change negatively affecting our ability to retain existing clients or consumers, even if such losses are offset by an increase in revenue resulting from the acquisition of new clients or consumers, could have rapid, concentrated and adverse effect on our business and operating results.</w:t>
      </w:r>
    </w:p>
    <w:p>
      <w:pPr>
        <w:spacing w:after="0" w:line="85"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We may fail to offer the optimal pricing of our products and solutions.</w:t>
      </w:r>
    </w:p>
    <w:p>
      <w:pPr>
        <w:spacing w:after="0" w:line="164" w:lineRule="exact"/>
        <w:rPr>
          <w:sz w:val="20"/>
          <w:szCs w:val="20"/>
          <w:color w:val="auto"/>
        </w:rPr>
      </w:pPr>
    </w:p>
    <w:p>
      <w:pPr>
        <w:jc w:val="both"/>
        <w:spacing w:after="0" w:line="295" w:lineRule="auto"/>
        <w:rPr>
          <w:sz w:val="20"/>
          <w:szCs w:val="20"/>
          <w:color w:val="auto"/>
        </w:rPr>
      </w:pPr>
      <w:r>
        <w:rPr>
          <w:rFonts w:ascii="Times New Roman" w:cs="Times New Roman" w:eastAsia="Times New Roman" w:hAnsi="Times New Roman"/>
          <w:sz w:val="20"/>
          <w:szCs w:val="20"/>
          <w:color w:val="auto"/>
        </w:rPr>
        <w:t>We have limited experience in determining the optimal pricing of our products and solutions, and we have in the past changed and may in the future change our pricing model. We also have historically priced our add-on premium offerings in a bid-auction format. Our ability to continue growing depends on our ability to maintain and expand our client base. If our clients do not believe the incremental additional cost we are charging for Weedmaps for Business is justified by the additional components included in our software bundles or that our add-on offerings do not generate proper return on investment, such clients may decline to continue using our services, and our revenue and other financial results may be adversely impacted.</w:t>
      </w:r>
    </w:p>
    <w:p>
      <w:pPr>
        <w:spacing w:after="0" w:line="77"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If we fail to expand effectively into new markets, our revenue and business will be adversely affected.</w:t>
      </w:r>
    </w:p>
    <w:p>
      <w:pPr>
        <w:spacing w:after="0" w:line="164" w:lineRule="exact"/>
        <w:rPr>
          <w:sz w:val="20"/>
          <w:szCs w:val="20"/>
          <w:color w:val="auto"/>
        </w:rPr>
      </w:pPr>
    </w:p>
    <w:p>
      <w:pPr>
        <w:jc w:val="both"/>
        <w:spacing w:after="0" w:line="273" w:lineRule="auto"/>
        <w:rPr>
          <w:sz w:val="20"/>
          <w:szCs w:val="20"/>
          <w:color w:val="auto"/>
        </w:rPr>
      </w:pPr>
      <w:r>
        <w:rPr>
          <w:rFonts w:ascii="Times New Roman" w:cs="Times New Roman" w:eastAsia="Times New Roman" w:hAnsi="Times New Roman"/>
          <w:sz w:val="20"/>
          <w:szCs w:val="20"/>
          <w:color w:val="auto"/>
        </w:rPr>
        <w:t>While a key part of our business strategy is to add clients and consumers in our existing geographic markets, we also intend to expand our operations into new markets if and as cannabis continues to be legalized. Any such expansion places us in competitive markets with which we may be unfamiliar, requires us to invest significant time and resources, including to analyze the potential applicability of new and complicated regulations regarding the usage, sale and marketing of cannabis in such markets, and involves various risks, including the possibility that returns on such investments will not be achieved for several years, if at all. As a result of new market expansions, we may incur losses or otherwise fail to enter new markets successfully. In attempting to establish a presence in new markets, we expect to incur significant expenses and face various other challenges, such as expanding our compliance efforts to cover those new markets. These efforts may prove more expensive than we currently anticipate, and we may not succeed in increasing our revenues sufficiently to offset these expenses. Our current and any future expansion plans will require significant resources and management attention.</w:t>
      </w:r>
    </w:p>
    <w:p>
      <w:pPr>
        <w:spacing w:after="0" w:line="8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121212"/>
        </w:rPr>
        <w:t xml:space="preserve">Competition </w:t>
      </w:r>
      <w:r>
        <w:rPr>
          <w:rFonts w:ascii="Times New Roman" w:cs="Times New Roman" w:eastAsia="Times New Roman" w:hAnsi="Times New Roman"/>
          <w:sz w:val="20"/>
          <w:szCs w:val="20"/>
          <w:b w:val="1"/>
          <w:bCs w:val="1"/>
          <w:i w:val="1"/>
          <w:iCs w:val="1"/>
          <w:color w:val="000000"/>
        </w:rPr>
        <w:t>from the illicit cannabis market could impact our ability to succeed.</w:t>
      </w:r>
    </w:p>
    <w:p>
      <w:pPr>
        <w:spacing w:after="0" w:line="164" w:lineRule="exact"/>
        <w:rPr>
          <w:sz w:val="20"/>
          <w:szCs w:val="20"/>
          <w:color w:val="auto"/>
        </w:rPr>
      </w:pPr>
    </w:p>
    <w:p>
      <w:pPr>
        <w:jc w:val="both"/>
        <w:ind w:right="20"/>
        <w:spacing w:after="0" w:line="332" w:lineRule="auto"/>
        <w:rPr>
          <w:sz w:val="20"/>
          <w:szCs w:val="20"/>
          <w:color w:val="auto"/>
        </w:rPr>
      </w:pPr>
      <w:r>
        <w:rPr>
          <w:rFonts w:ascii="Times New Roman" w:cs="Times New Roman" w:eastAsia="Times New Roman" w:hAnsi="Times New Roman"/>
          <w:sz w:val="19"/>
          <w:szCs w:val="19"/>
          <w:color w:val="121212"/>
        </w:rPr>
        <w:t>Our clients face competition from illegal market operators that are unlicensed and unregulated including illegal dispensaries and illicit market suppliers selling cannabis and cannabis-based products, particularly in states like California. Because these illegal market participants do not comply with the regulations governing the cannabis industry, their operations may have significantly</w:t>
      </w:r>
    </w:p>
    <w:p>
      <w:pPr>
        <w:spacing w:after="0" w:line="267"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20"/>
          <w:szCs w:val="20"/>
          <w:color w:val="auto"/>
        </w:rPr>
        <w:t>17</w:t>
      </w:r>
    </w:p>
    <w:p>
      <w:pPr>
        <w:sectPr>
          <w:pgSz w:w="12240" w:h="15840" w:orient="portrait"/>
          <w:cols w:equalWidth="0" w:num="1">
            <w:col w:w="10260"/>
          </w:cols>
          <w:pgMar w:left="1000" w:top="884" w:right="980" w:bottom="222" w:gutter="0" w:footer="0" w:header="0"/>
        </w:sectPr>
      </w:pPr>
    </w:p>
    <w:bookmarkStart w:id="21" w:name="page22"/>
    <w:bookmarkEnd w:id="21"/>
    <w:p>
      <w:pPr>
        <w:jc w:val="both"/>
        <w:spacing w:after="0" w:line="293" w:lineRule="auto"/>
        <w:rPr>
          <w:sz w:val="20"/>
          <w:szCs w:val="20"/>
          <w:color w:val="auto"/>
        </w:rPr>
      </w:pPr>
      <w:r>
        <w:rPr>
          <w:rFonts w:ascii="Times New Roman" w:cs="Times New Roman" w:eastAsia="Times New Roman" w:hAnsi="Times New Roman"/>
          <w:sz w:val="20"/>
          <w:szCs w:val="20"/>
          <w:color w:val="121212"/>
        </w:rPr>
        <w:t xml:space="preserve">lower costs. The perpetuation of the illegal market for cannabis may have a material adverse effect on our clients and our business, results of operations, as well as the perception of cannabis use. Furthermore, given the restrictions on regulated cannabis retail, it is possible that legal cannabis consumers revert to the illicit market as a matter of convenience. </w:t>
      </w:r>
      <w:r>
        <w:rPr>
          <w:rFonts w:ascii="Times New Roman" w:cs="Times New Roman" w:eastAsia="Times New Roman" w:hAnsi="Times New Roman"/>
          <w:sz w:val="20"/>
          <w:szCs w:val="20"/>
          <w:color w:val="000000"/>
        </w:rPr>
        <w:t>In particular, we rely on licensed</w:t>
      </w:r>
      <w:r>
        <w:rPr>
          <w:rFonts w:ascii="Times New Roman" w:cs="Times New Roman" w:eastAsia="Times New Roman" w:hAnsi="Times New Roman"/>
          <w:sz w:val="20"/>
          <w:szCs w:val="20"/>
          <w:color w:val="121212"/>
        </w:rPr>
        <w:t xml:space="preserve"> </w:t>
      </w:r>
      <w:r>
        <w:rPr>
          <w:rFonts w:ascii="Times New Roman" w:cs="Times New Roman" w:eastAsia="Times New Roman" w:hAnsi="Times New Roman"/>
          <w:sz w:val="20"/>
          <w:szCs w:val="20"/>
          <w:color w:val="000000"/>
        </w:rPr>
        <w:t>cannabis businesses to drive the growth of our revenue and the use of our products, and the failure of the licensed cannabis markets to sufficiently overtake or eliminate the illegal market may have an adverse effect on our ability to grow our revenue, particularly if the slow pace of licensing allows the illegal market to gain a foothold, which may be more likely to occur in jurisdictions with an extended period of time between the authorization of consumer possession and the time at which licensed retailers become operational. In such jurisdictions, the timeline for licensed cannabis businesses overtaking the illegal market may be extended.</w:t>
      </w:r>
    </w:p>
    <w:p>
      <w:pPr>
        <w:spacing w:after="0" w:line="82" w:lineRule="exact"/>
        <w:rPr>
          <w:sz w:val="20"/>
          <w:szCs w:val="20"/>
          <w:color w:val="auto"/>
        </w:rPr>
      </w:pPr>
    </w:p>
    <w:p>
      <w:pPr>
        <w:jc w:val="both"/>
        <w:ind w:right="20"/>
        <w:spacing w:after="0" w:line="324" w:lineRule="auto"/>
        <w:rPr>
          <w:sz w:val="20"/>
          <w:szCs w:val="20"/>
          <w:color w:val="auto"/>
        </w:rPr>
      </w:pPr>
      <w:r>
        <w:rPr>
          <w:rFonts w:ascii="Times New Roman" w:cs="Times New Roman" w:eastAsia="Times New Roman" w:hAnsi="Times New Roman"/>
          <w:sz w:val="20"/>
          <w:szCs w:val="20"/>
          <w:b w:val="1"/>
          <w:bCs w:val="1"/>
          <w:i w:val="1"/>
          <w:iCs w:val="1"/>
          <w:color w:val="auto"/>
        </w:rPr>
        <w:t>Our business is concentrated in California, and, as a result, our performance may be affected by factors unique to the California market.</w:t>
      </w:r>
    </w:p>
    <w:p>
      <w:pPr>
        <w:spacing w:after="0" w:line="47" w:lineRule="exact"/>
        <w:rPr>
          <w:sz w:val="20"/>
          <w:szCs w:val="20"/>
          <w:color w:val="auto"/>
        </w:rPr>
      </w:pPr>
    </w:p>
    <w:p>
      <w:pPr>
        <w:jc w:val="both"/>
        <w:spacing w:after="0" w:line="293" w:lineRule="auto"/>
        <w:rPr>
          <w:sz w:val="20"/>
          <w:szCs w:val="20"/>
          <w:color w:val="auto"/>
        </w:rPr>
      </w:pPr>
      <w:r>
        <w:rPr>
          <w:rFonts w:ascii="Times New Roman" w:cs="Times New Roman" w:eastAsia="Times New Roman" w:hAnsi="Times New Roman"/>
          <w:sz w:val="20"/>
          <w:szCs w:val="20"/>
          <w:color w:val="auto"/>
        </w:rPr>
        <w:t>California represents one of the largest state legal cannabis markets in the United States, and approximately 52%, 56% and 61% of our revenue for the years ended December 31, 2023, 2022 and 2021, were generated in California. As new markets develop and our current markets expand, we anticipate that there will be a further reduction in the percentage of our revenue generated in California, but we do not know with any certainty when and to what degree, if ever, this would occur. Moreover, the cannabis market in California is rapidly evolving, and we expect our growth in California to continue as the cannabis industry continues to develop, which could further concentrate our client base. As a result, our business and results of operations are particularly susceptible to, and may be disproportionately impacted by, trends in the California cannabis market, as well as adverse economic, regulatory, political and other conditions in California.</w:t>
      </w:r>
    </w:p>
    <w:p>
      <w:pPr>
        <w:spacing w:after="0" w:line="82" w:lineRule="exact"/>
        <w:rPr>
          <w:sz w:val="20"/>
          <w:szCs w:val="20"/>
          <w:color w:val="auto"/>
        </w:rPr>
      </w:pPr>
    </w:p>
    <w:p>
      <w:pPr>
        <w:jc w:val="both"/>
        <w:ind w:right="20"/>
        <w:spacing w:after="0" w:line="332" w:lineRule="auto"/>
        <w:rPr>
          <w:sz w:val="20"/>
          <w:szCs w:val="20"/>
          <w:color w:val="auto"/>
        </w:rPr>
      </w:pPr>
      <w:r>
        <w:rPr>
          <w:rFonts w:ascii="Times New Roman" w:cs="Times New Roman" w:eastAsia="Times New Roman" w:hAnsi="Times New Roman"/>
          <w:sz w:val="20"/>
          <w:szCs w:val="20"/>
          <w:b w:val="1"/>
          <w:bCs w:val="1"/>
          <w:i w:val="1"/>
          <w:iCs w:val="1"/>
          <w:color w:val="auto"/>
        </w:rPr>
        <w:t>Litigation or legal proceedings could expose us to significant liabilities and have a negative impact on our reputation or business.</w:t>
      </w:r>
    </w:p>
    <w:p>
      <w:pPr>
        <w:spacing w:after="0" w:line="38" w:lineRule="exact"/>
        <w:rPr>
          <w:sz w:val="20"/>
          <w:szCs w:val="20"/>
          <w:color w:val="auto"/>
        </w:rPr>
      </w:pPr>
    </w:p>
    <w:p>
      <w:pPr>
        <w:jc w:val="both"/>
        <w:ind w:right="20"/>
        <w:spacing w:after="0" w:line="293" w:lineRule="auto"/>
        <w:rPr>
          <w:sz w:val="20"/>
          <w:szCs w:val="20"/>
          <w:color w:val="auto"/>
        </w:rPr>
      </w:pPr>
      <w:r>
        <w:rPr>
          <w:rFonts w:ascii="Times New Roman" w:cs="Times New Roman" w:eastAsia="Times New Roman" w:hAnsi="Times New Roman"/>
          <w:sz w:val="20"/>
          <w:szCs w:val="20"/>
          <w:color w:val="auto"/>
        </w:rPr>
        <w:t>From time to time, we may be party to various claims and legal proceedings. For example, in August 2022, our board of directors determined to voluntarily report an internal complaint and subsequent internal investigation to the SEC. Since that date, we have received two subpoenas from the SEC’s Division of Enforcement requesting additional information and documents. In addition, the SEC issued subpoenas to several of our current and former employees seeking their testimony, and their testimony occurred in July and August of 2023. Such investigations and their results are inherently uncertain, but could give rise to penalties or other sanctions against us, as well as negative publicity and reputational harm. Regardless of the outcome, such proceedings can have an adverse impact on us because of legal costs, diversion of management resources and other factors. See Part I, Item 3. Legal Proceedings to this Form 10-K for more information.</w:t>
      </w:r>
    </w:p>
    <w:p>
      <w:pPr>
        <w:spacing w:after="0" w:line="79" w:lineRule="exact"/>
        <w:rPr>
          <w:sz w:val="20"/>
          <w:szCs w:val="20"/>
          <w:color w:val="auto"/>
        </w:rPr>
      </w:pPr>
    </w:p>
    <w:p>
      <w:pPr>
        <w:jc w:val="both"/>
        <w:spacing w:after="0" w:line="293" w:lineRule="auto"/>
        <w:rPr>
          <w:sz w:val="20"/>
          <w:szCs w:val="20"/>
          <w:color w:val="auto"/>
        </w:rPr>
      </w:pPr>
      <w:r>
        <w:rPr>
          <w:rFonts w:ascii="Times New Roman" w:cs="Times New Roman" w:eastAsia="Times New Roman" w:hAnsi="Times New Roman"/>
          <w:sz w:val="20"/>
          <w:szCs w:val="20"/>
          <w:color w:val="auto"/>
        </w:rPr>
        <w:t>Even when not merited, the defense of any lawsuits or legal proceedings, including potential securities litigation, is expensive and may divert management’s attention, and we may incur significant expenses in defending any lawsuits or legal proceedings. The results of litigation and other legal proceedings are inherently uncertain, and adverse judgments or settlements in some of these legal disputes may result in adverse monetary damages, penalties or injunctive relief against us, which could negatively impact our financial position, cash flows or results of operations. We evaluate all claims and proceedings to assess the likelihood of unfavorable outcomes and to estimate, if probable and estimable, the amount of potential losses. Based on these assessments and estimates, we may establish reserves, as appropriate. These assessments and estimates are based on the information available to management at the time and involve a significant amount of management judgment. Actual outcomes or losses may differ materially from our assessments and estimates.</w:t>
      </w:r>
    </w:p>
    <w:p>
      <w:pPr>
        <w:spacing w:after="0" w:line="79" w:lineRule="exact"/>
        <w:rPr>
          <w:sz w:val="20"/>
          <w:szCs w:val="20"/>
          <w:color w:val="auto"/>
        </w:rPr>
      </w:pPr>
    </w:p>
    <w:p>
      <w:pPr>
        <w:ind w:right="80"/>
        <w:spacing w:after="0" w:line="295" w:lineRule="auto"/>
        <w:rPr>
          <w:sz w:val="20"/>
          <w:szCs w:val="20"/>
          <w:color w:val="auto"/>
        </w:rPr>
      </w:pPr>
      <w:r>
        <w:rPr>
          <w:rFonts w:ascii="Times New Roman" w:cs="Times New Roman" w:eastAsia="Times New Roman" w:hAnsi="Times New Roman"/>
          <w:sz w:val="20"/>
          <w:szCs w:val="20"/>
          <w:color w:val="auto"/>
        </w:rPr>
        <w:t>Furthermore, while we maintain insurance for certain potential liabilities, such insurance does not cover all types and amounts of potential liabilities and is subject to various exclusions as well as caps on amounts recoverable. Even if we believe a claim is covered by insurance, insurers may dispute our entitlement to recovery for a variety of potential reasons, which may affect the timing and, if the insurers prevail, the amount of our recovery. In addition, any claims or litigation, even if fully indemnified or insured, could damage our reputation and make it more difficult to compete effectively or to obtain adequate insurance in the future.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3"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20"/>
          <w:szCs w:val="20"/>
          <w:color w:val="auto"/>
        </w:rPr>
        <w:t>18</w:t>
      </w:r>
    </w:p>
    <w:p>
      <w:pPr>
        <w:sectPr>
          <w:pgSz w:w="12240" w:h="15840" w:orient="portrait"/>
          <w:cols w:equalWidth="0" w:num="1">
            <w:col w:w="10260"/>
          </w:cols>
          <w:pgMar w:left="1000" w:top="884" w:right="980" w:bottom="222" w:gutter="0" w:footer="0" w:header="0"/>
        </w:sectPr>
      </w:pPr>
    </w:p>
    <w:bookmarkStart w:id="22" w:name="page23"/>
    <w:bookmarkEnd w:id="22"/>
    <w:p>
      <w:pPr>
        <w:jc w:val="both"/>
        <w:spacing w:after="0" w:line="308" w:lineRule="auto"/>
        <w:rPr>
          <w:sz w:val="20"/>
          <w:szCs w:val="20"/>
          <w:color w:val="auto"/>
        </w:rPr>
      </w:pPr>
      <w:r>
        <w:rPr>
          <w:rFonts w:ascii="Times New Roman" w:cs="Times New Roman" w:eastAsia="Times New Roman" w:hAnsi="Times New Roman"/>
          <w:sz w:val="20"/>
          <w:szCs w:val="20"/>
          <w:b w:val="1"/>
          <w:bCs w:val="1"/>
          <w:i w:val="1"/>
          <w:iCs w:val="1"/>
          <w:color w:val="auto"/>
        </w:rPr>
        <w:t>Federal law enforcement may deem our clients to be in violation of U.S. federal law, and, in particular the Controlled Substances Act (“CSA”). A change in U.S. federal policy on cannabis enforcement and strict enforcement of federal cannabis laws against our clients would undermine our business model and materially affect our business and operations.</w:t>
      </w:r>
    </w:p>
    <w:p>
      <w:pPr>
        <w:spacing w:after="0" w:line="63" w:lineRule="exact"/>
        <w:rPr>
          <w:sz w:val="20"/>
          <w:szCs w:val="20"/>
          <w:color w:val="auto"/>
        </w:rPr>
      </w:pPr>
    </w:p>
    <w:p>
      <w:pPr>
        <w:jc w:val="both"/>
        <w:spacing w:after="0" w:line="307" w:lineRule="auto"/>
        <w:rPr>
          <w:sz w:val="20"/>
          <w:szCs w:val="20"/>
          <w:color w:val="auto"/>
        </w:rPr>
      </w:pPr>
      <w:r>
        <w:rPr>
          <w:rFonts w:ascii="Times New Roman" w:cs="Times New Roman" w:eastAsia="Times New Roman" w:hAnsi="Times New Roman"/>
          <w:sz w:val="19"/>
          <w:szCs w:val="19"/>
          <w:color w:val="auto"/>
        </w:rPr>
        <w:t>U.S. federal law, and more specifically the CSA, proscribes the cultivation, processing, distribution, sale, advertisement and possession of cannabis. As a result, U.S. federal law enforcement authorities, in their attempt to regulate the illegal or unauthorized production, distribution, promotion, sale, possession, or use of cannabis, may seek to bring criminal actions against our clients under the CSA. On August 4, 2021, the U.S. Attorney’s Office for the Eastern District of California withdrew a subpoena served on us in September 2019, and informed us that it had no present plan to exercise its discretion to proceed further in the matter. The U.S. Attorney’s Office for the Eastern District of California also stated that its decision was not a grant of immunity, however, and there can be no assurance that the U.S. Attorney’s Office for the Eastern District of California — either the U.S. Attorney’s Office for the Eastern District of California or another DOJ entity — will not initiate another investigation in the future. If our clients are found to be violating U.S. federal law relating to cannabis, they may be subject not only to criminal charges and convictions, but also to forfeiture of property, significant fines and penalties, disgorgement of profits, administrative sanctions, cessation of business activities, or civil liabilities arising from proceedings initiated by either the U.S. government or private citizens. Any of these actions or consequences on our clients could have a material adverse effect on our business, operating results or financial condition, or could force us to cease operations, and as a result, our investors could lose their entire investment.</w:t>
      </w:r>
    </w:p>
    <w:p>
      <w:pPr>
        <w:spacing w:after="0" w:line="75" w:lineRule="exact"/>
        <w:rPr>
          <w:sz w:val="20"/>
          <w:szCs w:val="20"/>
          <w:color w:val="auto"/>
        </w:rPr>
      </w:pPr>
    </w:p>
    <w:p>
      <w:pPr>
        <w:jc w:val="both"/>
        <w:ind w:right="20"/>
        <w:spacing w:after="0" w:line="294" w:lineRule="auto"/>
        <w:rPr>
          <w:sz w:val="20"/>
          <w:szCs w:val="20"/>
          <w:color w:val="auto"/>
        </w:rPr>
      </w:pPr>
      <w:r>
        <w:rPr>
          <w:rFonts w:ascii="Times New Roman" w:cs="Times New Roman" w:eastAsia="Times New Roman" w:hAnsi="Times New Roman"/>
          <w:sz w:val="20"/>
          <w:szCs w:val="20"/>
          <w:color w:val="auto"/>
        </w:rPr>
        <w:t>Further, to the extent any law enforcement actions require us to respond to subpoenas, or undergo search warrants, for client records, cannabis businesses could elect to cease using our products. Until the U.S. federal government changes the laws with respect to cannabis, and particularly if the U.S. Congress does not extend the Omnibus Spending Bill’s protection of state medical cannabis programs, described below, to apply to all state cannabis programs, U.S. federal authorities could more strictly enforce current federal prohibitions and restrictions. An increase in federal enforcement against companies licensed under state cannabis laws could negatively impact the state cannabis industries and, in turn, our business, operating results, financial condition, brand and reputation.</w:t>
      </w:r>
    </w:p>
    <w:p>
      <w:pPr>
        <w:spacing w:after="0" w:line="82" w:lineRule="exact"/>
        <w:rPr>
          <w:sz w:val="20"/>
          <w:szCs w:val="20"/>
          <w:color w:val="auto"/>
        </w:rPr>
      </w:pPr>
    </w:p>
    <w:p>
      <w:pPr>
        <w:jc w:val="both"/>
        <w:spacing w:after="0" w:line="294" w:lineRule="auto"/>
        <w:rPr>
          <w:sz w:val="20"/>
          <w:szCs w:val="20"/>
          <w:color w:val="auto"/>
        </w:rPr>
      </w:pPr>
      <w:r>
        <w:rPr>
          <w:rFonts w:ascii="Times New Roman" w:cs="Times New Roman" w:eastAsia="Times New Roman" w:hAnsi="Times New Roman"/>
          <w:sz w:val="20"/>
          <w:szCs w:val="20"/>
          <w:b w:val="1"/>
          <w:bCs w:val="1"/>
          <w:i w:val="1"/>
          <w:iCs w:val="1"/>
          <w:color w:val="auto"/>
        </w:rPr>
        <w:t>Some of our clients or their listings currently and in the future may not be in compliance with licensing and related requirements under applicable laws and regulations. Allowing unlicensed or noncompliant businesses to access our products, or allowing businesses to use our solutions in a noncompliant manner, may subject us to legal or regulatory enforcement and negative publicity, which could adversely impact our business, operating results, financial condition, brand and reputation. In addition, allowing businesses that engage in false or deceptive advertising practices to use our solutions may subject us to negative publicity, which could have similar adverse impacts on us.</w:t>
      </w:r>
    </w:p>
    <w:p>
      <w:pPr>
        <w:spacing w:after="0" w:line="79" w:lineRule="exact"/>
        <w:rPr>
          <w:sz w:val="20"/>
          <w:szCs w:val="20"/>
          <w:color w:val="auto"/>
        </w:rPr>
      </w:pPr>
    </w:p>
    <w:p>
      <w:pPr>
        <w:jc w:val="both"/>
        <w:spacing w:after="0" w:line="307" w:lineRule="auto"/>
        <w:rPr>
          <w:sz w:val="20"/>
          <w:szCs w:val="20"/>
          <w:color w:val="auto"/>
        </w:rPr>
      </w:pPr>
      <w:r>
        <w:rPr>
          <w:rFonts w:ascii="Times New Roman" w:cs="Times New Roman" w:eastAsia="Times New Roman" w:hAnsi="Times New Roman"/>
          <w:sz w:val="19"/>
          <w:szCs w:val="19"/>
          <w:color w:val="auto"/>
        </w:rPr>
        <w:t>Our clients are contractually required to represent, warrant and covenant to us that they conduct their business in compliance with applicable state law, which includes any applicable licensing requirements and the regulatory framework enacted by each state or province in which they do business. Clients further contractually agree to indemnify us for any damages we may suffer as a result of their noncompliance. We rely on our clients’ contractual representations, and generally do not verify them, other than with respect to the licensing information of our clients operating cannabis retail businesses, where we currently require such clients to provide evidence of a valid state or provincial cannabis license prior to their initial access and from time to time during the term of their use of such products. We require all operational cannabis retailer clients, including storefronts and delivery services, to display on their listing a valid, unexpired state-issued license number. We also currently require cannabis brand clients to provide evidence of a valid state or provincial license in order to get access to our listings and premium placement products. Additionally, many states do not require a license to sell CBD products at retail, and the illicit market could fraudulently attempt to use our CBD listings product to sell products containing THC. While we periodically audit and respond to reports related to our CBD listings, it is difficult to monitor the individual products listed, and marketing claims contained, in the listings of our CBD clients. As a result, some of our clients or their listings currently and in the future may not be in compliance with licensing and related requirements under applicable state or provincial laws and regulations. There could be legal enforcement actions against unlicensed or insufficiently licensed entities selling cannabis or CBD, which could negatively impact us.</w:t>
      </w:r>
    </w:p>
    <w:p>
      <w:pPr>
        <w:spacing w:after="0" w:line="70" w:lineRule="exact"/>
        <w:rPr>
          <w:sz w:val="20"/>
          <w:szCs w:val="20"/>
          <w:color w:val="auto"/>
        </w:rPr>
      </w:pPr>
    </w:p>
    <w:p>
      <w:pPr>
        <w:jc w:val="both"/>
        <w:spacing w:after="0" w:line="306" w:lineRule="auto"/>
        <w:rPr>
          <w:sz w:val="20"/>
          <w:szCs w:val="20"/>
          <w:color w:val="auto"/>
        </w:rPr>
      </w:pPr>
      <w:r>
        <w:rPr>
          <w:rFonts w:ascii="Times New Roman" w:cs="Times New Roman" w:eastAsia="Times New Roman" w:hAnsi="Times New Roman"/>
          <w:sz w:val="20"/>
          <w:szCs w:val="20"/>
          <w:color w:val="auto"/>
        </w:rPr>
        <w:t>Any legal or regulatory enforcement against us based on the business solutions that we offer, the third-party content available on our platform or noncompliance by our clients with licensing and other legal requirements, could subject us to various risks, including monetary penalties and the risk that we elect or are compelled to remove content from our platform and would likely</w:t>
      </w:r>
    </w:p>
    <w:p>
      <w:pPr>
        <w:spacing w:after="0" w:line="316"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20"/>
          <w:szCs w:val="20"/>
          <w:color w:val="auto"/>
        </w:rPr>
        <w:t>19</w:t>
      </w:r>
    </w:p>
    <w:p>
      <w:pPr>
        <w:sectPr>
          <w:pgSz w:w="12240" w:h="15840" w:orient="portrait"/>
          <w:cols w:equalWidth="0" w:num="1">
            <w:col w:w="10260"/>
          </w:cols>
          <w:pgMar w:left="1000" w:top="886" w:right="980" w:bottom="222" w:gutter="0" w:footer="0" w:header="0"/>
        </w:sectPr>
      </w:pPr>
    </w:p>
    <w:bookmarkStart w:id="23" w:name="page24"/>
    <w:bookmarkEnd w:id="23"/>
    <w:p>
      <w:pPr>
        <w:jc w:val="both"/>
        <w:ind w:right="20"/>
        <w:spacing w:after="0" w:line="326" w:lineRule="auto"/>
        <w:rPr>
          <w:sz w:val="20"/>
          <w:szCs w:val="20"/>
          <w:color w:val="auto"/>
        </w:rPr>
      </w:pPr>
      <w:r>
        <w:rPr>
          <w:rFonts w:ascii="Times New Roman" w:cs="Times New Roman" w:eastAsia="Times New Roman" w:hAnsi="Times New Roman"/>
          <w:sz w:val="20"/>
          <w:szCs w:val="20"/>
          <w:color w:val="auto"/>
        </w:rPr>
        <w:t>cause us to experience negative publicity. Any of these developments could materially and adversely impact our business, operating results, financial condition, brand and reputation.</w:t>
      </w:r>
    </w:p>
    <w:p>
      <w:pPr>
        <w:spacing w:after="0" w:line="47" w:lineRule="exact"/>
        <w:rPr>
          <w:sz w:val="20"/>
          <w:szCs w:val="20"/>
          <w:color w:val="auto"/>
        </w:rPr>
      </w:pPr>
    </w:p>
    <w:p>
      <w:pPr>
        <w:jc w:val="both"/>
        <w:spacing w:after="0" w:line="296" w:lineRule="auto"/>
        <w:rPr>
          <w:sz w:val="20"/>
          <w:szCs w:val="20"/>
          <w:color w:val="auto"/>
        </w:rPr>
      </w:pPr>
      <w:r>
        <w:rPr>
          <w:rFonts w:ascii="Times New Roman" w:cs="Times New Roman" w:eastAsia="Times New Roman" w:hAnsi="Times New Roman"/>
          <w:sz w:val="20"/>
          <w:szCs w:val="20"/>
          <w:b w:val="1"/>
          <w:bCs w:val="1"/>
          <w:i w:val="1"/>
          <w:iCs w:val="1"/>
          <w:color w:val="auto"/>
        </w:rPr>
        <w:t>We generally do not, and cannot, ensure that our clients will conduct their business activities in a manner compliant with such regulations and requirements, despite providing features to help support our clients’ compliance with the complex, disparate and constantly evolving regulations and other legal requirements applicable to the cannabis industry. As a result, federal, state, provincial or local government authorities may seek to bring criminal, administrative or regulatory enforcement actions against our clients, which could have a material adverse effect on our business, operating results or financial conditions, or could force us to cease operations.</w:t>
      </w:r>
    </w:p>
    <w:p>
      <w:pPr>
        <w:spacing w:after="0" w:line="75" w:lineRule="exact"/>
        <w:rPr>
          <w:sz w:val="20"/>
          <w:szCs w:val="20"/>
          <w:color w:val="auto"/>
        </w:rPr>
      </w:pPr>
    </w:p>
    <w:p>
      <w:pPr>
        <w:jc w:val="both"/>
        <w:spacing w:after="0" w:line="308" w:lineRule="auto"/>
        <w:rPr>
          <w:sz w:val="20"/>
          <w:szCs w:val="20"/>
          <w:color w:val="auto"/>
        </w:rPr>
      </w:pPr>
      <w:r>
        <w:rPr>
          <w:rFonts w:ascii="Times New Roman" w:cs="Times New Roman" w:eastAsia="Times New Roman" w:hAnsi="Times New Roman"/>
          <w:sz w:val="19"/>
          <w:szCs w:val="19"/>
          <w:color w:val="auto"/>
        </w:rPr>
        <w:t>We generally do not, and cannot, ensure that our clients will conduct their business activities in a manner compliant with certain regulations and other legal requirements applicable to the cannabis industry, in whole or in part, even if our solutions provide features to support our clients’ compliance with such regulations and requirements. Their legal noncompliance could result in regulatory and even criminal actions against them, which could have a material adverse impact on our business and operating results or financial condition. For additional information, see the other risk factors in this section entitled “Risk Factors—Risks Related to our Business and Industry,” including “Some of our clients or their listings currently and in the future may not be in compliance with licensing and related requirements under applicable laws and regulations. Allowing unlicensed or noncompliant businesses to access our products, or allowing businesses to use our solutions in a noncompliant manner, may subject us to legal or regulatory enforcement and negative publicity, which could adversely impact our business, operating results, financial condition, brand and reputation. In addition, allowing businesses who engage in false or deceptive advertising practices to use our solutions may subject us to negative publicity, which could have similar adverse impacts on us.”</w:t>
      </w:r>
    </w:p>
    <w:p>
      <w:pPr>
        <w:spacing w:after="0" w:line="129"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Our business is dependent on U.S. state laws and regulations.</w:t>
      </w:r>
    </w:p>
    <w:p>
      <w:pPr>
        <w:spacing w:after="0" w:line="171" w:lineRule="exact"/>
        <w:rPr>
          <w:sz w:val="20"/>
          <w:szCs w:val="20"/>
          <w:color w:val="auto"/>
        </w:rPr>
      </w:pPr>
    </w:p>
    <w:p>
      <w:pPr>
        <w:jc w:val="both"/>
        <w:spacing w:after="0" w:line="326" w:lineRule="auto"/>
        <w:rPr>
          <w:sz w:val="20"/>
          <w:szCs w:val="20"/>
          <w:color w:val="auto"/>
        </w:rPr>
      </w:pPr>
      <w:r>
        <w:rPr>
          <w:rFonts w:ascii="Times New Roman" w:cs="Times New Roman" w:eastAsia="Times New Roman" w:hAnsi="Times New Roman"/>
          <w:sz w:val="20"/>
          <w:szCs w:val="20"/>
          <w:color w:val="auto"/>
        </w:rPr>
        <w:t>Although cannabis is a restricted controlled substance under the federal CSA, U.S. states have legalized cannabis to varying degrees through state-specific regulatory frameworks.</w:t>
      </w:r>
    </w:p>
    <w:p>
      <w:pPr>
        <w:spacing w:after="0" w:line="45" w:lineRule="exact"/>
        <w:rPr>
          <w:sz w:val="20"/>
          <w:szCs w:val="20"/>
          <w:color w:val="auto"/>
        </w:rPr>
      </w:pPr>
    </w:p>
    <w:p>
      <w:pPr>
        <w:jc w:val="both"/>
        <w:spacing w:after="0" w:line="292" w:lineRule="auto"/>
        <w:rPr>
          <w:sz w:val="20"/>
          <w:szCs w:val="20"/>
          <w:color w:val="auto"/>
        </w:rPr>
      </w:pPr>
      <w:r>
        <w:rPr>
          <w:rFonts w:ascii="Times New Roman" w:cs="Times New Roman" w:eastAsia="Times New Roman" w:hAnsi="Times New Roman"/>
          <w:sz w:val="20"/>
          <w:szCs w:val="20"/>
          <w:color w:val="auto"/>
        </w:rPr>
        <w:t>Laws and regulations affecting the cannabis industry in states and territories of the United States are continually changing. Any change or even the speed of changes could require us to incur substantial costs associated with compliance or alter our business plan, and could detrimentally affect our operations, revenue and profitability. Similarly, if the pace of issuance of new cannabis licenses is slower than expected, our ability to acquire new clients and grow our revenue could be harmed. The commercial cannabis industry is still a young industry, and we cannot predict the impact of the compliance regime to which it may be subject. We will incur ongoing costs and obligations related to regulatory compliance, and such costs may prove to be material. Failure to comply with regulations may result in additional costs for corrective measures, penalties or restrictions on our operations. In addition, changes in regulations, more vigorous enforcement thereof, or other unanticipated events could require extensive changes to our operations or increased compliance costs or give rise to material liabilities, which could have a material adverse effect on us.</w:t>
      </w:r>
    </w:p>
    <w:p>
      <w:pPr>
        <w:spacing w:after="0" w:line="82" w:lineRule="exact"/>
        <w:rPr>
          <w:sz w:val="20"/>
          <w:szCs w:val="20"/>
          <w:color w:val="auto"/>
        </w:rPr>
      </w:pPr>
    </w:p>
    <w:p>
      <w:pPr>
        <w:jc w:val="both"/>
        <w:ind w:right="20"/>
        <w:spacing w:after="0" w:line="297" w:lineRule="auto"/>
        <w:rPr>
          <w:sz w:val="20"/>
          <w:szCs w:val="20"/>
          <w:color w:val="auto"/>
        </w:rPr>
      </w:pPr>
      <w:r>
        <w:rPr>
          <w:rFonts w:ascii="Times New Roman" w:cs="Times New Roman" w:eastAsia="Times New Roman" w:hAnsi="Times New Roman"/>
          <w:sz w:val="20"/>
          <w:szCs w:val="20"/>
          <w:color w:val="auto"/>
        </w:rPr>
        <w:t>Given the concentration of our revenue from the sale of listing products, any increase in the stringency of any applicable laws, including U.S. state, or Canadian federal laws and regulations relating to cannabis, or any escalation in the enforcement of such existing laws and regulations against the current or putative cannabis industry within any jurisdiction, could negatively impact the profitability or viability of cannabis businesses in such affected jurisdictions, which in turn could materially adversely affect our business and operating results.</w:t>
      </w:r>
    </w:p>
    <w:p>
      <w:pPr>
        <w:spacing w:after="0" w:line="74" w:lineRule="exact"/>
        <w:rPr>
          <w:sz w:val="20"/>
          <w:szCs w:val="20"/>
          <w:color w:val="auto"/>
        </w:rPr>
      </w:pPr>
    </w:p>
    <w:p>
      <w:pPr>
        <w:jc w:val="both"/>
        <w:spacing w:after="0" w:line="310" w:lineRule="auto"/>
        <w:rPr>
          <w:sz w:val="20"/>
          <w:szCs w:val="20"/>
          <w:color w:val="auto"/>
        </w:rPr>
      </w:pPr>
      <w:r>
        <w:rPr>
          <w:rFonts w:ascii="Times New Roman" w:cs="Times New Roman" w:eastAsia="Times New Roman" w:hAnsi="Times New Roman"/>
          <w:sz w:val="19"/>
          <w:szCs w:val="19"/>
          <w:color w:val="auto"/>
        </w:rPr>
        <w:t>In addition, although we have not yet been required to obtain any cannabis license as a result of existing cannabis regulations, it is possible that cannabis regulations may be enacted in the future that will require us to obtain such a cannabis license or otherwise seek to substantially regulate our business. Additionally, in some jurisdictions we may be required to seek and obtain a blanket approval of our platform in order to enable potential clients to access our services, and such approval may be subject to significant regulatory discretion. U.S. state, or Canadian federal and other non-U.S. jurisdictions’ cannabis laws and regulations are broad in scope and subject to evolving interpretations, which could require us to incur substantial costs associated with compliance or alter our business plan. Our failure to adequately manage the risk associated with future regulations and adequately manage future compliance requirements may adversely affect our business, our status as a reporting company and our public listing. Further,</w:t>
      </w:r>
    </w:p>
    <w:p>
      <w:pPr>
        <w:spacing w:after="0" w:line="200" w:lineRule="exact"/>
        <w:rPr>
          <w:sz w:val="20"/>
          <w:szCs w:val="20"/>
          <w:color w:val="auto"/>
        </w:rPr>
      </w:pPr>
    </w:p>
    <w:p>
      <w:pPr>
        <w:spacing w:after="0" w:line="373"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20"/>
          <w:szCs w:val="20"/>
          <w:color w:val="auto"/>
        </w:rPr>
        <w:t>20</w:t>
      </w:r>
    </w:p>
    <w:p>
      <w:pPr>
        <w:sectPr>
          <w:pgSz w:w="12240" w:h="15840" w:orient="portrait"/>
          <w:cols w:equalWidth="0" w:num="1">
            <w:col w:w="10260"/>
          </w:cols>
          <w:pgMar w:left="1000" w:top="884" w:right="980" w:bottom="222" w:gutter="0" w:footer="0" w:header="0"/>
        </w:sectPr>
      </w:pPr>
    </w:p>
    <w:bookmarkStart w:id="24" w:name="page25"/>
    <w:bookmarkEnd w:id="24"/>
    <w:p>
      <w:pPr>
        <w:jc w:val="both"/>
        <w:ind w:right="20"/>
        <w:spacing w:after="0" w:line="326" w:lineRule="auto"/>
        <w:rPr>
          <w:sz w:val="20"/>
          <w:szCs w:val="20"/>
          <w:color w:val="auto"/>
        </w:rPr>
      </w:pPr>
      <w:r>
        <w:rPr>
          <w:rFonts w:ascii="Times New Roman" w:cs="Times New Roman" w:eastAsia="Times New Roman" w:hAnsi="Times New Roman"/>
          <w:sz w:val="20"/>
          <w:szCs w:val="20"/>
          <w:color w:val="auto"/>
        </w:rPr>
        <w:t>any adverse pronouncements from political leaders or regulators about businesses related to the legal cannabis industry could adversely affect the price of our securities.</w:t>
      </w:r>
    </w:p>
    <w:p>
      <w:pPr>
        <w:spacing w:after="0" w:line="47" w:lineRule="exact"/>
        <w:rPr>
          <w:sz w:val="20"/>
          <w:szCs w:val="20"/>
          <w:color w:val="auto"/>
        </w:rPr>
      </w:pPr>
    </w:p>
    <w:p>
      <w:pPr>
        <w:jc w:val="both"/>
        <w:spacing w:after="0" w:line="332" w:lineRule="auto"/>
        <w:rPr>
          <w:sz w:val="20"/>
          <w:szCs w:val="20"/>
          <w:color w:val="auto"/>
        </w:rPr>
      </w:pPr>
      <w:r>
        <w:rPr>
          <w:rFonts w:ascii="Times New Roman" w:cs="Times New Roman" w:eastAsia="Times New Roman" w:hAnsi="Times New Roman"/>
          <w:sz w:val="20"/>
          <w:szCs w:val="20"/>
          <w:b w:val="1"/>
          <w:bCs w:val="1"/>
          <w:i w:val="1"/>
          <w:iCs w:val="1"/>
          <w:color w:val="auto"/>
        </w:rPr>
        <w:t>The rapid changes in the cannabis industry and applicable laws and regulations make predicting and evaluating our future prospects difficult, and may increase the risk that we will not be successful.</w:t>
      </w:r>
    </w:p>
    <w:p>
      <w:pPr>
        <w:spacing w:after="0" w:line="38" w:lineRule="exact"/>
        <w:rPr>
          <w:sz w:val="20"/>
          <w:szCs w:val="20"/>
          <w:color w:val="auto"/>
        </w:rPr>
      </w:pPr>
    </w:p>
    <w:p>
      <w:pPr>
        <w:jc w:val="both"/>
        <w:spacing w:after="0" w:line="301" w:lineRule="auto"/>
        <w:rPr>
          <w:sz w:val="20"/>
          <w:szCs w:val="20"/>
          <w:color w:val="auto"/>
        </w:rPr>
      </w:pPr>
      <w:r>
        <w:rPr>
          <w:rFonts w:ascii="Times New Roman" w:cs="Times New Roman" w:eastAsia="Times New Roman" w:hAnsi="Times New Roman"/>
          <w:sz w:val="20"/>
          <w:szCs w:val="20"/>
          <w:color w:val="auto"/>
        </w:rPr>
        <w:t>The cannabis industry, and the complex regulatory regime applicable to it, is evolving rapidly and may develop in ways that we cannot anticipate. The pace of dramatic change in the cannabis industry makes it difficult to assess our future prospects, and you should evaluate our business in light of the risks and difficulties we may encounter as the industry continues to evolve. These risks and difficulties include:</w:t>
      </w:r>
    </w:p>
    <w:p>
      <w:pPr>
        <w:spacing w:after="0" w:line="70" w:lineRule="exact"/>
        <w:rPr>
          <w:sz w:val="20"/>
          <w:szCs w:val="20"/>
          <w:color w:val="auto"/>
        </w:rPr>
      </w:pPr>
    </w:p>
    <w:p>
      <w:pPr>
        <w:ind w:left="720" w:right="20" w:hanging="366"/>
        <w:spacing w:after="0" w:line="319" w:lineRule="auto"/>
        <w:tabs>
          <w:tab w:leader="none" w:pos="720" w:val="left"/>
        </w:tabs>
        <w:numPr>
          <w:ilvl w:val="0"/>
          <w:numId w:val="2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managing complex, disparate and rapidly evolving regulatory regimes imposed by U.S. federal, state and local and other non-U.S. governments around the world applicable to cannabis and cannabis-related businesses;</w:t>
      </w:r>
    </w:p>
    <w:p>
      <w:pPr>
        <w:ind w:left="720" w:hanging="366"/>
        <w:spacing w:after="0" w:line="319" w:lineRule="auto"/>
        <w:tabs>
          <w:tab w:leader="none" w:pos="720" w:val="left"/>
        </w:tabs>
        <w:numPr>
          <w:ilvl w:val="0"/>
          <w:numId w:val="2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adapting to rapidly evolving trends in the cannabis industry and the way consumers and cannabis industry businesses interact with technology;</w:t>
      </w:r>
    </w:p>
    <w:p>
      <w:pPr>
        <w:ind w:left="720" w:hanging="366"/>
        <w:spacing w:after="0"/>
        <w:tabs>
          <w:tab w:leader="none" w:pos="720" w:val="left"/>
        </w:tabs>
        <w:numPr>
          <w:ilvl w:val="0"/>
          <w:numId w:val="2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maintaining and increasing our base of clients and consumers;</w:t>
      </w:r>
    </w:p>
    <w:p>
      <w:pPr>
        <w:spacing w:after="0" w:line="101" w:lineRule="exact"/>
        <w:rPr>
          <w:rFonts w:ascii="Times New Roman" w:cs="Times New Roman" w:eastAsia="Times New Roman" w:hAnsi="Times New Roman"/>
          <w:sz w:val="20"/>
          <w:szCs w:val="20"/>
          <w:color w:val="auto"/>
        </w:rPr>
      </w:pPr>
    </w:p>
    <w:p>
      <w:pPr>
        <w:ind w:left="720" w:hanging="366"/>
        <w:spacing w:after="0"/>
        <w:tabs>
          <w:tab w:leader="none" w:pos="720" w:val="left"/>
        </w:tabs>
        <w:numPr>
          <w:ilvl w:val="0"/>
          <w:numId w:val="2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continuing to preserve and build our brand while upgrading our existing offerings;</w:t>
      </w:r>
    </w:p>
    <w:p>
      <w:pPr>
        <w:spacing w:after="0" w:line="108" w:lineRule="exact"/>
        <w:rPr>
          <w:rFonts w:ascii="Times New Roman" w:cs="Times New Roman" w:eastAsia="Times New Roman" w:hAnsi="Times New Roman"/>
          <w:sz w:val="20"/>
          <w:szCs w:val="20"/>
          <w:color w:val="auto"/>
        </w:rPr>
      </w:pPr>
    </w:p>
    <w:p>
      <w:pPr>
        <w:ind w:left="720" w:hanging="366"/>
        <w:spacing w:after="0"/>
        <w:tabs>
          <w:tab w:leader="none" w:pos="720" w:val="left"/>
        </w:tabs>
        <w:numPr>
          <w:ilvl w:val="0"/>
          <w:numId w:val="2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successfully attracting, hiring and retaining qualified personnel to manage operations;</w:t>
      </w:r>
    </w:p>
    <w:p>
      <w:pPr>
        <w:spacing w:after="0" w:line="108" w:lineRule="exact"/>
        <w:rPr>
          <w:rFonts w:ascii="Times New Roman" w:cs="Times New Roman" w:eastAsia="Times New Roman" w:hAnsi="Times New Roman"/>
          <w:sz w:val="20"/>
          <w:szCs w:val="20"/>
          <w:color w:val="auto"/>
        </w:rPr>
      </w:pPr>
    </w:p>
    <w:p>
      <w:pPr>
        <w:ind w:left="720" w:hanging="366"/>
        <w:spacing w:after="0"/>
        <w:tabs>
          <w:tab w:leader="none" w:pos="720" w:val="left"/>
        </w:tabs>
        <w:numPr>
          <w:ilvl w:val="0"/>
          <w:numId w:val="2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adapting to changes in the cannabis industry if sales of cannabis expand significantly beyond a regulated model;</w:t>
      </w:r>
    </w:p>
    <w:p>
      <w:pPr>
        <w:spacing w:after="0" w:line="101" w:lineRule="exact"/>
        <w:rPr>
          <w:rFonts w:ascii="Times New Roman" w:cs="Times New Roman" w:eastAsia="Times New Roman" w:hAnsi="Times New Roman"/>
          <w:sz w:val="20"/>
          <w:szCs w:val="20"/>
          <w:color w:val="auto"/>
        </w:rPr>
      </w:pPr>
    </w:p>
    <w:p>
      <w:pPr>
        <w:ind w:left="720" w:hanging="366"/>
        <w:spacing w:after="0"/>
        <w:tabs>
          <w:tab w:leader="none" w:pos="720" w:val="left"/>
        </w:tabs>
        <w:numPr>
          <w:ilvl w:val="0"/>
          <w:numId w:val="2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commodification of the cannabis industry;</w:t>
      </w:r>
    </w:p>
    <w:p>
      <w:pPr>
        <w:spacing w:after="0" w:line="108" w:lineRule="exact"/>
        <w:rPr>
          <w:rFonts w:ascii="Times New Roman" w:cs="Times New Roman" w:eastAsia="Times New Roman" w:hAnsi="Times New Roman"/>
          <w:sz w:val="20"/>
          <w:szCs w:val="20"/>
          <w:color w:val="auto"/>
        </w:rPr>
      </w:pPr>
    </w:p>
    <w:p>
      <w:pPr>
        <w:ind w:left="720" w:hanging="365"/>
        <w:spacing w:after="0"/>
        <w:tabs>
          <w:tab w:leader="none" w:pos="720" w:val="left"/>
        </w:tabs>
        <w:numPr>
          <w:ilvl w:val="0"/>
          <w:numId w:val="2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successfully implementing and executing our business and marketing strategies; and</w:t>
      </w:r>
    </w:p>
    <w:p>
      <w:pPr>
        <w:spacing w:after="0" w:line="108" w:lineRule="exact"/>
        <w:rPr>
          <w:rFonts w:ascii="Times New Roman" w:cs="Times New Roman" w:eastAsia="Times New Roman" w:hAnsi="Times New Roman"/>
          <w:sz w:val="20"/>
          <w:szCs w:val="20"/>
          <w:color w:val="auto"/>
        </w:rPr>
      </w:pPr>
    </w:p>
    <w:p>
      <w:pPr>
        <w:ind w:left="720" w:hanging="365"/>
        <w:spacing w:after="0"/>
        <w:tabs>
          <w:tab w:leader="none" w:pos="720" w:val="left"/>
        </w:tabs>
        <w:numPr>
          <w:ilvl w:val="0"/>
          <w:numId w:val="2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successfully expanding our business into new and existing cannabis markets.</w:t>
      </w:r>
    </w:p>
    <w:p>
      <w:pPr>
        <w:spacing w:after="0" w:line="166" w:lineRule="exact"/>
        <w:rPr>
          <w:sz w:val="20"/>
          <w:szCs w:val="20"/>
          <w:color w:val="auto"/>
        </w:rPr>
      </w:pPr>
    </w:p>
    <w:p>
      <w:pPr>
        <w:jc w:val="both"/>
        <w:spacing w:after="0" w:line="306" w:lineRule="auto"/>
        <w:rPr>
          <w:sz w:val="20"/>
          <w:szCs w:val="20"/>
          <w:color w:val="auto"/>
        </w:rPr>
      </w:pPr>
      <w:r>
        <w:rPr>
          <w:rFonts w:ascii="Times New Roman" w:cs="Times New Roman" w:eastAsia="Times New Roman" w:hAnsi="Times New Roman"/>
          <w:sz w:val="20"/>
          <w:szCs w:val="20"/>
          <w:color w:val="auto"/>
        </w:rPr>
        <w:t>If the demand for our platform and software solutions does not develop as we expect, or if we fail to address the needs of our clients or consumers, our business will be harmed. We may not be able to successfully address these risks and difficulties, which could harm our business and operating results.</w:t>
      </w:r>
    </w:p>
    <w:p>
      <w:pPr>
        <w:spacing w:after="0" w:line="65" w:lineRule="exact"/>
        <w:rPr>
          <w:sz w:val="20"/>
          <w:szCs w:val="20"/>
          <w:color w:val="auto"/>
        </w:rPr>
      </w:pPr>
    </w:p>
    <w:p>
      <w:pPr>
        <w:jc w:val="both"/>
        <w:ind w:right="20"/>
        <w:spacing w:after="0" w:line="332" w:lineRule="auto"/>
        <w:rPr>
          <w:sz w:val="20"/>
          <w:szCs w:val="20"/>
          <w:color w:val="auto"/>
        </w:rPr>
      </w:pPr>
      <w:r>
        <w:rPr>
          <w:rFonts w:ascii="Times New Roman" w:cs="Times New Roman" w:eastAsia="Times New Roman" w:hAnsi="Times New Roman"/>
          <w:sz w:val="20"/>
          <w:szCs w:val="20"/>
          <w:b w:val="1"/>
          <w:bCs w:val="1"/>
          <w:i w:val="1"/>
          <w:iCs w:val="1"/>
          <w:color w:val="auto"/>
        </w:rPr>
        <w:t>Because our business is dependent, in part, upon continued market acceptance of cannabis by consumers, any negative trends could adversely affect our business operations.</w:t>
      </w:r>
    </w:p>
    <w:p>
      <w:pPr>
        <w:spacing w:after="0" w:line="39" w:lineRule="exact"/>
        <w:rPr>
          <w:sz w:val="20"/>
          <w:szCs w:val="20"/>
          <w:color w:val="auto"/>
        </w:rPr>
      </w:pPr>
    </w:p>
    <w:p>
      <w:pPr>
        <w:jc w:val="both"/>
        <w:spacing w:after="0" w:line="301" w:lineRule="auto"/>
        <w:rPr>
          <w:sz w:val="20"/>
          <w:szCs w:val="20"/>
          <w:color w:val="auto"/>
        </w:rPr>
      </w:pPr>
      <w:r>
        <w:rPr>
          <w:rFonts w:ascii="Times New Roman" w:cs="Times New Roman" w:eastAsia="Times New Roman" w:hAnsi="Times New Roman"/>
          <w:sz w:val="20"/>
          <w:szCs w:val="20"/>
          <w:color w:val="auto"/>
        </w:rPr>
        <w:t>We are dependent on public support, continued market acceptance and the proliferation of consumers in the legalized cannabis markets in states and territories of the United States. While we believe that the market and opportunities in the space will continue to grow, we cannot predict the future growth rate or size of the market. Any downturns in, or negative outlooks on, the cannabis industry may adversely affect our business and financial condition.</w:t>
      </w:r>
    </w:p>
    <w:p>
      <w:pPr>
        <w:spacing w:after="0" w:line="72"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Expansion of our business is dependent on the continued legalization of cannabis.</w:t>
      </w:r>
    </w:p>
    <w:p>
      <w:pPr>
        <w:spacing w:after="0" w:line="164" w:lineRule="exact"/>
        <w:rPr>
          <w:sz w:val="20"/>
          <w:szCs w:val="20"/>
          <w:color w:val="auto"/>
        </w:rPr>
      </w:pPr>
    </w:p>
    <w:p>
      <w:pPr>
        <w:jc w:val="both"/>
        <w:spacing w:after="0" w:line="292" w:lineRule="auto"/>
        <w:rPr>
          <w:sz w:val="20"/>
          <w:szCs w:val="20"/>
          <w:color w:val="auto"/>
        </w:rPr>
      </w:pPr>
      <w:r>
        <w:rPr>
          <w:rFonts w:ascii="Times New Roman" w:cs="Times New Roman" w:eastAsia="Times New Roman" w:hAnsi="Times New Roman"/>
          <w:sz w:val="20"/>
          <w:szCs w:val="20"/>
          <w:color w:val="auto"/>
        </w:rPr>
        <w:t>Expansion of our business is in part dependent upon continued legislative authorization, including by voter initiatives and referendums, of cannabis in various jurisdictions worldwide. Any number of factors could slow, halt, or even reverse progress in this area. For example, in 2023, ballot measures to allow for adult use succeeded in Ohio, but failed in Oklahoma. In addition, implementation of state laws is often a multi-year process following a ballot initiative or legislation. Further, progress for the industry, while encouraging, is not assured. While there may be ample public support for legislative action in a particular jurisdiction, numerous factors could impact the legislative process, including lobbying efforts by opposing stakeholders as well as legislators’ disagreements about how to legalize cannabis as well as the interpretation, implementation, and enforcement of applicable laws or regulations. Any one of these factors could slow or halt the legalization of cannabis, which would negatively impact our ability to expand our business.</w:t>
      </w:r>
    </w:p>
    <w:p>
      <w:pPr>
        <w:spacing w:after="0" w:line="81" w:lineRule="exact"/>
        <w:rPr>
          <w:sz w:val="20"/>
          <w:szCs w:val="20"/>
          <w:color w:val="auto"/>
        </w:rPr>
      </w:pPr>
    </w:p>
    <w:p>
      <w:pPr>
        <w:jc w:val="both"/>
        <w:spacing w:after="0" w:line="332" w:lineRule="auto"/>
        <w:rPr>
          <w:sz w:val="20"/>
          <w:szCs w:val="20"/>
          <w:color w:val="auto"/>
        </w:rPr>
      </w:pPr>
      <w:r>
        <w:rPr>
          <w:rFonts w:ascii="Times New Roman" w:cs="Times New Roman" w:eastAsia="Times New Roman" w:hAnsi="Times New Roman"/>
          <w:sz w:val="19"/>
          <w:szCs w:val="19"/>
          <w:color w:val="auto"/>
        </w:rPr>
        <w:t>Additionally, the expansion of our business also depends on jurisdictions in which cannabis is currently legalized not narrowing, limiting or repealing existing laws legalizing and regulating cannabis, or altering the regulatory landscape in a way that diminishes the viability of cannabis businesses in those jurisdictions. For example, in April 2019, a lawsuit was filed in the Fresno County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7"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20"/>
          <w:szCs w:val="20"/>
          <w:color w:val="auto"/>
        </w:rPr>
        <w:t>21</w:t>
      </w:r>
    </w:p>
    <w:p>
      <w:pPr>
        <w:sectPr>
          <w:pgSz w:w="12240" w:h="15840" w:orient="portrait"/>
          <w:cols w:equalWidth="0" w:num="1">
            <w:col w:w="10260"/>
          </w:cols>
          <w:pgMar w:left="1000" w:top="884" w:right="980" w:bottom="222" w:gutter="0" w:footer="0" w:header="0"/>
        </w:sectPr>
      </w:pPr>
    </w:p>
    <w:bookmarkStart w:id="25" w:name="page26"/>
    <w:bookmarkEnd w:id="25"/>
    <w:p>
      <w:pPr>
        <w:jc w:val="both"/>
        <w:ind w:left="6"/>
        <w:spacing w:after="0" w:line="301" w:lineRule="auto"/>
        <w:rPr>
          <w:sz w:val="20"/>
          <w:szCs w:val="20"/>
          <w:color w:val="auto"/>
        </w:rPr>
      </w:pPr>
      <w:r>
        <w:rPr>
          <w:rFonts w:ascii="Times New Roman" w:cs="Times New Roman" w:eastAsia="Times New Roman" w:hAnsi="Times New Roman"/>
          <w:sz w:val="19"/>
          <w:szCs w:val="19"/>
          <w:color w:val="auto"/>
        </w:rPr>
        <w:t>Superior Court challenging the California Bureau of Cannabis Control</w:t>
      </w:r>
      <w:r>
        <w:rPr>
          <w:rFonts w:ascii="Times New Roman" w:cs="Times New Roman" w:eastAsia="Times New Roman" w:hAnsi="Times New Roman"/>
          <w:sz w:val="24"/>
          <w:szCs w:val="24"/>
          <w:color w:val="auto"/>
          <w:vertAlign w:val="superscript"/>
        </w:rPr>
        <w:t>5</w:t>
      </w:r>
      <w:r>
        <w:rPr>
          <w:rFonts w:ascii="Times New Roman" w:cs="Times New Roman" w:eastAsia="Times New Roman" w:hAnsi="Times New Roman"/>
          <w:sz w:val="19"/>
          <w:szCs w:val="19"/>
          <w:color w:val="auto"/>
        </w:rPr>
        <w:t xml:space="preserve"> regulation that allowed cannabis businesses to deliver products in local jurisdictions which had prohibited the sale of cannabis. In November 2020, in a mixed result, the Fresno County Superior Court upheld the state regulation that allows licensed cannabis delivery companies to offer services anywhere in the state, while also affirming that cities and counties can forbid those operations, though enforcement of the bans is also up to the local governments. While a recent amendment (S.B. 1186), which became effective in January 2024, prevents local governments from banning the delivery of medical cannabis to patients, adult-use cannabis storefront retail and delivery operations may continue to be restricted by some cities and counties. The imposition or potential enforcement of local jurisdiction delivery bans may negatively impact the viability and attractiveness of our offerings in California going forward. We generated approximately 52%, 56% and 61% of our revenue for the years ended December 31, 2023, 2022 and 2021 in California, and such developments may in turn have a material adverse effect on our business, operating results and financial condition. For more information, see “—Our business is concentrated in California, and, as a result, our performance may be affected by factors unique to the California market.” Additionally, if such challenges are successful in any other jurisdictions that have legalized or are in the process of legalizing cannabis, our ability to expand our business would be negatively impacted.</w:t>
      </w:r>
    </w:p>
    <w:p>
      <w:pPr>
        <w:spacing w:after="0" w:line="76" w:lineRule="exact"/>
        <w:rPr>
          <w:sz w:val="20"/>
          <w:szCs w:val="20"/>
          <w:color w:val="auto"/>
        </w:rPr>
      </w:pPr>
    </w:p>
    <w:p>
      <w:pPr>
        <w:jc w:val="both"/>
        <w:ind w:left="6" w:right="20"/>
        <w:spacing w:after="0" w:line="308" w:lineRule="auto"/>
        <w:rPr>
          <w:sz w:val="20"/>
          <w:szCs w:val="20"/>
          <w:color w:val="auto"/>
        </w:rPr>
      </w:pPr>
      <w:r>
        <w:rPr>
          <w:rFonts w:ascii="Times New Roman" w:cs="Times New Roman" w:eastAsia="Times New Roman" w:hAnsi="Times New Roman"/>
          <w:sz w:val="20"/>
          <w:szCs w:val="20"/>
          <w:b w:val="1"/>
          <w:bCs w:val="1"/>
          <w:i w:val="1"/>
          <w:iCs w:val="1"/>
          <w:color w:val="auto"/>
        </w:rPr>
        <w:t>Our clients face challenges unique to the cannabis industry that can impact their financial health and long-term viability. If our clients struggle financially or do not remain viable, it can negatively impact our ability to generate new revenue, maintain existing revenue or collect on outstanding receivables.</w:t>
      </w:r>
    </w:p>
    <w:p>
      <w:pPr>
        <w:spacing w:after="0" w:line="63" w:lineRule="exact"/>
        <w:rPr>
          <w:sz w:val="20"/>
          <w:szCs w:val="20"/>
          <w:color w:val="auto"/>
        </w:rPr>
      </w:pPr>
    </w:p>
    <w:p>
      <w:pPr>
        <w:jc w:val="both"/>
        <w:ind w:left="6"/>
        <w:spacing w:after="0" w:line="291" w:lineRule="auto"/>
        <w:rPr>
          <w:sz w:val="20"/>
          <w:szCs w:val="20"/>
          <w:color w:val="auto"/>
        </w:rPr>
      </w:pPr>
      <w:r>
        <w:rPr>
          <w:rFonts w:ascii="Times New Roman" w:cs="Times New Roman" w:eastAsia="Times New Roman" w:hAnsi="Times New Roman"/>
          <w:sz w:val="20"/>
          <w:szCs w:val="20"/>
          <w:color w:val="auto"/>
        </w:rPr>
        <w:t>Our paying clients face challenges including, among other factors, limited access to capital (relative to other industries) and the impact of Section 280E of the Code (which, as applied to certain cannabis businesses, disallows the deduction of “ordinary and necessary” business expenses, such as below-the-line deductions, essentially resulting in federal income tax liability calculated based on gross income), limiting cash flow and liquidity of many industry participants. Additionally, the cannabis industry faced price deflation in 2023 and 2022 further pressuring many of our paying clients. This resulted in financial hardship for certain cannabis companies, including some of our paying clients which caused elevated churn and bad debt expense in 2023 and 2022. If our clients struggle financially or do not remain viable, it can negatively impact our ability to generate new revenue, maintain existing revenue or collect on outstanding receivables. We have customers with past due balances and our failure to collect a significant portion of such balances could adversely affect our cash and provision for doubtful accounts. See “Accounts Receivable, Net” of Note 2, “Summary of Significant Accounting Policies” to the consolidated financial statements for additional information.</w:t>
      </w:r>
    </w:p>
    <w:p>
      <w:pPr>
        <w:spacing w:after="0" w:line="88" w:lineRule="exact"/>
        <w:rPr>
          <w:sz w:val="20"/>
          <w:szCs w:val="20"/>
          <w:color w:val="auto"/>
        </w:rPr>
      </w:pPr>
    </w:p>
    <w:p>
      <w:pPr>
        <w:jc w:val="both"/>
        <w:ind w:left="6" w:right="20"/>
        <w:spacing w:after="0" w:line="324" w:lineRule="auto"/>
        <w:rPr>
          <w:sz w:val="20"/>
          <w:szCs w:val="20"/>
          <w:color w:val="auto"/>
        </w:rPr>
      </w:pPr>
      <w:r>
        <w:rPr>
          <w:rFonts w:ascii="Times New Roman" w:cs="Times New Roman" w:eastAsia="Times New Roman" w:hAnsi="Times New Roman"/>
          <w:sz w:val="20"/>
          <w:szCs w:val="20"/>
          <w:b w:val="1"/>
          <w:bCs w:val="1"/>
          <w:i w:val="1"/>
          <w:iCs w:val="1"/>
          <w:color w:val="auto"/>
        </w:rPr>
        <w:t>If clients and consumers using our platform fail to provide high-quality content that attracts consumers, we may not be able to generate sufficient consumer traffic to remain competitive.</w:t>
      </w:r>
    </w:p>
    <w:p>
      <w:pPr>
        <w:spacing w:after="0" w:line="47" w:lineRule="exact"/>
        <w:rPr>
          <w:sz w:val="20"/>
          <w:szCs w:val="20"/>
          <w:color w:val="auto"/>
        </w:rPr>
      </w:pPr>
    </w:p>
    <w:p>
      <w:pPr>
        <w:jc w:val="both"/>
        <w:ind w:left="6"/>
        <w:spacing w:after="0" w:line="301" w:lineRule="auto"/>
        <w:rPr>
          <w:sz w:val="20"/>
          <w:szCs w:val="20"/>
          <w:color w:val="auto"/>
        </w:rPr>
      </w:pPr>
      <w:r>
        <w:rPr>
          <w:rFonts w:ascii="Times New Roman" w:cs="Times New Roman" w:eastAsia="Times New Roman" w:hAnsi="Times New Roman"/>
          <w:sz w:val="20"/>
          <w:szCs w:val="20"/>
          <w:color w:val="auto"/>
        </w:rPr>
        <w:t>Our success depends on our platform providing consumers with useful information about our clients and their products, which in turn depends on the content provided by consumers and clients. For example, the platform will not provide useful information about cannabis brands or products if clients or consumers do not contribute content that is helpful and reliable, or if they remove previously submitted content.</w:t>
      </w:r>
    </w:p>
    <w:p>
      <w:pPr>
        <w:spacing w:after="0" w:line="70" w:lineRule="exact"/>
        <w:rPr>
          <w:sz w:val="20"/>
          <w:szCs w:val="20"/>
          <w:color w:val="auto"/>
        </w:rPr>
      </w:pPr>
    </w:p>
    <w:p>
      <w:pPr>
        <w:jc w:val="both"/>
        <w:ind w:left="6"/>
        <w:spacing w:after="0" w:line="294" w:lineRule="auto"/>
        <w:rPr>
          <w:sz w:val="20"/>
          <w:szCs w:val="20"/>
          <w:color w:val="auto"/>
        </w:rPr>
      </w:pPr>
      <w:r>
        <w:rPr>
          <w:rFonts w:ascii="Times New Roman" w:cs="Times New Roman" w:eastAsia="Times New Roman" w:hAnsi="Times New Roman"/>
          <w:sz w:val="20"/>
          <w:szCs w:val="20"/>
          <w:color w:val="auto"/>
        </w:rPr>
        <w:t>Additionally, if we filter out helpful content or fail to filter out unhelpful content, clients and consumers alike may stop or reduce their use of our platform and products, which could negatively impact our business. Allegations made against us, whether or not accurate, can materially harm our reputation and operating results. While we are continually seeking to improve our ability to identify and remove offensive, biased, unreliable, inauthentic, duplicative, fraudulent or otherwise unhelpful content, and have implemented safeguards on the platform to facilitate those efforts, we cannot guarantee that those efforts or safeguards will be effective or adequate. If our website is not perceived as providing useful, accurate and current information about our clients and their products, consumers may stop or reduce their use of our platform, which could suppress the demand for our advertising placements and adversely affect our business and operating results.</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0</wp:posOffset>
                </wp:positionH>
                <wp:positionV relativeFrom="paragraph">
                  <wp:posOffset>713740</wp:posOffset>
                </wp:positionV>
                <wp:extent cx="1828800" cy="0"/>
                <wp:wrapNone/>
                <wp:docPr id="6" name="Shape 6"/>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1828800" cy="4763"/>
                        </a:xfrm>
                        <a:prstGeom prst="line">
                          <a:avLst/>
                        </a:prstGeom>
                        <a:solidFill>
                          <a:srgbClr val="FFFFFF"/>
                        </a:solidFill>
                        <a:ln w="9144">
                          <a:solidFill>
                            <a:srgbClr val="000000"/>
                          </a:solidFill>
                          <a:miter lim="800000"/>
                          <a:headEnd/>
                          <a:tailEnd/>
                        </a:ln>
                      </wps:spPr>
                      <wps:bodyPr/>
                    </wps:wsp>
                  </a:graphicData>
                </a:graphic>
              </wp:anchor>
            </w:drawing>
          </mc:Choice>
          <mc:Fallback>
            <w:pict>
              <v:line id="Shape 6" o:spid="_x0000_s1031"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0pt,56.2pt" to="144pt,56.2pt" o:allowincell="f" strokecolor="#000000" strokeweight="0.72pt"/>
            </w:pict>
          </mc:Fallback>
        </mc:AlternateConten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0" w:lineRule="exact"/>
        <w:rPr>
          <w:sz w:val="20"/>
          <w:szCs w:val="20"/>
          <w:color w:val="auto"/>
        </w:rPr>
      </w:pPr>
    </w:p>
    <w:p>
      <w:pPr>
        <w:ind w:left="6" w:right="340" w:hanging="6"/>
        <w:spacing w:after="0" w:line="236" w:lineRule="auto"/>
        <w:tabs>
          <w:tab w:leader="none" w:pos="114" w:val="left"/>
        </w:tabs>
        <w:numPr>
          <w:ilvl w:val="0"/>
          <w:numId w:val="21"/>
        </w:numPr>
        <w:rPr>
          <w:rFonts w:ascii="Times New Roman" w:cs="Times New Roman" w:eastAsia="Times New Roman" w:hAnsi="Times New Roman"/>
          <w:sz w:val="26"/>
          <w:szCs w:val="26"/>
          <w:color w:val="auto"/>
          <w:vertAlign w:val="superscript"/>
        </w:rPr>
      </w:pPr>
      <w:r>
        <w:rPr>
          <w:rFonts w:ascii="Times New Roman" w:cs="Times New Roman" w:eastAsia="Times New Roman" w:hAnsi="Times New Roman"/>
          <w:sz w:val="18"/>
          <w:szCs w:val="18"/>
          <w:color w:val="auto"/>
        </w:rPr>
        <w:t>In 2021, the Bureau of Cannabis Control merged with two other state agencies regulating California cannabis to form the Department of Cannabis Control (the “DCC”), which presently regulates all California commercial cannabis businesses.</w:t>
      </w:r>
    </w:p>
    <w:p>
      <w:pPr>
        <w:spacing w:after="0" w:line="242" w:lineRule="exact"/>
        <w:rPr>
          <w:sz w:val="20"/>
          <w:szCs w:val="20"/>
          <w:color w:val="auto"/>
        </w:rPr>
      </w:pPr>
    </w:p>
    <w:p>
      <w:pPr>
        <w:jc w:val="center"/>
        <w:ind w:right="14"/>
        <w:spacing w:after="0"/>
        <w:rPr>
          <w:sz w:val="20"/>
          <w:szCs w:val="20"/>
          <w:color w:val="auto"/>
        </w:rPr>
      </w:pPr>
      <w:r>
        <w:rPr>
          <w:rFonts w:ascii="Times New Roman" w:cs="Times New Roman" w:eastAsia="Times New Roman" w:hAnsi="Times New Roman"/>
          <w:sz w:val="20"/>
          <w:szCs w:val="20"/>
          <w:color w:val="auto"/>
        </w:rPr>
        <w:t>22</w:t>
      </w:r>
    </w:p>
    <w:p>
      <w:pPr>
        <w:sectPr>
          <w:pgSz w:w="12240" w:h="15840" w:orient="portrait"/>
          <w:cols w:equalWidth="0" w:num="1">
            <w:col w:w="10266"/>
          </w:cols>
          <w:pgMar w:left="994" w:top="884" w:right="980" w:bottom="222" w:gutter="0" w:footer="0" w:header="0"/>
        </w:sectPr>
      </w:pPr>
    </w:p>
    <w:bookmarkStart w:id="26" w:name="page27"/>
    <w:bookmarkEnd w:id="26"/>
    <w:p>
      <w:pPr>
        <w:jc w:val="both"/>
        <w:spacing w:after="0" w:line="324" w:lineRule="auto"/>
        <w:rPr>
          <w:sz w:val="20"/>
          <w:szCs w:val="20"/>
          <w:color w:val="auto"/>
        </w:rPr>
      </w:pPr>
      <w:r>
        <w:rPr>
          <w:rFonts w:ascii="Times New Roman" w:cs="Times New Roman" w:eastAsia="Times New Roman" w:hAnsi="Times New Roman"/>
          <w:sz w:val="20"/>
          <w:szCs w:val="20"/>
          <w:b w:val="1"/>
          <w:bCs w:val="1"/>
          <w:i w:val="1"/>
          <w:iCs w:val="1"/>
          <w:color w:val="auto"/>
        </w:rPr>
        <w:t>Our business is highly dependent upon our brand recognition and reputation, and the erosion or degradation of our brand recognition or reputation would likely adversely affect our business and operating results.</w:t>
      </w:r>
    </w:p>
    <w:p>
      <w:pPr>
        <w:spacing w:after="0" w:line="47" w:lineRule="exact"/>
        <w:rPr>
          <w:sz w:val="20"/>
          <w:szCs w:val="20"/>
          <w:color w:val="auto"/>
        </w:rPr>
      </w:pPr>
    </w:p>
    <w:p>
      <w:pPr>
        <w:jc w:val="both"/>
        <w:ind w:right="20"/>
        <w:spacing w:after="0" w:line="299" w:lineRule="auto"/>
        <w:rPr>
          <w:sz w:val="20"/>
          <w:szCs w:val="20"/>
          <w:color w:val="auto"/>
        </w:rPr>
      </w:pPr>
      <w:r>
        <w:rPr>
          <w:rFonts w:ascii="Times New Roman" w:cs="Times New Roman" w:eastAsia="Times New Roman" w:hAnsi="Times New Roman"/>
          <w:sz w:val="20"/>
          <w:szCs w:val="20"/>
          <w:color w:val="auto"/>
        </w:rPr>
        <w:t>We believe that our business is highly dependent on our brand identity and our reputation, which is critical to our ability to attract and retain clients and consumers. We also believe that the importance of our brand recognition and reputation will continue to increase as competition in the markets in which we operate continues to develop. Our success in this area will depend on a wide range of factors, some of which are within our control and some of which are not. The factors affecting our brand recognition and reputation that are within our control include the following:</w:t>
      </w:r>
    </w:p>
    <w:p>
      <w:pPr>
        <w:spacing w:after="0" w:line="72" w:lineRule="exact"/>
        <w:rPr>
          <w:sz w:val="20"/>
          <w:szCs w:val="20"/>
          <w:color w:val="auto"/>
        </w:rPr>
      </w:pPr>
    </w:p>
    <w:p>
      <w:pPr>
        <w:ind w:left="720" w:hanging="366"/>
        <w:spacing w:after="0"/>
        <w:tabs>
          <w:tab w:leader="none" w:pos="720" w:val="left"/>
        </w:tabs>
        <w:numPr>
          <w:ilvl w:val="0"/>
          <w:numId w:val="2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efficacy of our marketing efforts;</w:t>
      </w:r>
    </w:p>
    <w:p>
      <w:pPr>
        <w:spacing w:after="0" w:line="101" w:lineRule="exact"/>
        <w:rPr>
          <w:rFonts w:ascii="Times New Roman" w:cs="Times New Roman" w:eastAsia="Times New Roman" w:hAnsi="Times New Roman"/>
          <w:sz w:val="20"/>
          <w:szCs w:val="20"/>
          <w:color w:val="auto"/>
        </w:rPr>
      </w:pPr>
    </w:p>
    <w:p>
      <w:pPr>
        <w:ind w:left="720" w:hanging="366"/>
        <w:spacing w:after="0"/>
        <w:tabs>
          <w:tab w:leader="none" w:pos="720" w:val="left"/>
        </w:tabs>
        <w:numPr>
          <w:ilvl w:val="0"/>
          <w:numId w:val="2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our ability to maintain a high-quality, innovative and error- and bug-free platform;</w:t>
      </w:r>
    </w:p>
    <w:p>
      <w:pPr>
        <w:spacing w:after="0" w:line="108" w:lineRule="exact"/>
        <w:rPr>
          <w:rFonts w:ascii="Times New Roman" w:cs="Times New Roman" w:eastAsia="Times New Roman" w:hAnsi="Times New Roman"/>
          <w:sz w:val="20"/>
          <w:szCs w:val="20"/>
          <w:color w:val="auto"/>
        </w:rPr>
      </w:pPr>
    </w:p>
    <w:p>
      <w:pPr>
        <w:ind w:left="720" w:hanging="367"/>
        <w:spacing w:after="0"/>
        <w:tabs>
          <w:tab w:leader="none" w:pos="720" w:val="left"/>
        </w:tabs>
        <w:numPr>
          <w:ilvl w:val="0"/>
          <w:numId w:val="2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our ability to maintain high satisfaction among clients and consumers;</w:t>
      </w:r>
    </w:p>
    <w:p>
      <w:pPr>
        <w:spacing w:after="0" w:line="108" w:lineRule="exact"/>
        <w:rPr>
          <w:rFonts w:ascii="Times New Roman" w:cs="Times New Roman" w:eastAsia="Times New Roman" w:hAnsi="Times New Roman"/>
          <w:sz w:val="20"/>
          <w:szCs w:val="20"/>
          <w:color w:val="auto"/>
        </w:rPr>
      </w:pPr>
    </w:p>
    <w:p>
      <w:pPr>
        <w:ind w:left="720" w:hanging="367"/>
        <w:spacing w:after="0"/>
        <w:tabs>
          <w:tab w:leader="none" w:pos="720" w:val="left"/>
        </w:tabs>
        <w:numPr>
          <w:ilvl w:val="0"/>
          <w:numId w:val="2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quality and perceived value of our platform;</w:t>
      </w:r>
    </w:p>
    <w:p>
      <w:pPr>
        <w:spacing w:after="0" w:line="101" w:lineRule="exact"/>
        <w:rPr>
          <w:rFonts w:ascii="Times New Roman" w:cs="Times New Roman" w:eastAsia="Times New Roman" w:hAnsi="Times New Roman"/>
          <w:sz w:val="20"/>
          <w:szCs w:val="20"/>
          <w:color w:val="auto"/>
        </w:rPr>
      </w:pPr>
    </w:p>
    <w:p>
      <w:pPr>
        <w:ind w:left="720" w:hanging="367"/>
        <w:spacing w:after="0"/>
        <w:tabs>
          <w:tab w:leader="none" w:pos="720" w:val="left"/>
        </w:tabs>
        <w:numPr>
          <w:ilvl w:val="0"/>
          <w:numId w:val="2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successfully implementing and developing new features, including alternative revenue streams;</w:t>
      </w:r>
    </w:p>
    <w:p>
      <w:pPr>
        <w:spacing w:after="0" w:line="108" w:lineRule="exact"/>
        <w:rPr>
          <w:rFonts w:ascii="Times New Roman" w:cs="Times New Roman" w:eastAsia="Times New Roman" w:hAnsi="Times New Roman"/>
          <w:sz w:val="20"/>
          <w:szCs w:val="20"/>
          <w:color w:val="auto"/>
        </w:rPr>
      </w:pPr>
    </w:p>
    <w:p>
      <w:pPr>
        <w:ind w:left="720" w:hanging="367"/>
        <w:spacing w:after="0"/>
        <w:tabs>
          <w:tab w:leader="none" w:pos="720" w:val="left"/>
        </w:tabs>
        <w:numPr>
          <w:ilvl w:val="0"/>
          <w:numId w:val="2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our ability to obtain, maintain and enforce trademarks and other indicia of origin that are valuable to our brand;</w:t>
      </w:r>
    </w:p>
    <w:p>
      <w:pPr>
        <w:spacing w:after="0" w:line="108" w:lineRule="exact"/>
        <w:rPr>
          <w:rFonts w:ascii="Times New Roman" w:cs="Times New Roman" w:eastAsia="Times New Roman" w:hAnsi="Times New Roman"/>
          <w:sz w:val="20"/>
          <w:szCs w:val="20"/>
          <w:color w:val="auto"/>
        </w:rPr>
      </w:pPr>
    </w:p>
    <w:p>
      <w:pPr>
        <w:ind w:left="720" w:hanging="367"/>
        <w:spacing w:after="0"/>
        <w:tabs>
          <w:tab w:leader="none" w:pos="720" w:val="left"/>
        </w:tabs>
        <w:numPr>
          <w:ilvl w:val="0"/>
          <w:numId w:val="2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our ability to successfully differentiate our platform from competitors’ products;</w:t>
      </w:r>
    </w:p>
    <w:p>
      <w:pPr>
        <w:spacing w:after="0" w:line="101" w:lineRule="exact"/>
        <w:rPr>
          <w:rFonts w:ascii="Times New Roman" w:cs="Times New Roman" w:eastAsia="Times New Roman" w:hAnsi="Times New Roman"/>
          <w:sz w:val="20"/>
          <w:szCs w:val="20"/>
          <w:color w:val="auto"/>
        </w:rPr>
      </w:pPr>
    </w:p>
    <w:p>
      <w:pPr>
        <w:ind w:left="720" w:hanging="367"/>
        <w:spacing w:after="0" w:line="319" w:lineRule="auto"/>
        <w:tabs>
          <w:tab w:leader="none" w:pos="720" w:val="left"/>
        </w:tabs>
        <w:numPr>
          <w:ilvl w:val="0"/>
          <w:numId w:val="2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our compliance with laws and regulations, including those applicable to any political action committees affiliated with us and to our registered lobbying activities;</w:t>
      </w:r>
    </w:p>
    <w:p>
      <w:pPr>
        <w:ind w:left="720" w:hanging="366"/>
        <w:spacing w:after="0"/>
        <w:tabs>
          <w:tab w:leader="none" w:pos="720" w:val="left"/>
        </w:tabs>
        <w:numPr>
          <w:ilvl w:val="0"/>
          <w:numId w:val="2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our ability to provide client support; and</w:t>
      </w:r>
    </w:p>
    <w:p>
      <w:pPr>
        <w:spacing w:after="0" w:line="108" w:lineRule="exact"/>
        <w:rPr>
          <w:rFonts w:ascii="Times New Roman" w:cs="Times New Roman" w:eastAsia="Times New Roman" w:hAnsi="Times New Roman"/>
          <w:sz w:val="20"/>
          <w:szCs w:val="20"/>
          <w:color w:val="auto"/>
        </w:rPr>
      </w:pPr>
    </w:p>
    <w:p>
      <w:pPr>
        <w:ind w:left="720" w:hanging="366"/>
        <w:spacing w:after="0"/>
        <w:tabs>
          <w:tab w:leader="none" w:pos="720" w:val="left"/>
        </w:tabs>
        <w:numPr>
          <w:ilvl w:val="0"/>
          <w:numId w:val="2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any actual or perceived data breach or data loss, or misuse or perceived misuse of our platform.</w:t>
      </w:r>
    </w:p>
    <w:p>
      <w:pPr>
        <w:spacing w:after="0" w:line="109"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In addition, our brand recognition and reputation may be affected by factors that are outside our control, such as:</w:t>
      </w:r>
    </w:p>
    <w:p>
      <w:pPr>
        <w:spacing w:after="0" w:line="101" w:lineRule="exact"/>
        <w:rPr>
          <w:sz w:val="20"/>
          <w:szCs w:val="20"/>
          <w:color w:val="auto"/>
        </w:rPr>
      </w:pPr>
    </w:p>
    <w:p>
      <w:pPr>
        <w:ind w:left="720" w:hanging="366"/>
        <w:spacing w:after="0"/>
        <w:tabs>
          <w:tab w:leader="none" w:pos="720" w:val="left"/>
        </w:tabs>
        <w:numPr>
          <w:ilvl w:val="0"/>
          <w:numId w:val="2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actions of competitors or other third parties;</w:t>
      </w:r>
    </w:p>
    <w:p>
      <w:pPr>
        <w:spacing w:after="0" w:line="108" w:lineRule="exact"/>
        <w:rPr>
          <w:rFonts w:ascii="Times New Roman" w:cs="Times New Roman" w:eastAsia="Times New Roman" w:hAnsi="Times New Roman"/>
          <w:sz w:val="20"/>
          <w:szCs w:val="20"/>
          <w:color w:val="auto"/>
        </w:rPr>
      </w:pPr>
    </w:p>
    <w:p>
      <w:pPr>
        <w:ind w:left="720" w:hanging="366"/>
        <w:spacing w:after="0"/>
        <w:tabs>
          <w:tab w:leader="none" w:pos="720" w:val="left"/>
        </w:tabs>
        <w:numPr>
          <w:ilvl w:val="0"/>
          <w:numId w:val="2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quality and timeliness of our clients’ delivery businesses;</w:t>
      </w:r>
    </w:p>
    <w:p>
      <w:pPr>
        <w:spacing w:after="0" w:line="108" w:lineRule="exact"/>
        <w:rPr>
          <w:rFonts w:ascii="Times New Roman" w:cs="Times New Roman" w:eastAsia="Times New Roman" w:hAnsi="Times New Roman"/>
          <w:sz w:val="20"/>
          <w:szCs w:val="20"/>
          <w:color w:val="auto"/>
        </w:rPr>
      </w:pPr>
    </w:p>
    <w:p>
      <w:pPr>
        <w:ind w:left="720" w:hanging="366"/>
        <w:spacing w:after="0"/>
        <w:tabs>
          <w:tab w:leader="none" w:pos="720" w:val="left"/>
        </w:tabs>
        <w:numPr>
          <w:ilvl w:val="0"/>
          <w:numId w:val="2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consumers’ experiences with clients or products identified through our platform;</w:t>
      </w:r>
    </w:p>
    <w:p>
      <w:pPr>
        <w:spacing w:after="0" w:line="101" w:lineRule="exact"/>
        <w:rPr>
          <w:rFonts w:ascii="Times New Roman" w:cs="Times New Roman" w:eastAsia="Times New Roman" w:hAnsi="Times New Roman"/>
          <w:sz w:val="20"/>
          <w:szCs w:val="20"/>
          <w:color w:val="auto"/>
        </w:rPr>
      </w:pPr>
    </w:p>
    <w:p>
      <w:pPr>
        <w:jc w:val="both"/>
        <w:ind w:left="720" w:hanging="366"/>
        <w:spacing w:after="0" w:line="309" w:lineRule="auto"/>
        <w:tabs>
          <w:tab w:leader="none" w:pos="720" w:val="left"/>
        </w:tabs>
        <w:numPr>
          <w:ilvl w:val="0"/>
          <w:numId w:val="2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negative publicity regarding our company or operations, as well as with respect to events or activities attributed to us, our employees, partners, including celebrities who endorse or promote our brand, or others associated with any of these parties;</w:t>
      </w:r>
    </w:p>
    <w:p>
      <w:pPr>
        <w:spacing w:after="0" w:line="4" w:lineRule="exact"/>
        <w:rPr>
          <w:rFonts w:ascii="Times New Roman" w:cs="Times New Roman" w:eastAsia="Times New Roman" w:hAnsi="Times New Roman"/>
          <w:sz w:val="20"/>
          <w:szCs w:val="20"/>
          <w:color w:val="auto"/>
        </w:rPr>
      </w:pPr>
    </w:p>
    <w:p>
      <w:pPr>
        <w:ind w:left="720" w:hanging="366"/>
        <w:spacing w:after="0"/>
        <w:tabs>
          <w:tab w:leader="none" w:pos="720" w:val="left"/>
        </w:tabs>
        <w:numPr>
          <w:ilvl w:val="0"/>
          <w:numId w:val="2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interruptions, delays or attacks on our platform; and</w:t>
      </w:r>
    </w:p>
    <w:p>
      <w:pPr>
        <w:spacing w:after="0" w:line="101" w:lineRule="exact"/>
        <w:rPr>
          <w:rFonts w:ascii="Times New Roman" w:cs="Times New Roman" w:eastAsia="Times New Roman" w:hAnsi="Times New Roman"/>
          <w:sz w:val="20"/>
          <w:szCs w:val="20"/>
          <w:color w:val="auto"/>
        </w:rPr>
      </w:pPr>
    </w:p>
    <w:p>
      <w:pPr>
        <w:ind w:left="720" w:hanging="366"/>
        <w:spacing w:after="0"/>
        <w:tabs>
          <w:tab w:leader="none" w:pos="720" w:val="left"/>
        </w:tabs>
        <w:numPr>
          <w:ilvl w:val="0"/>
          <w:numId w:val="2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litigation or regulatory developments.</w:t>
      </w:r>
    </w:p>
    <w:p>
      <w:pPr>
        <w:spacing w:after="0" w:line="166" w:lineRule="exact"/>
        <w:rPr>
          <w:sz w:val="20"/>
          <w:szCs w:val="20"/>
          <w:color w:val="auto"/>
        </w:rPr>
      </w:pPr>
    </w:p>
    <w:p>
      <w:pPr>
        <w:jc w:val="both"/>
        <w:spacing w:after="0" w:line="301" w:lineRule="auto"/>
        <w:rPr>
          <w:sz w:val="20"/>
          <w:szCs w:val="20"/>
          <w:color w:val="auto"/>
        </w:rPr>
      </w:pPr>
      <w:r>
        <w:rPr>
          <w:rFonts w:ascii="Times New Roman" w:cs="Times New Roman" w:eastAsia="Times New Roman" w:hAnsi="Times New Roman"/>
          <w:sz w:val="20"/>
          <w:szCs w:val="20"/>
          <w:color w:val="auto"/>
        </w:rPr>
        <w:t>Damage to our reputation and loss of brand equity from one or more of the factors listed above may reduce demand for our platform and have an adverse effect on our business, operating results and financial condition. Moreover, any attempts to rebuild our reputation and restore the value of our brand may be costly and time-consuming, and such efforts may not ultimately be successful.</w:t>
      </w:r>
    </w:p>
    <w:p>
      <w:pPr>
        <w:spacing w:after="0" w:line="72" w:lineRule="exact"/>
        <w:rPr>
          <w:sz w:val="20"/>
          <w:szCs w:val="20"/>
          <w:color w:val="auto"/>
        </w:rPr>
      </w:pPr>
    </w:p>
    <w:p>
      <w:pPr>
        <w:jc w:val="both"/>
        <w:ind w:right="20"/>
        <w:spacing w:after="0" w:line="332" w:lineRule="auto"/>
        <w:rPr>
          <w:sz w:val="20"/>
          <w:szCs w:val="20"/>
          <w:color w:val="auto"/>
        </w:rPr>
      </w:pPr>
      <w:r>
        <w:rPr>
          <w:rFonts w:ascii="Times New Roman" w:cs="Times New Roman" w:eastAsia="Times New Roman" w:hAnsi="Times New Roman"/>
          <w:sz w:val="20"/>
          <w:szCs w:val="20"/>
          <w:b w:val="1"/>
          <w:bCs w:val="1"/>
          <w:i w:val="1"/>
          <w:iCs w:val="1"/>
          <w:color w:val="auto"/>
        </w:rPr>
        <w:t>We currently face intense competition in the cannabis information market, and we expect competition to further intensify as the cannabis industry continues to evolve.</w:t>
      </w:r>
    </w:p>
    <w:p>
      <w:pPr>
        <w:spacing w:after="0" w:line="39" w:lineRule="exact"/>
        <w:rPr>
          <w:sz w:val="20"/>
          <w:szCs w:val="20"/>
          <w:color w:val="auto"/>
        </w:rPr>
      </w:pPr>
    </w:p>
    <w:p>
      <w:pPr>
        <w:jc w:val="both"/>
        <w:spacing w:after="0" w:line="308" w:lineRule="auto"/>
        <w:rPr>
          <w:sz w:val="20"/>
          <w:szCs w:val="20"/>
          <w:color w:val="auto"/>
        </w:rPr>
      </w:pPr>
      <w:r>
        <w:rPr>
          <w:rFonts w:ascii="Times New Roman" w:cs="Times New Roman" w:eastAsia="Times New Roman" w:hAnsi="Times New Roman"/>
          <w:sz w:val="19"/>
          <w:szCs w:val="19"/>
          <w:color w:val="auto"/>
        </w:rPr>
        <w:t>The cannabis information market is rapidly evolving and is currently characterized by intense competition, due in part to relatively low barriers to entry. We expect competition to further intensify in the future as cannabis continues to be legalized and regulated, new technologies are developed and new participants enter the cannabis information market. Our direct competitors for individual components or parts of our platform include cannabis-focused, two-sided networks like Leafly (for retailer listing pages) and Dutchie and Jane Technologies (for menu embed and orders functionality). In addition, our platform also may compete with current or potential products and solutions offered by internet search engines and advertising networks, like Google, general two-sided networks like Yelp, various other newspaper, television, media companies, outdoor billboard advertising, and online merchant platforms, such as Shopify, Square and Lightspeed. For example, Uber Eats announced a partnership with a Canadian retailer in November 2021 to allow consumers to place cannabis orders for pickup via Uber Eats. If the regulatory regime for cannabis becomes more settled and the legal market for cannabis becomes more accepted, competition may further intensify as new participants may be encouraged to enter the cannabis information market, including established companies, such as tobacco</w:t>
      </w:r>
    </w:p>
    <w:p>
      <w:pPr>
        <w:spacing w:after="0" w:line="184"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20"/>
          <w:szCs w:val="20"/>
          <w:color w:val="auto"/>
        </w:rPr>
        <w:t>23</w:t>
      </w:r>
    </w:p>
    <w:p>
      <w:pPr>
        <w:sectPr>
          <w:pgSz w:w="12240" w:h="15840" w:orient="portrait"/>
          <w:cols w:equalWidth="0" w:num="1">
            <w:col w:w="10260"/>
          </w:cols>
          <w:pgMar w:left="1000" w:top="886" w:right="980" w:bottom="222" w:gutter="0" w:footer="0" w:header="0"/>
        </w:sectPr>
      </w:pPr>
    </w:p>
    <w:bookmarkStart w:id="27" w:name="page28"/>
    <w:bookmarkEnd w:id="27"/>
    <w:p>
      <w:pPr>
        <w:jc w:val="both"/>
        <w:spacing w:after="0" w:line="291" w:lineRule="auto"/>
        <w:rPr>
          <w:sz w:val="20"/>
          <w:szCs w:val="20"/>
          <w:color w:val="auto"/>
        </w:rPr>
      </w:pPr>
      <w:r>
        <w:rPr>
          <w:rFonts w:ascii="Times New Roman" w:cs="Times New Roman" w:eastAsia="Times New Roman" w:hAnsi="Times New Roman"/>
          <w:sz w:val="20"/>
          <w:szCs w:val="20"/>
          <w:color w:val="auto"/>
        </w:rPr>
        <w:t>and alcohol companies. Such companies may have substantially greater financial, technical and other resources than us or existing market participants. Additionally, as consumers and cannabis industry clients demand richer data, integrations with other cannabis industry participants such as point-of-sale providers and loyalty service providers may become increasingly important. If we are unable to complete such new integrations as quickly as our competitors, or improve our existing integrations based on legacy systems, we may lose market share to such competitors. Our current and future competitors may also enjoy other competitive advantages, such as greater name recognition, more varied or more focused offerings, better market acceptance and larger budgets. Some of our competitors previously raised significant amounts of capital. For example, in August 2021, Jane announced the closing of a $100 million Series C round of funding; in October 2021, Dutchie announced the closing of a $350 million Series D round of funding at a valuation of $3.75 billion; and in February of 2022, Leafly became a public company and began trading on Nasdaq via SPAC business combination. Our competitors may be able to use such capital infusions to more successfully enter new markets opening up.</w:t>
      </w:r>
    </w:p>
    <w:p>
      <w:pPr>
        <w:spacing w:after="0" w:line="86" w:lineRule="exact"/>
        <w:rPr>
          <w:sz w:val="20"/>
          <w:szCs w:val="20"/>
          <w:color w:val="auto"/>
        </w:rPr>
      </w:pPr>
    </w:p>
    <w:p>
      <w:pPr>
        <w:jc w:val="both"/>
        <w:ind w:right="20"/>
        <w:spacing w:after="0" w:line="294" w:lineRule="auto"/>
        <w:rPr>
          <w:sz w:val="20"/>
          <w:szCs w:val="20"/>
          <w:color w:val="auto"/>
        </w:rPr>
      </w:pPr>
      <w:r>
        <w:rPr>
          <w:rFonts w:ascii="Times New Roman" w:cs="Times New Roman" w:eastAsia="Times New Roman" w:hAnsi="Times New Roman"/>
          <w:sz w:val="20"/>
          <w:szCs w:val="20"/>
          <w:color w:val="auto"/>
        </w:rPr>
        <w:t>Additionally, as the legalization of cannabis continues, cannabis cultivators, distributors and retailers have and likely will continue to experience consolidation as existing cannabis businesses seek to obtain greater market share and purchasing power and new entrants seek to establish a significant market presence. Consolidation of retailers in the cannabis industry could reduce the size of our potential client base and give remaining clients greater bargaining or purchasing power. This may in turn erode the prices for our advertising placements and result in decreased margins. Consolidation could particularly affect smaller cannabis businesses, with whom we have historically conducted the majority of our business. Further, heightened competition between cannabis businesses could ultimately have a negative impact on the viability of individual market participants, which could reduce or eliminate their ability to purchase our products and solution.</w:t>
      </w:r>
    </w:p>
    <w:p>
      <w:pPr>
        <w:spacing w:after="0" w:line="79" w:lineRule="exact"/>
        <w:rPr>
          <w:sz w:val="20"/>
          <w:szCs w:val="20"/>
          <w:color w:val="auto"/>
        </w:rPr>
      </w:pPr>
    </w:p>
    <w:p>
      <w:pPr>
        <w:jc w:val="both"/>
        <w:ind w:right="20"/>
        <w:spacing w:after="0" w:line="301" w:lineRule="auto"/>
        <w:rPr>
          <w:sz w:val="20"/>
          <w:szCs w:val="20"/>
          <w:color w:val="auto"/>
        </w:rPr>
      </w:pPr>
      <w:r>
        <w:rPr>
          <w:rFonts w:ascii="Times New Roman" w:cs="Times New Roman" w:eastAsia="Times New Roman" w:hAnsi="Times New Roman"/>
          <w:sz w:val="20"/>
          <w:szCs w:val="20"/>
          <w:color w:val="auto"/>
        </w:rPr>
        <w:t>On May 16, 2024, President Biden announced that the U.S. Attorney General initiated proceedings to transfer cannabis from Schedule I to Schedule III, through an NPRM published on May 21, 2024. This decision is expected to have far reaching implications that are not yet fully understood. For example, rescheduling may increase competitors in this space if non-cannabis technology companies who have previously avoided the space now decide to enter the market.</w:t>
      </w:r>
    </w:p>
    <w:p>
      <w:pPr>
        <w:spacing w:after="0" w:line="70" w:lineRule="exact"/>
        <w:rPr>
          <w:sz w:val="20"/>
          <w:szCs w:val="20"/>
          <w:color w:val="auto"/>
        </w:rPr>
      </w:pPr>
    </w:p>
    <w:p>
      <w:pPr>
        <w:jc w:val="both"/>
        <w:spacing w:after="0" w:line="326" w:lineRule="auto"/>
        <w:rPr>
          <w:sz w:val="20"/>
          <w:szCs w:val="20"/>
          <w:color w:val="auto"/>
        </w:rPr>
      </w:pPr>
      <w:r>
        <w:rPr>
          <w:rFonts w:ascii="Times New Roman" w:cs="Times New Roman" w:eastAsia="Times New Roman" w:hAnsi="Times New Roman"/>
          <w:sz w:val="20"/>
          <w:szCs w:val="20"/>
          <w:color w:val="auto"/>
        </w:rPr>
        <w:t>If we are unable to compete effectively for any of these reasons, we may be unable to maintain our operations or develop our products and solutions, and as a result our business and operating results may be adversely affected.</w:t>
      </w:r>
    </w:p>
    <w:p>
      <w:pPr>
        <w:spacing w:after="0" w:line="47" w:lineRule="exact"/>
        <w:rPr>
          <w:sz w:val="20"/>
          <w:szCs w:val="20"/>
          <w:color w:val="auto"/>
        </w:rPr>
      </w:pPr>
    </w:p>
    <w:p>
      <w:pPr>
        <w:jc w:val="both"/>
        <w:ind w:right="20"/>
        <w:spacing w:after="0" w:line="324" w:lineRule="auto"/>
        <w:rPr>
          <w:sz w:val="20"/>
          <w:szCs w:val="20"/>
          <w:color w:val="auto"/>
        </w:rPr>
      </w:pPr>
      <w:r>
        <w:rPr>
          <w:rFonts w:ascii="Times New Roman" w:cs="Times New Roman" w:eastAsia="Times New Roman" w:hAnsi="Times New Roman"/>
          <w:sz w:val="20"/>
          <w:szCs w:val="20"/>
          <w:b w:val="1"/>
          <w:bCs w:val="1"/>
          <w:i w:val="1"/>
          <w:iCs w:val="1"/>
          <w:color w:val="auto"/>
        </w:rPr>
        <w:t>If we fail to manage our employee operations and organization effectively, our brand, business and operating results could be harmed.</w:t>
      </w:r>
    </w:p>
    <w:p>
      <w:pPr>
        <w:spacing w:after="0" w:line="47" w:lineRule="exact"/>
        <w:rPr>
          <w:sz w:val="20"/>
          <w:szCs w:val="20"/>
          <w:color w:val="auto"/>
        </w:rPr>
      </w:pPr>
    </w:p>
    <w:p>
      <w:pPr>
        <w:jc w:val="both"/>
        <w:spacing w:after="0" w:line="290" w:lineRule="auto"/>
        <w:rPr>
          <w:sz w:val="20"/>
          <w:szCs w:val="20"/>
          <w:color w:val="auto"/>
        </w:rPr>
      </w:pPr>
      <w:r>
        <w:rPr>
          <w:rFonts w:ascii="Times New Roman" w:cs="Times New Roman" w:eastAsia="Times New Roman" w:hAnsi="Times New Roman"/>
          <w:sz w:val="20"/>
          <w:szCs w:val="20"/>
          <w:color w:val="auto"/>
        </w:rPr>
        <w:t>We have experienced rapid organic growth in our headcount and operations, which placed substantial demands on management and our operational infrastructure. As a result of both macroeconomic and industry challenges, as well as misalignment between our organizational growth and business growth, we completed a substantial reduction in force in 2022 and experienced significant executive departures during 2023 and 2022. As a result of these changes, many of our current employees have been with us for less than 24 months. To execute on our growth strategy, we will need to continue to increase the productivity of our current employees as well as hire, train and manage new employees, as well as improve existing, and implement new, transaction processing, operational and financial systems, procedures and controls. We intend to continue making substantial investments in our technology, sales and data infrastructure. As our business matures, we may make periodic changes and adjustments to our organization in response to various internal and external considerations, including market opportunities, the competitive landscape, new and enhanced products, acquisitions, sales performance, availability of employee talent and costs, while maintaining the beneficial aspects of our existing corporate culture, which we believe fosters innovation, teamwork and a passion for our products and clients. In some instances, these changes have resulted in a temporary lack of focus and reduced productivity, which may occur again in connection with any future changes to our organization and may negatively affect our results of operations. If we are unable to adapt quickly and effectively to changes or adjustments to our organization, our business will be harmed. If we are unable to manage our employee operations and organization effectively, the quality of our platform, efficiency of our operations, and management of our expenses could suffer, which could negatively impact our brand, business, profitability and operating results.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6"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20"/>
          <w:szCs w:val="20"/>
          <w:color w:val="auto"/>
        </w:rPr>
        <w:t>24</w:t>
      </w:r>
    </w:p>
    <w:p>
      <w:pPr>
        <w:sectPr>
          <w:pgSz w:w="12240" w:h="15840" w:orient="portrait"/>
          <w:cols w:equalWidth="0" w:num="1">
            <w:col w:w="10260"/>
          </w:cols>
          <w:pgMar w:left="1000" w:top="884" w:right="980" w:bottom="222" w:gutter="0" w:footer="0" w:header="0"/>
        </w:sectPr>
      </w:pPr>
    </w:p>
    <w:bookmarkStart w:id="28" w:name="page29"/>
    <w:bookmarkEnd w:id="28"/>
    <w:p>
      <w:pPr>
        <w:spacing w:after="0"/>
        <w:rPr>
          <w:sz w:val="20"/>
          <w:szCs w:val="20"/>
          <w:color w:val="auto"/>
        </w:rPr>
      </w:pPr>
      <w:r>
        <w:rPr>
          <w:rFonts w:ascii="Times New Roman" w:cs="Times New Roman" w:eastAsia="Times New Roman" w:hAnsi="Times New Roman"/>
          <w:sz w:val="20"/>
          <w:szCs w:val="20"/>
          <w:b w:val="1"/>
          <w:bCs w:val="1"/>
          <w:i w:val="1"/>
          <w:iCs w:val="1"/>
          <w:color w:val="auto"/>
        </w:rPr>
        <w:t>If we are unable to recruit, train, retain and motivate key personnel, we may not achieve our business objectives.</w:t>
      </w:r>
    </w:p>
    <w:p>
      <w:pPr>
        <w:spacing w:after="0" w:line="164" w:lineRule="exact"/>
        <w:rPr>
          <w:sz w:val="20"/>
          <w:szCs w:val="20"/>
          <w:color w:val="auto"/>
        </w:rPr>
      </w:pPr>
    </w:p>
    <w:p>
      <w:pPr>
        <w:jc w:val="both"/>
        <w:spacing w:after="0" w:line="309" w:lineRule="auto"/>
        <w:rPr>
          <w:sz w:val="20"/>
          <w:szCs w:val="20"/>
          <w:color w:val="auto"/>
        </w:rPr>
      </w:pPr>
      <w:r>
        <w:rPr>
          <w:rFonts w:ascii="Times New Roman" w:cs="Times New Roman" w:eastAsia="Times New Roman" w:hAnsi="Times New Roman"/>
          <w:sz w:val="20"/>
          <w:szCs w:val="20"/>
          <w:color w:val="auto"/>
        </w:rPr>
        <w:t>Our future success depends on our continued ability to recruit, train, retain and motivate key personnel, including Doug Francis, our Executive Chair and Principal Executive Officer; Brian Camire, our General Counsel and Duncan Grazier, our Chief Technology Officer.</w:t>
      </w:r>
    </w:p>
    <w:p>
      <w:pPr>
        <w:spacing w:after="0" w:line="62" w:lineRule="exact"/>
        <w:rPr>
          <w:sz w:val="20"/>
          <w:szCs w:val="20"/>
          <w:color w:val="auto"/>
        </w:rPr>
      </w:pPr>
    </w:p>
    <w:p>
      <w:pPr>
        <w:jc w:val="both"/>
        <w:spacing w:after="0" w:line="295" w:lineRule="auto"/>
        <w:rPr>
          <w:sz w:val="20"/>
          <w:szCs w:val="20"/>
          <w:color w:val="auto"/>
        </w:rPr>
      </w:pPr>
      <w:r>
        <w:rPr>
          <w:rFonts w:ascii="Times New Roman" w:cs="Times New Roman" w:eastAsia="Times New Roman" w:hAnsi="Times New Roman"/>
          <w:sz w:val="20"/>
          <w:szCs w:val="20"/>
          <w:color w:val="auto"/>
        </w:rPr>
        <w:t>Competition for qualified personnel in the technology industry is intense, particularly in Southern California, where we are headquartered. Additionally, we face additional challenges in attracting, retaining and motivating highly qualified personnel due to our relationship to the cannabis industry, which is rapidly evolving and has varying levels of social acceptance. The loss of the services of a significant portion of our workforce or any member of our senior management or the inability to hire or retain qualified personnel could adversely affect our ability to execute our business plan and harm our operating results. We generally do not maintain fixed term employment contracts or key man life insurance with any of our employees.</w:t>
      </w:r>
    </w:p>
    <w:p>
      <w:pPr>
        <w:spacing w:after="0" w:line="75" w:lineRule="exact"/>
        <w:rPr>
          <w:sz w:val="20"/>
          <w:szCs w:val="20"/>
          <w:color w:val="auto"/>
        </w:rPr>
      </w:pPr>
    </w:p>
    <w:p>
      <w:pPr>
        <w:jc w:val="both"/>
        <w:spacing w:after="0" w:line="318" w:lineRule="auto"/>
        <w:rPr>
          <w:sz w:val="20"/>
          <w:szCs w:val="20"/>
          <w:color w:val="auto"/>
        </w:rPr>
      </w:pPr>
      <w:r>
        <w:rPr>
          <w:rFonts w:ascii="Times New Roman" w:cs="Times New Roman" w:eastAsia="Times New Roman" w:hAnsi="Times New Roman"/>
          <w:sz w:val="19"/>
          <w:szCs w:val="19"/>
          <w:color w:val="auto"/>
        </w:rPr>
        <w:t>In particular, Doug Francis, co-founder and Executive Chair, has been and will continue to take a more active role in leading WM Technology until we appoint our next chief executive officer. In addition, since July 2023 we have had and continue to have an interim Chief Financial Officer, which, as noted in our Notification of Late Filing on Form 12b-25 with the SEC, has had an impact on our ability to complete our financial statements. If we are unable to recruit and retain a qualified replacement in a timely manner it could result in management, operating and financial reporting difficulties, which could have an adverse effect on our business.</w:t>
      </w:r>
    </w:p>
    <w:p>
      <w:pPr>
        <w:spacing w:after="0" w:line="59" w:lineRule="exact"/>
        <w:rPr>
          <w:sz w:val="20"/>
          <w:szCs w:val="20"/>
          <w:color w:val="auto"/>
        </w:rPr>
      </w:pPr>
    </w:p>
    <w:p>
      <w:pPr>
        <w:jc w:val="both"/>
        <w:spacing w:after="0" w:line="301" w:lineRule="auto"/>
        <w:rPr>
          <w:sz w:val="20"/>
          <w:szCs w:val="20"/>
          <w:color w:val="auto"/>
        </w:rPr>
      </w:pPr>
      <w:r>
        <w:rPr>
          <w:rFonts w:ascii="Times New Roman" w:cs="Times New Roman" w:eastAsia="Times New Roman" w:hAnsi="Times New Roman"/>
          <w:sz w:val="20"/>
          <w:szCs w:val="20"/>
          <w:b w:val="1"/>
          <w:bCs w:val="1"/>
          <w:i w:val="1"/>
          <w:iCs w:val="1"/>
          <w:color w:val="auto"/>
        </w:rPr>
        <w:t>We rely on search engine placement, syndicated content, paid digital advertising and social media marketing to attract a meaningful portion of our clients and consumers. If we are not able to generate traffic to our website through search engines and paid digital advertising, or increase the profile of our company brand through social media engagement, our ability to attract new clients may be impaired.</w:t>
      </w:r>
    </w:p>
    <w:p>
      <w:pPr>
        <w:spacing w:after="0" w:line="68" w:lineRule="exact"/>
        <w:rPr>
          <w:sz w:val="20"/>
          <w:szCs w:val="20"/>
          <w:color w:val="auto"/>
        </w:rPr>
      </w:pPr>
    </w:p>
    <w:p>
      <w:pPr>
        <w:jc w:val="both"/>
        <w:spacing w:after="0" w:line="295" w:lineRule="auto"/>
        <w:rPr>
          <w:sz w:val="20"/>
          <w:szCs w:val="20"/>
          <w:color w:val="auto"/>
        </w:rPr>
      </w:pPr>
      <w:r>
        <w:rPr>
          <w:rFonts w:ascii="Times New Roman" w:cs="Times New Roman" w:eastAsia="Times New Roman" w:hAnsi="Times New Roman"/>
          <w:sz w:val="20"/>
          <w:szCs w:val="20"/>
          <w:color w:val="auto"/>
        </w:rPr>
        <w:t>Many consumers locate our website through internet search engines, like Google, and paid digital advertisements in certain jurisdictions. The prominence of our website in response to internet searches is a critical factor in the attractiveness of our advertising placements, and our digital marketing efforts, such as search engine optimization, are intended to improve our search result rankings and draw additional traffic to our website. Visits to our website could decline significantly if we are listed less prominently or fail to appear in search results for any reason, including ineffective implementation of our digital marketing strategies or any change by a search engine to its ranking algorithms or advertising policies.</w:t>
      </w:r>
    </w:p>
    <w:p>
      <w:pPr>
        <w:spacing w:after="0" w:line="75" w:lineRule="exact"/>
        <w:rPr>
          <w:sz w:val="20"/>
          <w:szCs w:val="20"/>
          <w:color w:val="auto"/>
        </w:rPr>
      </w:pPr>
    </w:p>
    <w:p>
      <w:pPr>
        <w:jc w:val="both"/>
        <w:spacing w:after="0" w:line="292" w:lineRule="auto"/>
        <w:rPr>
          <w:sz w:val="20"/>
          <w:szCs w:val="20"/>
          <w:color w:val="auto"/>
        </w:rPr>
      </w:pPr>
      <w:r>
        <w:rPr>
          <w:rFonts w:ascii="Times New Roman" w:cs="Times New Roman" w:eastAsia="Times New Roman" w:hAnsi="Times New Roman"/>
          <w:sz w:val="20"/>
          <w:szCs w:val="20"/>
          <w:color w:val="auto"/>
        </w:rPr>
        <w:t>Visits to our website could also decline if our accounts on Facebook, Instagram, X, formerly known as Twitter or LinkedIn are shut down or restricted. We work across these social networks to increase brand awareness of our company by consumers and clients, and to promote client acquisition. Our engagement on these social media platforms is subject to their respective terms of service and community guidelines, which generally restrict the promotion, sale and, often, depiction of cannabis. While we do not directly promote the sale of cannabis or cannabis-related products by our clients on these social media platforms, the perception that we may be engaging in such promotion or our inadvertent violation of other aspects of these platforms’ terms of service or community guidelines may result in our accounts being shut down or restricted. For example, our Instagram account was suspended from December 2021 to February 2022, in March 2022 and in November 2022 for a short period. Our accounts might also be suspended or restricted due to changes in the rules and regulations of such social media platforms. Any such suspension or restriction could result in reduced traffic to our website and diminished demand for our products, which could adversely affect our business and operating results.</w:t>
      </w:r>
    </w:p>
    <w:p>
      <w:pPr>
        <w:spacing w:after="0" w:line="85" w:lineRule="exact"/>
        <w:rPr>
          <w:sz w:val="20"/>
          <w:szCs w:val="20"/>
          <w:color w:val="auto"/>
        </w:rPr>
      </w:pPr>
    </w:p>
    <w:p>
      <w:pPr>
        <w:jc w:val="both"/>
        <w:ind w:right="20"/>
        <w:spacing w:after="0" w:line="324" w:lineRule="auto"/>
        <w:rPr>
          <w:sz w:val="20"/>
          <w:szCs w:val="20"/>
          <w:color w:val="auto"/>
        </w:rPr>
      </w:pPr>
      <w:r>
        <w:rPr>
          <w:rFonts w:ascii="Times New Roman" w:cs="Times New Roman" w:eastAsia="Times New Roman" w:hAnsi="Times New Roman"/>
          <w:sz w:val="20"/>
          <w:szCs w:val="20"/>
          <w:b w:val="1"/>
          <w:bCs w:val="1"/>
          <w:i w:val="1"/>
          <w:iCs w:val="1"/>
          <w:color w:val="auto"/>
        </w:rPr>
        <w:t>If our current marketing model is not effective in attracting new clients, we may need to employ higher-cost sales and marketing methods to attract and retain clients, which could adversely affect our profitability.</w:t>
      </w:r>
    </w:p>
    <w:p>
      <w:pPr>
        <w:spacing w:after="0" w:line="47" w:lineRule="exact"/>
        <w:rPr>
          <w:sz w:val="20"/>
          <w:szCs w:val="20"/>
          <w:color w:val="auto"/>
        </w:rPr>
      </w:pPr>
    </w:p>
    <w:p>
      <w:pPr>
        <w:jc w:val="both"/>
        <w:spacing w:after="0" w:line="295" w:lineRule="auto"/>
        <w:rPr>
          <w:sz w:val="20"/>
          <w:szCs w:val="20"/>
          <w:color w:val="auto"/>
        </w:rPr>
      </w:pPr>
      <w:r>
        <w:rPr>
          <w:rFonts w:ascii="Times New Roman" w:cs="Times New Roman" w:eastAsia="Times New Roman" w:hAnsi="Times New Roman"/>
          <w:sz w:val="20"/>
          <w:szCs w:val="20"/>
          <w:color w:val="auto"/>
        </w:rPr>
        <w:t>We use our sales team to build relationships with our client base. Our sales team builds and maintains relationships with clients primarily through phone and email contact, which is designed to allow us to cost-effectively service a large number of clients. We have significantly invested in our enterprise and field sales teams, and we may need to further employ more resource-intensive sales methods to continue to attract and retain clients, particularly as we increase the number of our clients and our client base employs more sophisticated marketing operations, strategies and processes. This could cause us to incur higher sales and marketing expenses, which could adversely affect our business and operating results.</w:t>
      </w:r>
    </w:p>
    <w:p>
      <w:pPr>
        <w:spacing w:after="0" w:line="200" w:lineRule="exact"/>
        <w:rPr>
          <w:sz w:val="20"/>
          <w:szCs w:val="20"/>
          <w:color w:val="auto"/>
        </w:rPr>
      </w:pPr>
    </w:p>
    <w:p>
      <w:pPr>
        <w:spacing w:after="0" w:line="200" w:lineRule="exact"/>
        <w:rPr>
          <w:sz w:val="20"/>
          <w:szCs w:val="20"/>
          <w:color w:val="auto"/>
        </w:rPr>
      </w:pPr>
    </w:p>
    <w:p>
      <w:pPr>
        <w:spacing w:after="0" w:line="396"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20"/>
          <w:szCs w:val="20"/>
          <w:color w:val="auto"/>
        </w:rPr>
        <w:t>25</w:t>
      </w:r>
    </w:p>
    <w:p>
      <w:pPr>
        <w:sectPr>
          <w:pgSz w:w="12240" w:h="15840" w:orient="portrait"/>
          <w:cols w:equalWidth="0" w:num="1">
            <w:col w:w="10260"/>
          </w:cols>
          <w:pgMar w:left="1000" w:top="886" w:right="980" w:bottom="222" w:gutter="0" w:footer="0" w:header="0"/>
        </w:sectPr>
      </w:pPr>
    </w:p>
    <w:bookmarkStart w:id="29" w:name="page30"/>
    <w:bookmarkEnd w:id="29"/>
    <w:p>
      <w:pPr>
        <w:jc w:val="both"/>
        <w:spacing w:after="0" w:line="324" w:lineRule="auto"/>
        <w:rPr>
          <w:sz w:val="20"/>
          <w:szCs w:val="20"/>
          <w:color w:val="auto"/>
        </w:rPr>
      </w:pPr>
      <w:r>
        <w:rPr>
          <w:rFonts w:ascii="Times New Roman" w:cs="Times New Roman" w:eastAsia="Times New Roman" w:hAnsi="Times New Roman"/>
          <w:sz w:val="20"/>
          <w:szCs w:val="20"/>
          <w:b w:val="1"/>
          <w:bCs w:val="1"/>
          <w:i w:val="1"/>
          <w:iCs w:val="1"/>
          <w:color w:val="auto"/>
        </w:rPr>
        <w:t>If the Google Play Store or Apple iTunes App Store limit the functionality or availability of our mobile application platform, including as a result of changes or violations of terms and conditions, access to and utilization of our platform may suffer.</w:t>
      </w:r>
    </w:p>
    <w:p>
      <w:pPr>
        <w:spacing w:after="0" w:line="47" w:lineRule="exact"/>
        <w:rPr>
          <w:sz w:val="20"/>
          <w:szCs w:val="20"/>
          <w:color w:val="auto"/>
        </w:rPr>
      </w:pPr>
    </w:p>
    <w:p>
      <w:pPr>
        <w:jc w:val="both"/>
        <w:spacing w:after="0" w:line="294" w:lineRule="auto"/>
        <w:rPr>
          <w:sz w:val="20"/>
          <w:szCs w:val="20"/>
          <w:color w:val="auto"/>
        </w:rPr>
      </w:pPr>
      <w:r>
        <w:rPr>
          <w:rFonts w:ascii="Times New Roman" w:cs="Times New Roman" w:eastAsia="Times New Roman" w:hAnsi="Times New Roman"/>
          <w:sz w:val="20"/>
          <w:szCs w:val="20"/>
          <w:color w:val="auto"/>
        </w:rPr>
        <w:t>Our platform is available for download on iOS and Android, and is also accessible online. The availability of our platform and its various functionalities to a significant percentage of our clients is subject to standard policies and terms of service of these third-party platforms, which govern the promotion, distribution and operation generally of our platform. In addition, each platform provider has broad discretion to change and interpret its terms of service and other policies with respect to our platform and its functionalities, and those changes and interpretations may be unfavorable. A platform provider may also change its fee structure, add fees associated with access to and use of its platform, or restrict how users can access the platform, which would similarly be unfavorable.</w:t>
      </w:r>
    </w:p>
    <w:p>
      <w:pPr>
        <w:spacing w:after="0" w:line="80" w:lineRule="exact"/>
        <w:rPr>
          <w:sz w:val="20"/>
          <w:szCs w:val="20"/>
          <w:color w:val="auto"/>
        </w:rPr>
      </w:pPr>
    </w:p>
    <w:p>
      <w:pPr>
        <w:jc w:val="both"/>
        <w:spacing w:after="0" w:line="293" w:lineRule="auto"/>
        <w:rPr>
          <w:sz w:val="20"/>
          <w:szCs w:val="20"/>
          <w:color w:val="auto"/>
        </w:rPr>
      </w:pPr>
      <w:r>
        <w:rPr>
          <w:rFonts w:ascii="Times New Roman" w:cs="Times New Roman" w:eastAsia="Times New Roman" w:hAnsi="Times New Roman"/>
          <w:sz w:val="20"/>
          <w:szCs w:val="20"/>
          <w:color w:val="auto"/>
        </w:rPr>
        <w:t>For example, we have at times been unable to offer our WM Orders functionality in our iOS Weedmaps mobile application and are currently unable to offer such functionality in our Android Weedmaps mobile application due to restrictions imposed by the Apple iTunes App Store and Google Play, respectively. While our platform is still available in the Apple iTunes App Store and on Google Play for download, there can be no assurance that our platform or all of its functionalities will remain available in the immediate or longer term. To the extent that we are limited or prohibited from making some or all of our solutions available through any third-party platform, including the Apple iTunes App Store or the Google Play Store, we may need, or choose, to provide our solutions through alternative venues that may be more difficult for potential users to access. Limits on, or discontinuation of, access to our mobile platform or its various functionalities could, in turn, have a material adverse impact on utilization of our platform, our business and our ability to attract clients and consumers.</w:t>
      </w:r>
    </w:p>
    <w:p>
      <w:pPr>
        <w:spacing w:after="0" w:line="81" w:lineRule="exact"/>
        <w:rPr>
          <w:sz w:val="20"/>
          <w:szCs w:val="20"/>
          <w:color w:val="auto"/>
        </w:rPr>
      </w:pPr>
    </w:p>
    <w:p>
      <w:pPr>
        <w:jc w:val="both"/>
        <w:spacing w:after="0" w:line="324" w:lineRule="auto"/>
        <w:rPr>
          <w:sz w:val="20"/>
          <w:szCs w:val="20"/>
          <w:color w:val="auto"/>
        </w:rPr>
      </w:pPr>
      <w:r>
        <w:rPr>
          <w:rFonts w:ascii="Times New Roman" w:cs="Times New Roman" w:eastAsia="Times New Roman" w:hAnsi="Times New Roman"/>
          <w:sz w:val="20"/>
          <w:szCs w:val="20"/>
          <w:b w:val="1"/>
          <w:bCs w:val="1"/>
          <w:i w:val="1"/>
          <w:iCs w:val="1"/>
          <w:color w:val="auto"/>
        </w:rPr>
        <w:t>We may be unable to scale and adapt our existing technology and network infrastructure in a timely or effective manner to ensure that our platform is accessible, which would harm our reputation, business and operating results.</w:t>
      </w:r>
    </w:p>
    <w:p>
      <w:pPr>
        <w:spacing w:after="0" w:line="47" w:lineRule="exact"/>
        <w:rPr>
          <w:sz w:val="20"/>
          <w:szCs w:val="20"/>
          <w:color w:val="auto"/>
        </w:rPr>
      </w:pPr>
    </w:p>
    <w:p>
      <w:pPr>
        <w:jc w:val="both"/>
        <w:spacing w:after="0" w:line="307" w:lineRule="auto"/>
        <w:rPr>
          <w:sz w:val="20"/>
          <w:szCs w:val="20"/>
          <w:color w:val="auto"/>
        </w:rPr>
      </w:pPr>
      <w:r>
        <w:rPr>
          <w:rFonts w:ascii="Times New Roman" w:cs="Times New Roman" w:eastAsia="Times New Roman" w:hAnsi="Times New Roman"/>
          <w:sz w:val="19"/>
          <w:szCs w:val="19"/>
          <w:color w:val="auto"/>
        </w:rPr>
        <w:t>It is critical to our success that clients and consumers within our geographic markets be able to access our platform at all times. We have previously experienced service disruptions, and in the future, we may experience service disruptions, outages or other performance problems due to a variety of factors, including infrastructure changes, human or software errors, capacity constraints and distributed denial of service, or DDoS, fraud or security attacks. In some instances, we may not be able to identify the cause or causes of these performance problems within an acceptable period of time. It may become increasingly difficult to maintain and improve the availability of our platform, especially during peak usage times and as our products become more complex and our traffic increases. If our platform is unavailable when consumers attempt to access it or it does not load as quickly as they expect, consumers may seek other solutions and may not return to our platform as often in the future, or at all. This would harm our ability to attract clients and decrease the frequency with which they subscribe for our advertising placements. We expect to continue to make significant investments to maintain and improve the availability of our platform and to enable rapid releases of new features and products. To the extent that we do not effectively address capacity constraints, respond adequately to service disruptions, upgrade our systems as needed or continually develop our technology and network architecture to accommodate actual and anticipated changes in technology, our business and operating results would be harmed.</w:t>
      </w:r>
    </w:p>
    <w:p>
      <w:pPr>
        <w:spacing w:after="0" w:line="75" w:lineRule="exact"/>
        <w:rPr>
          <w:sz w:val="20"/>
          <w:szCs w:val="20"/>
          <w:color w:val="auto"/>
        </w:rPr>
      </w:pPr>
    </w:p>
    <w:p>
      <w:pPr>
        <w:jc w:val="both"/>
        <w:spacing w:after="0" w:line="299" w:lineRule="auto"/>
        <w:rPr>
          <w:sz w:val="20"/>
          <w:szCs w:val="20"/>
          <w:color w:val="auto"/>
        </w:rPr>
      </w:pPr>
      <w:r>
        <w:rPr>
          <w:rFonts w:ascii="Times New Roman" w:cs="Times New Roman" w:eastAsia="Times New Roman" w:hAnsi="Times New Roman"/>
          <w:sz w:val="20"/>
          <w:szCs w:val="20"/>
          <w:color w:val="auto"/>
        </w:rPr>
        <w:t>We expect to continue making significant investments in the functionality, performance, reliability, design, security and scalability of our platform. We may experience difficulties with the development of our platform that could delay or prevent the implementation of new solutions and enhancements. Software development involves a significant amount of time and resources for our product development team, and we may not be able to continue making those investments in the future. To the extent we are not able to continue successfully improving and enhancing our platform, our business could be adversely affected.</w:t>
      </w:r>
    </w:p>
    <w:p>
      <w:pPr>
        <w:spacing w:after="0" w:line="74" w:lineRule="exact"/>
        <w:rPr>
          <w:sz w:val="20"/>
          <w:szCs w:val="20"/>
          <w:color w:val="auto"/>
        </w:rPr>
      </w:pPr>
    </w:p>
    <w:p>
      <w:pPr>
        <w:jc w:val="both"/>
        <w:ind w:right="20"/>
        <w:spacing w:after="0" w:line="324" w:lineRule="auto"/>
        <w:rPr>
          <w:sz w:val="20"/>
          <w:szCs w:val="20"/>
          <w:color w:val="auto"/>
        </w:rPr>
      </w:pPr>
      <w:r>
        <w:rPr>
          <w:rFonts w:ascii="Times New Roman" w:cs="Times New Roman" w:eastAsia="Times New Roman" w:hAnsi="Times New Roman"/>
          <w:sz w:val="20"/>
          <w:szCs w:val="20"/>
          <w:b w:val="1"/>
          <w:bCs w:val="1"/>
          <w:i w:val="1"/>
          <w:iCs w:val="1"/>
          <w:color w:val="auto"/>
        </w:rPr>
        <w:t>Our payment system and the payment systems of our clients depend on third-party providers and are subject to evolving laws and regulations.</w:t>
      </w:r>
    </w:p>
    <w:p>
      <w:pPr>
        <w:spacing w:after="0" w:line="47" w:lineRule="exact"/>
        <w:rPr>
          <w:sz w:val="20"/>
          <w:szCs w:val="20"/>
          <w:color w:val="auto"/>
        </w:rPr>
      </w:pPr>
    </w:p>
    <w:p>
      <w:pPr>
        <w:jc w:val="both"/>
        <w:spacing w:after="0" w:line="312" w:lineRule="auto"/>
        <w:rPr>
          <w:sz w:val="20"/>
          <w:szCs w:val="20"/>
          <w:color w:val="auto"/>
        </w:rPr>
      </w:pPr>
      <w:r>
        <w:rPr>
          <w:rFonts w:ascii="Times New Roman" w:cs="Times New Roman" w:eastAsia="Times New Roman" w:hAnsi="Times New Roman"/>
          <w:sz w:val="19"/>
          <w:szCs w:val="19"/>
          <w:color w:val="auto"/>
        </w:rPr>
        <w:t>We have engaged third-party service providers to perform credit and debit card processing services for client’s payments to us, and we understand that some of our clients use those services. We also may engage third-party service providers in the future to provide fraud analysis services and we may integrate with third-party service providers used by our clients to process payments made by consumers if done in a manner compliant with applicable federal and local law. If these service providers do not perform adequately or if our relationships, or the relationships of our clients, with these current or future service providers were to terminate, our ability or the ability of our clients to process payments could be adversely affected and our business could be harmed. The laws and regulations related to payments are complex and are potentially impacted by tensions between federal and</w:t>
      </w:r>
    </w:p>
    <w:p>
      <w:pPr>
        <w:spacing w:after="0" w:line="72"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20"/>
          <w:szCs w:val="20"/>
          <w:color w:val="auto"/>
        </w:rPr>
        <w:t>26</w:t>
      </w:r>
    </w:p>
    <w:p>
      <w:pPr>
        <w:sectPr>
          <w:pgSz w:w="12240" w:h="15840" w:orient="portrait"/>
          <w:cols w:equalWidth="0" w:num="1">
            <w:col w:w="10260"/>
          </w:cols>
          <w:pgMar w:left="1000" w:top="886" w:right="980" w:bottom="222" w:gutter="0" w:footer="0" w:header="0"/>
        </w:sectPr>
      </w:pPr>
    </w:p>
    <w:bookmarkStart w:id="30" w:name="page31"/>
    <w:bookmarkEnd w:id="30"/>
    <w:p>
      <w:pPr>
        <w:jc w:val="both"/>
        <w:ind w:right="20"/>
        <w:spacing w:after="0" w:line="294" w:lineRule="auto"/>
        <w:rPr>
          <w:sz w:val="20"/>
          <w:szCs w:val="20"/>
          <w:color w:val="auto"/>
        </w:rPr>
      </w:pPr>
      <w:r>
        <w:rPr>
          <w:rFonts w:ascii="Times New Roman" w:cs="Times New Roman" w:eastAsia="Times New Roman" w:hAnsi="Times New Roman"/>
          <w:sz w:val="20"/>
          <w:szCs w:val="20"/>
          <w:color w:val="auto"/>
        </w:rPr>
        <w:t>state treatment of the vaporization, tobacco, nicotine, cannabis, hemp and cannabis accessories industries. These laws and regulations also vary across different jurisdictions in the United States, Canada and globally. As a result, we are required to spend significant time and effort to comply with those laws and regulations. Any failure or claim of our failure to comply, or any failure by our third-party service providers to comply, could cost us substantial resources, could result in liabilities, or could force us to stop offering our clients the ability to pay with credit cards, debit cards and bank transfers. As we expand the availability of these payment methods or offer new payment methods to our clients in the future, we may become subject to additional regulations and compliance requirements.</w:t>
      </w:r>
    </w:p>
    <w:p>
      <w:pPr>
        <w:spacing w:after="0" w:line="80" w:lineRule="exact"/>
        <w:rPr>
          <w:sz w:val="20"/>
          <w:szCs w:val="20"/>
          <w:color w:val="auto"/>
        </w:rPr>
      </w:pPr>
    </w:p>
    <w:p>
      <w:pPr>
        <w:jc w:val="both"/>
        <w:spacing w:after="0" w:line="293" w:lineRule="auto"/>
        <w:rPr>
          <w:sz w:val="20"/>
          <w:szCs w:val="20"/>
          <w:color w:val="auto"/>
        </w:rPr>
      </w:pPr>
      <w:r>
        <w:rPr>
          <w:rFonts w:ascii="Times New Roman" w:cs="Times New Roman" w:eastAsia="Times New Roman" w:hAnsi="Times New Roman"/>
          <w:sz w:val="20"/>
          <w:szCs w:val="20"/>
          <w:color w:val="auto"/>
        </w:rPr>
        <w:t>Due to the constantly evolving and complex laws and regulations applicable to our industry, third-party merchant banks and third-party payment processors may consider our business a high risk. This could cause a third party to discontinue its services to us, and we may not be able to find a suitable replacement. If this were to occur, we would need to collect from our clients using less efficient methods, which could adversely impact our collections, revenues and financial performance. Additionally, if a third party were to discontinue its services to us or if the applicable laws and regulations were to evolve in a way that impacted us negatively, we may not be able to realize our plans of expanding our business offerings, which could have a material adverse effect on our operations and our plans for expansion. For more information, see “—We are subject to industry standards, governmental laws, regulations and other legal obligations, particularly related to privacy, data protection and information security and any actual or perceived failure to comply with such obligations could harm our business” below.</w:t>
      </w:r>
    </w:p>
    <w:p>
      <w:pPr>
        <w:spacing w:after="0" w:line="79" w:lineRule="exact"/>
        <w:rPr>
          <w:sz w:val="20"/>
          <w:szCs w:val="20"/>
          <w:color w:val="auto"/>
        </w:rPr>
      </w:pPr>
    </w:p>
    <w:p>
      <w:pPr>
        <w:jc w:val="both"/>
        <w:ind w:right="20"/>
        <w:spacing w:after="0" w:line="297" w:lineRule="auto"/>
        <w:rPr>
          <w:sz w:val="20"/>
          <w:szCs w:val="20"/>
          <w:color w:val="auto"/>
        </w:rPr>
      </w:pPr>
      <w:r>
        <w:rPr>
          <w:rFonts w:ascii="Times New Roman" w:cs="Times New Roman" w:eastAsia="Times New Roman" w:hAnsi="Times New Roman"/>
          <w:sz w:val="20"/>
          <w:szCs w:val="20"/>
          <w:color w:val="auto"/>
        </w:rPr>
        <w:t>Further, through our agreement with our third-party credit card processors, we are subject to payment card association operating rules and certification requirements, including restrictions on product mix and the Payment Card Industry Data Security Standard (“PCI-DSS”). We are also subject to rules governing electronic funds transfers. Any change in these rules and requirements could make it difficult or impossible for us to comply. Additionally, any data breach or failure to hold certain information in accordance with PCI-DSS may have an adverse effect on our business and results of operations.</w:t>
      </w:r>
    </w:p>
    <w:p>
      <w:pPr>
        <w:spacing w:after="0" w:line="76" w:lineRule="exact"/>
        <w:rPr>
          <w:sz w:val="20"/>
          <w:szCs w:val="20"/>
          <w:color w:val="auto"/>
        </w:rPr>
      </w:pPr>
    </w:p>
    <w:p>
      <w:pPr>
        <w:jc w:val="both"/>
        <w:spacing w:after="0" w:line="308" w:lineRule="auto"/>
        <w:rPr>
          <w:sz w:val="20"/>
          <w:szCs w:val="20"/>
          <w:color w:val="auto"/>
        </w:rPr>
      </w:pPr>
      <w:r>
        <w:rPr>
          <w:rFonts w:ascii="Times New Roman" w:cs="Times New Roman" w:eastAsia="Times New Roman" w:hAnsi="Times New Roman"/>
          <w:sz w:val="20"/>
          <w:szCs w:val="20"/>
          <w:b w:val="1"/>
          <w:bCs w:val="1"/>
          <w:i w:val="1"/>
          <w:iCs w:val="1"/>
          <w:color w:val="auto"/>
        </w:rPr>
        <w:t>We track certain performance metrics with internal tools and do not independently verify such metrics. Certain of our performance metrics are subject to inherent challenges in measurement, and real or perceived inaccuracies in such metrics may harm our reputation and negatively affect our business.</w:t>
      </w:r>
    </w:p>
    <w:p>
      <w:pPr>
        <w:spacing w:after="0" w:line="63" w:lineRule="exact"/>
        <w:rPr>
          <w:sz w:val="20"/>
          <w:szCs w:val="20"/>
          <w:color w:val="auto"/>
        </w:rPr>
      </w:pPr>
    </w:p>
    <w:p>
      <w:pPr>
        <w:jc w:val="both"/>
        <w:spacing w:after="0" w:line="289" w:lineRule="auto"/>
        <w:rPr>
          <w:sz w:val="20"/>
          <w:szCs w:val="20"/>
          <w:color w:val="auto"/>
        </w:rPr>
      </w:pPr>
      <w:r>
        <w:rPr>
          <w:rFonts w:ascii="Times New Roman" w:cs="Times New Roman" w:eastAsia="Times New Roman" w:hAnsi="Times New Roman"/>
          <w:sz w:val="20"/>
          <w:szCs w:val="20"/>
          <w:color w:val="auto"/>
        </w:rPr>
        <w:t>We calculate and track performance metrics with internal tools, which are not independently verified by any third-party. While we believe our metrics are reasonable estimates of our user or client base for the applicable period of measurement, the methodologies used to measure these metrics and how we define such metrics require significant judgment and may be susceptible to algorithm or other technical errors. For example, user accounts are based on email addresses, and a user could use multiple email addresses to establish multiple accounts, and clients in many instances will have multiple accounts. Additionally, a user could also use technology (such as incognito browsing, blocking or deleting cookies and IP addresses or other similar methods) that may decrease our ability to obtain useful information with respect to the number of and behavior of users, and as a result, we may include users who are not actively engaging with our platform in the manner in which we assume, and/or we may count as unique users multiple visits by the same underlying user. As a result, the data we report may not be accurate, and we believe unique user statistics could include a significant number of repeat underlying users. Our internal tools and processes we use to identify multiple accounts or fraudulent accounts have a number of limitations, and our methodologies for tracking performance metrics may change over time, which could result in unexpected changes to our metrics, including historical metrics. Our ability to recalculate our historical metrics may be impacted by data limitations or other factors that require us to apply different methodologies for such adjustments and we generally do not intend to update previously disclosed metrics for any such changes. Though we regularly review our processes for calculating metrics and may adjust our processes for calculating metrics to improve their accuracy, limitations or errors with respect to how we measure data (or the data that we measure) may affect our understanding of certain details of our business, which could affect our longer term strategies. For example, we determined to discontinue reporting monthly active users as a key operational metric as a result of our reevaluation of the value of this metric to investors in light of its significant quarterly fluctuations that we do not believe necessarily reflect the underlying and most important trends in our business. If our performance metrics, including any key metrics we disclose in the future, are not accurate measurements of our business, user or client base, or traffic levels; if we discover material inaccuracies in such metrics, we may not be able to effectively implement our business strategy, our reputation may be harmed, and our operating and financial results could be adversely affected.</w:t>
      </w:r>
    </w:p>
    <w:p>
      <w:pPr>
        <w:spacing w:after="0" w:line="200" w:lineRule="exact"/>
        <w:rPr>
          <w:sz w:val="20"/>
          <w:szCs w:val="20"/>
          <w:color w:val="auto"/>
        </w:rPr>
      </w:pPr>
    </w:p>
    <w:p>
      <w:pPr>
        <w:spacing w:after="0" w:line="264"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20"/>
          <w:szCs w:val="20"/>
          <w:color w:val="auto"/>
        </w:rPr>
        <w:t>27</w:t>
      </w:r>
    </w:p>
    <w:p>
      <w:pPr>
        <w:sectPr>
          <w:pgSz w:w="12240" w:h="15840" w:orient="portrait"/>
          <w:cols w:equalWidth="0" w:num="1">
            <w:col w:w="10260"/>
          </w:cols>
          <w:pgMar w:left="1000" w:top="884" w:right="980" w:bottom="222" w:gutter="0" w:footer="0" w:header="0"/>
        </w:sectPr>
      </w:pPr>
    </w:p>
    <w:bookmarkStart w:id="31" w:name="page32"/>
    <w:bookmarkEnd w:id="31"/>
    <w:p>
      <w:pPr>
        <w:jc w:val="both"/>
        <w:spacing w:after="0" w:line="321" w:lineRule="auto"/>
        <w:rPr>
          <w:sz w:val="20"/>
          <w:szCs w:val="20"/>
          <w:color w:val="auto"/>
        </w:rPr>
      </w:pPr>
      <w:r>
        <w:rPr>
          <w:rFonts w:ascii="Times New Roman" w:cs="Times New Roman" w:eastAsia="Times New Roman" w:hAnsi="Times New Roman"/>
          <w:sz w:val="19"/>
          <w:szCs w:val="19"/>
          <w:color w:val="auto"/>
        </w:rPr>
        <w:t>Our clients, analysts and investors may rely on our metrics, including additional metrics we may disclose in the future, as a representation of our performance. If these third parties do not perceive such metrics to be accurate representations of our business, or if we discover material inaccuracies in our user metrics, our reputation may be harmed and retailers may be less willing to list a business on our platform, which could negatively affect our business, financial condition, or results of operations.</w:t>
      </w:r>
    </w:p>
    <w:p>
      <w:pPr>
        <w:spacing w:after="0" w:line="57" w:lineRule="exact"/>
        <w:rPr>
          <w:sz w:val="20"/>
          <w:szCs w:val="20"/>
          <w:color w:val="auto"/>
        </w:rPr>
      </w:pPr>
    </w:p>
    <w:p>
      <w:pPr>
        <w:jc w:val="both"/>
        <w:spacing w:after="0" w:line="324" w:lineRule="auto"/>
        <w:rPr>
          <w:sz w:val="20"/>
          <w:szCs w:val="20"/>
          <w:color w:val="auto"/>
        </w:rPr>
      </w:pPr>
      <w:r>
        <w:rPr>
          <w:rFonts w:ascii="Times New Roman" w:cs="Times New Roman" w:eastAsia="Times New Roman" w:hAnsi="Times New Roman"/>
          <w:sz w:val="20"/>
          <w:szCs w:val="20"/>
          <w:b w:val="1"/>
          <w:bCs w:val="1"/>
          <w:i w:val="1"/>
          <w:iCs w:val="1"/>
          <w:color w:val="auto"/>
        </w:rPr>
        <w:t>Our ability to successfully drive engagement on our platform, as well as changes to our user engagement and advertising strategy and practices, pose risks to our business.</w:t>
      </w:r>
    </w:p>
    <w:p>
      <w:pPr>
        <w:spacing w:after="0" w:line="47" w:lineRule="exact"/>
        <w:rPr>
          <w:sz w:val="20"/>
          <w:szCs w:val="20"/>
          <w:color w:val="auto"/>
        </w:rPr>
      </w:pPr>
    </w:p>
    <w:p>
      <w:pPr>
        <w:jc w:val="both"/>
        <w:spacing w:after="0" w:line="292" w:lineRule="auto"/>
        <w:rPr>
          <w:sz w:val="20"/>
          <w:szCs w:val="20"/>
          <w:color w:val="auto"/>
        </w:rPr>
      </w:pPr>
      <w:r>
        <w:rPr>
          <w:rFonts w:ascii="Times New Roman" w:cs="Times New Roman" w:eastAsia="Times New Roman" w:hAnsi="Times New Roman"/>
          <w:sz w:val="20"/>
          <w:szCs w:val="20"/>
          <w:color w:val="auto"/>
        </w:rPr>
        <w:t>Our clients use our products and services as they believe the value received from paying for our products and services justifies the cost of those services. We believe the overall level of engagement of our users with our clients is critical to our success and our long-term financial performance. As we evolve our user engagement and advertising strategy and practices, we may not be successful in improving user engagement in a cost-efficient manner, or at all. Certain operating decisions, including our substantially decreased usage of pop-under advertisements, may significantly decrease our user engagement and/or traffic, increase the cost of generating user engagement and/or traffic or decrease our overall success rate in promoting engagement on our platform. Declining user growth, engagement or traffic could make us less attractive to our clients, which may seriously harm our business. In addition, we continue to compete with other companies to attract and retain consumer attention. A number of factors have affected and could potentially negatively affect our reported user engagement and/or traffic and our overall user engagement with our clients, including if:</w:t>
      </w:r>
    </w:p>
    <w:p>
      <w:pPr>
        <w:spacing w:after="0" w:line="82" w:lineRule="exact"/>
        <w:rPr>
          <w:sz w:val="20"/>
          <w:szCs w:val="20"/>
          <w:color w:val="auto"/>
        </w:rPr>
      </w:pPr>
    </w:p>
    <w:p>
      <w:pPr>
        <w:ind w:left="720" w:right="20" w:hanging="367"/>
        <w:spacing w:after="0" w:line="319" w:lineRule="auto"/>
        <w:tabs>
          <w:tab w:leader="none" w:pos="720" w:val="left"/>
        </w:tabs>
        <w:numPr>
          <w:ilvl w:val="0"/>
          <w:numId w:val="2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we do not provide a compelling consumer experience to entice consumers to use our products and services, or our consumers don’t have the ability to maximize the consumer experience;</w:t>
      </w:r>
    </w:p>
    <w:p>
      <w:pPr>
        <w:ind w:left="720" w:hanging="367"/>
        <w:spacing w:after="0"/>
        <w:tabs>
          <w:tab w:leader="none" w:pos="720" w:val="left"/>
        </w:tabs>
        <w:numPr>
          <w:ilvl w:val="0"/>
          <w:numId w:val="2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we are unable to convince consumers and clients of the value and usefulness of our platform and services;</w:t>
      </w:r>
    </w:p>
    <w:p>
      <w:pPr>
        <w:spacing w:after="0" w:line="108" w:lineRule="exact"/>
        <w:rPr>
          <w:rFonts w:ascii="Times New Roman" w:cs="Times New Roman" w:eastAsia="Times New Roman" w:hAnsi="Times New Roman"/>
          <w:sz w:val="20"/>
          <w:szCs w:val="20"/>
          <w:color w:val="auto"/>
        </w:rPr>
      </w:pPr>
    </w:p>
    <w:p>
      <w:pPr>
        <w:ind w:left="720" w:hanging="367"/>
        <w:spacing w:after="0" w:line="319" w:lineRule="auto"/>
        <w:tabs>
          <w:tab w:leader="none" w:pos="720" w:val="left"/>
        </w:tabs>
        <w:numPr>
          <w:ilvl w:val="0"/>
          <w:numId w:val="2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we are unable to find cost-effective marketing channels or other strategies to drive traffic to our website, including replacing any pop-under advertisements that we have decreased our usage of or discontinued;</w:t>
      </w:r>
    </w:p>
    <w:p>
      <w:pPr>
        <w:ind w:left="720" w:hanging="367"/>
        <w:spacing w:after="0"/>
        <w:tabs>
          <w:tab w:leader="none" w:pos="720" w:val="left"/>
        </w:tabs>
        <w:numPr>
          <w:ilvl w:val="0"/>
          <w:numId w:val="2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our products fail to operate effectively on the iOS or Android mobile operating systems;</w:t>
      </w:r>
    </w:p>
    <w:p>
      <w:pPr>
        <w:spacing w:after="0" w:line="108" w:lineRule="exact"/>
        <w:rPr>
          <w:rFonts w:ascii="Times New Roman" w:cs="Times New Roman" w:eastAsia="Times New Roman" w:hAnsi="Times New Roman"/>
          <w:sz w:val="20"/>
          <w:szCs w:val="20"/>
          <w:color w:val="auto"/>
        </w:rPr>
      </w:pPr>
    </w:p>
    <w:p>
      <w:pPr>
        <w:ind w:left="720" w:right="20" w:hanging="367"/>
        <w:spacing w:after="0" w:line="319" w:lineRule="auto"/>
        <w:tabs>
          <w:tab w:leader="none" w:pos="720" w:val="left"/>
        </w:tabs>
        <w:numPr>
          <w:ilvl w:val="0"/>
          <w:numId w:val="2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we are unable to continue to develop products that work with a variety of mobile operating systems, networks and smartphones;</w:t>
      </w:r>
    </w:p>
    <w:p>
      <w:pPr>
        <w:ind w:left="720" w:right="20" w:hanging="366"/>
        <w:spacing w:after="0" w:line="319" w:lineRule="auto"/>
        <w:tabs>
          <w:tab w:leader="none" w:pos="720" w:val="left"/>
        </w:tabs>
        <w:numPr>
          <w:ilvl w:val="0"/>
          <w:numId w:val="2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we do not provide a compelling consumer experience because of the decisions we make regarding the type and frequency of advertisements that we display or the structure and design of our products;</w:t>
      </w:r>
    </w:p>
    <w:p>
      <w:pPr>
        <w:ind w:left="720" w:hanging="366"/>
        <w:spacing w:after="0"/>
        <w:tabs>
          <w:tab w:leader="none" w:pos="720" w:val="left"/>
        </w:tabs>
        <w:numPr>
          <w:ilvl w:val="0"/>
          <w:numId w:val="2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consumers engage more with competing platforms or products at the expense of ours or those of our clients;</w:t>
      </w:r>
    </w:p>
    <w:p>
      <w:pPr>
        <w:spacing w:after="0" w:line="101" w:lineRule="exact"/>
        <w:rPr>
          <w:rFonts w:ascii="Times New Roman" w:cs="Times New Roman" w:eastAsia="Times New Roman" w:hAnsi="Times New Roman"/>
          <w:sz w:val="20"/>
          <w:szCs w:val="20"/>
          <w:color w:val="auto"/>
        </w:rPr>
      </w:pPr>
    </w:p>
    <w:p>
      <w:pPr>
        <w:ind w:left="720" w:right="20" w:hanging="366"/>
        <w:spacing w:after="0" w:line="319" w:lineRule="auto"/>
        <w:tabs>
          <w:tab w:leader="none" w:pos="720" w:val="left"/>
        </w:tabs>
        <w:numPr>
          <w:ilvl w:val="0"/>
          <w:numId w:val="2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if the manner in which we promote engagement or traffic is seen by consumers or clients as unappealing or harm our brand image or reputation;</w:t>
      </w:r>
    </w:p>
    <w:p>
      <w:pPr>
        <w:ind w:left="720" w:hanging="366"/>
        <w:spacing w:after="0"/>
        <w:tabs>
          <w:tab w:leader="none" w:pos="720" w:val="left"/>
        </w:tabs>
        <w:numPr>
          <w:ilvl w:val="0"/>
          <w:numId w:val="2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there are concerns about the privacy implications, safety, or security of our products;</w:t>
      </w:r>
    </w:p>
    <w:p>
      <w:pPr>
        <w:spacing w:after="0" w:line="108" w:lineRule="exact"/>
        <w:rPr>
          <w:rFonts w:ascii="Times New Roman" w:cs="Times New Roman" w:eastAsia="Times New Roman" w:hAnsi="Times New Roman"/>
          <w:sz w:val="20"/>
          <w:szCs w:val="20"/>
          <w:color w:val="auto"/>
        </w:rPr>
      </w:pPr>
    </w:p>
    <w:p>
      <w:pPr>
        <w:jc w:val="both"/>
        <w:ind w:left="720" w:hanging="366"/>
        <w:spacing w:after="0" w:line="308" w:lineRule="auto"/>
        <w:tabs>
          <w:tab w:leader="none" w:pos="720" w:val="left"/>
        </w:tabs>
        <w:numPr>
          <w:ilvl w:val="0"/>
          <w:numId w:val="2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our products are subject to increased regulatory scrutiny or approvals, or there are changes in our products that are mandated or prompted by legislation, regulatory authorities, executive actions, or litigation, including settlements or consent decrees, that adversely affect the consumer experience;</w:t>
      </w:r>
    </w:p>
    <w:p>
      <w:pPr>
        <w:ind w:left="720" w:hanging="366"/>
        <w:spacing w:after="0" w:line="319" w:lineRule="auto"/>
        <w:tabs>
          <w:tab w:leader="none" w:pos="720" w:val="left"/>
        </w:tabs>
        <w:numPr>
          <w:ilvl w:val="0"/>
          <w:numId w:val="2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technical or other problems frustrate the consumer experience, including by providers that host our platforms, particularly if those problems prevent us from delivering our product experience in a fast and reliable manner;</w:t>
      </w:r>
    </w:p>
    <w:p>
      <w:pPr>
        <w:ind w:left="720" w:hanging="366"/>
        <w:spacing w:after="0" w:line="336" w:lineRule="auto"/>
        <w:tabs>
          <w:tab w:leader="none" w:pos="720" w:val="left"/>
        </w:tabs>
        <w:numPr>
          <w:ilvl w:val="0"/>
          <w:numId w:val="24"/>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we, our partners, or other companies in our industry segment are the subject of adverse media reports or other negative publicity, some of which may be inaccurate or include confidential information that we are unable to correct or retract; or</w:t>
      </w:r>
    </w:p>
    <w:p>
      <w:pPr>
        <w:ind w:left="720" w:hanging="366"/>
        <w:spacing w:after="0" w:line="334" w:lineRule="auto"/>
        <w:tabs>
          <w:tab w:leader="none" w:pos="720" w:val="left"/>
        </w:tabs>
        <w:numPr>
          <w:ilvl w:val="0"/>
          <w:numId w:val="2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our current or future products reduce consumer activity on our website or our applications by making it easier for our consumers to interact directly with our clients.</w:t>
      </w:r>
    </w:p>
    <w:p>
      <w:pPr>
        <w:spacing w:after="0" w:line="37" w:lineRule="exact"/>
        <w:rPr>
          <w:sz w:val="20"/>
          <w:szCs w:val="20"/>
          <w:color w:val="auto"/>
        </w:rPr>
      </w:pPr>
    </w:p>
    <w:p>
      <w:pPr>
        <w:jc w:val="both"/>
        <w:ind w:right="20"/>
        <w:spacing w:after="0" w:line="326" w:lineRule="auto"/>
        <w:rPr>
          <w:sz w:val="20"/>
          <w:szCs w:val="20"/>
          <w:color w:val="auto"/>
        </w:rPr>
      </w:pPr>
      <w:r>
        <w:rPr>
          <w:rFonts w:ascii="Times New Roman" w:cs="Times New Roman" w:eastAsia="Times New Roman" w:hAnsi="Times New Roman"/>
          <w:sz w:val="20"/>
          <w:szCs w:val="20"/>
          <w:color w:val="auto"/>
        </w:rPr>
        <w:t>Any decrease to consumer retention, growth, or engagement could render our products less attractive to consumers, advertisers, or partners, and could seriously harm our business.</w:t>
      </w:r>
    </w:p>
    <w:p>
      <w:pPr>
        <w:spacing w:after="0" w:line="47"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We may be unable to prevent others from aggregating or misappropriating data from our websites.</w:t>
      </w:r>
    </w:p>
    <w:p>
      <w:pPr>
        <w:spacing w:after="0" w:line="164" w:lineRule="exact"/>
        <w:rPr>
          <w:sz w:val="20"/>
          <w:szCs w:val="20"/>
          <w:color w:val="auto"/>
        </w:rPr>
      </w:pPr>
    </w:p>
    <w:p>
      <w:pPr>
        <w:jc w:val="both"/>
        <w:spacing w:after="0" w:line="328" w:lineRule="auto"/>
        <w:rPr>
          <w:sz w:val="20"/>
          <w:szCs w:val="20"/>
          <w:color w:val="auto"/>
        </w:rPr>
      </w:pPr>
      <w:r>
        <w:rPr>
          <w:rFonts w:ascii="Times New Roman" w:cs="Times New Roman" w:eastAsia="Times New Roman" w:hAnsi="Times New Roman"/>
          <w:sz w:val="19"/>
          <w:szCs w:val="19"/>
          <w:color w:val="auto"/>
        </w:rPr>
        <w:t>From time to time, third parties have misappropriated data from our website through website scraping, software robots or other means, and aggregated this data on their websites with data from other companies. Additionally, copycat websites have misappropriated data on our network and attempted to imitate our brand or the functionality of our website. We may be unable to</w:t>
      </w:r>
    </w:p>
    <w:p>
      <w:pPr>
        <w:spacing w:after="0" w:line="11"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20"/>
          <w:szCs w:val="20"/>
          <w:color w:val="auto"/>
        </w:rPr>
        <w:t>28</w:t>
      </w:r>
    </w:p>
    <w:p>
      <w:pPr>
        <w:sectPr>
          <w:pgSz w:w="12240" w:h="15840" w:orient="portrait"/>
          <w:cols w:equalWidth="0" w:num="1">
            <w:col w:w="10260"/>
          </w:cols>
          <w:pgMar w:left="1000" w:top="884" w:right="980" w:bottom="222" w:gutter="0" w:footer="0" w:header="0"/>
        </w:sectPr>
      </w:pPr>
    </w:p>
    <w:bookmarkStart w:id="32" w:name="page33"/>
    <w:bookmarkEnd w:id="32"/>
    <w:p>
      <w:pPr>
        <w:jc w:val="both"/>
        <w:spacing w:after="0" w:line="296" w:lineRule="auto"/>
        <w:rPr>
          <w:sz w:val="20"/>
          <w:szCs w:val="20"/>
          <w:color w:val="auto"/>
        </w:rPr>
      </w:pPr>
      <w:r>
        <w:rPr>
          <w:rFonts w:ascii="Times New Roman" w:cs="Times New Roman" w:eastAsia="Times New Roman" w:hAnsi="Times New Roman"/>
          <w:sz w:val="20"/>
          <w:szCs w:val="20"/>
          <w:color w:val="auto"/>
        </w:rPr>
        <w:t>detect all such websites in a timely manner and even timely technological and legal measures may be insufficient to halt their operations or protect us against the impact of the operation of such websites. Regardless of whether we can successfully enforce our rights against the operators of these websites, any measures that we may take could require us to expend significant financial or other resources, which could harm our business, operating results or financial condition. In addition, to the extent that such activity creates confusion among clients or consumers, decreases the likelihood that consumers use our platform to access information, or reduces the distinctiveness of our products in the marketplace, our brand and business could be harmed.</w:t>
      </w:r>
    </w:p>
    <w:p>
      <w:pPr>
        <w:spacing w:after="0" w:line="79" w:lineRule="exact"/>
        <w:rPr>
          <w:sz w:val="20"/>
          <w:szCs w:val="20"/>
          <w:color w:val="auto"/>
        </w:rPr>
      </w:pPr>
    </w:p>
    <w:p>
      <w:pPr>
        <w:jc w:val="both"/>
        <w:spacing w:after="0" w:line="301" w:lineRule="auto"/>
        <w:rPr>
          <w:sz w:val="20"/>
          <w:szCs w:val="20"/>
          <w:color w:val="auto"/>
        </w:rPr>
      </w:pPr>
      <w:r>
        <w:rPr>
          <w:rFonts w:ascii="Times New Roman" w:cs="Times New Roman" w:eastAsia="Times New Roman" w:hAnsi="Times New Roman"/>
          <w:sz w:val="20"/>
          <w:szCs w:val="20"/>
          <w:b w:val="1"/>
          <w:bCs w:val="1"/>
          <w:i w:val="1"/>
          <w:iCs w:val="1"/>
          <w:color w:val="auto"/>
        </w:rPr>
        <w:t>If our information technology systems or those third parties upon which we rely or our data, are or were compromised, we could experience adverse consequences resulting from such compromise, including but not limited to regulatory investigations or actions; litigation; fines and penalties; disruptions of our business operations; reputational harm; loss of revenue or profits; loss of customers or sales; and other adverse consequences.</w:t>
      </w:r>
    </w:p>
    <w:p>
      <w:pPr>
        <w:spacing w:after="0" w:line="68" w:lineRule="exact"/>
        <w:rPr>
          <w:sz w:val="20"/>
          <w:szCs w:val="20"/>
          <w:color w:val="auto"/>
        </w:rPr>
      </w:pPr>
    </w:p>
    <w:p>
      <w:pPr>
        <w:jc w:val="both"/>
        <w:spacing w:after="0" w:line="291" w:lineRule="auto"/>
        <w:rPr>
          <w:sz w:val="20"/>
          <w:szCs w:val="20"/>
          <w:color w:val="auto"/>
        </w:rPr>
      </w:pPr>
      <w:r>
        <w:rPr>
          <w:rFonts w:ascii="Times New Roman" w:cs="Times New Roman" w:eastAsia="Times New Roman" w:hAnsi="Times New Roman"/>
          <w:sz w:val="20"/>
          <w:szCs w:val="20"/>
          <w:color w:val="auto"/>
        </w:rPr>
        <w:t>In the ordinary course of our business, we may collect, receive, store, generate, use, protect, secure, dispose of, transmit, disclose, or otherwise make accessible (collectively “process”) proprietary, confidential, and sensitive data, including personal data, intellectual property, and trade secrets. We rely upon third parties (such as service providers) for certain data processing-related activities, such as data centers, cloud hosting platforms, marketing communications, and application providers. For example, we rely on data centers and other technologies and services provided by third parties in order to host our cloud-based infrastructure that operates our business. If any of these services becomes unavailable or otherwise is unable to serve our requirements due to extended outages, interruptions, or facility closure, or because it is no longer available on commercially reasonable terms, our expenses could increase, our ability to manage finances could be interrupted and our operations otherwise could be disrupted or otherwise impacted until appropriate substitute services, if available, are identified, obtained and implemented. Additionally, we rely on a number of third-party “cloud-based” providers of corporate infrastructure services relating to, among other things, human resources, electronic communication services, some financial functions and systems used to provide solutions to our clients, and we are therefore dependent on the security systems of these providers. We may also share or receive sensitive data with or from third parties.</w:t>
      </w:r>
    </w:p>
    <w:p>
      <w:pPr>
        <w:spacing w:after="0" w:line="83" w:lineRule="exact"/>
        <w:rPr>
          <w:sz w:val="20"/>
          <w:szCs w:val="20"/>
          <w:color w:val="auto"/>
        </w:rPr>
      </w:pPr>
    </w:p>
    <w:p>
      <w:pPr>
        <w:jc w:val="both"/>
        <w:spacing w:after="0" w:line="313" w:lineRule="auto"/>
        <w:rPr>
          <w:sz w:val="20"/>
          <w:szCs w:val="20"/>
          <w:color w:val="auto"/>
        </w:rPr>
      </w:pPr>
      <w:r>
        <w:rPr>
          <w:rFonts w:ascii="Times New Roman" w:cs="Times New Roman" w:eastAsia="Times New Roman" w:hAnsi="Times New Roman"/>
          <w:sz w:val="19"/>
          <w:szCs w:val="19"/>
          <w:color w:val="auto"/>
        </w:rPr>
        <w:t>Our ability to monitor these third parties’ information security practices is limited, and these third parties may not have adequate information security measures in place. If our third-party service providers experience a security incident or other interruption, we could experience adverse consequences. While we may be entitled to damages if our third-party service providers fail to satisfy their privacy or security-related obligations to us, any award may be insufficient to cover our damages, or we may be unable to recover such award. In addition, supply-chain attacks have increased in frequency and severity, and we cannot guarantee that third parties’ infrastructure in our supply chain or our third-party partners’ supply chains have not been compromised.</w:t>
      </w:r>
    </w:p>
    <w:p>
      <w:pPr>
        <w:spacing w:after="0" w:line="61" w:lineRule="exact"/>
        <w:rPr>
          <w:sz w:val="20"/>
          <w:szCs w:val="20"/>
          <w:color w:val="auto"/>
        </w:rPr>
      </w:pPr>
    </w:p>
    <w:p>
      <w:pPr>
        <w:jc w:val="both"/>
        <w:ind w:firstLine="1"/>
        <w:spacing w:after="0" w:line="292" w:lineRule="auto"/>
        <w:rPr>
          <w:sz w:val="20"/>
          <w:szCs w:val="20"/>
          <w:color w:val="auto"/>
        </w:rPr>
      </w:pPr>
      <w:r>
        <w:rPr>
          <w:rFonts w:ascii="Times New Roman" w:cs="Times New Roman" w:eastAsia="Times New Roman" w:hAnsi="Times New Roman"/>
          <w:sz w:val="20"/>
          <w:szCs w:val="20"/>
          <w:color w:val="auto"/>
        </w:rPr>
        <w:t>Cyberattacks, malicious internet-based activity, online and offline fraud, and other similar activities threaten the confidentiality, integrity, and availability of our sensitive information and information technology systems, and those of the third parties upon which we rely. Such threats are prevalent and continue to rise, are increasingly difficult to detect, and come from a variety of sources, including traditional computer “hackers,” threat actors, “hacktivists,” organized criminal threat actors, personnel (such as through theft or misuse), sophisticated nation states, and nation-state-supported actors. Some actors now engage and are expected to continue to engage in cyber-attacks, including without limitation nation-state actors for geopolitical reasons and in conjunction with military conflicts and defense activities. During times of war and other major conflicts, we, the third parties upon which we rely, and our customers may be vulnerable to a heightened risk of these attacks, including retaliatory cyber-attacks, that could materially disrupt our systems and operations, supply chain, and ability to produce, sell and distribute our goods and services.</w:t>
      </w:r>
    </w:p>
    <w:p>
      <w:pPr>
        <w:spacing w:after="0" w:line="82" w:lineRule="exact"/>
        <w:rPr>
          <w:sz w:val="20"/>
          <w:szCs w:val="20"/>
          <w:color w:val="auto"/>
        </w:rPr>
      </w:pPr>
    </w:p>
    <w:p>
      <w:pPr>
        <w:jc w:val="both"/>
        <w:spacing w:after="0" w:line="310" w:lineRule="auto"/>
        <w:rPr>
          <w:sz w:val="20"/>
          <w:szCs w:val="20"/>
          <w:color w:val="auto"/>
        </w:rPr>
      </w:pPr>
      <w:r>
        <w:rPr>
          <w:rFonts w:ascii="Times New Roman" w:cs="Times New Roman" w:eastAsia="Times New Roman" w:hAnsi="Times New Roman"/>
          <w:sz w:val="19"/>
          <w:szCs w:val="19"/>
          <w:color w:val="auto"/>
        </w:rPr>
        <w:t>We and the third parties upon which we rely are subject to a variety of evolving threats, including but not limited to social-engineering attacks (including through deep fakes, which may be increasingly more difficult to identify as fake, and phishing attacks), malicious code (such as viruses and worms), malware (including as a result of advanced persistent threat intrusions), denial-of-service attacks, credential stuffing attacks, credential harvesting, personnel misconduct or error, ransomware attacks, supply-chain attacks, software bugs, server malfunctions, software or hardware failures, loss of data or other information technology assets, adware, telecommunications failures, earthquakes, fires, floods, attacks enhanced or facilitated by AI, and other similar threats. In particular, severe ransomware attacks are becoming increasingly prevalent – particularly for companies like ours that are engaged in critical infrastructure or manufacturing – and can lead to significant interruptions in our operations, ability to provide our products or services, loss of sensitive data and income, reputational harm, and diversion of funds. Extortion</w:t>
      </w:r>
    </w:p>
    <w:p>
      <w:pPr>
        <w:spacing w:after="0" w:line="39"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20"/>
          <w:szCs w:val="20"/>
          <w:color w:val="auto"/>
        </w:rPr>
        <w:t>29</w:t>
      </w:r>
    </w:p>
    <w:p>
      <w:pPr>
        <w:sectPr>
          <w:pgSz w:w="12240" w:h="15840" w:orient="portrait"/>
          <w:cols w:equalWidth="0" w:num="1">
            <w:col w:w="10260"/>
          </w:cols>
          <w:pgMar w:left="1000" w:top="884" w:right="980" w:bottom="222" w:gutter="0" w:footer="0" w:header="0"/>
        </w:sectPr>
      </w:pPr>
    </w:p>
    <w:bookmarkStart w:id="33" w:name="page34"/>
    <w:bookmarkEnd w:id="33"/>
    <w:p>
      <w:pPr>
        <w:jc w:val="both"/>
        <w:ind w:right="20"/>
        <w:spacing w:after="0" w:line="326" w:lineRule="auto"/>
        <w:rPr>
          <w:sz w:val="20"/>
          <w:szCs w:val="20"/>
          <w:color w:val="auto"/>
        </w:rPr>
      </w:pPr>
      <w:r>
        <w:rPr>
          <w:rFonts w:ascii="Times New Roman" w:cs="Times New Roman" w:eastAsia="Times New Roman" w:hAnsi="Times New Roman"/>
          <w:sz w:val="20"/>
          <w:szCs w:val="20"/>
          <w:color w:val="auto"/>
        </w:rPr>
        <w:t>payments may alleviate the negative impact of a ransomware attack, but we may be unwilling or unable to make such payments due to, for example, applicable laws or regulations prohibiting such payments.</w:t>
      </w:r>
    </w:p>
    <w:p>
      <w:pPr>
        <w:spacing w:after="0" w:line="45" w:lineRule="exact"/>
        <w:rPr>
          <w:sz w:val="20"/>
          <w:szCs w:val="20"/>
          <w:color w:val="auto"/>
        </w:rPr>
      </w:pPr>
    </w:p>
    <w:p>
      <w:pPr>
        <w:jc w:val="both"/>
        <w:spacing w:after="0" w:line="309" w:lineRule="auto"/>
        <w:rPr>
          <w:sz w:val="20"/>
          <w:szCs w:val="20"/>
          <w:color w:val="auto"/>
        </w:rPr>
      </w:pPr>
      <w:r>
        <w:rPr>
          <w:rFonts w:ascii="Times New Roman" w:cs="Times New Roman" w:eastAsia="Times New Roman" w:hAnsi="Times New Roman"/>
          <w:sz w:val="20"/>
          <w:szCs w:val="20"/>
          <w:color w:val="auto"/>
        </w:rPr>
        <w:t>Remote work has become more common and has increased risks to our information technology systems and data, as more of our employees utilize network connections, computers and devices outside our premises or network, including working at home, while in transit and in public locations.</w:t>
      </w:r>
    </w:p>
    <w:p>
      <w:pPr>
        <w:spacing w:after="0" w:line="62" w:lineRule="exact"/>
        <w:rPr>
          <w:sz w:val="20"/>
          <w:szCs w:val="20"/>
          <w:color w:val="auto"/>
        </w:rPr>
      </w:pPr>
    </w:p>
    <w:p>
      <w:pPr>
        <w:jc w:val="both"/>
        <w:ind w:right="20"/>
        <w:spacing w:after="0" w:line="297" w:lineRule="auto"/>
        <w:rPr>
          <w:sz w:val="20"/>
          <w:szCs w:val="20"/>
          <w:color w:val="auto"/>
        </w:rPr>
      </w:pPr>
      <w:r>
        <w:rPr>
          <w:rFonts w:ascii="Times New Roman" w:cs="Times New Roman" w:eastAsia="Times New Roman" w:hAnsi="Times New Roman"/>
          <w:sz w:val="20"/>
          <w:szCs w:val="20"/>
          <w:color w:val="auto"/>
        </w:rPr>
        <w:t>Future or past business transactions (such as acquisitions or integrations) could expose us to additional cybersecurity risks and vulnerabilities, as our systems could be negatively affected by vulnerabilities present in acquired or integrated entities’ systems and technologies. Furthermore, we may discover security issues that were not found during due diligence of such acquired or integrated entities, and it may be difficult to integrate companies into our information technology environment and security program.</w:t>
      </w:r>
    </w:p>
    <w:p>
      <w:pPr>
        <w:spacing w:after="0" w:line="74" w:lineRule="exact"/>
        <w:rPr>
          <w:sz w:val="20"/>
          <w:szCs w:val="20"/>
          <w:color w:val="auto"/>
        </w:rPr>
      </w:pPr>
    </w:p>
    <w:p>
      <w:pPr>
        <w:jc w:val="both"/>
        <w:spacing w:after="0" w:line="292" w:lineRule="auto"/>
        <w:rPr>
          <w:sz w:val="20"/>
          <w:szCs w:val="20"/>
          <w:color w:val="auto"/>
        </w:rPr>
      </w:pPr>
      <w:r>
        <w:rPr>
          <w:rFonts w:ascii="Times New Roman" w:cs="Times New Roman" w:eastAsia="Times New Roman" w:hAnsi="Times New Roman"/>
          <w:sz w:val="20"/>
          <w:szCs w:val="20"/>
          <w:color w:val="auto"/>
        </w:rPr>
        <w:t>While we have implemented security measures designed to protect against security incidents, there can be no assurance that these measures will be effective. We take steps designed to detect, mitigate, and remediate vulnerabilities in our information systems (such as our hardware and/or software, including that of third parties upon which we rely). For example, we implement bug fixes and upgrades as part of our regular system maintenance, which may lead to system downtime. Even if we are able to implement the bug fixes and upgrades in a timely manner, any history of inaccuracies in the data we collect for our clients, or unauthorized access or damage to, or the loss, acquisition, or inadvertent release or exposure of confidential or other sensitive data could cause our reputation to be harmed and result in claims against us, and cannabis businesses may elect not to purchase our products or, in the case of existing clients, renew their agreements with us or we may incur increased insurance costs. The costs associated with any material defects or errors in our software or other performance problems may be substantial and could harm our operating results and growth prospects. In addition to bugs, we may not detect and remediate all identified vulnerabilities including on a timely basis. Further, we may experience delays in developing and deploying remedial measures and patches designed to address identified vulnerabilities. Vulnerabilities could be exploited and result in a security incident.</w:t>
      </w:r>
    </w:p>
    <w:p>
      <w:pPr>
        <w:spacing w:after="0" w:line="77" w:lineRule="exact"/>
        <w:rPr>
          <w:sz w:val="20"/>
          <w:szCs w:val="20"/>
          <w:color w:val="auto"/>
        </w:rPr>
      </w:pPr>
    </w:p>
    <w:p>
      <w:pPr>
        <w:jc w:val="both"/>
        <w:spacing w:after="0" w:line="293" w:lineRule="auto"/>
        <w:rPr>
          <w:sz w:val="20"/>
          <w:szCs w:val="20"/>
          <w:color w:val="auto"/>
        </w:rPr>
      </w:pPr>
      <w:r>
        <w:rPr>
          <w:rFonts w:ascii="Times New Roman" w:cs="Times New Roman" w:eastAsia="Times New Roman" w:hAnsi="Times New Roman"/>
          <w:sz w:val="20"/>
          <w:szCs w:val="20"/>
          <w:color w:val="auto"/>
        </w:rPr>
        <w:t>Any actual or perceived security incident could damage our reputation and brand, result in decreased utilization of our platform or prevent users from using our platform, expose us to fines and penalties, government investigations and a risk of litigation and possible liability, require us to expend significant capital and other resources (including management’s attention) to alleviate any resulting problems and otherwise to remediate the incident, and require us to expend increased cybersecurity protection costs. We may incur significant costs in an effort to detect and prevent security incidents. Numerous state, federal and foreign laws and regulations require companies to notify individuals, regulatory authorities, or other stakeholders of certain security involving incidents, including those that involve certain types of personal data. Any disclosures of security incidents, pursuant to these laws or regulations or otherwise, could lead to regulatory investigations and enforcement and negative publicity, and may cause our clients and consumers to lose confidence in the effectiveness of our data security measures.</w:t>
      </w:r>
    </w:p>
    <w:p>
      <w:pPr>
        <w:spacing w:after="0" w:line="79" w:lineRule="exact"/>
        <w:rPr>
          <w:sz w:val="20"/>
          <w:szCs w:val="20"/>
          <w:color w:val="auto"/>
        </w:rPr>
      </w:pPr>
    </w:p>
    <w:p>
      <w:pPr>
        <w:jc w:val="both"/>
        <w:ind w:right="20"/>
        <w:spacing w:after="0" w:line="326" w:lineRule="auto"/>
        <w:rPr>
          <w:sz w:val="20"/>
          <w:szCs w:val="20"/>
          <w:color w:val="auto"/>
        </w:rPr>
      </w:pPr>
      <w:r>
        <w:rPr>
          <w:rFonts w:ascii="Times New Roman" w:cs="Times New Roman" w:eastAsia="Times New Roman" w:hAnsi="Times New Roman"/>
          <w:sz w:val="20"/>
          <w:szCs w:val="20"/>
          <w:color w:val="auto"/>
        </w:rPr>
        <w:t>Any of these impacts or circumstances arising from an actual or perceived security incident could materially and adversely affect our business, financial condition, reputation and relationships with clients and consumers.</w:t>
      </w:r>
    </w:p>
    <w:p>
      <w:pPr>
        <w:spacing w:after="0" w:line="45" w:lineRule="exact"/>
        <w:rPr>
          <w:sz w:val="20"/>
          <w:szCs w:val="20"/>
          <w:color w:val="auto"/>
        </w:rPr>
      </w:pPr>
    </w:p>
    <w:p>
      <w:pPr>
        <w:jc w:val="both"/>
        <w:spacing w:after="0" w:line="293" w:lineRule="auto"/>
        <w:rPr>
          <w:sz w:val="20"/>
          <w:szCs w:val="20"/>
          <w:color w:val="auto"/>
        </w:rPr>
      </w:pPr>
      <w:r>
        <w:rPr>
          <w:rFonts w:ascii="Times New Roman" w:cs="Times New Roman" w:eastAsia="Times New Roman" w:hAnsi="Times New Roman"/>
          <w:sz w:val="20"/>
          <w:szCs w:val="20"/>
          <w:color w:val="auto"/>
        </w:rPr>
        <w:t>Furthermore, while our errors and omissions insurance policies include liability coverage for certain of these matters, if we experienced a significant security incident, we could be subject to claims or damages that exceed our insurance coverage. We also cannot be certain that our insurance coverage will be adequate for data handling or data security liabilities actually incurred, that insurance will continue to be available to us on economically reasonable terms, or at all, or that any insurer will not deny coverage as to any future claim. The successful assertion of one or more large claims against us that exceed available insurance coverage, or the occurrence of changes in our insurance policies, including premium increases or the imposition of large deductible or insurance requirements, could have a material and adverse effect on our business, including our financial condition, operating results, and reputation.</w:t>
      </w:r>
    </w:p>
    <w:p>
      <w:pPr>
        <w:spacing w:after="0" w:line="81" w:lineRule="exact"/>
        <w:rPr>
          <w:sz w:val="20"/>
          <w:szCs w:val="20"/>
          <w:color w:val="auto"/>
        </w:rPr>
      </w:pPr>
    </w:p>
    <w:p>
      <w:pPr>
        <w:jc w:val="both"/>
        <w:spacing w:after="0" w:line="308" w:lineRule="auto"/>
        <w:rPr>
          <w:sz w:val="20"/>
          <w:szCs w:val="20"/>
          <w:color w:val="auto"/>
        </w:rPr>
      </w:pPr>
      <w:r>
        <w:rPr>
          <w:rFonts w:ascii="Times New Roman" w:cs="Times New Roman" w:eastAsia="Times New Roman" w:hAnsi="Times New Roman"/>
          <w:sz w:val="20"/>
          <w:szCs w:val="20"/>
          <w:b w:val="1"/>
          <w:bCs w:val="1"/>
          <w:i w:val="1"/>
          <w:iCs w:val="1"/>
          <w:color w:val="auto"/>
        </w:rPr>
        <w:t>Our operations and employees face risks related to macroeconomic conditions and catastrophic events, including health crises, such as outbreaks of contagious disease that have adversely impacted and could in the future adversely impact our business, financial condition and operating results.</w:t>
      </w:r>
    </w:p>
    <w:p>
      <w:pPr>
        <w:spacing w:after="0" w:line="63" w:lineRule="exact"/>
        <w:rPr>
          <w:sz w:val="20"/>
          <w:szCs w:val="20"/>
          <w:color w:val="auto"/>
        </w:rPr>
      </w:pPr>
    </w:p>
    <w:p>
      <w:pPr>
        <w:jc w:val="both"/>
        <w:spacing w:after="0" w:line="356" w:lineRule="auto"/>
        <w:rPr>
          <w:sz w:val="20"/>
          <w:szCs w:val="20"/>
          <w:color w:val="auto"/>
        </w:rPr>
      </w:pPr>
      <w:r>
        <w:rPr>
          <w:rFonts w:ascii="Times New Roman" w:cs="Times New Roman" w:eastAsia="Times New Roman" w:hAnsi="Times New Roman"/>
          <w:sz w:val="19"/>
          <w:szCs w:val="19"/>
          <w:color w:val="auto"/>
        </w:rPr>
        <w:t>Macroeconomic conditions, including but not limited to inflation, uncertain credit and global financial markets, recent and potential future disruptions in access to bank deposits or lending commitments due to bank failures; geopolitical events, including</w:t>
      </w:r>
    </w:p>
    <w:p>
      <w:pPr>
        <w:spacing w:after="0" w:line="188"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20"/>
          <w:szCs w:val="20"/>
          <w:color w:val="auto"/>
        </w:rPr>
        <w:t>30</w:t>
      </w:r>
    </w:p>
    <w:p>
      <w:pPr>
        <w:sectPr>
          <w:pgSz w:w="12240" w:h="15840" w:orient="portrait"/>
          <w:cols w:equalWidth="0" w:num="1">
            <w:col w:w="10260"/>
          </w:cols>
          <w:pgMar w:left="1000" w:top="884" w:right="980" w:bottom="222" w:gutter="0" w:footer="0" w:header="0"/>
        </w:sectPr>
      </w:pPr>
    </w:p>
    <w:bookmarkStart w:id="34" w:name="page35"/>
    <w:bookmarkEnd w:id="34"/>
    <w:p>
      <w:pPr>
        <w:jc w:val="both"/>
        <w:spacing w:after="0" w:line="297" w:lineRule="auto"/>
        <w:rPr>
          <w:sz w:val="20"/>
          <w:szCs w:val="20"/>
          <w:color w:val="auto"/>
        </w:rPr>
      </w:pPr>
      <w:r>
        <w:rPr>
          <w:rFonts w:ascii="Times New Roman" w:cs="Times New Roman" w:eastAsia="Times New Roman" w:hAnsi="Times New Roman"/>
          <w:sz w:val="20"/>
          <w:szCs w:val="20"/>
          <w:color w:val="auto"/>
        </w:rPr>
        <w:t>the military conflicts between Russia and Ukraine and Israel and Hamas; and the occurrence of a catastrophic event, including but not limited to severe weather, war, or terrorist attack, could adversely impact our business, financial condition and operating results. We also face risks related to health epidemics, like the COVID-19 pandemic and other adverse health developments. For example, in connection with the COVID-19 pandemic, governments implemented significant measures intended to control the spread of the virus, including closures, quarantines, travel restrictions and other social distancing directives.</w:t>
      </w:r>
    </w:p>
    <w:p>
      <w:pPr>
        <w:spacing w:after="0" w:line="74" w:lineRule="exact"/>
        <w:rPr>
          <w:sz w:val="20"/>
          <w:szCs w:val="20"/>
          <w:color w:val="auto"/>
        </w:rPr>
      </w:pPr>
    </w:p>
    <w:p>
      <w:pPr>
        <w:jc w:val="both"/>
        <w:spacing w:after="0" w:line="299" w:lineRule="auto"/>
        <w:rPr>
          <w:sz w:val="20"/>
          <w:szCs w:val="20"/>
          <w:color w:val="auto"/>
        </w:rPr>
      </w:pPr>
      <w:r>
        <w:rPr>
          <w:rFonts w:ascii="Times New Roman" w:cs="Times New Roman" w:eastAsia="Times New Roman" w:hAnsi="Times New Roman"/>
          <w:sz w:val="20"/>
          <w:szCs w:val="20"/>
          <w:color w:val="auto"/>
        </w:rPr>
        <w:t>To the extent that restrictions or prevention and mitigation measures are implemented in connection with any future pandemic or outbreak of disease, there may be an adverse impact on global economic conditions and consumer confidence and spending, which could materially and adversely affect our operations as well as our relationships with clients and consumers. For instance, despite the overall increases in demand described below, some of our clients’ operations were initially significantly disrupted in certain jurisdictions, causing a temporary significant decrease in activity on our platform in those jurisdictions.</w:t>
      </w:r>
    </w:p>
    <w:p>
      <w:pPr>
        <w:spacing w:after="0" w:line="72" w:lineRule="exact"/>
        <w:rPr>
          <w:sz w:val="20"/>
          <w:szCs w:val="20"/>
          <w:color w:val="auto"/>
        </w:rPr>
      </w:pPr>
    </w:p>
    <w:p>
      <w:pPr>
        <w:jc w:val="both"/>
        <w:spacing w:after="0" w:line="292" w:lineRule="auto"/>
        <w:rPr>
          <w:sz w:val="20"/>
          <w:szCs w:val="20"/>
          <w:color w:val="auto"/>
        </w:rPr>
      </w:pPr>
      <w:r>
        <w:rPr>
          <w:rFonts w:ascii="Times New Roman" w:cs="Times New Roman" w:eastAsia="Times New Roman" w:hAnsi="Times New Roman"/>
          <w:sz w:val="20"/>
          <w:szCs w:val="20"/>
          <w:color w:val="auto"/>
        </w:rPr>
        <w:t>Shelter-in-place orders and similar regulations resulting from catastrophic events could impact our client’s ability to operate their businesses, consumers’ ability to pick up orders, and our client’s ability to make deliveries. Such events have in the past caused, and may in the future cause, a temporary closure of our clients’ businesses, either due to government mandate or voluntary preventative measures, and many of our clients may not be able to withstand prolonged interruptions to their businesses, and may be forced to go out of business. Any limitations on or disruptions or closures of our clients’ businesses could adversely affect our business. Further, we may experience a decrease in new clients due to a lack of financial resources or a decline in new markets as businesses and financial markets deal with the impact of any future catastrophic events. Further, these conditions may impact our ability to access financial markets to obtain the necessary funding to expand our business, which may adversely affect our liquidity and working capital.</w:t>
      </w:r>
    </w:p>
    <w:p>
      <w:pPr>
        <w:spacing w:after="0" w:line="81" w:lineRule="exact"/>
        <w:rPr>
          <w:sz w:val="20"/>
          <w:szCs w:val="20"/>
          <w:color w:val="auto"/>
        </w:rPr>
      </w:pPr>
    </w:p>
    <w:p>
      <w:pPr>
        <w:jc w:val="both"/>
        <w:spacing w:after="0" w:line="309" w:lineRule="auto"/>
        <w:rPr>
          <w:sz w:val="20"/>
          <w:szCs w:val="20"/>
          <w:color w:val="auto"/>
        </w:rPr>
      </w:pPr>
      <w:r>
        <w:rPr>
          <w:rFonts w:ascii="Times New Roman" w:cs="Times New Roman" w:eastAsia="Times New Roman" w:hAnsi="Times New Roman"/>
          <w:sz w:val="20"/>
          <w:szCs w:val="20"/>
          <w:color w:val="auto"/>
        </w:rPr>
        <w:t>It is not currently possible to ascertain the overall impact of such an event on our business. However, if such an event occurs, the event may harm our business, and may also have the effect of heightening many of the other risks described in this “Risk Factors” section.</w:t>
      </w:r>
    </w:p>
    <w:p>
      <w:pPr>
        <w:spacing w:after="0" w:line="64"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Fluctuations in our quarterly and annual operating results may adversely affect our business and prospects.</w:t>
      </w:r>
    </w:p>
    <w:p>
      <w:pPr>
        <w:spacing w:after="0" w:line="164" w:lineRule="exact"/>
        <w:rPr>
          <w:sz w:val="20"/>
          <w:szCs w:val="20"/>
          <w:color w:val="auto"/>
        </w:rPr>
      </w:pPr>
    </w:p>
    <w:p>
      <w:pPr>
        <w:jc w:val="both"/>
        <w:spacing w:after="0" w:line="297" w:lineRule="auto"/>
        <w:rPr>
          <w:sz w:val="20"/>
          <w:szCs w:val="20"/>
          <w:color w:val="auto"/>
        </w:rPr>
      </w:pPr>
      <w:r>
        <w:rPr>
          <w:rFonts w:ascii="Times New Roman" w:cs="Times New Roman" w:eastAsia="Times New Roman" w:hAnsi="Times New Roman"/>
          <w:sz w:val="20"/>
          <w:szCs w:val="20"/>
          <w:color w:val="auto"/>
        </w:rPr>
        <w:t>You should consider our business and prospects in light of the risks and difficulties we encounter in the uncertain and rapidly evolving market for our solutions. Because the cannabis information market is new and evolving, predicting its future growth rate and size is difficult. This reduces our ability to accurately evaluate our future prospects and forecast quarterly or annual performance. In addition to the other risk factors discussed in this section, factors that may contribute to the variability of our quarterly and annual results include:</w:t>
      </w:r>
    </w:p>
    <w:p>
      <w:pPr>
        <w:spacing w:after="0" w:line="75" w:lineRule="exact"/>
        <w:rPr>
          <w:sz w:val="20"/>
          <w:szCs w:val="20"/>
          <w:color w:val="auto"/>
        </w:rPr>
      </w:pPr>
    </w:p>
    <w:p>
      <w:pPr>
        <w:ind w:left="720" w:hanging="367"/>
        <w:spacing w:after="0"/>
        <w:tabs>
          <w:tab w:leader="none" w:pos="720" w:val="left"/>
        </w:tabs>
        <w:numPr>
          <w:ilvl w:val="0"/>
          <w:numId w:val="2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our ability to attract new clients and consumers and retain existing clients and consumers;</w:t>
      </w:r>
    </w:p>
    <w:p>
      <w:pPr>
        <w:spacing w:after="0" w:line="108" w:lineRule="exact"/>
        <w:rPr>
          <w:rFonts w:ascii="Times New Roman" w:cs="Times New Roman" w:eastAsia="Times New Roman" w:hAnsi="Times New Roman"/>
          <w:sz w:val="20"/>
          <w:szCs w:val="20"/>
          <w:color w:val="auto"/>
        </w:rPr>
      </w:pPr>
    </w:p>
    <w:p>
      <w:pPr>
        <w:ind w:left="720" w:hanging="367"/>
        <w:spacing w:after="0"/>
        <w:tabs>
          <w:tab w:leader="none" w:pos="720" w:val="left"/>
        </w:tabs>
        <w:numPr>
          <w:ilvl w:val="0"/>
          <w:numId w:val="2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our ability to accurately forecast revenue and appropriately plan our expenses;</w:t>
      </w:r>
    </w:p>
    <w:p>
      <w:pPr>
        <w:spacing w:after="0" w:line="108" w:lineRule="exact"/>
        <w:rPr>
          <w:rFonts w:ascii="Times New Roman" w:cs="Times New Roman" w:eastAsia="Times New Roman" w:hAnsi="Times New Roman"/>
          <w:sz w:val="20"/>
          <w:szCs w:val="20"/>
          <w:color w:val="auto"/>
        </w:rPr>
      </w:pPr>
    </w:p>
    <w:p>
      <w:pPr>
        <w:ind w:left="720" w:hanging="367"/>
        <w:spacing w:after="0"/>
        <w:tabs>
          <w:tab w:leader="none" w:pos="720" w:val="left"/>
        </w:tabs>
        <w:numPr>
          <w:ilvl w:val="0"/>
          <w:numId w:val="2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effects of changes in search engine placement and prominence;</w:t>
      </w:r>
    </w:p>
    <w:p>
      <w:pPr>
        <w:spacing w:after="0" w:line="101" w:lineRule="exact"/>
        <w:rPr>
          <w:rFonts w:ascii="Times New Roman" w:cs="Times New Roman" w:eastAsia="Times New Roman" w:hAnsi="Times New Roman"/>
          <w:sz w:val="20"/>
          <w:szCs w:val="20"/>
          <w:color w:val="auto"/>
        </w:rPr>
      </w:pPr>
    </w:p>
    <w:p>
      <w:pPr>
        <w:ind w:left="720" w:hanging="367"/>
        <w:spacing w:after="0"/>
        <w:tabs>
          <w:tab w:leader="none" w:pos="720" w:val="left"/>
        </w:tabs>
        <w:numPr>
          <w:ilvl w:val="0"/>
          <w:numId w:val="2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effects of increased competition on our business;</w:t>
      </w:r>
    </w:p>
    <w:p>
      <w:pPr>
        <w:spacing w:after="0" w:line="108" w:lineRule="exact"/>
        <w:rPr>
          <w:rFonts w:ascii="Times New Roman" w:cs="Times New Roman" w:eastAsia="Times New Roman" w:hAnsi="Times New Roman"/>
          <w:sz w:val="20"/>
          <w:szCs w:val="20"/>
          <w:color w:val="auto"/>
        </w:rPr>
      </w:pPr>
    </w:p>
    <w:p>
      <w:pPr>
        <w:ind w:left="720" w:hanging="367"/>
        <w:spacing w:after="0"/>
        <w:tabs>
          <w:tab w:leader="none" w:pos="720" w:val="left"/>
        </w:tabs>
        <w:numPr>
          <w:ilvl w:val="0"/>
          <w:numId w:val="2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our ability to successfully expand in existing markets and successfully enter new markets;</w:t>
      </w:r>
    </w:p>
    <w:p>
      <w:pPr>
        <w:spacing w:after="0" w:line="108" w:lineRule="exact"/>
        <w:rPr>
          <w:rFonts w:ascii="Times New Roman" w:cs="Times New Roman" w:eastAsia="Times New Roman" w:hAnsi="Times New Roman"/>
          <w:sz w:val="20"/>
          <w:szCs w:val="20"/>
          <w:color w:val="auto"/>
        </w:rPr>
      </w:pPr>
    </w:p>
    <w:p>
      <w:pPr>
        <w:ind w:left="720" w:hanging="367"/>
        <w:spacing w:after="0"/>
        <w:tabs>
          <w:tab w:leader="none" w:pos="720" w:val="left"/>
        </w:tabs>
        <w:numPr>
          <w:ilvl w:val="0"/>
          <w:numId w:val="2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impact of global, regional or economic conditions;</w:t>
      </w:r>
    </w:p>
    <w:p>
      <w:pPr>
        <w:spacing w:after="0" w:line="101" w:lineRule="exact"/>
        <w:rPr>
          <w:rFonts w:ascii="Times New Roman" w:cs="Times New Roman" w:eastAsia="Times New Roman" w:hAnsi="Times New Roman"/>
          <w:sz w:val="20"/>
          <w:szCs w:val="20"/>
          <w:color w:val="auto"/>
        </w:rPr>
      </w:pPr>
    </w:p>
    <w:p>
      <w:pPr>
        <w:ind w:left="720" w:hanging="367"/>
        <w:spacing w:after="0"/>
        <w:tabs>
          <w:tab w:leader="none" w:pos="720" w:val="left"/>
        </w:tabs>
        <w:numPr>
          <w:ilvl w:val="0"/>
          <w:numId w:val="2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ability of licensed cannabis markets to successfully grow and out compete illegal cannabis markets;</w:t>
      </w:r>
    </w:p>
    <w:p>
      <w:pPr>
        <w:spacing w:after="0" w:line="108" w:lineRule="exact"/>
        <w:rPr>
          <w:rFonts w:ascii="Times New Roman" w:cs="Times New Roman" w:eastAsia="Times New Roman" w:hAnsi="Times New Roman"/>
          <w:sz w:val="20"/>
          <w:szCs w:val="20"/>
          <w:color w:val="auto"/>
        </w:rPr>
      </w:pPr>
    </w:p>
    <w:p>
      <w:pPr>
        <w:ind w:left="720" w:hanging="367"/>
        <w:spacing w:after="0"/>
        <w:tabs>
          <w:tab w:leader="none" w:pos="720" w:val="left"/>
        </w:tabs>
        <w:numPr>
          <w:ilvl w:val="0"/>
          <w:numId w:val="2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our ability to protect our intellectual property;</w:t>
      </w:r>
    </w:p>
    <w:p>
      <w:pPr>
        <w:spacing w:after="0" w:line="108" w:lineRule="exact"/>
        <w:rPr>
          <w:rFonts w:ascii="Times New Roman" w:cs="Times New Roman" w:eastAsia="Times New Roman" w:hAnsi="Times New Roman"/>
          <w:sz w:val="20"/>
          <w:szCs w:val="20"/>
          <w:color w:val="auto"/>
        </w:rPr>
      </w:pPr>
    </w:p>
    <w:p>
      <w:pPr>
        <w:ind w:left="720" w:hanging="367"/>
        <w:spacing w:after="0"/>
        <w:tabs>
          <w:tab w:leader="none" w:pos="720" w:val="left"/>
        </w:tabs>
        <w:numPr>
          <w:ilvl w:val="0"/>
          <w:numId w:val="2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our ability to maintain and effectively manage an adequate rate of growth;</w:t>
      </w:r>
    </w:p>
    <w:p>
      <w:pPr>
        <w:spacing w:after="0" w:line="101" w:lineRule="exact"/>
        <w:rPr>
          <w:rFonts w:ascii="Times New Roman" w:cs="Times New Roman" w:eastAsia="Times New Roman" w:hAnsi="Times New Roman"/>
          <w:sz w:val="20"/>
          <w:szCs w:val="20"/>
          <w:color w:val="auto"/>
        </w:rPr>
      </w:pPr>
    </w:p>
    <w:p>
      <w:pPr>
        <w:ind w:left="720" w:hanging="367"/>
        <w:spacing w:after="0"/>
        <w:tabs>
          <w:tab w:leader="none" w:pos="720" w:val="left"/>
        </w:tabs>
        <w:numPr>
          <w:ilvl w:val="0"/>
          <w:numId w:val="2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our ability to maintain and increase traffic to our platform;</w:t>
      </w:r>
    </w:p>
    <w:p>
      <w:pPr>
        <w:spacing w:after="0" w:line="108" w:lineRule="exact"/>
        <w:rPr>
          <w:rFonts w:ascii="Times New Roman" w:cs="Times New Roman" w:eastAsia="Times New Roman" w:hAnsi="Times New Roman"/>
          <w:sz w:val="20"/>
          <w:szCs w:val="20"/>
          <w:color w:val="auto"/>
        </w:rPr>
      </w:pPr>
    </w:p>
    <w:p>
      <w:pPr>
        <w:ind w:left="720" w:right="20" w:hanging="367"/>
        <w:spacing w:after="0" w:line="319" w:lineRule="auto"/>
        <w:tabs>
          <w:tab w:leader="none" w:pos="720" w:val="left"/>
        </w:tabs>
        <w:numPr>
          <w:ilvl w:val="0"/>
          <w:numId w:val="2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costs associated with defending claims, including intellectual property infringement claims and related judgments or settlements;</w:t>
      </w:r>
    </w:p>
    <w:p>
      <w:pPr>
        <w:ind w:left="720" w:hanging="367"/>
        <w:spacing w:after="0"/>
        <w:tabs>
          <w:tab w:leader="none" w:pos="720" w:val="left"/>
        </w:tabs>
        <w:numPr>
          <w:ilvl w:val="0"/>
          <w:numId w:val="2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changes in governmental or other regulation affecting our business;</w:t>
      </w:r>
    </w:p>
    <w:p>
      <w:pPr>
        <w:spacing w:after="0" w:line="108" w:lineRule="exact"/>
        <w:rPr>
          <w:rFonts w:ascii="Times New Roman" w:cs="Times New Roman" w:eastAsia="Times New Roman" w:hAnsi="Times New Roman"/>
          <w:sz w:val="20"/>
          <w:szCs w:val="20"/>
          <w:color w:val="auto"/>
        </w:rPr>
      </w:pPr>
    </w:p>
    <w:p>
      <w:pPr>
        <w:ind w:left="720" w:hanging="367"/>
        <w:spacing w:after="0"/>
        <w:tabs>
          <w:tab w:leader="none" w:pos="720" w:val="left"/>
        </w:tabs>
        <w:numPr>
          <w:ilvl w:val="0"/>
          <w:numId w:val="2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interruptions in platform availability and any related impact on our business, reputation or brand;</w:t>
      </w:r>
    </w:p>
    <w:p>
      <w:pPr>
        <w:spacing w:after="0" w:line="101" w:lineRule="exact"/>
        <w:rPr>
          <w:rFonts w:ascii="Times New Roman" w:cs="Times New Roman" w:eastAsia="Times New Roman" w:hAnsi="Times New Roman"/>
          <w:sz w:val="20"/>
          <w:szCs w:val="20"/>
          <w:color w:val="auto"/>
        </w:rPr>
      </w:pPr>
    </w:p>
    <w:p>
      <w:pPr>
        <w:ind w:left="720" w:hanging="367"/>
        <w:spacing w:after="0"/>
        <w:tabs>
          <w:tab w:leader="none" w:pos="720" w:val="left"/>
        </w:tabs>
        <w:numPr>
          <w:ilvl w:val="0"/>
          <w:numId w:val="2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attraction and retention of qualified personnel;</w:t>
      </w: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20"/>
          <w:szCs w:val="20"/>
          <w:color w:val="auto"/>
        </w:rPr>
        <w:t>31</w:t>
      </w:r>
    </w:p>
    <w:p>
      <w:pPr>
        <w:sectPr>
          <w:pgSz w:w="12240" w:h="15840" w:orient="portrait"/>
          <w:cols w:equalWidth="0" w:num="1">
            <w:col w:w="10260"/>
          </w:cols>
          <w:pgMar w:left="1000" w:top="884" w:right="980" w:bottom="222" w:gutter="0" w:footer="0" w:header="0"/>
        </w:sectPr>
      </w:pPr>
    </w:p>
    <w:bookmarkStart w:id="35" w:name="page36"/>
    <w:bookmarkEnd w:id="35"/>
    <w:p>
      <w:pPr>
        <w:ind w:left="720" w:hanging="366"/>
        <w:spacing w:after="0"/>
        <w:tabs>
          <w:tab w:leader="none" w:pos="720" w:val="left"/>
        </w:tabs>
        <w:numPr>
          <w:ilvl w:val="0"/>
          <w:numId w:val="2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effects of natural or man-made catastrophic events; and</w:t>
      </w:r>
    </w:p>
    <w:p>
      <w:pPr>
        <w:spacing w:after="0" w:line="108" w:lineRule="exact"/>
        <w:rPr>
          <w:rFonts w:ascii="Times New Roman" w:cs="Times New Roman" w:eastAsia="Times New Roman" w:hAnsi="Times New Roman"/>
          <w:sz w:val="20"/>
          <w:szCs w:val="20"/>
          <w:color w:val="auto"/>
        </w:rPr>
      </w:pPr>
    </w:p>
    <w:p>
      <w:pPr>
        <w:ind w:left="720" w:hanging="366"/>
        <w:spacing w:after="0"/>
        <w:tabs>
          <w:tab w:leader="none" w:pos="720" w:val="left"/>
        </w:tabs>
        <w:numPr>
          <w:ilvl w:val="0"/>
          <w:numId w:val="2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effectiveness of our internal controls, including the material weakness that we have identified.</w:t>
      </w:r>
    </w:p>
    <w:p>
      <w:pPr>
        <w:spacing w:after="0" w:line="168"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We may improve our products and solutions in ways that forego short-term gains.</w:t>
      </w:r>
    </w:p>
    <w:p>
      <w:pPr>
        <w:spacing w:after="0" w:line="164" w:lineRule="exact"/>
        <w:rPr>
          <w:sz w:val="20"/>
          <w:szCs w:val="20"/>
          <w:color w:val="auto"/>
        </w:rPr>
      </w:pPr>
    </w:p>
    <w:p>
      <w:pPr>
        <w:jc w:val="both"/>
        <w:spacing w:after="0" w:line="297" w:lineRule="auto"/>
        <w:rPr>
          <w:sz w:val="20"/>
          <w:szCs w:val="20"/>
          <w:color w:val="auto"/>
        </w:rPr>
      </w:pPr>
      <w:r>
        <w:rPr>
          <w:rFonts w:ascii="Times New Roman" w:cs="Times New Roman" w:eastAsia="Times New Roman" w:hAnsi="Times New Roman"/>
          <w:sz w:val="20"/>
          <w:szCs w:val="20"/>
          <w:color w:val="auto"/>
        </w:rPr>
        <w:t>We seek to provide the best experience for the clients and consumers who use our platform. Some of our changes may have the effect of reducing our short-term revenue or profitability if we believe that the benefits will ultimately improve our business and financial performance over the long term. Any short-term reductions in revenue or profitability could be greater than planned or the changes mentioned above may not produce the long-term benefits that we expect, in which case our business and operating results could be adversely affected.</w:t>
      </w:r>
    </w:p>
    <w:p>
      <w:pPr>
        <w:spacing w:after="0" w:line="77" w:lineRule="exact"/>
        <w:rPr>
          <w:sz w:val="20"/>
          <w:szCs w:val="20"/>
          <w:color w:val="auto"/>
        </w:rPr>
      </w:pPr>
    </w:p>
    <w:p>
      <w:pPr>
        <w:jc w:val="both"/>
        <w:spacing w:after="0" w:line="308" w:lineRule="auto"/>
        <w:rPr>
          <w:sz w:val="20"/>
          <w:szCs w:val="20"/>
          <w:color w:val="auto"/>
        </w:rPr>
      </w:pPr>
      <w:r>
        <w:rPr>
          <w:rFonts w:ascii="Times New Roman" w:cs="Times New Roman" w:eastAsia="Times New Roman" w:hAnsi="Times New Roman"/>
          <w:sz w:val="20"/>
          <w:szCs w:val="20"/>
          <w:b w:val="1"/>
          <w:bCs w:val="1"/>
          <w:i w:val="1"/>
          <w:iCs w:val="1"/>
          <w:color w:val="auto"/>
        </w:rPr>
        <w:t>We are subject to U.S. and certain foreign export and import controls, sanctions, embargoes, and anti-corruption laws and regulations. Compliance with these legal standards could impair our ability to compete in domestic and international markets. We can face criminal liability and other serious consequences for violations which can harm our business.</w:t>
      </w:r>
    </w:p>
    <w:p>
      <w:pPr>
        <w:spacing w:after="0" w:line="63" w:lineRule="exact"/>
        <w:rPr>
          <w:sz w:val="20"/>
          <w:szCs w:val="20"/>
          <w:color w:val="auto"/>
        </w:rPr>
      </w:pPr>
    </w:p>
    <w:p>
      <w:pPr>
        <w:jc w:val="both"/>
        <w:spacing w:after="0" w:line="292" w:lineRule="auto"/>
        <w:rPr>
          <w:sz w:val="20"/>
          <w:szCs w:val="20"/>
          <w:color w:val="auto"/>
        </w:rPr>
      </w:pPr>
      <w:r>
        <w:rPr>
          <w:rFonts w:ascii="Times New Roman" w:cs="Times New Roman" w:eastAsia="Times New Roman" w:hAnsi="Times New Roman"/>
          <w:sz w:val="20"/>
          <w:szCs w:val="20"/>
          <w:color w:val="auto"/>
        </w:rPr>
        <w:t>We are subject to export control and import laws and regulations, including the U.S. Export Administration Regulations, U.S. Customs regulations, various economic and trade sanctions regulations administered by the U.S. Treasury Department’s Office of Foreign Assets Control, the U.S. Foreign Corrupt Practices Act of 1977, as amended, the U.S. domestic bribery statute contained in 18 U.S.C. § 201, the U.S. Travel Act, and other state and national anti-bribery laws in the countries in which we conduct activities. Anti-corruption laws are interpreted broadly and prohibit companies and their employees, agents, contractors, and other partners from authorizing, promising, offering, or providing, directly or indirectly, improper payments or anything else of value to recipients in the public or private sector. The FCPA also requires public companies to make and keep books and records that accurately and fairly reflect the transactions of the corporation and to devise and maintain an adequate system of internal accounting controls. We can be held liable for the corrupt or other illegal activities of our employees, agents, contractors, and other partners, even if we do not explicitly authorize or have actual knowledge of such activities.</w:t>
      </w:r>
    </w:p>
    <w:p>
      <w:pPr>
        <w:spacing w:after="0" w:line="82" w:lineRule="exact"/>
        <w:rPr>
          <w:sz w:val="20"/>
          <w:szCs w:val="20"/>
          <w:color w:val="auto"/>
        </w:rPr>
      </w:pPr>
    </w:p>
    <w:p>
      <w:pPr>
        <w:jc w:val="both"/>
        <w:spacing w:after="0" w:line="297" w:lineRule="auto"/>
        <w:rPr>
          <w:sz w:val="20"/>
          <w:szCs w:val="20"/>
          <w:color w:val="auto"/>
        </w:rPr>
      </w:pPr>
      <w:r>
        <w:rPr>
          <w:rFonts w:ascii="Times New Roman" w:cs="Times New Roman" w:eastAsia="Times New Roman" w:hAnsi="Times New Roman"/>
          <w:sz w:val="20"/>
          <w:szCs w:val="20"/>
          <w:color w:val="auto"/>
        </w:rPr>
        <w:t>We are also subject to export control and import laws and regulations, including the U.S. Export Administration Regulations, U.S. Customs regulations, and various economic and trade sanctions regulations administered by the U.S. Treasury Department’s Office of Foreign Assets Controls. Export controls and trade sanctions laws and regulations may restrict or prohibit altogether the provision, sale, or supply of our products to certain governments, persons, entities, countries, and territories, including those that are the target of comprehensive sanctions or an embargo.</w:t>
      </w:r>
    </w:p>
    <w:p>
      <w:pPr>
        <w:spacing w:after="0" w:line="74" w:lineRule="exact"/>
        <w:rPr>
          <w:sz w:val="20"/>
          <w:szCs w:val="20"/>
          <w:color w:val="auto"/>
        </w:rPr>
      </w:pPr>
    </w:p>
    <w:p>
      <w:pPr>
        <w:jc w:val="both"/>
        <w:ind w:right="20"/>
        <w:spacing w:after="0" w:line="309" w:lineRule="auto"/>
        <w:rPr>
          <w:sz w:val="20"/>
          <w:szCs w:val="20"/>
          <w:color w:val="auto"/>
        </w:rPr>
      </w:pPr>
      <w:r>
        <w:rPr>
          <w:rFonts w:ascii="Times New Roman" w:cs="Times New Roman" w:eastAsia="Times New Roman" w:hAnsi="Times New Roman"/>
          <w:sz w:val="20"/>
          <w:szCs w:val="20"/>
          <w:color w:val="auto"/>
        </w:rPr>
        <w:t>Any violation of the laws and regulations described above may result in substantial civil and criminal fines and penalties, imprisonment, the loss of export or import privileges, debarment, tax reassessments, breach of contract and fraud litigation, reputational harm, and other consequences.</w:t>
      </w:r>
    </w:p>
    <w:p>
      <w:pPr>
        <w:spacing w:after="0" w:line="64" w:lineRule="exact"/>
        <w:rPr>
          <w:sz w:val="20"/>
          <w:szCs w:val="20"/>
          <w:color w:val="auto"/>
        </w:rPr>
      </w:pPr>
    </w:p>
    <w:p>
      <w:pPr>
        <w:jc w:val="both"/>
        <w:ind w:right="20"/>
        <w:spacing w:after="0" w:line="305" w:lineRule="auto"/>
        <w:rPr>
          <w:sz w:val="20"/>
          <w:szCs w:val="20"/>
          <w:color w:val="auto"/>
        </w:rPr>
      </w:pPr>
      <w:r>
        <w:rPr>
          <w:rFonts w:ascii="Times New Roman" w:cs="Times New Roman" w:eastAsia="Times New Roman" w:hAnsi="Times New Roman"/>
          <w:sz w:val="20"/>
          <w:szCs w:val="20"/>
          <w:b w:val="1"/>
          <w:bCs w:val="1"/>
          <w:i w:val="1"/>
          <w:iCs w:val="1"/>
          <w:color w:val="auto"/>
        </w:rPr>
        <w:t>We are subject to risks inherent in foreign operations, including social, political and economic flux and compliance with additional U.S. and foreign laws, including those related to anti-bribery and anti-corruption, and may not be able to successfully maintain or expand our foreign operations.</w:t>
      </w:r>
    </w:p>
    <w:p>
      <w:pPr>
        <w:spacing w:after="0" w:line="64" w:lineRule="exact"/>
        <w:rPr>
          <w:sz w:val="20"/>
          <w:szCs w:val="20"/>
          <w:color w:val="auto"/>
        </w:rPr>
      </w:pPr>
    </w:p>
    <w:p>
      <w:pPr>
        <w:jc w:val="both"/>
        <w:ind w:right="20"/>
        <w:spacing w:after="0" w:line="294" w:lineRule="auto"/>
        <w:rPr>
          <w:sz w:val="20"/>
          <w:szCs w:val="20"/>
          <w:color w:val="auto"/>
        </w:rPr>
      </w:pPr>
      <w:r>
        <w:rPr>
          <w:rFonts w:ascii="Times New Roman" w:cs="Times New Roman" w:eastAsia="Times New Roman" w:hAnsi="Times New Roman"/>
          <w:sz w:val="20"/>
          <w:szCs w:val="20"/>
          <w:color w:val="auto"/>
        </w:rPr>
        <w:t>We sell our Weedmaps for Business offering in the United States and have a limited number of non-monetized listings in several other countries including Austria, Canada, Germany, the Netherlands, Spain and Switzerland. We anticipate growing our business, in part, by continuing to expand our foreign operations. As we continue our expansion, we may enter new foreign markets where we have limited or no experience marketing and deploying our platform. If we fail to launch or manage our foreign operations successfully, our business may suffer. Additionally, as our foreign operations expand, or more of our expenses are denominated in currencies other than the U.S. dollar, our operating results may be more greatly affected by fluctuations in the exchange rates of the currencies in which we do business. In addition, as our foreign operations continue to grow, we are subject to a variety of risks inherent in doing business internationally, including:</w:t>
      </w:r>
    </w:p>
    <w:p>
      <w:pPr>
        <w:spacing w:after="0" w:line="79" w:lineRule="exact"/>
        <w:rPr>
          <w:sz w:val="20"/>
          <w:szCs w:val="20"/>
          <w:color w:val="auto"/>
        </w:rPr>
      </w:pPr>
    </w:p>
    <w:p>
      <w:pPr>
        <w:ind w:left="720" w:hanging="367"/>
        <w:spacing w:after="0"/>
        <w:tabs>
          <w:tab w:leader="none" w:pos="720" w:val="left"/>
        </w:tabs>
        <w:numPr>
          <w:ilvl w:val="0"/>
          <w:numId w:val="2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political, social and economic instability;</w:t>
      </w:r>
    </w:p>
    <w:p>
      <w:pPr>
        <w:spacing w:after="0" w:line="101" w:lineRule="exact"/>
        <w:rPr>
          <w:rFonts w:ascii="Times New Roman" w:cs="Times New Roman" w:eastAsia="Times New Roman" w:hAnsi="Times New Roman"/>
          <w:sz w:val="20"/>
          <w:szCs w:val="20"/>
          <w:color w:val="auto"/>
        </w:rPr>
      </w:pPr>
    </w:p>
    <w:p>
      <w:pPr>
        <w:ind w:left="720" w:right="20" w:hanging="367"/>
        <w:spacing w:after="0" w:line="319" w:lineRule="auto"/>
        <w:tabs>
          <w:tab w:leader="none" w:pos="720" w:val="left"/>
        </w:tabs>
        <w:numPr>
          <w:ilvl w:val="0"/>
          <w:numId w:val="2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risks related to the legal and regulatory environment in foreign jurisdictions, including with respect to privacy and data protection, and unexpected changes in laws, regulatory requirements and enforcement;</w:t>
      </w:r>
    </w:p>
    <w:p>
      <w:pPr>
        <w:ind w:left="720" w:hanging="367"/>
        <w:spacing w:after="0"/>
        <w:tabs>
          <w:tab w:leader="none" w:pos="720" w:val="left"/>
        </w:tabs>
        <w:numPr>
          <w:ilvl w:val="0"/>
          <w:numId w:val="2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fluctuations in currency exchange rates;</w:t>
      </w:r>
    </w:p>
    <w:p>
      <w:pPr>
        <w:spacing w:after="0" w:line="108" w:lineRule="exact"/>
        <w:rPr>
          <w:rFonts w:ascii="Times New Roman" w:cs="Times New Roman" w:eastAsia="Times New Roman" w:hAnsi="Times New Roman"/>
          <w:sz w:val="20"/>
          <w:szCs w:val="20"/>
          <w:color w:val="auto"/>
        </w:rPr>
      </w:pPr>
    </w:p>
    <w:p>
      <w:pPr>
        <w:ind w:left="720" w:hanging="367"/>
        <w:spacing w:after="0"/>
        <w:tabs>
          <w:tab w:leader="none" w:pos="720" w:val="left"/>
        </w:tabs>
        <w:numPr>
          <w:ilvl w:val="0"/>
          <w:numId w:val="2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higher levels of credit risk and payment fraud;</w:t>
      </w:r>
    </w:p>
    <w:p>
      <w:pPr>
        <w:spacing w:after="0" w:line="246"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20"/>
          <w:szCs w:val="20"/>
          <w:color w:val="auto"/>
        </w:rPr>
        <w:t>32</w:t>
      </w:r>
    </w:p>
    <w:p>
      <w:pPr>
        <w:sectPr>
          <w:pgSz w:w="12240" w:h="15840" w:orient="portrait"/>
          <w:cols w:equalWidth="0" w:num="1">
            <w:col w:w="10260"/>
          </w:cols>
          <w:pgMar w:left="1000" w:top="884" w:right="980" w:bottom="222" w:gutter="0" w:footer="0" w:header="0"/>
        </w:sectPr>
      </w:pPr>
    </w:p>
    <w:bookmarkStart w:id="36" w:name="page37"/>
    <w:bookmarkEnd w:id="36"/>
    <w:p>
      <w:pPr>
        <w:ind w:left="720" w:hanging="366"/>
        <w:spacing w:after="0"/>
        <w:tabs>
          <w:tab w:leader="none" w:pos="720" w:val="left"/>
        </w:tabs>
        <w:numPr>
          <w:ilvl w:val="0"/>
          <w:numId w:val="2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complying with tax requirements of multiple jurisdictions;</w:t>
      </w:r>
    </w:p>
    <w:p>
      <w:pPr>
        <w:spacing w:after="0" w:line="108" w:lineRule="exact"/>
        <w:rPr>
          <w:rFonts w:ascii="Times New Roman" w:cs="Times New Roman" w:eastAsia="Times New Roman" w:hAnsi="Times New Roman"/>
          <w:sz w:val="20"/>
          <w:szCs w:val="20"/>
          <w:color w:val="auto"/>
        </w:rPr>
      </w:pPr>
    </w:p>
    <w:p>
      <w:pPr>
        <w:ind w:left="720" w:hanging="366"/>
        <w:spacing w:after="0"/>
        <w:tabs>
          <w:tab w:leader="none" w:pos="720" w:val="left"/>
        </w:tabs>
        <w:numPr>
          <w:ilvl w:val="0"/>
          <w:numId w:val="2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enhanced difficulties of integrating any foreign acquisitions;</w:t>
      </w:r>
    </w:p>
    <w:p>
      <w:pPr>
        <w:spacing w:after="0" w:line="101" w:lineRule="exact"/>
        <w:rPr>
          <w:rFonts w:ascii="Times New Roman" w:cs="Times New Roman" w:eastAsia="Times New Roman" w:hAnsi="Times New Roman"/>
          <w:sz w:val="20"/>
          <w:szCs w:val="20"/>
          <w:color w:val="auto"/>
        </w:rPr>
      </w:pPr>
    </w:p>
    <w:p>
      <w:pPr>
        <w:ind w:left="720" w:hanging="366"/>
        <w:spacing w:after="0"/>
        <w:tabs>
          <w:tab w:leader="none" w:pos="720" w:val="left"/>
        </w:tabs>
        <w:numPr>
          <w:ilvl w:val="0"/>
          <w:numId w:val="2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ability to present our content effectively in foreign languages;</w:t>
      </w:r>
    </w:p>
    <w:p>
      <w:pPr>
        <w:spacing w:after="0" w:line="108" w:lineRule="exact"/>
        <w:rPr>
          <w:rFonts w:ascii="Times New Roman" w:cs="Times New Roman" w:eastAsia="Times New Roman" w:hAnsi="Times New Roman"/>
          <w:sz w:val="20"/>
          <w:szCs w:val="20"/>
          <w:color w:val="auto"/>
        </w:rPr>
      </w:pPr>
    </w:p>
    <w:p>
      <w:pPr>
        <w:ind w:left="720" w:right="20" w:hanging="366"/>
        <w:spacing w:after="0" w:line="319" w:lineRule="auto"/>
        <w:tabs>
          <w:tab w:leader="none" w:pos="720" w:val="left"/>
        </w:tabs>
        <w:numPr>
          <w:ilvl w:val="0"/>
          <w:numId w:val="2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complying with a variety of foreign laws, including certain employment laws requiring national collective bargaining agreements that set minimum salaries, benefits, working conditions and termination requirements;</w:t>
      </w:r>
    </w:p>
    <w:p>
      <w:pPr>
        <w:ind w:left="720" w:hanging="366"/>
        <w:spacing w:after="0"/>
        <w:tabs>
          <w:tab w:leader="none" w:pos="720" w:val="left"/>
        </w:tabs>
        <w:numPr>
          <w:ilvl w:val="0"/>
          <w:numId w:val="2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reduced protection for intellectual property rights in some countries;</w:t>
      </w:r>
    </w:p>
    <w:p>
      <w:pPr>
        <w:spacing w:after="0" w:line="108" w:lineRule="exact"/>
        <w:rPr>
          <w:rFonts w:ascii="Times New Roman" w:cs="Times New Roman" w:eastAsia="Times New Roman" w:hAnsi="Times New Roman"/>
          <w:sz w:val="20"/>
          <w:szCs w:val="20"/>
          <w:color w:val="auto"/>
        </w:rPr>
      </w:pPr>
    </w:p>
    <w:p>
      <w:pPr>
        <w:ind w:left="720" w:right="20" w:hanging="366"/>
        <w:spacing w:after="0" w:line="319" w:lineRule="auto"/>
        <w:tabs>
          <w:tab w:leader="none" w:pos="720" w:val="left"/>
        </w:tabs>
        <w:numPr>
          <w:ilvl w:val="0"/>
          <w:numId w:val="2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difficulties in staffing and managing global operations and the increased travel, infrastructure and compliance costs associated with multiple foreign locations;</w:t>
      </w:r>
    </w:p>
    <w:p>
      <w:pPr>
        <w:ind w:left="720" w:right="20" w:hanging="366"/>
        <w:spacing w:after="0" w:line="319" w:lineRule="auto"/>
        <w:tabs>
          <w:tab w:leader="none" w:pos="720" w:val="left"/>
        </w:tabs>
        <w:numPr>
          <w:ilvl w:val="0"/>
          <w:numId w:val="2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regulations that might add difficulties in repatriating cash earned outside the United States and otherwise preventing us from freely moving cash;</w:t>
      </w:r>
    </w:p>
    <w:p>
      <w:pPr>
        <w:ind w:left="720" w:hanging="366"/>
        <w:spacing w:after="0"/>
        <w:tabs>
          <w:tab w:leader="none" w:pos="720" w:val="left"/>
        </w:tabs>
        <w:numPr>
          <w:ilvl w:val="0"/>
          <w:numId w:val="2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import and export restrictions and changes in trade regulation;</w:t>
      </w:r>
    </w:p>
    <w:p>
      <w:pPr>
        <w:spacing w:after="0" w:line="101" w:lineRule="exact"/>
        <w:rPr>
          <w:rFonts w:ascii="Times New Roman" w:cs="Times New Roman" w:eastAsia="Times New Roman" w:hAnsi="Times New Roman"/>
          <w:sz w:val="20"/>
          <w:szCs w:val="20"/>
          <w:color w:val="auto"/>
        </w:rPr>
      </w:pPr>
    </w:p>
    <w:p>
      <w:pPr>
        <w:ind w:left="720" w:hanging="366"/>
        <w:spacing w:after="0"/>
        <w:tabs>
          <w:tab w:leader="none" w:pos="720" w:val="left"/>
        </w:tabs>
        <w:numPr>
          <w:ilvl w:val="0"/>
          <w:numId w:val="2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complying with statutory equity requirements;</w:t>
      </w:r>
    </w:p>
    <w:p>
      <w:pPr>
        <w:spacing w:after="0" w:line="108" w:lineRule="exact"/>
        <w:rPr>
          <w:rFonts w:ascii="Times New Roman" w:cs="Times New Roman" w:eastAsia="Times New Roman" w:hAnsi="Times New Roman"/>
          <w:sz w:val="20"/>
          <w:szCs w:val="20"/>
          <w:color w:val="auto"/>
        </w:rPr>
      </w:pPr>
    </w:p>
    <w:p>
      <w:pPr>
        <w:ind w:left="720" w:right="20" w:hanging="366"/>
        <w:spacing w:after="0" w:line="319" w:lineRule="auto"/>
        <w:tabs>
          <w:tab w:leader="none" w:pos="720" w:val="left"/>
        </w:tabs>
        <w:numPr>
          <w:ilvl w:val="0"/>
          <w:numId w:val="2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complying with the U.S. Foreign Corrupt Practices Act of 1977, as amended, the U.K. Bribery Act 2010, the Corruption of Public Officials Act (Canada), and similar laws in other jurisdictions; and</w:t>
      </w:r>
    </w:p>
    <w:p>
      <w:pPr>
        <w:ind w:left="720" w:right="20" w:hanging="366"/>
        <w:spacing w:after="0" w:line="326" w:lineRule="auto"/>
        <w:tabs>
          <w:tab w:leader="none" w:pos="720" w:val="left"/>
        </w:tabs>
        <w:numPr>
          <w:ilvl w:val="0"/>
          <w:numId w:val="2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export controls and economic sanctions administered by the U.S. Department of Commerce Bureau of Industry and Security and the U.S. Treasury Department’s Office of Foreign Assets Control.</w:t>
      </w:r>
    </w:p>
    <w:p>
      <w:pPr>
        <w:spacing w:after="0" w:line="47" w:lineRule="exact"/>
        <w:rPr>
          <w:sz w:val="20"/>
          <w:szCs w:val="20"/>
          <w:color w:val="auto"/>
        </w:rPr>
      </w:pPr>
    </w:p>
    <w:p>
      <w:pPr>
        <w:jc w:val="both"/>
        <w:spacing w:after="0" w:line="308" w:lineRule="auto"/>
        <w:rPr>
          <w:sz w:val="20"/>
          <w:szCs w:val="20"/>
          <w:color w:val="auto"/>
        </w:rPr>
      </w:pPr>
      <w:r>
        <w:rPr>
          <w:rFonts w:ascii="Times New Roman" w:cs="Times New Roman" w:eastAsia="Times New Roman" w:hAnsi="Times New Roman"/>
          <w:sz w:val="20"/>
          <w:szCs w:val="20"/>
          <w:b w:val="1"/>
          <w:bCs w:val="1"/>
          <w:i w:val="1"/>
          <w:iCs w:val="1"/>
          <w:color w:val="auto"/>
        </w:rPr>
        <w:t>We are subject to industry standards, governmental laws and regulations, contractual obligations, industry standards, policies, and other obligations governing privacy, data protection and information security, and any actual or perceived failure to comply with such obligations could harm our business.</w:t>
      </w:r>
    </w:p>
    <w:p>
      <w:pPr>
        <w:spacing w:after="0" w:line="63" w:lineRule="exact"/>
        <w:rPr>
          <w:sz w:val="20"/>
          <w:szCs w:val="20"/>
          <w:color w:val="auto"/>
        </w:rPr>
      </w:pPr>
    </w:p>
    <w:p>
      <w:pPr>
        <w:jc w:val="both"/>
        <w:spacing w:after="0" w:line="301" w:lineRule="auto"/>
        <w:rPr>
          <w:sz w:val="20"/>
          <w:szCs w:val="20"/>
          <w:color w:val="auto"/>
        </w:rPr>
      </w:pPr>
      <w:r>
        <w:rPr>
          <w:rFonts w:ascii="Times New Roman" w:cs="Times New Roman" w:eastAsia="Times New Roman" w:hAnsi="Times New Roman"/>
          <w:sz w:val="20"/>
          <w:szCs w:val="20"/>
          <w:color w:val="auto"/>
        </w:rPr>
        <w:t>In the ordinary course of business, we process personal data and other sensitive information, including proprietary and confidential business data, intellectual property, and sensitive third-party data. Our data processing subjects us to various federal, state, provincial and foreign laws and regulations, as well as other obligations including contractual obligations, industry standards and internal and external policies related to privacy, data protection, and information security.</w:t>
      </w:r>
    </w:p>
    <w:p>
      <w:pPr>
        <w:spacing w:after="0" w:line="70" w:lineRule="exact"/>
        <w:rPr>
          <w:sz w:val="20"/>
          <w:szCs w:val="20"/>
          <w:color w:val="auto"/>
        </w:rPr>
      </w:pPr>
    </w:p>
    <w:p>
      <w:pPr>
        <w:jc w:val="both"/>
        <w:spacing w:after="0" w:line="310" w:lineRule="auto"/>
        <w:rPr>
          <w:sz w:val="20"/>
          <w:szCs w:val="20"/>
          <w:color w:val="auto"/>
        </w:rPr>
      </w:pPr>
      <w:r>
        <w:rPr>
          <w:rFonts w:ascii="Times New Roman" w:cs="Times New Roman" w:eastAsia="Times New Roman" w:hAnsi="Times New Roman"/>
          <w:sz w:val="19"/>
          <w:szCs w:val="19"/>
          <w:color w:val="auto"/>
        </w:rPr>
        <w:t>In the United States, federal, state, and local governments have enacted numerous data privacy and security laws, including data breach notification laws, personal data privacy laws, consumer protection laws (e.g., Section 5 of the Federal Trade Commission Act), and other similar laws (e.g., wiretapping laws). For example, the Controlling the Assault of Non-Solicited Pornography and Marketing Act of 2003 ("CAN-SPAM”) and the Telephone Consumer Protection Act of 1991 (“TCPA”) impose specific requirements on communications with customers. For example, the TCPA imposes various consumer consent requirements and other restrictions on certain telemarketing activity and other communications with consumers by phone, fax or text message. TCPA violations can result in significant financial penalties, including penalties or criminal fines imposed by the Federal Communications Commission or fines of up to $1,500 per violation imposed through private litigation or by state authorities.</w:t>
      </w:r>
    </w:p>
    <w:p>
      <w:pPr>
        <w:spacing w:after="0" w:line="68" w:lineRule="exact"/>
        <w:rPr>
          <w:sz w:val="20"/>
          <w:szCs w:val="20"/>
          <w:color w:val="auto"/>
        </w:rPr>
      </w:pPr>
    </w:p>
    <w:p>
      <w:pPr>
        <w:jc w:val="both"/>
        <w:spacing w:after="0" w:line="307" w:lineRule="auto"/>
        <w:rPr>
          <w:sz w:val="20"/>
          <w:szCs w:val="20"/>
          <w:color w:val="auto"/>
        </w:rPr>
      </w:pPr>
      <w:r>
        <w:rPr>
          <w:rFonts w:ascii="Times New Roman" w:cs="Times New Roman" w:eastAsia="Times New Roman" w:hAnsi="Times New Roman"/>
          <w:sz w:val="19"/>
          <w:szCs w:val="19"/>
          <w:color w:val="auto"/>
        </w:rPr>
        <w:t>In the past few years, numerous U.S. states—including California, Virginia, Colorado, Connecticut, and Utah—have enacted comprehensive privacy laws that impose certain obligations on covered businesses, including providing specific disclosures in privacy notices and affording residents with certain rights concerning their personal data. As applicable, such rights may include the right to access, correct, or delete certain personal data, and to opt-out of certain data processing activities, such as targeted advertising, profiling, and automated decision-making. The exercise of these rights may impact our business and ability to provide our products and services. Certain states also impose stricter requirements for processing certain personal data, including sensitive information, such as conducting data privacy impact assessments. These state laws allow for statutory fines for noncompliance. For example, the California Consumer Privacy Act of 2018, as amended by the California Privacy Rights Act (“CPRA”) (collectively, “CCPA”), applies to personal data of consumers, business representatives, and employees who are California residents, and requires businesses to provide specific disclosures in privacy notices and honor requests of such individuals to exercise certain privacy rights. The CCPA provides for fines of up to $7,500 per intentional violation and allows private litigants affected by certain data breaches to recover significant statutory damages for certain data breaches. A number of other proposals are being considered or have passed at the federal, state, and local levels, and we expect more states to pass similar laws in the future. Many foreign countries and governmental bodies, including Canada, the United Kingdom (“UK”), and the European Union (“E.U.”) and other relevant jurisdictions where we conduct business, have laws and regulations concerning the processing</w:t>
      </w:r>
    </w:p>
    <w:p>
      <w:pPr>
        <w:spacing w:after="0" w:line="113"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20"/>
          <w:szCs w:val="20"/>
          <w:color w:val="auto"/>
        </w:rPr>
        <w:t>33</w:t>
      </w:r>
    </w:p>
    <w:p>
      <w:pPr>
        <w:sectPr>
          <w:pgSz w:w="12240" w:h="15840" w:orient="portrait"/>
          <w:cols w:equalWidth="0" w:num="1">
            <w:col w:w="10260"/>
          </w:cols>
          <w:pgMar w:left="1000" w:top="884" w:right="980" w:bottom="222" w:gutter="0" w:footer="0" w:header="0"/>
        </w:sectPr>
      </w:pPr>
    </w:p>
    <w:bookmarkStart w:id="37" w:name="page38"/>
    <w:bookmarkEnd w:id="37"/>
    <w:p>
      <w:pPr>
        <w:jc w:val="both"/>
        <w:spacing w:after="0" w:line="293" w:lineRule="auto"/>
        <w:rPr>
          <w:sz w:val="20"/>
          <w:szCs w:val="20"/>
          <w:color w:val="auto"/>
        </w:rPr>
      </w:pPr>
      <w:r>
        <w:rPr>
          <w:rFonts w:ascii="Times New Roman" w:cs="Times New Roman" w:eastAsia="Times New Roman" w:hAnsi="Times New Roman"/>
          <w:sz w:val="20"/>
          <w:szCs w:val="20"/>
          <w:color w:val="auto"/>
        </w:rPr>
        <w:t>of personal information. For example, in Canada, the federal Personal Information Protection and Electronic Documents Act, or PIPEDA and various related provincial laws may apply to our operations. Further, Canada has robust anti-spam legislation, the Anti-Spam Legislation, or CASL. The penalties for non-compliance under CASL are significant. In addition, the E.U.’s General Data Protection Regulation, or the EU GDPR, and the United Kingdom’s GDPR, or UK GDPR (collectively, “GDPR”), may also apply to our operations. The GDPR provides for substantial penalties for noncompliance. For example, under the GDPR, companies may face temporary or definitive bans on data processing and other corrective actions; fines of up to 20 million Euros under the EU GDPR, 17.5 million pounds sterling under the UK GDPR or, in each case, 4% of annual global revenue, whichever is greater; or private litigation related to processing of personal data brought by classes of data subjects or consumer protection organizations authorized at law to represent their interests.</w:t>
      </w:r>
    </w:p>
    <w:p>
      <w:pPr>
        <w:spacing w:after="0" w:line="79" w:lineRule="exact"/>
        <w:rPr>
          <w:sz w:val="20"/>
          <w:szCs w:val="20"/>
          <w:color w:val="auto"/>
        </w:rPr>
      </w:pPr>
    </w:p>
    <w:p>
      <w:pPr>
        <w:jc w:val="both"/>
        <w:spacing w:after="0" w:line="294" w:lineRule="auto"/>
        <w:rPr>
          <w:sz w:val="20"/>
          <w:szCs w:val="20"/>
          <w:color w:val="auto"/>
        </w:rPr>
      </w:pPr>
      <w:r>
        <w:rPr>
          <w:rFonts w:ascii="Times New Roman" w:cs="Times New Roman" w:eastAsia="Times New Roman" w:hAnsi="Times New Roman"/>
          <w:sz w:val="20"/>
          <w:szCs w:val="20"/>
          <w:color w:val="auto"/>
        </w:rPr>
        <w:t>We may be subject to new laws governing the privacy of consumer health data. For example, Washington’s My Health My Data Act (“MHMD”) broadly defines consumer health data, places restrictions on processing consumer health data (including imposing stringent requirements for consents), provides consumers certain rights with respect to their health data, and creates a private right of action to allow individuals to sue for violations of the law. Other states are considering and may adopt similar laws. We are also bound by contractual obligations related to data privacy and security, and our efforts to comply with such obligations may not be successful. For example, certain privacy laws, such as the CCPA, require our customers to impose specific contractual restrictions on their service providers.</w:t>
      </w:r>
    </w:p>
    <w:p>
      <w:pPr>
        <w:spacing w:after="0" w:line="80" w:lineRule="exact"/>
        <w:rPr>
          <w:sz w:val="20"/>
          <w:szCs w:val="20"/>
          <w:color w:val="auto"/>
        </w:rPr>
      </w:pPr>
    </w:p>
    <w:p>
      <w:pPr>
        <w:jc w:val="both"/>
        <w:spacing w:after="0" w:line="297" w:lineRule="auto"/>
        <w:rPr>
          <w:sz w:val="20"/>
          <w:szCs w:val="20"/>
          <w:color w:val="auto"/>
        </w:rPr>
      </w:pPr>
      <w:r>
        <w:rPr>
          <w:rFonts w:ascii="Times New Roman" w:cs="Times New Roman" w:eastAsia="Times New Roman" w:hAnsi="Times New Roman"/>
          <w:sz w:val="20"/>
          <w:szCs w:val="20"/>
          <w:color w:val="auto"/>
        </w:rPr>
        <w:t>In the ordinary course of business, we may transfer personal data from Europe and other jurisdictions to the United States or other countries. Europe and other jurisdictions have enacted laws requiring data to be localized or limiting the transfer of personal data to other countries. In particular, the European Economic Area (“EEA”) and the UK have significantly restricted the transfer of personal data to the United States and other countries whose privacy laws it generally believes are inadequate. Other jurisdictions may adopt similarly stringent interpretations of their data localization and cross-border data transfer laws.</w:t>
      </w:r>
    </w:p>
    <w:p>
      <w:pPr>
        <w:spacing w:after="0" w:line="74" w:lineRule="exact"/>
        <w:rPr>
          <w:sz w:val="20"/>
          <w:szCs w:val="20"/>
          <w:color w:val="auto"/>
        </w:rPr>
      </w:pPr>
    </w:p>
    <w:p>
      <w:pPr>
        <w:jc w:val="both"/>
        <w:spacing w:after="0" w:line="296" w:lineRule="auto"/>
        <w:rPr>
          <w:sz w:val="20"/>
          <w:szCs w:val="20"/>
          <w:color w:val="auto"/>
        </w:rPr>
      </w:pPr>
      <w:r>
        <w:rPr>
          <w:rFonts w:ascii="Times New Roman" w:cs="Times New Roman" w:eastAsia="Times New Roman" w:hAnsi="Times New Roman"/>
          <w:sz w:val="20"/>
          <w:szCs w:val="20"/>
          <w:color w:val="auto"/>
        </w:rPr>
        <w:t>Although there are currently various mechanisms that may be used to transfer personal data from the EEA and UK to the United States in compliance with law, such as the EEA standard contractual clauses, the UK’s International Data Transfer Agreement / Addendum, and the EU-U.S. Data Privacy Framework and the UK extension thereto (which allows for transfers to relevant U.S.-based organizations who self-certify compliance and participate in the Framework), these mechanisms are subject to legal challenges, and there is no assurance that we can satisfy or rely on these measures to lawfully transfer personal data to the United States.</w:t>
      </w:r>
    </w:p>
    <w:p>
      <w:pPr>
        <w:spacing w:after="0" w:line="76" w:lineRule="exact"/>
        <w:rPr>
          <w:sz w:val="20"/>
          <w:szCs w:val="20"/>
          <w:color w:val="auto"/>
        </w:rPr>
      </w:pPr>
    </w:p>
    <w:p>
      <w:pPr>
        <w:jc w:val="both"/>
        <w:ind w:right="20"/>
        <w:spacing w:after="0" w:line="293" w:lineRule="auto"/>
        <w:rPr>
          <w:sz w:val="20"/>
          <w:szCs w:val="20"/>
          <w:color w:val="auto"/>
        </w:rPr>
      </w:pPr>
      <w:r>
        <w:rPr>
          <w:rFonts w:ascii="Times New Roman" w:cs="Times New Roman" w:eastAsia="Times New Roman" w:hAnsi="Times New Roman"/>
          <w:sz w:val="20"/>
          <w:szCs w:val="20"/>
          <w:color w:val="auto"/>
        </w:rPr>
        <w:t>If there is no lawful manner for us to transfer personal data from the EEA, the UK or other jurisdictions to the United States, or if the requirements for a legally-compliant transfer are too onerous, we could face significant adverse consequences, including, increased exposure to regulatory actions, substantial fines and penalties, the inability to transfer data and work with partners, vendors and other third parties, and injunctions against our processing or transferring of personal data related to our EU users. Additionally, companies that transfer personal data out of the EEA and UK to other jurisdictions, particularly to the United States, are subject to increased scrutiny from regulators, individual litigants, and activist groups. Some European regulators have ordered certain companies to suspend or permanently cease certain transfers out of Europe for allegedly violating the GDPR’s cross-border data transfer limitations.</w:t>
      </w:r>
    </w:p>
    <w:p>
      <w:pPr>
        <w:spacing w:after="0" w:line="79" w:lineRule="exact"/>
        <w:rPr>
          <w:sz w:val="20"/>
          <w:szCs w:val="20"/>
          <w:color w:val="auto"/>
        </w:rPr>
      </w:pPr>
    </w:p>
    <w:p>
      <w:pPr>
        <w:jc w:val="both"/>
        <w:ind w:right="20"/>
        <w:spacing w:after="0" w:line="309" w:lineRule="auto"/>
        <w:rPr>
          <w:sz w:val="20"/>
          <w:szCs w:val="20"/>
          <w:color w:val="auto"/>
        </w:rPr>
      </w:pPr>
      <w:r>
        <w:rPr>
          <w:rFonts w:ascii="Times New Roman" w:cs="Times New Roman" w:eastAsia="Times New Roman" w:hAnsi="Times New Roman"/>
          <w:sz w:val="20"/>
          <w:szCs w:val="20"/>
          <w:color w:val="auto"/>
        </w:rPr>
        <w:t>We publish privacy policies, marketing materials and other statements regarding data privacy and security. If these policies, materials or statements are found to be deficient, lacking in transparency, deceptive, unfair, or misrepresentative of our practices, we may be subject to investigation, enforcement actions by regulators or other adverse consequences.</w:t>
      </w:r>
    </w:p>
    <w:p>
      <w:pPr>
        <w:spacing w:after="0" w:line="62" w:lineRule="exact"/>
        <w:rPr>
          <w:sz w:val="20"/>
          <w:szCs w:val="20"/>
          <w:color w:val="auto"/>
        </w:rPr>
      </w:pPr>
    </w:p>
    <w:p>
      <w:pPr>
        <w:jc w:val="both"/>
        <w:spacing w:after="0" w:line="309" w:lineRule="auto"/>
        <w:rPr>
          <w:sz w:val="20"/>
          <w:szCs w:val="20"/>
          <w:color w:val="auto"/>
        </w:rPr>
      </w:pPr>
      <w:r>
        <w:rPr>
          <w:rFonts w:ascii="Times New Roman" w:cs="Times New Roman" w:eastAsia="Times New Roman" w:hAnsi="Times New Roman"/>
          <w:sz w:val="19"/>
          <w:szCs w:val="19"/>
          <w:color w:val="auto"/>
        </w:rPr>
        <w:t>Obligations related to data privacy and security (and consumers’ data privacy expectations) are evolving, becoming increasingly stringent, and creating uncertainty. These obligations may be modified, interpreted and applied in an inconsistent manner from one jurisdiction to another, and may conflict with one another, other requirements or legal obligations. Future laws, regulations, standards and other obligations, or amendments or changes in the interpretation of existing laws, regulations, standards and other obligations, could impair our or (or the third parties upon whom we rely) ability to collect, use, disclose or otherwise process information relating to employees or consumers, which could decrease demand for our applications, increase our costs and impair our ability to maintain and grow our client and consumer bases and increase revenue. We may at times fail (or be perceived to have failed) in our efforts to comply with our data privacy and security obligations. Moreover, despite our efforts, our personnel or third parties on whom we rely may fail to comply with such obligations, which could negatively impact our business operations.</w:t>
      </w:r>
    </w:p>
    <w:p>
      <w:pPr>
        <w:spacing w:after="0" w:line="198"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20"/>
          <w:szCs w:val="20"/>
          <w:color w:val="auto"/>
        </w:rPr>
        <w:t>34</w:t>
      </w:r>
    </w:p>
    <w:p>
      <w:pPr>
        <w:sectPr>
          <w:pgSz w:w="12240" w:h="15840" w:orient="portrait"/>
          <w:cols w:equalWidth="0" w:num="1">
            <w:col w:w="10260"/>
          </w:cols>
          <w:pgMar w:left="1000" w:top="884" w:right="980" w:bottom="222" w:gutter="0" w:footer="0" w:header="0"/>
        </w:sectPr>
      </w:pPr>
    </w:p>
    <w:bookmarkStart w:id="38" w:name="page39"/>
    <w:bookmarkEnd w:id="38"/>
    <w:p>
      <w:pPr>
        <w:jc w:val="both"/>
        <w:spacing w:after="0" w:line="308" w:lineRule="auto"/>
        <w:rPr>
          <w:sz w:val="20"/>
          <w:szCs w:val="20"/>
          <w:color w:val="auto"/>
        </w:rPr>
      </w:pPr>
      <w:r>
        <w:rPr>
          <w:rFonts w:ascii="Times New Roman" w:cs="Times New Roman" w:eastAsia="Times New Roman" w:hAnsi="Times New Roman"/>
          <w:sz w:val="19"/>
          <w:szCs w:val="19"/>
          <w:color w:val="auto"/>
        </w:rPr>
        <w:t>Any failure or perceived failure by us or the third parties upon whom we rely to comply with federal, state, provincial or foreign laws or regulations, industry standards, contractual obligations or other legal obligations may result in governmental enforcement actions (e.g., investigations, fines, penalties, audits, inspections, and similar) and prosecutions, private litigation (including class actions) and mass arbitration demands, adverse publicity that could cause employees, clients and consumers to lose trust in us, additional reporting requirements and/or oversight, bans on processing personal data, and orders to destroy or not use personal data. In particular, plaintiffs have become increasingly more active in bringing privacy-related claims against companies, including class claims and mass arbitration demands. Some of these claims allow for the recovery of statutory damages on a per violation basis, and, if viable, carry the potential for monumental statutory damages, depending on the volume of data and the number of violations. Any of these events could have a material adverse effect on our reputation, business, or financial condition, including but not limited to: loss of customers; interruptions or stoppages in our business; inability to process personal data or to operate in certain jurisdictions; limited ability to develop or commercialize our products; expenditure of time and resources to defend any claim or inquiry; adverse publicity; or substantial changes to our business model or operations.</w:t>
      </w:r>
    </w:p>
    <w:p>
      <w:pPr>
        <w:spacing w:after="0" w:line="72" w:lineRule="exact"/>
        <w:rPr>
          <w:sz w:val="20"/>
          <w:szCs w:val="20"/>
          <w:color w:val="auto"/>
        </w:rPr>
      </w:pPr>
    </w:p>
    <w:p>
      <w:pPr>
        <w:jc w:val="both"/>
        <w:spacing w:after="0" w:line="324" w:lineRule="auto"/>
        <w:rPr>
          <w:sz w:val="20"/>
          <w:szCs w:val="20"/>
          <w:color w:val="auto"/>
        </w:rPr>
      </w:pPr>
      <w:r>
        <w:rPr>
          <w:rFonts w:ascii="Times New Roman" w:cs="Times New Roman" w:eastAsia="Times New Roman" w:hAnsi="Times New Roman"/>
          <w:sz w:val="20"/>
          <w:szCs w:val="20"/>
          <w:b w:val="1"/>
          <w:bCs w:val="1"/>
          <w:i w:val="1"/>
          <w:iCs w:val="1"/>
          <w:color w:val="auto"/>
        </w:rPr>
        <w:t>Governmental regulation of the internet continues to develop, and unfavorable changes could substantially harm our business and operating results.</w:t>
      </w:r>
    </w:p>
    <w:p>
      <w:pPr>
        <w:spacing w:after="0" w:line="47" w:lineRule="exact"/>
        <w:rPr>
          <w:sz w:val="20"/>
          <w:szCs w:val="20"/>
          <w:color w:val="auto"/>
        </w:rPr>
      </w:pPr>
    </w:p>
    <w:p>
      <w:pPr>
        <w:jc w:val="both"/>
        <w:spacing w:after="0" w:line="292" w:lineRule="auto"/>
        <w:rPr>
          <w:sz w:val="20"/>
          <w:szCs w:val="20"/>
          <w:color w:val="auto"/>
        </w:rPr>
      </w:pPr>
      <w:r>
        <w:rPr>
          <w:rFonts w:ascii="Times New Roman" w:cs="Times New Roman" w:eastAsia="Times New Roman" w:hAnsi="Times New Roman"/>
          <w:sz w:val="20"/>
          <w:szCs w:val="20"/>
          <w:color w:val="auto"/>
        </w:rPr>
        <w:t>We are subject to general business regulations and laws as well as federal, state, provincial and foreign laws specifically governing the internet. Existing and future laws and regulations, narrowing of any existing legal safe harbors, or previous or future court decisions may impede the growth of the internet or online products and solutions, and increase the cost of providing online products and solutions. These laws may govern, among other issues, taxation, tariffs, pricing, content, copyrights, distribution, electronic contracts and other communications, consumer protection, broadband residential internet access and the characteristics and quality of offerings. It is not clear how existing laws governing issues such as property ownership, sales, use and other taxes, and libel apply to the internet or online services. There is also a risk that these laws may be interpreted and applied in conflicting ways across jurisdictions, and in a manner that is not consistent with our current practices. Unfavorable resolution of these issues may limit our business activities, expose us to potential legal claims or cause us to spend significant resources on ensuring compliance, any of which could harm our business and operating results.</w:t>
      </w:r>
    </w:p>
    <w:p>
      <w:pPr>
        <w:spacing w:after="0" w:line="84"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We may be subject to claims brought against us as a result of content we provide.</w:t>
      </w:r>
    </w:p>
    <w:p>
      <w:pPr>
        <w:spacing w:after="0" w:line="164" w:lineRule="exact"/>
        <w:rPr>
          <w:sz w:val="20"/>
          <w:szCs w:val="20"/>
          <w:color w:val="auto"/>
        </w:rPr>
      </w:pPr>
    </w:p>
    <w:p>
      <w:pPr>
        <w:jc w:val="both"/>
        <w:spacing w:after="0" w:line="293" w:lineRule="auto"/>
        <w:rPr>
          <w:sz w:val="20"/>
          <w:szCs w:val="20"/>
          <w:color w:val="auto"/>
        </w:rPr>
      </w:pPr>
      <w:r>
        <w:rPr>
          <w:rFonts w:ascii="Times New Roman" w:cs="Times New Roman" w:eastAsia="Times New Roman" w:hAnsi="Times New Roman"/>
          <w:sz w:val="20"/>
          <w:szCs w:val="20"/>
          <w:color w:val="auto"/>
        </w:rPr>
        <w:t>We provide educational information regarding the use and potential effects of various types of cannabis products through our platform, including information regarding therapeutic uses for cannabis. If our content, or content we obtain from third parties, contains inaccuracies, it is possible that consumers or others may sue us for various causes of action. Although our website and mobile applications contain terms and conditions, including disclaimers of liability, that are intended to reduce or eliminate our liability, the law governing the validity and enforceability of online agreements and other electronic transactions is evolving. We could be subject to claims by third parties that our online agreements with consumers that provide the terms and conditions for use of our websites and mobile applications are unenforceable. A finding by a court that these agreements are invalid and that we are subject to liability could harm our business and require costly changes to our business.</w:t>
      </w:r>
    </w:p>
    <w:p>
      <w:pPr>
        <w:spacing w:after="0" w:line="79" w:lineRule="exact"/>
        <w:rPr>
          <w:sz w:val="20"/>
          <w:szCs w:val="20"/>
          <w:color w:val="auto"/>
        </w:rPr>
      </w:pPr>
    </w:p>
    <w:p>
      <w:pPr>
        <w:jc w:val="both"/>
        <w:spacing w:after="0" w:line="294" w:lineRule="auto"/>
        <w:rPr>
          <w:sz w:val="20"/>
          <w:szCs w:val="20"/>
          <w:color w:val="auto"/>
        </w:rPr>
      </w:pPr>
      <w:r>
        <w:rPr>
          <w:rFonts w:ascii="Times New Roman" w:cs="Times New Roman" w:eastAsia="Times New Roman" w:hAnsi="Times New Roman"/>
          <w:sz w:val="20"/>
          <w:szCs w:val="20"/>
          <w:color w:val="auto"/>
        </w:rPr>
        <w:t>For content that we publish or provide ourselves, we have editorial procedures in place to provide quality control of the information that we publish or provide. However, we cannot assure you that our editorial and other quality control procedures will be sufficient to ensure that there are no errors or omissions in particular content. Even if potential claims do not result in liability to us, investigating and defending against these claims could be expensive and time-consuming and could divert management’s attention away from our operations. In addition, our business is based on establishing the reputation of our platform as trustworthy and dependable sources of educational information. Allegations of impropriety or inaccuracy, even if unfounded, could harm our reputation and business.</w:t>
      </w:r>
    </w:p>
    <w:p>
      <w:pPr>
        <w:spacing w:after="0" w:line="82"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We may be subject to legal claims based on the content published to our platform.</w:t>
      </w:r>
    </w:p>
    <w:p>
      <w:pPr>
        <w:spacing w:after="0" w:line="164" w:lineRule="exact"/>
        <w:rPr>
          <w:sz w:val="20"/>
          <w:szCs w:val="20"/>
          <w:color w:val="auto"/>
        </w:rPr>
      </w:pPr>
    </w:p>
    <w:p>
      <w:pPr>
        <w:jc w:val="both"/>
        <w:spacing w:after="0" w:line="314" w:lineRule="auto"/>
        <w:rPr>
          <w:sz w:val="20"/>
          <w:szCs w:val="20"/>
          <w:color w:val="auto"/>
        </w:rPr>
      </w:pPr>
      <w:r>
        <w:rPr>
          <w:rFonts w:ascii="Times New Roman" w:cs="Times New Roman" w:eastAsia="Times New Roman" w:hAnsi="Times New Roman"/>
          <w:sz w:val="19"/>
          <w:szCs w:val="19"/>
          <w:color w:val="auto"/>
        </w:rPr>
        <w:t>We may be subject to legal claims relating to information made available through our platform, including claims for defamation, libel, negligence and copyright or trademark infringement, among others. These claims or allegations could divert management time and attention away from our business and result in significant costs to investigate and defend, regardless of the merits of the claims or allegations. In some instances, we may elect or be compelled to remove content, or may be forced to pay substantial damages or administrative monetary penalties, if we are unsuccessful in our efforts to defend against these claims or allegations. If we elect, or are compelled, to remove valuable content from our platform, our platform or services may become less useful to</w:t>
      </w:r>
    </w:p>
    <w:p>
      <w:pPr>
        <w:spacing w:after="0" w:line="71"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20"/>
          <w:szCs w:val="20"/>
          <w:color w:val="auto"/>
        </w:rPr>
        <w:t>35</w:t>
      </w:r>
    </w:p>
    <w:p>
      <w:pPr>
        <w:sectPr>
          <w:pgSz w:w="12240" w:h="15840" w:orient="portrait"/>
          <w:cols w:equalWidth="0" w:num="1">
            <w:col w:w="10260"/>
          </w:cols>
          <w:pgMar w:left="1000" w:top="884" w:right="980" w:bottom="222" w:gutter="0" w:footer="0" w:header="0"/>
        </w:sectPr>
      </w:pPr>
    </w:p>
    <w:bookmarkStart w:id="39" w:name="page40"/>
    <w:bookmarkEnd w:id="39"/>
    <w:p>
      <w:pPr>
        <w:jc w:val="both"/>
        <w:ind w:right="20"/>
        <w:spacing w:after="0" w:line="326" w:lineRule="auto"/>
        <w:rPr>
          <w:sz w:val="20"/>
          <w:szCs w:val="20"/>
          <w:color w:val="auto"/>
        </w:rPr>
      </w:pPr>
      <w:r>
        <w:rPr>
          <w:rFonts w:ascii="Times New Roman" w:cs="Times New Roman" w:eastAsia="Times New Roman" w:hAnsi="Times New Roman"/>
          <w:sz w:val="20"/>
          <w:szCs w:val="20"/>
          <w:color w:val="auto"/>
        </w:rPr>
        <w:t>consumers, which could have a negative impact on our business and financial performance. This risk may also be greater in certain jurisdictions outside of the United States where our protections from such liability may be unclear.</w:t>
      </w:r>
    </w:p>
    <w:p>
      <w:pPr>
        <w:spacing w:after="0" w:line="47" w:lineRule="exact"/>
        <w:rPr>
          <w:sz w:val="20"/>
          <w:szCs w:val="20"/>
          <w:color w:val="auto"/>
        </w:rPr>
      </w:pPr>
    </w:p>
    <w:p>
      <w:pPr>
        <w:jc w:val="both"/>
        <w:ind w:right="20"/>
        <w:spacing w:after="0" w:line="332" w:lineRule="auto"/>
        <w:rPr>
          <w:sz w:val="20"/>
          <w:szCs w:val="20"/>
          <w:color w:val="auto"/>
        </w:rPr>
      </w:pPr>
      <w:r>
        <w:rPr>
          <w:rFonts w:ascii="Times New Roman" w:cs="Times New Roman" w:eastAsia="Times New Roman" w:hAnsi="Times New Roman"/>
          <w:sz w:val="20"/>
          <w:szCs w:val="20"/>
          <w:b w:val="1"/>
          <w:bCs w:val="1"/>
          <w:i w:val="1"/>
          <w:iCs w:val="1"/>
          <w:color w:val="auto"/>
        </w:rPr>
        <w:t>Future investments in alternative revenue streams or acquisitions could disrupt our business and adversely affect our operating results, financial condition and cash flows.</w:t>
      </w:r>
    </w:p>
    <w:p>
      <w:pPr>
        <w:spacing w:after="0" w:line="38" w:lineRule="exact"/>
        <w:rPr>
          <w:sz w:val="20"/>
          <w:szCs w:val="20"/>
          <w:color w:val="auto"/>
        </w:rPr>
      </w:pPr>
    </w:p>
    <w:p>
      <w:pPr>
        <w:jc w:val="both"/>
        <w:spacing w:after="0" w:line="295" w:lineRule="auto"/>
        <w:rPr>
          <w:sz w:val="20"/>
          <w:szCs w:val="20"/>
          <w:color w:val="auto"/>
        </w:rPr>
      </w:pPr>
      <w:r>
        <w:rPr>
          <w:rFonts w:ascii="Times New Roman" w:cs="Times New Roman" w:eastAsia="Times New Roman" w:hAnsi="Times New Roman"/>
          <w:sz w:val="20"/>
          <w:szCs w:val="20"/>
          <w:color w:val="auto"/>
        </w:rPr>
        <w:t>We believe that our long-term growth depends in part on our ability to develop and monetize additional aspects of our platform. Developing new products and solutions may involve significant investments of capital, time, resources and managerial attention. We have limited experience with developing, implementing and managing revenue streams other than our core listing business, and there can be no assurance that we will successfully implement any new products or solutions. External factors, such as additional regulatory compliance obligations, may also affect the successful implementation of new products and solutions through our platform.</w:t>
      </w:r>
    </w:p>
    <w:p>
      <w:pPr>
        <w:spacing w:after="0" w:line="75" w:lineRule="exact"/>
        <w:rPr>
          <w:sz w:val="20"/>
          <w:szCs w:val="20"/>
          <w:color w:val="auto"/>
        </w:rPr>
      </w:pPr>
    </w:p>
    <w:p>
      <w:pPr>
        <w:jc w:val="both"/>
        <w:spacing w:after="0" w:line="309" w:lineRule="auto"/>
        <w:rPr>
          <w:sz w:val="20"/>
          <w:szCs w:val="20"/>
          <w:color w:val="auto"/>
        </w:rPr>
      </w:pPr>
      <w:r>
        <w:rPr>
          <w:rFonts w:ascii="Times New Roman" w:cs="Times New Roman" w:eastAsia="Times New Roman" w:hAnsi="Times New Roman"/>
          <w:sz w:val="20"/>
          <w:szCs w:val="20"/>
          <w:color w:val="auto"/>
        </w:rPr>
        <w:t>Additionally, we may make acquisitions that could be material to our business, operating results, financial condition and cash flows. Our ability as an organization to successfully acquire and integrate technologies or businesses is unproven. Acquisitions involve many risks, including the following:</w:t>
      </w:r>
    </w:p>
    <w:p>
      <w:pPr>
        <w:spacing w:after="0" w:line="62" w:lineRule="exact"/>
        <w:rPr>
          <w:sz w:val="20"/>
          <w:szCs w:val="20"/>
          <w:color w:val="auto"/>
        </w:rPr>
      </w:pPr>
    </w:p>
    <w:p>
      <w:pPr>
        <w:jc w:val="both"/>
        <w:ind w:left="720" w:hanging="366"/>
        <w:spacing w:after="0" w:line="320" w:lineRule="auto"/>
        <w:tabs>
          <w:tab w:leader="none" w:pos="720" w:val="left"/>
        </w:tabs>
        <w:numPr>
          <w:ilvl w:val="0"/>
          <w:numId w:val="29"/>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an acquisition may negatively affect our operating results, financial condition or cash flows because it may require us to incur charges or assume substantial debt or other liabilities, may cause adverse tax consequences or unfavorable accounting treatment, may expose us to claims and disputes by third parties, including intellectual property claims and disputes, or may not generate sufficient financial return to offset additional costs and expenses related to the acquisition;</w:t>
      </w:r>
    </w:p>
    <w:p>
      <w:pPr>
        <w:spacing w:after="0" w:line="1" w:lineRule="exact"/>
        <w:rPr>
          <w:rFonts w:ascii="Times New Roman" w:cs="Times New Roman" w:eastAsia="Times New Roman" w:hAnsi="Times New Roman"/>
          <w:sz w:val="19"/>
          <w:szCs w:val="19"/>
          <w:color w:val="auto"/>
        </w:rPr>
      </w:pPr>
    </w:p>
    <w:p>
      <w:pPr>
        <w:jc w:val="both"/>
        <w:ind w:left="720" w:hanging="366"/>
        <w:spacing w:after="0" w:line="306" w:lineRule="auto"/>
        <w:tabs>
          <w:tab w:leader="none" w:pos="720" w:val="left"/>
        </w:tabs>
        <w:numPr>
          <w:ilvl w:val="0"/>
          <w:numId w:val="2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we may encounter difficulties or unforeseen expenditures in integrating the business, technologies, products, personnel or operations of any company that we acquire, particularly if key personnel of the acquired company decide not to work for us, and potentially across different cultures and languages in the event of a foreign acquisition;</w:t>
      </w:r>
    </w:p>
    <w:p>
      <w:pPr>
        <w:spacing w:after="0" w:line="5" w:lineRule="exact"/>
        <w:rPr>
          <w:rFonts w:ascii="Times New Roman" w:cs="Times New Roman" w:eastAsia="Times New Roman" w:hAnsi="Times New Roman"/>
          <w:sz w:val="20"/>
          <w:szCs w:val="20"/>
          <w:color w:val="auto"/>
        </w:rPr>
      </w:pPr>
    </w:p>
    <w:p>
      <w:pPr>
        <w:ind w:left="720" w:hanging="366"/>
        <w:spacing w:after="0"/>
        <w:tabs>
          <w:tab w:leader="none" w:pos="720" w:val="left"/>
        </w:tabs>
        <w:numPr>
          <w:ilvl w:val="0"/>
          <w:numId w:val="2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an acquisition may disrupt our ongoing business, divert resources, increase our expenses and distract our management;</w:t>
      </w:r>
    </w:p>
    <w:p>
      <w:pPr>
        <w:spacing w:after="0" w:line="108" w:lineRule="exact"/>
        <w:rPr>
          <w:rFonts w:ascii="Times New Roman" w:cs="Times New Roman" w:eastAsia="Times New Roman" w:hAnsi="Times New Roman"/>
          <w:sz w:val="20"/>
          <w:szCs w:val="20"/>
          <w:color w:val="auto"/>
        </w:rPr>
      </w:pPr>
    </w:p>
    <w:p>
      <w:pPr>
        <w:ind w:left="720" w:right="20" w:hanging="366"/>
        <w:spacing w:after="0" w:line="319" w:lineRule="auto"/>
        <w:tabs>
          <w:tab w:leader="none" w:pos="720" w:val="left"/>
        </w:tabs>
        <w:numPr>
          <w:ilvl w:val="0"/>
          <w:numId w:val="2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an acquisition may result in a delay or reduction of sales for both us and the company we acquired due to uncertainty about continuity and effectiveness of products or support from either company;</w:t>
      </w:r>
    </w:p>
    <w:p>
      <w:pPr>
        <w:ind w:left="720" w:hanging="366"/>
        <w:spacing w:after="0"/>
        <w:tabs>
          <w:tab w:leader="none" w:pos="720" w:val="left"/>
        </w:tabs>
        <w:numPr>
          <w:ilvl w:val="0"/>
          <w:numId w:val="2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we may encounter difficulties in, or may be unable to, successfully sell any acquired products;</w:t>
      </w:r>
    </w:p>
    <w:p>
      <w:pPr>
        <w:spacing w:after="0" w:line="101" w:lineRule="exact"/>
        <w:rPr>
          <w:rFonts w:ascii="Times New Roman" w:cs="Times New Roman" w:eastAsia="Times New Roman" w:hAnsi="Times New Roman"/>
          <w:sz w:val="20"/>
          <w:szCs w:val="20"/>
          <w:color w:val="auto"/>
        </w:rPr>
      </w:pPr>
    </w:p>
    <w:p>
      <w:pPr>
        <w:ind w:left="720" w:right="20" w:hanging="366"/>
        <w:spacing w:after="0" w:line="319" w:lineRule="auto"/>
        <w:tabs>
          <w:tab w:leader="none" w:pos="720" w:val="left"/>
        </w:tabs>
        <w:numPr>
          <w:ilvl w:val="0"/>
          <w:numId w:val="2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an acquisition may involve the entry into geographic or business markets in which we have little or no prior experience or where competitors have stronger market positions;</w:t>
      </w:r>
    </w:p>
    <w:p>
      <w:pPr>
        <w:ind w:left="720" w:hanging="366"/>
        <w:spacing w:after="0"/>
        <w:tabs>
          <w:tab w:leader="none" w:pos="720" w:val="left"/>
        </w:tabs>
        <w:numPr>
          <w:ilvl w:val="0"/>
          <w:numId w:val="2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potential strain on our financial and managerial controls and reporting systems and procedures;</w:t>
      </w:r>
    </w:p>
    <w:p>
      <w:pPr>
        <w:spacing w:after="0" w:line="108" w:lineRule="exact"/>
        <w:rPr>
          <w:rFonts w:ascii="Times New Roman" w:cs="Times New Roman" w:eastAsia="Times New Roman" w:hAnsi="Times New Roman"/>
          <w:sz w:val="20"/>
          <w:szCs w:val="20"/>
          <w:color w:val="auto"/>
        </w:rPr>
      </w:pPr>
    </w:p>
    <w:p>
      <w:pPr>
        <w:ind w:left="720" w:hanging="366"/>
        <w:spacing w:after="0"/>
        <w:tabs>
          <w:tab w:leader="none" w:pos="720" w:val="left"/>
        </w:tabs>
        <w:numPr>
          <w:ilvl w:val="0"/>
          <w:numId w:val="2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potential known and unknown liabilities associated with an acquired company;</w:t>
      </w:r>
    </w:p>
    <w:p>
      <w:pPr>
        <w:spacing w:after="0" w:line="108" w:lineRule="exact"/>
        <w:rPr>
          <w:rFonts w:ascii="Times New Roman" w:cs="Times New Roman" w:eastAsia="Times New Roman" w:hAnsi="Times New Roman"/>
          <w:sz w:val="20"/>
          <w:szCs w:val="20"/>
          <w:color w:val="auto"/>
        </w:rPr>
      </w:pPr>
    </w:p>
    <w:p>
      <w:pPr>
        <w:ind w:left="720" w:right="20" w:hanging="366"/>
        <w:spacing w:after="0" w:line="319" w:lineRule="auto"/>
        <w:tabs>
          <w:tab w:leader="none" w:pos="720" w:val="left"/>
        </w:tabs>
        <w:numPr>
          <w:ilvl w:val="0"/>
          <w:numId w:val="2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if we incur debt to fund such acquisitions, such debt may subject us to material restrictions on our ability to conduct our business as well as financial maintenance covenants;</w:t>
      </w:r>
    </w:p>
    <w:p>
      <w:pPr>
        <w:ind w:left="720" w:hanging="366"/>
        <w:spacing w:after="0"/>
        <w:tabs>
          <w:tab w:leader="none" w:pos="720" w:val="left"/>
        </w:tabs>
        <w:numPr>
          <w:ilvl w:val="0"/>
          <w:numId w:val="2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risk of impairment charges related to potential write-downs of acquired assets or goodwill in future acquisitions;</w:t>
      </w:r>
    </w:p>
    <w:p>
      <w:pPr>
        <w:spacing w:after="0" w:line="101" w:lineRule="exact"/>
        <w:rPr>
          <w:rFonts w:ascii="Times New Roman" w:cs="Times New Roman" w:eastAsia="Times New Roman" w:hAnsi="Times New Roman"/>
          <w:sz w:val="20"/>
          <w:szCs w:val="20"/>
          <w:color w:val="auto"/>
        </w:rPr>
      </w:pPr>
    </w:p>
    <w:p>
      <w:pPr>
        <w:ind w:left="720" w:right="20" w:hanging="366"/>
        <w:spacing w:after="0" w:line="319" w:lineRule="auto"/>
        <w:tabs>
          <w:tab w:leader="none" w:pos="720" w:val="left"/>
        </w:tabs>
        <w:numPr>
          <w:ilvl w:val="0"/>
          <w:numId w:val="2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to the extent that we issue a significant amount of equity or convertible debt securities in connection with future acquisitions, existing equity holders may be diluted and earnings per share may decrease; and</w:t>
      </w:r>
    </w:p>
    <w:p>
      <w:pPr>
        <w:ind w:left="720" w:hanging="366"/>
        <w:spacing w:after="0"/>
        <w:tabs>
          <w:tab w:leader="none" w:pos="720" w:val="left"/>
        </w:tabs>
        <w:numPr>
          <w:ilvl w:val="0"/>
          <w:numId w:val="2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managing the varying intellectual property protection strategies and other activities of an acquired company.</w:t>
      </w:r>
    </w:p>
    <w:p>
      <w:pPr>
        <w:spacing w:after="0" w:line="166" w:lineRule="exact"/>
        <w:rPr>
          <w:sz w:val="20"/>
          <w:szCs w:val="20"/>
          <w:color w:val="auto"/>
        </w:rPr>
      </w:pPr>
    </w:p>
    <w:p>
      <w:pPr>
        <w:jc w:val="both"/>
        <w:spacing w:after="0" w:line="301" w:lineRule="auto"/>
        <w:rPr>
          <w:sz w:val="20"/>
          <w:szCs w:val="20"/>
          <w:color w:val="auto"/>
        </w:rPr>
      </w:pPr>
      <w:r>
        <w:rPr>
          <w:rFonts w:ascii="Times New Roman" w:cs="Times New Roman" w:eastAsia="Times New Roman" w:hAnsi="Times New Roman"/>
          <w:sz w:val="20"/>
          <w:szCs w:val="20"/>
          <w:color w:val="auto"/>
        </w:rPr>
        <w:t>We may not succeed in addressing these or other risks or any other problems encountered in connection with the integration of any acquired business. The inability to integrate successfully the business, technologies, products, personnel or operations of any acquired business, or any significant delay in achieving integration, could have a material adverse effect on our business, operating results, financial condition and cash flows.</w:t>
      </w:r>
    </w:p>
    <w:p>
      <w:pPr>
        <w:spacing w:after="0" w:line="72" w:lineRule="exact"/>
        <w:rPr>
          <w:sz w:val="20"/>
          <w:szCs w:val="20"/>
          <w:color w:val="auto"/>
        </w:rPr>
      </w:pPr>
    </w:p>
    <w:p>
      <w:pPr>
        <w:jc w:val="both"/>
        <w:spacing w:after="0" w:line="332" w:lineRule="auto"/>
        <w:rPr>
          <w:sz w:val="20"/>
          <w:szCs w:val="20"/>
          <w:color w:val="auto"/>
        </w:rPr>
      </w:pPr>
      <w:r>
        <w:rPr>
          <w:rFonts w:ascii="Times New Roman" w:cs="Times New Roman" w:eastAsia="Times New Roman" w:hAnsi="Times New Roman"/>
          <w:sz w:val="20"/>
          <w:szCs w:val="20"/>
          <w:b w:val="1"/>
          <w:bCs w:val="1"/>
          <w:i w:val="1"/>
          <w:iCs w:val="1"/>
          <w:color w:val="auto"/>
        </w:rPr>
        <w:t>We may need to raise additional capital, which may not be available on favorable terms, if at all, causing dilution to our stockholders, restricting our operations or adversely affecting our ability to operate our business.</w:t>
      </w:r>
    </w:p>
    <w:p>
      <w:pPr>
        <w:spacing w:after="0" w:line="38" w:lineRule="exact"/>
        <w:rPr>
          <w:sz w:val="20"/>
          <w:szCs w:val="20"/>
          <w:color w:val="auto"/>
        </w:rPr>
      </w:pPr>
    </w:p>
    <w:p>
      <w:pPr>
        <w:jc w:val="both"/>
        <w:ind w:right="20"/>
        <w:spacing w:after="0" w:line="319" w:lineRule="auto"/>
        <w:rPr>
          <w:sz w:val="20"/>
          <w:szCs w:val="20"/>
          <w:color w:val="auto"/>
        </w:rPr>
      </w:pPr>
      <w:r>
        <w:rPr>
          <w:rFonts w:ascii="Times New Roman" w:cs="Times New Roman" w:eastAsia="Times New Roman" w:hAnsi="Times New Roman"/>
          <w:sz w:val="19"/>
          <w:szCs w:val="19"/>
          <w:color w:val="auto"/>
        </w:rPr>
        <w:t>In the course of running our business, we may need to raise capital, certain forms of which may cause dilution to our stockholders. If our need is due to unforeseen circumstances or material expenditures or if our operating results are worse than expected, then we cannot be certain that we will be able to obtain additional financing on favorable terms, if at all, and these additional financings could cause further dilution to our stockholders. Due to the current legal status of cannabis under U.S. federal law, we have</w:t>
      </w:r>
    </w:p>
    <w:p>
      <w:pPr>
        <w:spacing w:after="0" w:line="235"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20"/>
          <w:szCs w:val="20"/>
          <w:color w:val="auto"/>
        </w:rPr>
        <w:t>36</w:t>
      </w:r>
    </w:p>
    <w:p>
      <w:pPr>
        <w:sectPr>
          <w:pgSz w:w="12240" w:h="15840" w:orient="portrait"/>
          <w:cols w:equalWidth="0" w:num="1">
            <w:col w:w="10260"/>
          </w:cols>
          <w:pgMar w:left="1000" w:top="884" w:right="980" w:bottom="222" w:gutter="0" w:footer="0" w:header="0"/>
        </w:sectPr>
      </w:pPr>
    </w:p>
    <w:bookmarkStart w:id="40" w:name="page41"/>
    <w:bookmarkEnd w:id="40"/>
    <w:p>
      <w:pPr>
        <w:jc w:val="both"/>
        <w:spacing w:after="0" w:line="310" w:lineRule="auto"/>
        <w:rPr>
          <w:sz w:val="20"/>
          <w:szCs w:val="20"/>
          <w:color w:val="auto"/>
        </w:rPr>
      </w:pPr>
      <w:r>
        <w:rPr>
          <w:rFonts w:ascii="Times New Roman" w:cs="Times New Roman" w:eastAsia="Times New Roman" w:hAnsi="Times New Roman"/>
          <w:sz w:val="19"/>
          <w:szCs w:val="19"/>
          <w:color w:val="auto"/>
        </w:rPr>
        <w:t>experienced, and may in the future experience, difficulty attracting additional debt or equity financing. In addition, the current legal status of cannabis may increase the cost of capital now and in the future. Debt financing, if available, may involve agreements that include equity conversion rights, covenants limiting or restricting our ability to take specific actions, such as incurring additional debt, expending capital, or declaring dividends, or that impose financial covenants on us that limit our ability to achieve our business objectives. Debt financings may contain provisions, which, if breached, may entitle lenders to accelerate repayment of loans, and there is no assurance that we would be able to repay such loans in such an event or prevent the foreclosure of security interests granted pursuant to such debt financing. If we need but cannot raise additional capital on acceptable terms, then we may not be able to meet our business objectives, our stock price may fall, and you may lose some or all of your investment.</w:t>
      </w:r>
    </w:p>
    <w:p>
      <w:pPr>
        <w:spacing w:after="0" w:line="70" w:lineRule="exact"/>
        <w:rPr>
          <w:sz w:val="20"/>
          <w:szCs w:val="20"/>
          <w:color w:val="auto"/>
        </w:rPr>
      </w:pPr>
    </w:p>
    <w:p>
      <w:pPr>
        <w:jc w:val="both"/>
        <w:spacing w:after="0" w:line="332" w:lineRule="auto"/>
        <w:rPr>
          <w:sz w:val="20"/>
          <w:szCs w:val="20"/>
          <w:color w:val="auto"/>
        </w:rPr>
      </w:pPr>
      <w:r>
        <w:rPr>
          <w:rFonts w:ascii="Times New Roman" w:cs="Times New Roman" w:eastAsia="Times New Roman" w:hAnsi="Times New Roman"/>
          <w:sz w:val="20"/>
          <w:szCs w:val="20"/>
          <w:b w:val="1"/>
          <w:bCs w:val="1"/>
          <w:i w:val="1"/>
          <w:iCs w:val="1"/>
          <w:color w:val="auto"/>
        </w:rPr>
        <w:t>Our business and operating results may be harmed if we are deemed responsible for the collection and remittance of state sales taxes or other indirect taxes.</w:t>
      </w:r>
    </w:p>
    <w:p>
      <w:pPr>
        <w:spacing w:after="0" w:line="38" w:lineRule="exact"/>
        <w:rPr>
          <w:sz w:val="20"/>
          <w:szCs w:val="20"/>
          <w:color w:val="auto"/>
        </w:rPr>
      </w:pPr>
    </w:p>
    <w:p>
      <w:pPr>
        <w:jc w:val="both"/>
        <w:spacing w:after="0" w:line="291" w:lineRule="auto"/>
        <w:rPr>
          <w:sz w:val="20"/>
          <w:szCs w:val="20"/>
          <w:color w:val="auto"/>
        </w:rPr>
      </w:pPr>
      <w:r>
        <w:rPr>
          <w:rFonts w:ascii="Times New Roman" w:cs="Times New Roman" w:eastAsia="Times New Roman" w:hAnsi="Times New Roman"/>
          <w:sz w:val="20"/>
          <w:szCs w:val="20"/>
          <w:color w:val="auto"/>
        </w:rPr>
        <w:t>We do not collect sales and value-added tax as part of our client agreements in the United States or Canada, based on our determination that such tax is not applicable to our platform. Sales and use, value-added and similar tax laws and rates vary greatly by jurisdiction. If we are deemed an agent for the clients on our platform under state or other applicable tax law, we may be deemed responsible for collecting and remitting sales taxes directly to certain states or jurisdictions. It is possible that one or more states or other jurisdictions could seek to impose sales, use or other tax obligations on us with regard to the ordering functionality that we offer our clients. These taxes may be applicable to past sales. In addition, the U.S. Supreme Court’s ruling in South Dakota v. Wayfair that a U.S. state may require an online retailer with no in-state property or personnel to collect and remit sales tax on sales to the state’s residents may permit wider enforcement of sales tax collection requirements, which may increase the jurisdictions in which we may be required to collect and/or remit taxes. A successful assertion that we should be collecting sales, use or other taxes or remitting such taxes directly to states or other jurisdictions could result in substantial tax liabilities for past sales and additional administrative expenses and increase the cost of our products and solutions, which could harm our business and operating results.</w:t>
      </w:r>
    </w:p>
    <w:p>
      <w:pPr>
        <w:spacing w:after="0" w:line="83"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We may be subject to potential adverse tax consequences both domestically and in foreign jurisdictions.</w:t>
      </w:r>
    </w:p>
    <w:p>
      <w:pPr>
        <w:spacing w:after="0" w:line="164" w:lineRule="exact"/>
        <w:rPr>
          <w:sz w:val="20"/>
          <w:szCs w:val="20"/>
          <w:color w:val="auto"/>
        </w:rPr>
      </w:pPr>
    </w:p>
    <w:p>
      <w:pPr>
        <w:jc w:val="both"/>
        <w:spacing w:after="0" w:line="292" w:lineRule="auto"/>
        <w:rPr>
          <w:sz w:val="20"/>
          <w:szCs w:val="20"/>
          <w:color w:val="auto"/>
        </w:rPr>
      </w:pPr>
      <w:r>
        <w:rPr>
          <w:rFonts w:ascii="Times New Roman" w:cs="Times New Roman" w:eastAsia="Times New Roman" w:hAnsi="Times New Roman"/>
          <w:sz w:val="20"/>
          <w:szCs w:val="20"/>
          <w:color w:val="auto"/>
        </w:rPr>
        <w:t>We are subject to taxes, such as income, payroll, sales, use, value-added, property and goods and services taxes, in both the United States and various foreign jurisdictions. Our domestic and foreign tax liabilities are subject to various jurisdictional rules regarding the timing and allocation of revenue and expenses. Additionally, the amount of income taxes paid is subject to our interpretation of applicable tax laws in the jurisdictions in which we operate and to changes in tax laws. Significant judgment is required in determining our worldwide provision for income taxes and other tax liabilities. From time to time, we may be subject to income and non-income tax audits. While we believe we have complied with all applicable income tax laws, there can be no assurance that a governing tax authority will not have a different interpretation of the law and assess us with additional taxes. Should we be assessed with additional taxes, there could be a material adverse effect on our business, results of operations and financial condition. In addition, audits may require ongoing time and attention from our management, which could limit their ability to focus on other aspects of our business and impact our business in the future.</w:t>
      </w:r>
    </w:p>
    <w:p>
      <w:pPr>
        <w:spacing w:after="0" w:line="84"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Changes in accounting standards or other factors could negatively impact our future effective tax rate.</w:t>
      </w:r>
    </w:p>
    <w:p>
      <w:pPr>
        <w:spacing w:after="0" w:line="164" w:lineRule="exact"/>
        <w:rPr>
          <w:sz w:val="20"/>
          <w:szCs w:val="20"/>
          <w:color w:val="auto"/>
        </w:rPr>
      </w:pPr>
    </w:p>
    <w:p>
      <w:pPr>
        <w:jc w:val="both"/>
        <w:spacing w:after="0" w:line="296" w:lineRule="auto"/>
        <w:rPr>
          <w:sz w:val="20"/>
          <w:szCs w:val="20"/>
          <w:color w:val="auto"/>
        </w:rPr>
      </w:pPr>
      <w:r>
        <w:rPr>
          <w:rFonts w:ascii="Times New Roman" w:cs="Times New Roman" w:eastAsia="Times New Roman" w:hAnsi="Times New Roman"/>
          <w:sz w:val="20"/>
          <w:szCs w:val="20"/>
          <w:color w:val="auto"/>
        </w:rPr>
        <w:t>Our future effective tax rate may be affected by such factors as changes in tax laws, changing interpretation of existing laws or regulations, the impact of accounting for equity-based compensation, the impact of accounting for business combinations, changes in our international organization and changes in overall levels of income before tax. In addition, in the ordinary course of our global business, there are many intercompany transactions and calculations where the ultimate tax determination is uncertain. Although we believe that our tax estimates are reasonable, we cannot ensure that the final determination of tax audits or tax disputes will not be different from what is reflected in our historical income tax provisions and accruals.</w:t>
      </w:r>
    </w:p>
    <w:p>
      <w:pPr>
        <w:spacing w:after="0" w:line="78" w:lineRule="exact"/>
        <w:rPr>
          <w:sz w:val="20"/>
          <w:szCs w:val="20"/>
          <w:color w:val="auto"/>
        </w:rPr>
      </w:pPr>
    </w:p>
    <w:p>
      <w:pPr>
        <w:jc w:val="both"/>
        <w:spacing w:after="0" w:line="324" w:lineRule="auto"/>
        <w:rPr>
          <w:sz w:val="20"/>
          <w:szCs w:val="20"/>
          <w:color w:val="auto"/>
        </w:rPr>
      </w:pPr>
      <w:r>
        <w:rPr>
          <w:rFonts w:ascii="Times New Roman" w:cs="Times New Roman" w:eastAsia="Times New Roman" w:hAnsi="Times New Roman"/>
          <w:sz w:val="20"/>
          <w:szCs w:val="20"/>
          <w:b w:val="1"/>
          <w:bCs w:val="1"/>
          <w:i w:val="1"/>
          <w:iCs w:val="1"/>
          <w:color w:val="auto"/>
        </w:rPr>
        <w:t>Changes in tax laws or regulations and compliance in multiple jurisdictions may have a material adverse effect on our business, cash flow, financial condition or operating results.</w:t>
      </w:r>
    </w:p>
    <w:p>
      <w:pPr>
        <w:spacing w:after="0" w:line="47" w:lineRule="exact"/>
        <w:rPr>
          <w:sz w:val="20"/>
          <w:szCs w:val="20"/>
          <w:color w:val="auto"/>
        </w:rPr>
      </w:pPr>
    </w:p>
    <w:p>
      <w:pPr>
        <w:jc w:val="both"/>
        <w:spacing w:after="0" w:line="321" w:lineRule="auto"/>
        <w:rPr>
          <w:sz w:val="20"/>
          <w:szCs w:val="20"/>
          <w:color w:val="auto"/>
        </w:rPr>
      </w:pPr>
      <w:r>
        <w:rPr>
          <w:rFonts w:ascii="Times New Roman" w:cs="Times New Roman" w:eastAsia="Times New Roman" w:hAnsi="Times New Roman"/>
          <w:sz w:val="19"/>
          <w:szCs w:val="19"/>
          <w:color w:val="auto"/>
        </w:rPr>
        <w:t>We are subject to the income tax laws of the United States, Canada and several other foreign jurisdictions. New income, sales, use or other tax laws, statutes, rules, regulations, or ordinances could be enacted at any time, which could affect the tax treatment of our U.S. and foreign earnings. Any new taxes could adversely affect our domestic and foreign business operations and our business and financial performance. In addition, existing tax laws, statutes, rules, regulations, or ordinances, such as Section 280E</w:t>
      </w:r>
    </w:p>
    <w:p>
      <w:pPr>
        <w:spacing w:after="0" w:line="222"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20"/>
          <w:szCs w:val="20"/>
          <w:color w:val="auto"/>
        </w:rPr>
        <w:t>37</w:t>
      </w:r>
    </w:p>
    <w:p>
      <w:pPr>
        <w:sectPr>
          <w:pgSz w:w="12240" w:h="15840" w:orient="portrait"/>
          <w:cols w:equalWidth="0" w:num="1">
            <w:col w:w="10260"/>
          </w:cols>
          <w:pgMar w:left="1000" w:top="884" w:right="980" w:bottom="222" w:gutter="0" w:footer="0" w:header="0"/>
        </w:sectPr>
      </w:pPr>
    </w:p>
    <w:bookmarkStart w:id="41" w:name="page42"/>
    <w:bookmarkEnd w:id="41"/>
    <w:p>
      <w:pPr>
        <w:jc w:val="both"/>
        <w:ind w:right="20"/>
        <w:spacing w:after="0" w:line="301" w:lineRule="auto"/>
        <w:rPr>
          <w:sz w:val="20"/>
          <w:szCs w:val="20"/>
          <w:color w:val="auto"/>
        </w:rPr>
      </w:pPr>
      <w:r>
        <w:rPr>
          <w:rFonts w:ascii="Times New Roman" w:cs="Times New Roman" w:eastAsia="Times New Roman" w:hAnsi="Times New Roman"/>
          <w:sz w:val="20"/>
          <w:szCs w:val="20"/>
          <w:color w:val="auto"/>
        </w:rPr>
        <w:t>of the Code, discussed in this Annual Report on Form 10-K, could be interpreted, changed, modified or applied adversely to us. Furthermore, changes to the taxation of undistributed foreign earnings could change our future intentions regarding reinvestment of such earnings. The foregoing items could have a material adverse effect on our business, cash flow, financial condition or operating results.</w:t>
      </w:r>
    </w:p>
    <w:p>
      <w:pPr>
        <w:spacing w:after="0" w:line="70" w:lineRule="exact"/>
        <w:rPr>
          <w:sz w:val="20"/>
          <w:szCs w:val="20"/>
          <w:color w:val="auto"/>
        </w:rPr>
      </w:pPr>
    </w:p>
    <w:p>
      <w:pPr>
        <w:jc w:val="both"/>
        <w:spacing w:after="0" w:line="301" w:lineRule="auto"/>
        <w:rPr>
          <w:sz w:val="20"/>
          <w:szCs w:val="20"/>
          <w:color w:val="auto"/>
        </w:rPr>
      </w:pPr>
      <w:r>
        <w:rPr>
          <w:rFonts w:ascii="Times New Roman" w:cs="Times New Roman" w:eastAsia="Times New Roman" w:hAnsi="Times New Roman"/>
          <w:sz w:val="20"/>
          <w:szCs w:val="20"/>
          <w:color w:val="auto"/>
        </w:rPr>
        <w:t>Requirements as to taxation vary substantially among jurisdictions. Complying with the tax laws of these jurisdictions can be time consuming and expensive and could potentially subject us to penalties and fees in the future if we were to inadvertently fail to comply. If we were to inadvertently fail to comply with applicable tax laws, this could have a material adverse effect on our business, results of operations and financial condition.</w:t>
      </w:r>
    </w:p>
    <w:p>
      <w:pPr>
        <w:spacing w:after="0" w:line="72" w:lineRule="exact"/>
        <w:rPr>
          <w:sz w:val="20"/>
          <w:szCs w:val="20"/>
          <w:color w:val="auto"/>
        </w:rPr>
      </w:pPr>
    </w:p>
    <w:p>
      <w:pPr>
        <w:jc w:val="both"/>
        <w:spacing w:after="0" w:line="301" w:lineRule="auto"/>
        <w:rPr>
          <w:sz w:val="20"/>
          <w:szCs w:val="20"/>
          <w:color w:val="auto"/>
        </w:rPr>
      </w:pPr>
      <w:r>
        <w:rPr>
          <w:rFonts w:ascii="Times New Roman" w:cs="Times New Roman" w:eastAsia="Times New Roman" w:hAnsi="Times New Roman"/>
          <w:sz w:val="20"/>
          <w:szCs w:val="20"/>
          <w:b w:val="1"/>
          <w:bCs w:val="1"/>
          <w:i w:val="1"/>
          <w:iCs w:val="1"/>
          <w:color w:val="auto"/>
        </w:rPr>
        <w:t>We have identified a material weaknesses in our internal control over financial reporting as of December 31, 2023. If we are unable to remediate these material weaknesses or to develop and maintain an effective system of internal control over financial reporting, we may not be able to accurately report our financial results in a timely manner, which may adversely affect investor confidence in us and materially and adversely affect our business and operating results.</w:t>
      </w:r>
    </w:p>
    <w:p>
      <w:pPr>
        <w:spacing w:after="0" w:line="68" w:lineRule="exact"/>
        <w:rPr>
          <w:sz w:val="20"/>
          <w:szCs w:val="20"/>
          <w:color w:val="auto"/>
        </w:rPr>
      </w:pPr>
    </w:p>
    <w:p>
      <w:pPr>
        <w:jc w:val="both"/>
        <w:ind w:right="20"/>
        <w:spacing w:after="0" w:line="301" w:lineRule="auto"/>
        <w:rPr>
          <w:sz w:val="20"/>
          <w:szCs w:val="20"/>
          <w:color w:val="auto"/>
        </w:rPr>
      </w:pPr>
      <w:r>
        <w:rPr>
          <w:rFonts w:ascii="Times New Roman" w:cs="Times New Roman" w:eastAsia="Times New Roman" w:hAnsi="Times New Roman"/>
          <w:sz w:val="20"/>
          <w:szCs w:val="20"/>
          <w:color w:val="auto"/>
        </w:rPr>
        <w:t>A material weakness is a deficiency, or a combination of deficiencies, in internal control over financial reporting such that there is a reasonable possibility that a material misstatement of our annual or interim financial statements will not be prevented, or detected and corrected on a timely basis. Effective internal controls are necessary for us to provide reliable financial reports and prevent fraud.</w:t>
      </w:r>
    </w:p>
    <w:p>
      <w:pPr>
        <w:spacing w:after="0" w:line="70" w:lineRule="exact"/>
        <w:rPr>
          <w:sz w:val="20"/>
          <w:szCs w:val="20"/>
          <w:color w:val="auto"/>
        </w:rPr>
      </w:pPr>
    </w:p>
    <w:p>
      <w:pPr>
        <w:jc w:val="both"/>
        <w:ind w:right="20"/>
        <w:spacing w:after="0" w:line="297" w:lineRule="auto"/>
        <w:rPr>
          <w:sz w:val="20"/>
          <w:szCs w:val="20"/>
          <w:color w:val="auto"/>
        </w:rPr>
      </w:pPr>
      <w:r>
        <w:rPr>
          <w:rFonts w:ascii="Times New Roman" w:cs="Times New Roman" w:eastAsia="Times New Roman" w:hAnsi="Times New Roman"/>
          <w:sz w:val="20"/>
          <w:szCs w:val="20"/>
          <w:color w:val="auto"/>
        </w:rPr>
        <w:t>Under the supervision of and with the participation of our management, we assessed the effectiveness of our internal control over financial reporting as of December 31, 2023, using the criteria set forth by the Committee of Sponsoring Organizations of the Treadway Commission (COSO) in Internal Control — Integrated Framework (2013). Based on management’s assessment of our internal control over financial reporting, under the criteria described in the preceding sentence, management has identified material weaknesses in internal control during the year ended December 31, 2023.</w:t>
      </w:r>
    </w:p>
    <w:p>
      <w:pPr>
        <w:spacing w:after="0" w:line="74" w:lineRule="exact"/>
        <w:rPr>
          <w:sz w:val="20"/>
          <w:szCs w:val="20"/>
          <w:color w:val="auto"/>
        </w:rPr>
      </w:pPr>
    </w:p>
    <w:p>
      <w:pPr>
        <w:jc w:val="both"/>
        <w:ind w:right="20"/>
        <w:spacing w:after="0" w:line="294" w:lineRule="auto"/>
        <w:rPr>
          <w:sz w:val="20"/>
          <w:szCs w:val="20"/>
          <w:color w:val="auto"/>
        </w:rPr>
      </w:pPr>
      <w:r>
        <w:rPr>
          <w:rFonts w:ascii="Times New Roman" w:cs="Times New Roman" w:eastAsia="Times New Roman" w:hAnsi="Times New Roman"/>
          <w:sz w:val="20"/>
          <w:szCs w:val="20"/>
          <w:color w:val="auto"/>
        </w:rPr>
        <w:t>The material weakness related to the design and maintenance of effective process-level controls related to the order-to-cash cycle resulted in the misapplication of the Company’s revenue recognition policies related to the cash collection of a certain subset of its customers that had been placed on a cash basis and, in turn, the restatement of our unaudited condensed consolidated financial statements as of and for the three months ended March 31, 2023, six months ended June 30, 2023 and nine months ended September 30, 2023. Additionally, these material weaknesses could result in a misstatement of any account balances or disclosures that would result in a material misstatement to the annual or interim consolidated financial statements that would not be prevented or detected.</w:t>
      </w:r>
    </w:p>
    <w:p>
      <w:pPr>
        <w:spacing w:after="0" w:line="80" w:lineRule="exact"/>
        <w:rPr>
          <w:sz w:val="20"/>
          <w:szCs w:val="20"/>
          <w:color w:val="auto"/>
        </w:rPr>
      </w:pPr>
    </w:p>
    <w:p>
      <w:pPr>
        <w:jc w:val="both"/>
        <w:ind w:right="20"/>
        <w:spacing w:after="0" w:line="289" w:lineRule="auto"/>
        <w:rPr>
          <w:sz w:val="20"/>
          <w:szCs w:val="20"/>
          <w:color w:val="auto"/>
        </w:rPr>
      </w:pPr>
      <w:r>
        <w:rPr>
          <w:rFonts w:ascii="Times New Roman" w:cs="Times New Roman" w:eastAsia="Times New Roman" w:hAnsi="Times New Roman"/>
          <w:sz w:val="20"/>
          <w:szCs w:val="20"/>
          <w:color w:val="auto"/>
        </w:rPr>
        <w:t>See the section entitled “Item 9A. Controls and Procedures.” If we are unable to remediate these material weaknesses or to develop and maintain an effective system of internal control over financial reporting, we may not be able to accurately report our financial results in a timely manner, which may adversely affect investor confidence in us and materially and adversely affect our business and operating results.</w:t>
      </w:r>
    </w:p>
    <w:p>
      <w:pPr>
        <w:spacing w:after="0" w:line="73" w:lineRule="exact"/>
        <w:rPr>
          <w:sz w:val="20"/>
          <w:szCs w:val="20"/>
          <w:color w:val="auto"/>
        </w:rPr>
      </w:pPr>
    </w:p>
    <w:p>
      <w:pPr>
        <w:jc w:val="both"/>
        <w:spacing w:after="0" w:line="291" w:lineRule="auto"/>
        <w:rPr>
          <w:sz w:val="20"/>
          <w:szCs w:val="20"/>
          <w:color w:val="auto"/>
        </w:rPr>
      </w:pPr>
      <w:r>
        <w:rPr>
          <w:rFonts w:ascii="Times New Roman" w:cs="Times New Roman" w:eastAsia="Times New Roman" w:hAnsi="Times New Roman"/>
          <w:sz w:val="20"/>
          <w:szCs w:val="20"/>
          <w:color w:val="auto"/>
        </w:rPr>
        <w:t>Management has been implementing and continues to implement measures to remediate the material weaknesses. However, until the remediation plan is implemented, tested, and deemed effective, we cannot assure that our actions will adequately remediate the material weaknesses or that additional material weaknesses in our internal controls will not be identified in the future. Additionally, these remediation measures may be time consuming and costly and there is no assurance that these initiatives will ultimately have the intended effects. For example, in the year ended December 31, 2022, we identified a material weakness in internal control related to ineffective information technology general controls in the areas of user access and program change-management over certain information technology systems that support our financial reporting processes. We took measures to remediate this material weakness and our remediation efforts concluded as of June 30, 2023 when it was affirmed such measures had been implemented. However, as of July 2023, administrative access to the sandbox environment where development activities take place was extended to users with administrative access to the production environment, thereby negating the remediation efforts taken. This access was not subject to our monthly monitoring control activity and persisted through the remainder of the year ended December 31, 2023.</w:t>
      </w:r>
    </w:p>
    <w:p>
      <w:pPr>
        <w:spacing w:after="0" w:line="81" w:lineRule="exact"/>
        <w:rPr>
          <w:sz w:val="20"/>
          <w:szCs w:val="20"/>
          <w:color w:val="auto"/>
        </w:rPr>
      </w:pPr>
    </w:p>
    <w:p>
      <w:pPr>
        <w:jc w:val="both"/>
        <w:spacing w:after="0" w:line="334" w:lineRule="auto"/>
        <w:rPr>
          <w:sz w:val="20"/>
          <w:szCs w:val="20"/>
          <w:color w:val="auto"/>
        </w:rPr>
      </w:pPr>
      <w:r>
        <w:rPr>
          <w:rFonts w:ascii="Times New Roman" w:cs="Times New Roman" w:eastAsia="Times New Roman" w:hAnsi="Times New Roman"/>
          <w:sz w:val="20"/>
          <w:szCs w:val="20"/>
          <w:color w:val="auto"/>
        </w:rPr>
        <w:t>If we identify any new material weaknesses in the future, any such newly identified material weakness could limit our ability to prevent or detect a misstatement of our accounts or disclosures that could result in a material misstatement of our annual or</w:t>
      </w:r>
    </w:p>
    <w:p>
      <w:pPr>
        <w:spacing w:after="0" w:line="246"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20"/>
          <w:szCs w:val="20"/>
          <w:color w:val="auto"/>
        </w:rPr>
        <w:t>38</w:t>
      </w:r>
    </w:p>
    <w:p>
      <w:pPr>
        <w:sectPr>
          <w:pgSz w:w="12240" w:h="15840" w:orient="portrait"/>
          <w:cols w:equalWidth="0" w:num="1">
            <w:col w:w="10260"/>
          </w:cols>
          <w:pgMar w:left="1000" w:top="884" w:right="980" w:bottom="222" w:gutter="0" w:footer="0" w:header="0"/>
        </w:sectPr>
      </w:pPr>
    </w:p>
    <w:bookmarkStart w:id="42" w:name="page43"/>
    <w:bookmarkEnd w:id="42"/>
    <w:p>
      <w:pPr>
        <w:jc w:val="both"/>
        <w:spacing w:after="0" w:line="293" w:lineRule="auto"/>
        <w:rPr>
          <w:sz w:val="20"/>
          <w:szCs w:val="20"/>
          <w:color w:val="auto"/>
        </w:rPr>
      </w:pPr>
      <w:r>
        <w:rPr>
          <w:rFonts w:ascii="Times New Roman" w:cs="Times New Roman" w:eastAsia="Times New Roman" w:hAnsi="Times New Roman"/>
          <w:sz w:val="20"/>
          <w:szCs w:val="20"/>
          <w:color w:val="auto"/>
        </w:rPr>
        <w:t>interim financial statements. In such case, we may be unable to maintain compliance with securities law requirements regarding timely filing of periodic reports in addition to applicable stock exchange listing requirements. As a result, investors may lose confidence in the accuracy and completeness of our financial reporting, access to capital markets and perceptions of our creditworthiness could be adversely affected and our stock price may decline as a result. Also, the existence of any current or future material weakness could require management to devote significant time and incur significant expense to remediate any such material weakness, and management may not be able to remediate any such material weakness in a timely manner, or at all. These events could have a material and adverse effect on our business, operating results, financial condition and prospects. We cannot assure you that the measures we have taken to date, or any measures we may take in the future, will be sufficient to avoid potential future material weaknesses.</w:t>
      </w:r>
    </w:p>
    <w:p>
      <w:pPr>
        <w:spacing w:after="0" w:line="81" w:lineRule="exact"/>
        <w:rPr>
          <w:sz w:val="20"/>
          <w:szCs w:val="20"/>
          <w:color w:val="auto"/>
        </w:rPr>
      </w:pPr>
    </w:p>
    <w:p>
      <w:pPr>
        <w:jc w:val="both"/>
        <w:spacing w:after="0" w:line="305" w:lineRule="auto"/>
        <w:rPr>
          <w:sz w:val="20"/>
          <w:szCs w:val="20"/>
          <w:color w:val="auto"/>
        </w:rPr>
      </w:pPr>
      <w:r>
        <w:rPr>
          <w:rFonts w:ascii="Times New Roman" w:cs="Times New Roman" w:eastAsia="Times New Roman" w:hAnsi="Times New Roman"/>
          <w:sz w:val="20"/>
          <w:szCs w:val="20"/>
          <w:b w:val="1"/>
          <w:bCs w:val="1"/>
          <w:i w:val="1"/>
          <w:iCs w:val="1"/>
          <w:color w:val="auto"/>
        </w:rPr>
        <w:t>The restatement of our prior quarterly financial statements may affect investor confidence and raise reputational issues and may subject us to additional risks and uncertainties, including increased professional costs and the increased possibility of legal proceedings and regulatory inquiries</w:t>
      </w:r>
    </w:p>
    <w:p>
      <w:pPr>
        <w:spacing w:after="0" w:line="7" w:lineRule="exact"/>
        <w:rPr>
          <w:sz w:val="20"/>
          <w:szCs w:val="20"/>
          <w:color w:val="auto"/>
        </w:rPr>
      </w:pPr>
    </w:p>
    <w:p>
      <w:pPr>
        <w:jc w:val="both"/>
        <w:spacing w:after="0" w:line="292" w:lineRule="auto"/>
        <w:rPr>
          <w:sz w:val="20"/>
          <w:szCs w:val="20"/>
          <w:color w:val="auto"/>
        </w:rPr>
      </w:pPr>
      <w:r>
        <w:rPr>
          <w:rFonts w:ascii="Times New Roman" w:cs="Times New Roman" w:eastAsia="Times New Roman" w:hAnsi="Times New Roman"/>
          <w:sz w:val="20"/>
          <w:szCs w:val="20"/>
          <w:color w:val="auto"/>
        </w:rPr>
        <w:t>As discussed in the Explanatory Note preceding Part I, Item I above and in Note 2 to our consolidated financial statements included elsewhere in this Annual Report on Form 10-K, we determined to restate our unaudited condensed consolidated financial statements as of and for the three months ended March 31, 2023, six months ended June 30, 2023 and nine months ended September 30, 2023 after we identified errors in the application of our revenue recognition policies related to the cash collection of a certain subset of our customers that had been placed on a cash basis. As a result of this error and the resulting restatement of our unaudited condensed consolidated financial statements for the impacted periods, we have incurred, and may continue to incur, unanticipated costs for accounting and legal fees in connection with or related to the restatement, and have become subject to a number of additional risks and uncertainties, including the increased possibility of litigation and regulatory inquiries. Any of the foregoing may affect investor confidence in the accuracy of our financial disclosures and may raise reputational risks for our business, both of which could harm our business and financial results.</w:t>
      </w:r>
    </w:p>
    <w:p>
      <w:pPr>
        <w:spacing w:after="0" w:line="8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Risks Related to Our Organizational Structure</w:t>
      </w:r>
    </w:p>
    <w:p>
      <w:pPr>
        <w:spacing w:after="0" w:line="172" w:lineRule="exact"/>
        <w:rPr>
          <w:sz w:val="20"/>
          <w:szCs w:val="20"/>
          <w:color w:val="auto"/>
        </w:rPr>
      </w:pPr>
    </w:p>
    <w:p>
      <w:pPr>
        <w:ind w:right="280"/>
        <w:spacing w:after="0" w:line="307" w:lineRule="auto"/>
        <w:rPr>
          <w:sz w:val="20"/>
          <w:szCs w:val="20"/>
          <w:color w:val="auto"/>
        </w:rPr>
      </w:pPr>
      <w:r>
        <w:rPr>
          <w:rFonts w:ascii="Times New Roman" w:cs="Times New Roman" w:eastAsia="Times New Roman" w:hAnsi="Times New Roman"/>
          <w:sz w:val="20"/>
          <w:szCs w:val="20"/>
          <w:i w:val="1"/>
          <w:iCs w:val="1"/>
          <w:color w:val="auto"/>
        </w:rPr>
        <w:t>In this discussion of risks related to our organizational structure, references to “we,” “us” and “our” generally refer to WM Technology Inc.</w:t>
      </w:r>
    </w:p>
    <w:p>
      <w:pPr>
        <w:spacing w:after="0" w:line="180" w:lineRule="exact"/>
        <w:rPr>
          <w:sz w:val="20"/>
          <w:szCs w:val="20"/>
          <w:color w:val="auto"/>
        </w:rPr>
      </w:pPr>
    </w:p>
    <w:p>
      <w:pPr>
        <w:jc w:val="both"/>
        <w:ind w:right="20"/>
        <w:spacing w:after="0" w:line="308" w:lineRule="auto"/>
        <w:rPr>
          <w:sz w:val="20"/>
          <w:szCs w:val="20"/>
          <w:color w:val="auto"/>
        </w:rPr>
      </w:pPr>
      <w:r>
        <w:rPr>
          <w:rFonts w:ascii="Times New Roman" w:cs="Times New Roman" w:eastAsia="Times New Roman" w:hAnsi="Times New Roman"/>
          <w:sz w:val="20"/>
          <w:szCs w:val="20"/>
          <w:b w:val="1"/>
          <w:bCs w:val="1"/>
          <w:i w:val="1"/>
          <w:iCs w:val="1"/>
          <w:color w:val="auto"/>
        </w:rPr>
        <w:t>We are a holding company and our only material asset is our interest in WMH LLC, and we are accordingly dependent upon distributions made by WMH LLC and its subsidiaries to pay taxes, make payments under the tax receivable agreement and pay dividends.</w:t>
      </w:r>
    </w:p>
    <w:p>
      <w:pPr>
        <w:spacing w:after="0" w:line="63" w:lineRule="exact"/>
        <w:rPr>
          <w:sz w:val="20"/>
          <w:szCs w:val="20"/>
          <w:color w:val="auto"/>
        </w:rPr>
      </w:pPr>
    </w:p>
    <w:p>
      <w:pPr>
        <w:jc w:val="both"/>
        <w:spacing w:after="0" w:line="310" w:lineRule="auto"/>
        <w:rPr>
          <w:sz w:val="20"/>
          <w:szCs w:val="20"/>
          <w:color w:val="auto"/>
        </w:rPr>
      </w:pPr>
      <w:r>
        <w:rPr>
          <w:rFonts w:ascii="Times New Roman" w:cs="Times New Roman" w:eastAsia="Times New Roman" w:hAnsi="Times New Roman"/>
          <w:sz w:val="19"/>
          <w:szCs w:val="19"/>
          <w:color w:val="auto"/>
        </w:rPr>
        <w:t>We are a holding company with no material assets other than our ownership of units of WMH LLC (“WMH Units”) and our managing member interest in WMH LLC. As a result, we have no independent means of generating revenue or cash flow. Our ability to pay taxes, make payments under the tax receivable agreement (the “TRA”) and pay dividends will depend on the financial results and cash flows of WMH LLC and its subsidiaries and the distributions we receive from WMH LLC. Deterioration in the financial condition, earnings or cash flow of WMH LLC and its subsidiaries for any reason could limit or impair WMH LLC’s ability to pay such distributions. Additionally, to the extent that we need funds and WMH LLC and/or any of its subsidiaries are restricted from making such distributions under applicable law or regulation or under the terms of any financing arrangements, or WMH LLC is otherwise unable to provide such funds, it could materially adversely affect our liquidity and financial condition.</w:t>
      </w:r>
    </w:p>
    <w:p>
      <w:pPr>
        <w:spacing w:after="0" w:line="68" w:lineRule="exact"/>
        <w:rPr>
          <w:sz w:val="20"/>
          <w:szCs w:val="20"/>
          <w:color w:val="auto"/>
        </w:rPr>
      </w:pPr>
    </w:p>
    <w:p>
      <w:pPr>
        <w:jc w:val="both"/>
        <w:spacing w:after="0" w:line="309" w:lineRule="auto"/>
        <w:rPr>
          <w:sz w:val="20"/>
          <w:szCs w:val="20"/>
          <w:color w:val="auto"/>
        </w:rPr>
      </w:pPr>
      <w:r>
        <w:rPr>
          <w:rFonts w:ascii="Times New Roman" w:cs="Times New Roman" w:eastAsia="Times New Roman" w:hAnsi="Times New Roman"/>
          <w:sz w:val="19"/>
          <w:szCs w:val="19"/>
          <w:color w:val="auto"/>
        </w:rPr>
        <w:t>WMH LLC will continue to be treated as a partnership for U.S. federal income tax purposes and, as such, generally will not be subject to any entity-level U.S. federal income tax. Instead, WMH LLC’s taxable income will be allocated to holders of WMH Units, including us. Accordingly, we will be required to pay income taxes on our allocable share of any net taxable income of WMH LLC. Under the terms of the amended operating agreement, WMH LLC is obligated to make tax distributions to holders of WMH Units (including us) calculated at certain assumed tax rates. In addition to tax expenses, we will also incur expenses related to our operations, including payment obligations under the TRA agreement (and the cost of administering such payment obligations), which could be significant. We intend to cause WMH LLC to make distributions to holders of WMH Units in amounts sufficient to cover all applicable taxes (calculated at assumed tax rates), relevant operating expenses, payments under the TRA and dividends, if any, declared by us. However, as discussed below, WMH LLC’s ability to make such distributions may be subject to various limitations and restrictions including, but not limited to, restrictions on distributions that would either violate any contract or agreement to which WMH LLC is then a party, including debt agreements, or any applicable law, or that would</w:t>
      </w:r>
    </w:p>
    <w:p>
      <w:pPr>
        <w:spacing w:after="0" w:line="31"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20"/>
          <w:szCs w:val="20"/>
          <w:color w:val="auto"/>
        </w:rPr>
        <w:t>39</w:t>
      </w:r>
    </w:p>
    <w:p>
      <w:pPr>
        <w:sectPr>
          <w:pgSz w:w="12240" w:h="15840" w:orient="portrait"/>
          <w:cols w:equalWidth="0" w:num="1">
            <w:col w:w="10260"/>
          </w:cols>
          <w:pgMar w:left="1000" w:top="884" w:right="980" w:bottom="222" w:gutter="0" w:footer="0" w:header="0"/>
        </w:sectPr>
      </w:pPr>
    </w:p>
    <w:bookmarkStart w:id="43" w:name="page44"/>
    <w:bookmarkEnd w:id="43"/>
    <w:p>
      <w:pPr>
        <w:jc w:val="both"/>
        <w:spacing w:after="0" w:line="296" w:lineRule="auto"/>
        <w:rPr>
          <w:sz w:val="20"/>
          <w:szCs w:val="20"/>
          <w:color w:val="auto"/>
        </w:rPr>
      </w:pPr>
      <w:r>
        <w:rPr>
          <w:rFonts w:ascii="Times New Roman" w:cs="Times New Roman" w:eastAsia="Times New Roman" w:hAnsi="Times New Roman"/>
          <w:sz w:val="20"/>
          <w:szCs w:val="20"/>
          <w:color w:val="auto"/>
        </w:rPr>
        <w:t>have the effect of rendering WMH LLC insolvent. If our cash resources are insufficient to meet our obligations under the TRA and to fund our obligations, we may be required to incur additional indebtedness to provide the liquidity needed to make such payments, which could materially adversely affect our liquidity and financial condition and subject us to various restrictions imposed by any such lenders. To the extent that we are unable to make payments under the TRA for any reason, such payments will be deferred and will accrue interest until paid; provided, however, that nonpayment for a specified period may constitute a material breach of a material obligation under the TRA and therefore accelerate payments due under the TRA.</w:t>
      </w:r>
    </w:p>
    <w:p>
      <w:pPr>
        <w:spacing w:after="0" w:line="76" w:lineRule="exact"/>
        <w:rPr>
          <w:sz w:val="20"/>
          <w:szCs w:val="20"/>
          <w:color w:val="auto"/>
        </w:rPr>
      </w:pPr>
    </w:p>
    <w:p>
      <w:pPr>
        <w:jc w:val="both"/>
        <w:spacing w:after="0" w:line="301" w:lineRule="auto"/>
        <w:rPr>
          <w:sz w:val="20"/>
          <w:szCs w:val="20"/>
          <w:color w:val="auto"/>
        </w:rPr>
      </w:pPr>
      <w:r>
        <w:rPr>
          <w:rFonts w:ascii="Times New Roman" w:cs="Times New Roman" w:eastAsia="Times New Roman" w:hAnsi="Times New Roman"/>
          <w:sz w:val="20"/>
          <w:szCs w:val="20"/>
          <w:color w:val="auto"/>
        </w:rPr>
        <w:t>Additionally, although WMH LLC generally will not be subject to any entity-level U.S. federal income tax, it may be liable under the Code and related guidance for adjustments to its tax return, absent an election to the contrary. In the event WMH LLC’s calculations of taxable income are incorrect, its members, including us, in later years may be subject to material liabilities pursuant to these provisions.</w:t>
      </w:r>
    </w:p>
    <w:p>
      <w:pPr>
        <w:spacing w:after="0" w:line="70" w:lineRule="exact"/>
        <w:rPr>
          <w:sz w:val="20"/>
          <w:szCs w:val="20"/>
          <w:color w:val="auto"/>
        </w:rPr>
      </w:pPr>
    </w:p>
    <w:p>
      <w:pPr>
        <w:jc w:val="both"/>
        <w:spacing w:after="0" w:line="292" w:lineRule="auto"/>
        <w:rPr>
          <w:sz w:val="20"/>
          <w:szCs w:val="20"/>
          <w:color w:val="auto"/>
        </w:rPr>
      </w:pPr>
      <w:r>
        <w:rPr>
          <w:rFonts w:ascii="Times New Roman" w:cs="Times New Roman" w:eastAsia="Times New Roman" w:hAnsi="Times New Roman"/>
          <w:sz w:val="20"/>
          <w:szCs w:val="20"/>
          <w:color w:val="auto"/>
        </w:rPr>
        <w:t>Dividends on our Class A Common Stock, if any, will be paid at the discretion of our board of directors, which will consider, among other things, our business, operating results, financial condition, current and expected cash needs, plans for expansion and any legal or contractual limitations on its ability to pay such dividends. Financing arrangements may include restrictive covenants that restrict our ability to pay dividends or make other distributions to our stockholders. In addition, WMH LLC is generally prohibited under Delaware law from making a distribution to a member to the extent that, at the time of the distribution, after giving effect to the distribution, the liabilities of WMH LLC (with certain exceptions) exceed the fair value of its assets. WMH LLC’s subsidiaries are generally subject to similar legal limitations on their ability to make distributions to WMH LLC. If WMH LLC does not have sufficient funds to make distributions, our ability to declare and pay cash dividends may also be restricted or impaired.</w:t>
      </w:r>
    </w:p>
    <w:p>
      <w:pPr>
        <w:spacing w:after="0" w:line="83" w:lineRule="exact"/>
        <w:rPr>
          <w:sz w:val="20"/>
          <w:szCs w:val="20"/>
          <w:color w:val="auto"/>
        </w:rPr>
      </w:pPr>
    </w:p>
    <w:p>
      <w:pPr>
        <w:jc w:val="both"/>
        <w:ind w:right="20"/>
        <w:spacing w:after="0" w:line="332" w:lineRule="auto"/>
        <w:rPr>
          <w:sz w:val="20"/>
          <w:szCs w:val="20"/>
          <w:color w:val="auto"/>
        </w:rPr>
      </w:pPr>
      <w:r>
        <w:rPr>
          <w:rFonts w:ascii="Times New Roman" w:cs="Times New Roman" w:eastAsia="Times New Roman" w:hAnsi="Times New Roman"/>
          <w:sz w:val="20"/>
          <w:szCs w:val="20"/>
          <w:b w:val="1"/>
          <w:bCs w:val="1"/>
          <w:i w:val="1"/>
          <w:iCs w:val="1"/>
          <w:color w:val="auto"/>
        </w:rPr>
        <w:t>In certain circumstances, WMH LLC will be required to make distributions to us and the other holders of WMH Units, and the distributions that WMH LLC will be required to make may be substantial.</w:t>
      </w:r>
    </w:p>
    <w:p>
      <w:pPr>
        <w:spacing w:after="0" w:line="39" w:lineRule="exact"/>
        <w:rPr>
          <w:sz w:val="20"/>
          <w:szCs w:val="20"/>
          <w:color w:val="auto"/>
        </w:rPr>
      </w:pPr>
    </w:p>
    <w:p>
      <w:pPr>
        <w:jc w:val="both"/>
        <w:spacing w:after="0" w:line="290" w:lineRule="auto"/>
        <w:rPr>
          <w:sz w:val="20"/>
          <w:szCs w:val="20"/>
          <w:color w:val="auto"/>
        </w:rPr>
      </w:pPr>
      <w:r>
        <w:rPr>
          <w:rFonts w:ascii="Times New Roman" w:cs="Times New Roman" w:eastAsia="Times New Roman" w:hAnsi="Times New Roman"/>
          <w:sz w:val="20"/>
          <w:szCs w:val="20"/>
          <w:color w:val="auto"/>
        </w:rPr>
        <w:t>As discussed above, WMH LLC will generally be required from time to time to make pro rata distributions in cash to us and the other holders of WMH Units at certain assumed tax rates in amounts that are intended to be sufficient to cover the taxes on our and the other WMH equity holders’ respective allocable shares of the taxable income of WMH LLC. As a result of (i) potential differences in the amount of net taxable income allocable to us and the other holders of WMH Units, (ii) the lower tax rate applicable to corporations than individuals and (iii) the use of an assumed tax rate (based on the tax rate applicable to individuals) in calculating WMH LLC’s distribution obligations, we may receive tax distributions significantly in excess of our tax liabilities and obligations to make payments under the TRA. We will determine in our sole discretion the appropriate uses for any excess cash so accumulated, which may include, among other uses, dividends, the payment of obligations under the TRA and the payment of other expenses. We will have no obligation to distribute such excess cash (or other available cash other than any declared dividend) to the holders of Class A Common Stock. No adjustments to the redemption or exchange ratio of WMH Units for shares of Class A Common Stock will be made as a result of either (i) any cash dividend by us or (ii) any cash that we retain and do not distribute to our stockholders. To the extent that we do not distribute such excess cash as dividends on Class A Common Stock and instead, for example, hold such cash balances or lend them to WMH LLC, other holders of WMH Units would benefit from any value attributable to such cash balances as a result of their ownership of Class A Common Stock following a redemption or exchange of their WMH Units.</w:t>
      </w:r>
    </w:p>
    <w:p>
      <w:pPr>
        <w:spacing w:after="0" w:line="89" w:lineRule="exact"/>
        <w:rPr>
          <w:sz w:val="20"/>
          <w:szCs w:val="20"/>
          <w:color w:val="auto"/>
        </w:rPr>
      </w:pPr>
    </w:p>
    <w:p>
      <w:pPr>
        <w:jc w:val="both"/>
        <w:ind w:right="20"/>
        <w:spacing w:after="0" w:line="332" w:lineRule="auto"/>
        <w:rPr>
          <w:sz w:val="20"/>
          <w:szCs w:val="20"/>
          <w:color w:val="auto"/>
        </w:rPr>
      </w:pPr>
      <w:r>
        <w:rPr>
          <w:rFonts w:ascii="Times New Roman" w:cs="Times New Roman" w:eastAsia="Times New Roman" w:hAnsi="Times New Roman"/>
          <w:sz w:val="20"/>
          <w:szCs w:val="20"/>
          <w:b w:val="1"/>
          <w:bCs w:val="1"/>
          <w:i w:val="1"/>
          <w:iCs w:val="1"/>
          <w:color w:val="auto"/>
        </w:rPr>
        <w:t>We will be required to pay the WMH LLC Class A equity holders and any other persons that become parties to the tax receivable agreement for certain tax benefits we may receive and the amounts payable may be substantial.</w:t>
      </w:r>
    </w:p>
    <w:p>
      <w:pPr>
        <w:spacing w:after="0" w:line="39" w:lineRule="exact"/>
        <w:rPr>
          <w:sz w:val="20"/>
          <w:szCs w:val="20"/>
          <w:color w:val="auto"/>
        </w:rPr>
      </w:pPr>
    </w:p>
    <w:p>
      <w:pPr>
        <w:jc w:val="both"/>
        <w:spacing w:after="0" w:line="301" w:lineRule="auto"/>
        <w:rPr>
          <w:sz w:val="20"/>
          <w:szCs w:val="20"/>
          <w:color w:val="auto"/>
        </w:rPr>
      </w:pPr>
      <w:r>
        <w:rPr>
          <w:rFonts w:ascii="Times New Roman" w:cs="Times New Roman" w:eastAsia="Times New Roman" w:hAnsi="Times New Roman"/>
          <w:sz w:val="20"/>
          <w:szCs w:val="20"/>
          <w:color w:val="auto"/>
        </w:rPr>
        <w:t>Acquisitions by us of Legacy WMH common units in the Business Combination and subsequent taxable redemptions or exchanges of Class A units representing limited liability company interests of WMH LLC (the “Class A Units”) by the WMH LLC equity holders for shares of Class A Common Stock or cash pursuant to the exchange agreement have resulted, and are expected to continue to result in, favorable tax attributes for us.</w:t>
      </w:r>
    </w:p>
    <w:p>
      <w:pPr>
        <w:spacing w:after="0" w:line="70" w:lineRule="exact"/>
        <w:rPr>
          <w:sz w:val="20"/>
          <w:szCs w:val="20"/>
          <w:color w:val="auto"/>
        </w:rPr>
      </w:pPr>
    </w:p>
    <w:p>
      <w:pPr>
        <w:jc w:val="both"/>
        <w:spacing w:after="0" w:line="316" w:lineRule="auto"/>
        <w:rPr>
          <w:sz w:val="20"/>
          <w:szCs w:val="20"/>
          <w:color w:val="auto"/>
        </w:rPr>
      </w:pPr>
      <w:r>
        <w:rPr>
          <w:rFonts w:ascii="Times New Roman" w:cs="Times New Roman" w:eastAsia="Times New Roman" w:hAnsi="Times New Roman"/>
          <w:sz w:val="19"/>
          <w:szCs w:val="19"/>
          <w:color w:val="auto"/>
        </w:rPr>
        <w:t>In connection with the Business Combination, we entered into the TRA with WMH Class A equity holders and their representative. Under the TRA, we generally are required to pay to the WMH LLC Class A equity holders, in the aggregate, 85% of the amount of cash savings, if any, in U.S. federal, state and local income tax or franchise tax that we actually realize as a result of (i) increases to the tax basis of WMH LLC’s assets resulting from acquisitions by us of Legacy WMH common units for cash in the Business Combination and taxable redemptions or exchanges of Class A Units for shares of Class A Common Stock or</w:t>
      </w:r>
    </w:p>
    <w:p>
      <w:pPr>
        <w:spacing w:after="0" w:line="67"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20"/>
          <w:szCs w:val="20"/>
          <w:color w:val="auto"/>
        </w:rPr>
        <w:t>40</w:t>
      </w:r>
    </w:p>
    <w:p>
      <w:pPr>
        <w:sectPr>
          <w:pgSz w:w="12240" w:h="15840" w:orient="portrait"/>
          <w:cols w:equalWidth="0" w:num="1">
            <w:col w:w="10260"/>
          </w:cols>
          <w:pgMar w:left="1000" w:top="884" w:right="980" w:bottom="222" w:gutter="0" w:footer="0" w:header="0"/>
        </w:sectPr>
      </w:pPr>
    </w:p>
    <w:bookmarkStart w:id="44" w:name="page45"/>
    <w:bookmarkEnd w:id="44"/>
    <w:p>
      <w:pPr>
        <w:jc w:val="both"/>
        <w:ind w:left="6" w:right="20"/>
        <w:spacing w:after="0" w:line="326" w:lineRule="auto"/>
        <w:rPr>
          <w:sz w:val="20"/>
          <w:szCs w:val="20"/>
          <w:color w:val="auto"/>
        </w:rPr>
      </w:pPr>
      <w:r>
        <w:rPr>
          <w:rFonts w:ascii="Times New Roman" w:cs="Times New Roman" w:eastAsia="Times New Roman" w:hAnsi="Times New Roman"/>
          <w:sz w:val="20"/>
          <w:szCs w:val="20"/>
          <w:color w:val="auto"/>
        </w:rPr>
        <w:t>cash pursuant to the exchange agreement, (ii) tax benefits related to imputed interest or (iii) tax attributes resulting from payments made under the TRA. The payment obligations under the TRA are our obligations and not obligations of WMH LLC.</w:t>
      </w:r>
    </w:p>
    <w:p>
      <w:pPr>
        <w:spacing w:after="0" w:line="45" w:lineRule="exact"/>
        <w:rPr>
          <w:sz w:val="20"/>
          <w:szCs w:val="20"/>
          <w:color w:val="auto"/>
        </w:rPr>
      </w:pPr>
    </w:p>
    <w:p>
      <w:pPr>
        <w:jc w:val="both"/>
        <w:ind w:left="6"/>
        <w:spacing w:after="0" w:line="294" w:lineRule="auto"/>
        <w:rPr>
          <w:sz w:val="20"/>
          <w:szCs w:val="20"/>
          <w:color w:val="auto"/>
        </w:rPr>
      </w:pPr>
      <w:r>
        <w:rPr>
          <w:rFonts w:ascii="Times New Roman" w:cs="Times New Roman" w:eastAsia="Times New Roman" w:hAnsi="Times New Roman"/>
          <w:sz w:val="20"/>
          <w:szCs w:val="20"/>
          <w:color w:val="auto"/>
        </w:rPr>
        <w:t>The payments we will be required to make under the TRA may be substantial. Potential payments will depend on the future tax savings that we will be realize (or, in certain circumstances, are deemed to realize), and the TRA payments made by us will be calculated based in part on the market value of the Class A Common Stock at the time of each redemption or exchange under the exchange agreement and the prevailing applicable tax rates applicable to us over the life of the TRA and will depend on us generating sufficient taxable income to realize the tax benefits that are subject to the TRA. Payments under the TRA are not conditioned on the WMH LLC Class A equity holders’ continued ownership of us. See Note 16, “Income Taxes,” to our consolidated financial statements included herein.</w:t>
      </w:r>
    </w:p>
    <w:p>
      <w:pPr>
        <w:spacing w:after="0" w:line="82" w:lineRule="exact"/>
        <w:rPr>
          <w:sz w:val="20"/>
          <w:szCs w:val="20"/>
          <w:color w:val="auto"/>
        </w:rPr>
      </w:pPr>
    </w:p>
    <w:p>
      <w:pPr>
        <w:jc w:val="both"/>
        <w:ind w:left="6" w:right="20"/>
        <w:spacing w:after="0" w:line="332" w:lineRule="auto"/>
        <w:rPr>
          <w:sz w:val="20"/>
          <w:szCs w:val="20"/>
          <w:color w:val="auto"/>
        </w:rPr>
      </w:pPr>
      <w:r>
        <w:rPr>
          <w:rFonts w:ascii="Times New Roman" w:cs="Times New Roman" w:eastAsia="Times New Roman" w:hAnsi="Times New Roman"/>
          <w:sz w:val="20"/>
          <w:szCs w:val="20"/>
          <w:b w:val="1"/>
          <w:bCs w:val="1"/>
          <w:i w:val="1"/>
          <w:iCs w:val="1"/>
          <w:color w:val="auto"/>
        </w:rPr>
        <w:t>In certain cases, payments under the tax receivable agreement may be accelerated and/or significantly exceed the actual benefits we realize in respect of the tax attributes subject to the tax receivable agreement.</w:t>
      </w:r>
    </w:p>
    <w:p>
      <w:pPr>
        <w:spacing w:after="0" w:line="38" w:lineRule="exact"/>
        <w:rPr>
          <w:sz w:val="20"/>
          <w:szCs w:val="20"/>
          <w:color w:val="auto"/>
        </w:rPr>
      </w:pPr>
    </w:p>
    <w:p>
      <w:pPr>
        <w:jc w:val="both"/>
        <w:ind w:left="6"/>
        <w:spacing w:after="0" w:line="295" w:lineRule="auto"/>
        <w:rPr>
          <w:sz w:val="20"/>
          <w:szCs w:val="20"/>
          <w:color w:val="auto"/>
        </w:rPr>
      </w:pPr>
      <w:r>
        <w:rPr>
          <w:rFonts w:ascii="Times New Roman" w:cs="Times New Roman" w:eastAsia="Times New Roman" w:hAnsi="Times New Roman"/>
          <w:sz w:val="20"/>
          <w:szCs w:val="20"/>
          <w:color w:val="auto"/>
        </w:rPr>
        <w:t>Payments under the TRA will be based on the tax reporting positions we determine, and the U.S. Internal Revenue Service (“IRS”) or another tax authority may challenge all or a part of the existing tax basis, tax basis increases, or other tax attributes subject to the TRA, and a court could sustain such challenge. The parties to the TRA will not reimburse us for any payments previously made if such tax basis, or other tax benefits are subsequently disallowed, except that any excess payments made to a party under the TRA will be netted against future payments otherwise to be made under the TRA, if any, after the determination of such excess.</w:t>
      </w:r>
    </w:p>
    <w:p>
      <w:pPr>
        <w:spacing w:after="0" w:line="75" w:lineRule="exact"/>
        <w:rPr>
          <w:sz w:val="20"/>
          <w:szCs w:val="20"/>
          <w:color w:val="auto"/>
        </w:rPr>
      </w:pPr>
    </w:p>
    <w:p>
      <w:pPr>
        <w:jc w:val="both"/>
        <w:ind w:left="6"/>
        <w:spacing w:after="0" w:line="304" w:lineRule="auto"/>
        <w:rPr>
          <w:sz w:val="20"/>
          <w:szCs w:val="20"/>
          <w:color w:val="auto"/>
        </w:rPr>
      </w:pPr>
      <w:r>
        <w:rPr>
          <w:rFonts w:ascii="Times New Roman" w:cs="Times New Roman" w:eastAsia="Times New Roman" w:hAnsi="Times New Roman"/>
          <w:sz w:val="19"/>
          <w:szCs w:val="19"/>
          <w:color w:val="auto"/>
        </w:rPr>
        <w:t>In addition, the TRA provides that if (1) we breach any of our material obligations under the TRA (including in the event that we are more than three months late making a payment that is due under the TRA, except in the case of certain liquidity exceptions)</w:t>
      </w:r>
    </w:p>
    <w:p>
      <w:pPr>
        <w:spacing w:after="0" w:line="1" w:lineRule="exact"/>
        <w:rPr>
          <w:sz w:val="20"/>
          <w:szCs w:val="20"/>
          <w:color w:val="auto"/>
        </w:rPr>
      </w:pPr>
    </w:p>
    <w:p>
      <w:pPr>
        <w:jc w:val="both"/>
        <w:ind w:left="6" w:hanging="6"/>
        <w:spacing w:after="0" w:line="303" w:lineRule="auto"/>
        <w:tabs>
          <w:tab w:leader="none" w:pos="294" w:val="left"/>
        </w:tabs>
        <w:numPr>
          <w:ilvl w:val="0"/>
          <w:numId w:val="30"/>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we are subject to certain bankruptcy, insolvency or similar proceedings, or (3) at any time, we elect an early termination of the TRA, our obligations under the TRA (with respect to all Class A Units, whether or not such units have been exchanged or redeemed before or after such transaction) would accelerate and become payable in a lump sum amount equal to the present value of the anticipated future tax benefits calculated based on certain assumptions, including that we would have sufficient taxable income to fully utilize the deductions arising from the tax deductions, tax basis and other tax attributes subject to the TRA. The TRA also provides that, upon certain mergers, asset sales or other forms of business combination, or certain other changes of control, (x) our obligations under the TRA with respect to Class A Units that have been exchanged or redeemed prior to or in connection with such change of control transaction would accelerate and become payable in a lump sum as described above and</w:t>
      </w:r>
    </w:p>
    <w:p>
      <w:pPr>
        <w:spacing w:after="0" w:line="3" w:lineRule="exact"/>
        <w:rPr>
          <w:rFonts w:ascii="Times New Roman" w:cs="Times New Roman" w:eastAsia="Times New Roman" w:hAnsi="Times New Roman"/>
          <w:sz w:val="19"/>
          <w:szCs w:val="19"/>
          <w:color w:val="auto"/>
        </w:rPr>
      </w:pPr>
    </w:p>
    <w:p>
      <w:pPr>
        <w:jc w:val="both"/>
        <w:ind w:left="6"/>
        <w:spacing w:after="0" w:line="294" w:lineRule="auto"/>
        <w:rPr>
          <w:rFonts w:ascii="Times New Roman" w:cs="Times New Roman" w:eastAsia="Times New Roman" w:hAnsi="Times New Roman"/>
          <w:sz w:val="19"/>
          <w:szCs w:val="19"/>
          <w:color w:val="auto"/>
        </w:rPr>
      </w:pPr>
      <w:r>
        <w:rPr>
          <w:rFonts w:ascii="Times New Roman" w:cs="Times New Roman" w:eastAsia="Times New Roman" w:hAnsi="Times New Roman"/>
          <w:sz w:val="20"/>
          <w:szCs w:val="20"/>
          <w:color w:val="auto"/>
        </w:rPr>
        <w:t>(y) with respect to Class A Units that have not been exchanged as of such change of control transaction, our or our successor’s obligations under the TRA would be based on certain assumptions, including that we or our successor would have sufficient taxable income to fully utilize the increased tax deductions and tax basis and other benefits covered by the TRA As a result, upon any acceleration of our obligations under the TRA (including upon a change of control), we could be required to make payments under the TRA that are greater than 85% of our actual cash tax savings, which could negatively impact our liquidity. The change of control provisions in the TRA may also result in situations where the WMH LLC Class A equity holders have interests that differ from or are in addition to those of the holders of our Class A Common Stock.</w:t>
      </w:r>
    </w:p>
    <w:p>
      <w:pPr>
        <w:spacing w:after="0" w:line="80" w:lineRule="exact"/>
        <w:rPr>
          <w:sz w:val="20"/>
          <w:szCs w:val="20"/>
          <w:color w:val="auto"/>
        </w:rPr>
      </w:pPr>
    </w:p>
    <w:p>
      <w:pPr>
        <w:jc w:val="both"/>
        <w:ind w:left="6"/>
        <w:spacing w:after="0" w:line="301" w:lineRule="auto"/>
        <w:rPr>
          <w:sz w:val="20"/>
          <w:szCs w:val="20"/>
          <w:color w:val="auto"/>
        </w:rPr>
      </w:pPr>
      <w:r>
        <w:rPr>
          <w:rFonts w:ascii="Times New Roman" w:cs="Times New Roman" w:eastAsia="Times New Roman" w:hAnsi="Times New Roman"/>
          <w:sz w:val="20"/>
          <w:szCs w:val="20"/>
          <w:color w:val="auto"/>
        </w:rPr>
        <w:t>Finally, because we are a holding company with no operations of our own, our ability to make payments under the TRA depends on the ability of WMH LLC to make distributions to us. To the extent that we are unable to make payments under the TRA for any reason, such payments will be deferred and will accrue interest until paid, which could negatively impact our results of operations and could also affect our liquidity in periods in which such payments are made.</w:t>
      </w:r>
    </w:p>
    <w:p>
      <w:pPr>
        <w:spacing w:after="0" w:line="68" w:lineRule="exact"/>
        <w:rPr>
          <w:sz w:val="20"/>
          <w:szCs w:val="20"/>
          <w:color w:val="auto"/>
        </w:rPr>
      </w:pPr>
    </w:p>
    <w:p>
      <w:pPr>
        <w:ind w:left="6"/>
        <w:spacing w:after="0"/>
        <w:rPr>
          <w:sz w:val="20"/>
          <w:szCs w:val="20"/>
          <w:color w:val="auto"/>
        </w:rPr>
      </w:pPr>
      <w:r>
        <w:rPr>
          <w:rFonts w:ascii="Times New Roman" w:cs="Times New Roman" w:eastAsia="Times New Roman" w:hAnsi="Times New Roman"/>
          <w:sz w:val="20"/>
          <w:szCs w:val="20"/>
          <w:b w:val="1"/>
          <w:bCs w:val="1"/>
          <w:color w:val="auto"/>
        </w:rPr>
        <w:t>Additional Risks Related to the Cannabis Industry</w:t>
      </w:r>
    </w:p>
    <w:p>
      <w:pPr>
        <w:spacing w:after="0" w:line="170" w:lineRule="exact"/>
        <w:rPr>
          <w:sz w:val="20"/>
          <w:szCs w:val="20"/>
          <w:color w:val="auto"/>
        </w:rPr>
      </w:pPr>
    </w:p>
    <w:p>
      <w:pPr>
        <w:jc w:val="both"/>
        <w:ind w:left="6"/>
        <w:spacing w:after="0" w:line="324" w:lineRule="auto"/>
        <w:rPr>
          <w:sz w:val="20"/>
          <w:szCs w:val="20"/>
          <w:color w:val="auto"/>
        </w:rPr>
      </w:pPr>
      <w:r>
        <w:rPr>
          <w:rFonts w:ascii="Times New Roman" w:cs="Times New Roman" w:eastAsia="Times New Roman" w:hAnsi="Times New Roman"/>
          <w:sz w:val="20"/>
          <w:szCs w:val="20"/>
          <w:b w:val="1"/>
          <w:bCs w:val="1"/>
          <w:i w:val="1"/>
          <w:iCs w:val="1"/>
          <w:color w:val="auto"/>
        </w:rPr>
        <w:t>Cannabis remains prohibited under federal law, and therefore, strict enforcement of federal laws regarding cannabis would likely result in our inability to execute our business plan.</w:t>
      </w:r>
    </w:p>
    <w:p>
      <w:pPr>
        <w:spacing w:after="0" w:line="47" w:lineRule="exact"/>
        <w:rPr>
          <w:sz w:val="20"/>
          <w:szCs w:val="20"/>
          <w:color w:val="auto"/>
        </w:rPr>
      </w:pPr>
    </w:p>
    <w:p>
      <w:pPr>
        <w:jc w:val="both"/>
        <w:ind w:left="6"/>
        <w:spacing w:after="0" w:line="316" w:lineRule="auto"/>
        <w:rPr>
          <w:sz w:val="20"/>
          <w:szCs w:val="20"/>
          <w:color w:val="auto"/>
        </w:rPr>
      </w:pPr>
      <w:r>
        <w:rPr>
          <w:rFonts w:ascii="Times New Roman" w:cs="Times New Roman" w:eastAsia="Times New Roman" w:hAnsi="Times New Roman"/>
          <w:sz w:val="19"/>
          <w:szCs w:val="19"/>
          <w:color w:val="auto"/>
        </w:rPr>
        <w:t xml:space="preserve">Cannabis, other than hemp (defined by the U.S. government as </w:t>
      </w:r>
      <w:r>
        <w:rPr>
          <w:rFonts w:ascii="Times New Roman" w:cs="Times New Roman" w:eastAsia="Times New Roman" w:hAnsi="Times New Roman"/>
          <w:sz w:val="19"/>
          <w:szCs w:val="19"/>
          <w:i w:val="1"/>
          <w:iCs w:val="1"/>
          <w:color w:val="auto"/>
        </w:rPr>
        <w:t>Cannabis sativa</w:t>
      </w:r>
      <w:r>
        <w:rPr>
          <w:rFonts w:ascii="Times New Roman" w:cs="Times New Roman" w:eastAsia="Times New Roman" w:hAnsi="Times New Roman"/>
          <w:sz w:val="19"/>
          <w:szCs w:val="19"/>
          <w:color w:val="auto"/>
        </w:rPr>
        <w:t xml:space="preserve"> L. with a THC concentration of not more than 0.3% on a dry weight basis), is a prohibited controlled substance under the CSA. Even in states or territories that have legalized cannabis to some extent, the cultivation, possession and sale of cannabis all violate the CSA and are punishable by imprisonment, substantial fines and forfeiture. Moreover, individuals and entities may violate federal law if they aid and abet another in violating the CSA, or conspire with another to violate the law, and violating the CSA is a predicate for certain other crimes, including</w:t>
      </w:r>
    </w:p>
    <w:p>
      <w:pPr>
        <w:spacing w:after="0" w:line="226" w:lineRule="exact"/>
        <w:rPr>
          <w:sz w:val="20"/>
          <w:szCs w:val="20"/>
          <w:color w:val="auto"/>
        </w:rPr>
      </w:pPr>
    </w:p>
    <w:p>
      <w:pPr>
        <w:jc w:val="center"/>
        <w:ind w:right="14"/>
        <w:spacing w:after="0"/>
        <w:rPr>
          <w:sz w:val="20"/>
          <w:szCs w:val="20"/>
          <w:color w:val="auto"/>
        </w:rPr>
      </w:pPr>
      <w:r>
        <w:rPr>
          <w:rFonts w:ascii="Times New Roman" w:cs="Times New Roman" w:eastAsia="Times New Roman" w:hAnsi="Times New Roman"/>
          <w:sz w:val="20"/>
          <w:szCs w:val="20"/>
          <w:color w:val="auto"/>
        </w:rPr>
        <w:t>41</w:t>
      </w:r>
    </w:p>
    <w:p>
      <w:pPr>
        <w:sectPr>
          <w:pgSz w:w="12240" w:h="15840" w:orient="portrait"/>
          <w:cols w:equalWidth="0" w:num="1">
            <w:col w:w="10266"/>
          </w:cols>
          <w:pgMar w:left="994" w:top="884" w:right="980" w:bottom="222" w:gutter="0" w:footer="0" w:header="0"/>
        </w:sectPr>
      </w:pPr>
    </w:p>
    <w:bookmarkStart w:id="45" w:name="page46"/>
    <w:bookmarkEnd w:id="45"/>
    <w:p>
      <w:pPr>
        <w:jc w:val="both"/>
        <w:spacing w:after="0" w:line="294" w:lineRule="auto"/>
        <w:rPr>
          <w:sz w:val="20"/>
          <w:szCs w:val="20"/>
          <w:color w:val="auto"/>
        </w:rPr>
      </w:pPr>
      <w:r>
        <w:rPr>
          <w:rFonts w:ascii="Times New Roman" w:cs="Times New Roman" w:eastAsia="Times New Roman" w:hAnsi="Times New Roman"/>
          <w:sz w:val="20"/>
          <w:szCs w:val="20"/>
          <w:color w:val="auto"/>
        </w:rPr>
        <w:t>money laundering laws and the Racketeer Influenced and Corrupt Organizations Act. The U.S. Supreme Court has ruled that the federal government has the authority to regulate and criminalize the sale, possession and use of cannabis, even for individual medical purposes, regardless of whether it is legal under state law. Since 2014, however, the U.S. government has not prioritized the enforcement of those laws against cannabis companies complying with state law and their vendors. No reversal of that policy of prosecutorial discretion is expected under a Biden administration given his actions on cannabis to date, and statements of Attorney General Merrick Garland discussed further below, although prosecutions against state-legal entities cannot be ruled out entirely at this time.</w:t>
      </w:r>
    </w:p>
    <w:p>
      <w:pPr>
        <w:spacing w:after="0" w:line="80" w:lineRule="exact"/>
        <w:rPr>
          <w:sz w:val="20"/>
          <w:szCs w:val="20"/>
          <w:color w:val="auto"/>
        </w:rPr>
      </w:pPr>
    </w:p>
    <w:p>
      <w:pPr>
        <w:jc w:val="both"/>
        <w:spacing w:after="0" w:line="291" w:lineRule="auto"/>
        <w:rPr>
          <w:sz w:val="20"/>
          <w:szCs w:val="20"/>
          <w:color w:val="auto"/>
        </w:rPr>
      </w:pPr>
      <w:r>
        <w:rPr>
          <w:rFonts w:ascii="Times New Roman" w:cs="Times New Roman" w:eastAsia="Times New Roman" w:hAnsi="Times New Roman"/>
          <w:sz w:val="20"/>
          <w:szCs w:val="20"/>
          <w:color w:val="auto"/>
        </w:rPr>
        <w:t>On January 4, 2018, then U.S. Attorney General Jeff Sessions issued a memorandum for all U.S. Attorneys (the “Sessions Memo”) rescinding certain past DOJ memoranda on cannabis law enforcement, including the Memorandum by former Deputy Attorney General James Michael Cole (the “Cole Memo”) issued on August 29, 2013, under the Obama administration. Describing the criminal enforcement of federal cannabis prohibitions against those complying with state cannabis regulatory systems as an inefficient use of federal investigative and prosecutorial resources, the Cole Memo gave federal prosecutors discretion not to prosecute state law compliant cannabis companies in states that were regulating cannabis, unless one or more of eight federal priorities were implicated, including use of cannabis by minors, violence, or the use of federal lands for cultivation. The Sessions Memo, which remains in effect, states that each U.S. Attorney’s Office should follow established principles that govern all federal prosecutions when deciding which cannabis activities to prosecute. As a result, federal prosecutors could and still can use their prosecutorial discretion to decide to prosecute even state legal cannabis activities. Since the Sessions Memo was issued over five years ago, however, U.S. Attorneys have generally not prioritized the targeting of state law compliant entities. In March 2023, Attorney General Merrick Garland testified in a Congressional hearing that the Department of Justice was continuing its work on a new memorandum regarding cannabis enforcement. Garland stated that the policy will be "very close to what was done in the Cole memorandum" but was yet to be finalized. Though no official timeline has been announced, industry participants expect such a memorandum to be issued in 2024.</w:t>
      </w:r>
    </w:p>
    <w:p>
      <w:pPr>
        <w:spacing w:after="0" w:line="80" w:lineRule="exact"/>
        <w:rPr>
          <w:sz w:val="20"/>
          <w:szCs w:val="20"/>
          <w:color w:val="auto"/>
        </w:rPr>
      </w:pPr>
    </w:p>
    <w:p>
      <w:pPr>
        <w:jc w:val="both"/>
        <w:spacing w:after="0" w:line="292" w:lineRule="auto"/>
        <w:rPr>
          <w:sz w:val="20"/>
          <w:szCs w:val="20"/>
          <w:color w:val="auto"/>
        </w:rPr>
      </w:pPr>
      <w:r>
        <w:rPr>
          <w:rFonts w:ascii="Times New Roman" w:cs="Times New Roman" w:eastAsia="Times New Roman" w:hAnsi="Times New Roman"/>
          <w:sz w:val="20"/>
          <w:szCs w:val="20"/>
          <w:color w:val="auto"/>
        </w:rPr>
        <w:t>We cannot assure that each U.S. Attorney’s Office in each judicial district where we operate will not choose to enforce federal laws governing cannabis sales against state-legal companies like our business clients. The basis for the federal government’s lack of recent enforcement with respect to the cannabis industry extends beyond the strong public sentiment and ongoing prosecutorial discretion. Since 2014, versions of the U.S. omnibus spending bill have included a provision prohibiting the DOJ, which includes the DEA, from using appropriated funds to prevent states from implementing their medical-use cannabis laws (formerly known as the Rohrabacher-Bluemnauer Amendment, and now known as the Joyce Amendment). In 2021, President Joe Biden became the first president to propose a budget with the Joyce amendment included. The amendment most recently was renewed through the signing of the stopgap spending bill. While the Joyce Amendment has continuously been renewed since its inception with little fanfare, there is no assurance that Congress will approve inclusion of a similar prohibition on DOJ spending in future appropriations bills.</w:t>
      </w:r>
    </w:p>
    <w:p>
      <w:pPr>
        <w:spacing w:after="0" w:line="82" w:lineRule="exact"/>
        <w:rPr>
          <w:sz w:val="20"/>
          <w:szCs w:val="20"/>
          <w:color w:val="auto"/>
        </w:rPr>
      </w:pPr>
    </w:p>
    <w:p>
      <w:pPr>
        <w:jc w:val="both"/>
        <w:spacing w:after="0" w:line="307" w:lineRule="auto"/>
        <w:rPr>
          <w:sz w:val="20"/>
          <w:szCs w:val="20"/>
          <w:color w:val="auto"/>
        </w:rPr>
      </w:pPr>
      <w:r>
        <w:rPr>
          <w:rFonts w:ascii="Times New Roman" w:cs="Times New Roman" w:eastAsia="Times New Roman" w:hAnsi="Times New Roman"/>
          <w:sz w:val="19"/>
          <w:szCs w:val="19"/>
          <w:color w:val="auto"/>
        </w:rPr>
        <w:t xml:space="preserve">In </w:t>
      </w:r>
      <w:r>
        <w:rPr>
          <w:rFonts w:ascii="Times New Roman" w:cs="Times New Roman" w:eastAsia="Times New Roman" w:hAnsi="Times New Roman"/>
          <w:sz w:val="19"/>
          <w:szCs w:val="19"/>
          <w:i w:val="1"/>
          <w:iCs w:val="1"/>
          <w:color w:val="auto"/>
        </w:rPr>
        <w:t>USA vs. McIntosh</w:t>
      </w:r>
      <w:r>
        <w:rPr>
          <w:rFonts w:ascii="Times New Roman" w:cs="Times New Roman" w:eastAsia="Times New Roman" w:hAnsi="Times New Roman"/>
          <w:sz w:val="19"/>
          <w:szCs w:val="19"/>
          <w:color w:val="auto"/>
        </w:rPr>
        <w:t>, the U.S. Court of Appeals for the Ninth Circuit held that the provision prohibits the DOJ from spending funds to prosecute individuals who engage in conduct permitted by state medical-use cannabis laws and who strictly comply with such laws. The court noted that, if the spending bill provision were not continued, prosecutors could enforce against conduct occurring during the statute of limitations even while the provision was previously in force. Other courts that have considered the issue have ruled similarly, although courts disagree about which party bears the burden of proof of showing compliance or noncompliance with state law. Our policies do not prohibit our state-licensed cannabis retailers from engaging in the cannabis business for adult use that is permissible under state and local laws. Consequently, certain of our retailers currently (and may in the future) sell adult-use cannabis, if permitted by such state and local laws now or in the future, and therefore may be outside any protections extended to medical-use cannabis under the spending bill provision. This could subject our clients to greater and/or different federal legal and other risks as compared to businesses where cannabis is sold exclusively for medical use, which could in turn materially adversely affect our business. Furthermore, any change in the federal government’s enforcement posture with respect to state licensed cannabis sales, including the enforcement postures of individual federal prosecutors in judicial districts where we operate, would result in our inability to execute our business plan, and we would likely suffer significant losses with respect to client base, which would adversely affect our operations, cash flow and financial condition.</w:t>
      </w:r>
    </w:p>
    <w:p>
      <w:pPr>
        <w:spacing w:after="0" w:line="69" w:lineRule="exact"/>
        <w:rPr>
          <w:sz w:val="20"/>
          <w:szCs w:val="20"/>
          <w:color w:val="auto"/>
        </w:rPr>
      </w:pPr>
    </w:p>
    <w:p>
      <w:pPr>
        <w:jc w:val="both"/>
        <w:spacing w:after="0" w:line="356" w:lineRule="auto"/>
        <w:rPr>
          <w:sz w:val="20"/>
          <w:szCs w:val="20"/>
          <w:color w:val="auto"/>
        </w:rPr>
      </w:pPr>
      <w:r>
        <w:rPr>
          <w:rFonts w:ascii="Times New Roman" w:cs="Times New Roman" w:eastAsia="Times New Roman" w:hAnsi="Times New Roman"/>
          <w:sz w:val="19"/>
          <w:szCs w:val="19"/>
          <w:color w:val="auto"/>
        </w:rPr>
        <w:t>Additionally, financial transactions involving proceeds generated by cannabis-related conduct can form the basis for prosecution under the federal money laundering statutes, unlicensed money transmitter statutes and the Bank Secrecy Act of 1970, as amended</w:t>
      </w:r>
    </w:p>
    <w:p>
      <w:pPr>
        <w:spacing w:after="0" w:line="116"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20"/>
          <w:szCs w:val="20"/>
          <w:color w:val="auto"/>
        </w:rPr>
        <w:t>42</w:t>
      </w:r>
    </w:p>
    <w:p>
      <w:pPr>
        <w:sectPr>
          <w:pgSz w:w="12240" w:h="15840" w:orient="portrait"/>
          <w:cols w:equalWidth="0" w:num="1">
            <w:col w:w="10260"/>
          </w:cols>
          <w:pgMar w:left="1000" w:top="884" w:right="980" w:bottom="222" w:gutter="0" w:footer="0" w:header="0"/>
        </w:sectPr>
      </w:pPr>
    </w:p>
    <w:bookmarkStart w:id="46" w:name="page47"/>
    <w:bookmarkEnd w:id="46"/>
    <w:p>
      <w:pPr>
        <w:jc w:val="both"/>
        <w:spacing w:after="0" w:line="314" w:lineRule="auto"/>
        <w:rPr>
          <w:sz w:val="20"/>
          <w:szCs w:val="20"/>
          <w:color w:val="auto"/>
        </w:rPr>
      </w:pPr>
      <w:r>
        <w:rPr>
          <w:rFonts w:ascii="Times New Roman" w:cs="Times New Roman" w:eastAsia="Times New Roman" w:hAnsi="Times New Roman"/>
          <w:sz w:val="19"/>
          <w:szCs w:val="19"/>
          <w:color w:val="auto"/>
        </w:rPr>
        <w:t>(the “Bank Secrecy Act”). The penalties for violation of these laws include imprisonment, substantial fines and forfeiture. Prior to the DOJ’s rescission of the Cole Memo, supplemental guidance from the DOJ issued under the Obama Administration directed federal prosecutors to consider the federal enforcement priorities enumerated in the Cole Memo when determining whether to charge institutions or individuals with any of the financial crimes described above based upon cannabis-related activity. With the rescission of the Cole Memo, there is increased uncertainty and added risk that federal law enforcement authorities could seek to pursue money laundering charges against entities or individuals engaged in supporting the cannabis industry.</w:t>
      </w:r>
    </w:p>
    <w:p>
      <w:pPr>
        <w:spacing w:after="0" w:line="63" w:lineRule="exact"/>
        <w:rPr>
          <w:sz w:val="20"/>
          <w:szCs w:val="20"/>
          <w:color w:val="auto"/>
        </w:rPr>
      </w:pPr>
    </w:p>
    <w:p>
      <w:pPr>
        <w:jc w:val="both"/>
        <w:spacing w:after="0" w:line="294" w:lineRule="auto"/>
        <w:rPr>
          <w:sz w:val="20"/>
          <w:szCs w:val="20"/>
          <w:color w:val="auto"/>
        </w:rPr>
      </w:pPr>
      <w:r>
        <w:rPr>
          <w:rFonts w:ascii="Times New Roman" w:cs="Times New Roman" w:eastAsia="Times New Roman" w:hAnsi="Times New Roman"/>
          <w:sz w:val="20"/>
          <w:szCs w:val="20"/>
          <w:color w:val="auto"/>
        </w:rPr>
        <w:t>Federal prosecutors have significant discretion and no assurance can be given that the federal prosecutor in each judicial district where we operate will not choose to strictly enforce the federal laws governing cannabis production or distribution. Any change in the federal government’s enforcement posture with respect to state-licensed cultivation of cannabis, including the enforcement postures of individual federal prosecutors in judicial districts where we operate, would result in our inability to execute our business plan, and we would likely suffer significant losses with respect to our investment in cannabis facilities in the United States. Furthermore, following any such change in the federal government’s enforcement position, we could be subject to prosecution, which could lead to imprisonment and/or the imposition of penalties, fines, or forfeiture.</w:t>
      </w:r>
    </w:p>
    <w:p>
      <w:pPr>
        <w:spacing w:after="0" w:line="80" w:lineRule="exact"/>
        <w:rPr>
          <w:sz w:val="20"/>
          <w:szCs w:val="20"/>
          <w:color w:val="auto"/>
        </w:rPr>
      </w:pPr>
    </w:p>
    <w:p>
      <w:pPr>
        <w:jc w:val="both"/>
        <w:spacing w:after="0" w:line="306" w:lineRule="auto"/>
        <w:rPr>
          <w:sz w:val="20"/>
          <w:szCs w:val="20"/>
          <w:color w:val="auto"/>
        </w:rPr>
      </w:pPr>
      <w:r>
        <w:rPr>
          <w:rFonts w:ascii="Times New Roman" w:cs="Times New Roman" w:eastAsia="Times New Roman" w:hAnsi="Times New Roman"/>
          <w:sz w:val="19"/>
          <w:szCs w:val="19"/>
          <w:color w:val="auto"/>
        </w:rPr>
        <w:t>During his campaign, President Biden promised federal reform on cannabis, including decriminalization generally. In 2022, President Biden signed into law the “Medical Marijuana and Cannabidiol Research Expansion Act,” a bill aimed at easing restrictions on cannabis research -- bipartisan legislation which is the first standalone cannabis reform bill to pass both the House and Senate. Additionally, on October 6, 2022, President Biden issued a presidential proclamation pardoning federal convictions for simple marijuana possession offenses, encouraging state governors to do the same on the state level where permissible, and requesting that the Secretary of Health and Human Services (“HHS”) and the Attorney General initiate an administrative process to review cannabis’s Schedule I classification under the CSA. On August 29, 2023, HHS issued a letter to the DEA recommending that cannabis be reclassified as a Schedule III controlled substance under the CSA. On May 16, 2024, President Biden announced that the U.S. Attorney General initiated proceedings to transfer cannabis from Schedule I to Schedule III, through an NPRM published on May 21, 2024. This is a momentous change whose full implications are currently unknown. The DEA’s decision to reclassify cannabis would neither legalize nor likely eliminate current state cannabis programs. If placed under Schedule III, cannabis will remain a controlled substance and state-legal programs will continue to operate outside of federally legal channels in their distribution of the substance particularly because no state operator holds a DEA registration to possess or distribute cannabis. However, some fear that the DEA or FDA may impose additional requirements or begin to target enforcement of state cannabis programs. If our clients are ultimately negatively impacted by rescheduling, we would likely be unable to execute our business plan, and our business and financial results would be adversely affected.</w:t>
      </w:r>
    </w:p>
    <w:p>
      <w:pPr>
        <w:spacing w:after="0" w:line="79" w:lineRule="exact"/>
        <w:rPr>
          <w:sz w:val="20"/>
          <w:szCs w:val="20"/>
          <w:color w:val="auto"/>
        </w:rPr>
      </w:pPr>
    </w:p>
    <w:p>
      <w:pPr>
        <w:jc w:val="both"/>
        <w:spacing w:after="0" w:line="301" w:lineRule="auto"/>
        <w:rPr>
          <w:sz w:val="20"/>
          <w:szCs w:val="20"/>
          <w:color w:val="auto"/>
        </w:rPr>
      </w:pPr>
      <w:r>
        <w:rPr>
          <w:rFonts w:ascii="Times New Roman" w:cs="Times New Roman" w:eastAsia="Times New Roman" w:hAnsi="Times New Roman"/>
          <w:sz w:val="20"/>
          <w:szCs w:val="20"/>
          <w:color w:val="auto"/>
        </w:rPr>
        <w:t>Additionally, although the current U.S. Attorney General is expected to issue policy guidance to federal prosecutors that they should not interfere with cannabis businesses operating in compliance with states’ laws, any such guidance would not have the force of law, and could not be enforced by the courts. The President alone cannot legalize medical cannabis, and as states have demonstrated, legalizing medical cannabis can take many different forms.</w:t>
      </w:r>
    </w:p>
    <w:p>
      <w:pPr>
        <w:spacing w:after="0" w:line="70" w:lineRule="exact"/>
        <w:rPr>
          <w:sz w:val="20"/>
          <w:szCs w:val="20"/>
          <w:color w:val="auto"/>
        </w:rPr>
      </w:pPr>
    </w:p>
    <w:p>
      <w:pPr>
        <w:jc w:val="both"/>
        <w:spacing w:after="0" w:line="307" w:lineRule="auto"/>
        <w:rPr>
          <w:sz w:val="20"/>
          <w:szCs w:val="20"/>
          <w:color w:val="auto"/>
        </w:rPr>
      </w:pPr>
      <w:r>
        <w:rPr>
          <w:rFonts w:ascii="Times New Roman" w:cs="Times New Roman" w:eastAsia="Times New Roman" w:hAnsi="Times New Roman"/>
          <w:sz w:val="19"/>
          <w:szCs w:val="19"/>
          <w:color w:val="auto"/>
        </w:rPr>
        <w:t>On January 20, 2021, President Biden formally nominated Merrick Garland to his cabinet as the U.S. Attorney General. Confirmation hearings for Attorney General Garland began on February 22, 2021. On the first date of his confirmation hearing, Attorney General Garland stated that he did not see enforcement of federal cannabis law as a high priority use of resources for the DOJ: “This is a question of the prioritization of our resources and prosecutorial discretion. It does not seem to me a useful use of limited resources that we have, to be pursuing prosecutions in states that have legalized and that are regulating the use of marijuana, either medically or otherwise. I don’t think that’s a useful use. I do think we need to be sure there are no end-runs around the state laws that criminal enterprises are doing. So that kind of enforcement should be continued. But I don’t think it’s a good use of our resources, where states have already authorized. That only confuses people, obviously, within the state.” In April 2022, Attorney General Garland reiterated that prosecuting the possession of cannabis is “not an efficient use” of federal resources, especially “given the ongoing opioid and methamphetamine epidemic[s]” facing the nation. And, in March 2023, Attorney General Garland testified that the Department of Justice was continuing its progress on a new cannabis enforcement guidance, which he described as "very close to what was done in the Cole memorandum. While the statement is not a promise to avoid federal interference with state cannabis laws, it does continue to signal that the enforcement priorities of DOJ lie elsewhere.</w:t>
      </w:r>
    </w:p>
    <w:p>
      <w:pPr>
        <w:spacing w:after="0" w:line="67" w:lineRule="exact"/>
        <w:rPr>
          <w:sz w:val="20"/>
          <w:szCs w:val="20"/>
          <w:color w:val="auto"/>
        </w:rPr>
      </w:pPr>
    </w:p>
    <w:p>
      <w:pPr>
        <w:jc w:val="both"/>
        <w:spacing w:after="0" w:line="356" w:lineRule="auto"/>
        <w:rPr>
          <w:sz w:val="20"/>
          <w:szCs w:val="20"/>
          <w:color w:val="auto"/>
        </w:rPr>
      </w:pPr>
      <w:r>
        <w:rPr>
          <w:rFonts w:ascii="Times New Roman" w:cs="Times New Roman" w:eastAsia="Times New Roman" w:hAnsi="Times New Roman"/>
          <w:sz w:val="19"/>
          <w:szCs w:val="19"/>
          <w:color w:val="auto"/>
        </w:rPr>
        <w:t>Furthermore, while industry observers are hopeful that there will continue to be incremental federal cannabis policy reform, we cannot provide assurances about the content, timing or chances of passage of a bill legalizing cannabis. In recent years, members</w:t>
      </w:r>
    </w:p>
    <w:p>
      <w:pPr>
        <w:spacing w:after="0" w:line="1"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20"/>
          <w:szCs w:val="20"/>
          <w:color w:val="auto"/>
        </w:rPr>
        <w:t>43</w:t>
      </w:r>
    </w:p>
    <w:p>
      <w:pPr>
        <w:sectPr>
          <w:pgSz w:w="12240" w:h="15840" w:orient="portrait"/>
          <w:cols w:equalWidth="0" w:num="1">
            <w:col w:w="10260"/>
          </w:cols>
          <w:pgMar w:left="1000" w:top="884" w:right="980" w:bottom="222" w:gutter="0" w:footer="0" w:header="0"/>
        </w:sectPr>
      </w:pPr>
    </w:p>
    <w:bookmarkStart w:id="47" w:name="page48"/>
    <w:bookmarkEnd w:id="47"/>
    <w:p>
      <w:pPr>
        <w:jc w:val="both"/>
        <w:spacing w:after="0" w:line="293" w:lineRule="auto"/>
        <w:rPr>
          <w:sz w:val="20"/>
          <w:szCs w:val="20"/>
          <w:color w:val="auto"/>
        </w:rPr>
      </w:pPr>
      <w:r>
        <w:rPr>
          <w:rFonts w:ascii="Times New Roman" w:cs="Times New Roman" w:eastAsia="Times New Roman" w:hAnsi="Times New Roman"/>
          <w:sz w:val="20"/>
          <w:szCs w:val="20"/>
          <w:color w:val="auto"/>
        </w:rPr>
        <w:t>of the U.S. Congress from both parties have introduced bills to end the federal cannabis prohibition, by de-scheduling cannabis completely and regulating it, as well as incremental reform bills, including the “Medical Marijuana and Cannabidiol Research Expansion Act” described above. While the timing of federal reform remains unknown, it is expected that federal policy on cannabis will continue becoming more, rather than less, permissive, and legislative efforts to legalize cannabis or cannabis banking at the national level are likely to continue in 2024. However, the outcome of the 2024 presidential election could impact reform in ways that are unpredictable. Accordingly, we cannot predict the timing of any change in federal law or possible changes in federal enforcement. In the unlikely event that the federal government were to reverse its long-standing hands-off approach to the state legal cannabis markets and start more broadly enforcing federal law regarding cannabis, we would likely be unable to execute our business plan, and our business and financial results would be adversely affected.</w:t>
      </w:r>
    </w:p>
    <w:p>
      <w:pPr>
        <w:spacing w:after="0" w:line="81" w:lineRule="exact"/>
        <w:rPr>
          <w:sz w:val="20"/>
          <w:szCs w:val="20"/>
          <w:color w:val="auto"/>
        </w:rPr>
      </w:pPr>
    </w:p>
    <w:p>
      <w:pPr>
        <w:jc w:val="both"/>
        <w:spacing w:after="0" w:line="324" w:lineRule="auto"/>
        <w:rPr>
          <w:sz w:val="20"/>
          <w:szCs w:val="20"/>
          <w:color w:val="auto"/>
        </w:rPr>
      </w:pPr>
      <w:r>
        <w:rPr>
          <w:rFonts w:ascii="Times New Roman" w:cs="Times New Roman" w:eastAsia="Times New Roman" w:hAnsi="Times New Roman"/>
          <w:sz w:val="20"/>
          <w:szCs w:val="20"/>
          <w:b w:val="1"/>
          <w:bCs w:val="1"/>
          <w:i w:val="1"/>
          <w:iCs w:val="1"/>
          <w:color w:val="auto"/>
        </w:rPr>
        <w:t>Our business and our clients are subject to a variety of U.S. and foreign laws regarding financial transactions related to cannabis, which could subject our clients to legal claims or otherwise adversely affect our business.</w:t>
      </w:r>
    </w:p>
    <w:p>
      <w:pPr>
        <w:spacing w:after="0" w:line="47" w:lineRule="exact"/>
        <w:rPr>
          <w:sz w:val="20"/>
          <w:szCs w:val="20"/>
          <w:color w:val="auto"/>
        </w:rPr>
      </w:pPr>
    </w:p>
    <w:p>
      <w:pPr>
        <w:jc w:val="both"/>
        <w:spacing w:after="0" w:line="296" w:lineRule="auto"/>
        <w:rPr>
          <w:sz w:val="20"/>
          <w:szCs w:val="20"/>
          <w:color w:val="auto"/>
        </w:rPr>
      </w:pPr>
      <w:r>
        <w:rPr>
          <w:rFonts w:ascii="Times New Roman" w:cs="Times New Roman" w:eastAsia="Times New Roman" w:hAnsi="Times New Roman"/>
          <w:sz w:val="20"/>
          <w:szCs w:val="20"/>
          <w:color w:val="auto"/>
        </w:rPr>
        <w:t>We and our clients are subject to a variety of laws and regulations in the United States regarding financial transactions. Violations of the U.S. anti-money laundering (“AML”) laws require proceeds from enumerated criminal activity, which includes trafficking in cannabis in violation of the CSA. Financial institutions that both we and our clients rely on are subject to the Bank Secrecy Act, as amended by Title III of the USA Patriot Act. In Canada, the Proceeds of Crime (Money Laundering) and Terrorist Financing Act (Canada), as amended and the rules and regulations thereunder and the Criminal Code (Canada) apply. The penalties for violation of these laws include imprisonment, substantial fines and forfeiture.</w:t>
      </w:r>
    </w:p>
    <w:p>
      <w:pPr>
        <w:spacing w:after="0" w:line="76" w:lineRule="exact"/>
        <w:rPr>
          <w:sz w:val="20"/>
          <w:szCs w:val="20"/>
          <w:color w:val="auto"/>
        </w:rPr>
      </w:pPr>
    </w:p>
    <w:p>
      <w:pPr>
        <w:jc w:val="both"/>
        <w:spacing w:after="0" w:line="308" w:lineRule="auto"/>
        <w:rPr>
          <w:sz w:val="20"/>
          <w:szCs w:val="20"/>
          <w:color w:val="auto"/>
        </w:rPr>
      </w:pPr>
      <w:r>
        <w:rPr>
          <w:rFonts w:ascii="Times New Roman" w:cs="Times New Roman" w:eastAsia="Times New Roman" w:hAnsi="Times New Roman"/>
          <w:sz w:val="19"/>
          <w:szCs w:val="19"/>
          <w:color w:val="auto"/>
        </w:rPr>
        <w:t>In 2014, the DOJ under the Obama administration directed federal prosecutors to exercise restraint in prosecuting AML violations arising in the state legal cannabis programs and to consider the federal enforcement priorities enumerated in the Cole Memo when determining whether to charge institutions or individuals based upon cannabis-related activity. Around the same time, the Treasury Department issued guidance that clarified how financial institutions can provide services to cannabis-related businesses, consistent with financial institutions’ obligations under the Bank Secrecy Act. Then-Attorney General Sessions’ rescission of the DOJ’s guidance on the state cannabis programs in early 2018 increased uncertainty and heightened the risk that federal law enforcement authorities could seek to pursue money laundering charges against entities, or individuals, engaged in supporting the cannabis industry. On January 31, 2018, the Treasury Department issued additional guidance that the 2014 Guidance would remain in place until further notice, despite the rescission of the DOJ’s earlier guidance memoranda. A detailed description of current U.S. policy and the legal status of cannabis, including President Biden’s stance on cannabis enforcement and current and foreseeable decriminalization and legalization initiatives, can be found in the “U.S. and Territories” section.</w:t>
      </w:r>
    </w:p>
    <w:p>
      <w:pPr>
        <w:spacing w:after="0" w:line="69" w:lineRule="exact"/>
        <w:rPr>
          <w:sz w:val="20"/>
          <w:szCs w:val="20"/>
          <w:color w:val="auto"/>
        </w:rPr>
      </w:pPr>
    </w:p>
    <w:p>
      <w:pPr>
        <w:jc w:val="both"/>
        <w:spacing w:after="0" w:line="291" w:lineRule="auto"/>
        <w:rPr>
          <w:sz w:val="20"/>
          <w:szCs w:val="20"/>
          <w:color w:val="auto"/>
        </w:rPr>
      </w:pPr>
      <w:r>
        <w:rPr>
          <w:rFonts w:ascii="Times New Roman" w:cs="Times New Roman" w:eastAsia="Times New Roman" w:hAnsi="Times New Roman"/>
          <w:sz w:val="20"/>
          <w:szCs w:val="20"/>
          <w:color w:val="auto"/>
        </w:rPr>
        <w:t>We are subject to a variety of laws and regulations in the United States, Canada and elsewhere that prohibit money laundering, including the Proceeds of Crime and Terrorist Financing Act (Canada) and the Money Laundering Control Act (U.S.), as amended, and the rules and regulations thereunder and any related or similar rules, regulations or guidelines issued, administered or enforced by governmental authorities in the United States, Canada or any other jurisdiction in which we have business operations or to which we export our offerings. If any of our clients’ business activities, any dividends or distributions therefrom, or any profits or revenue accruing thereby are found to be in violation of money laundering statutes, our clients could be subject to criminal liability and significant penalties and fines. Any violations of these laws, or allegations of such violations, by our clients could disrupt our operations and involve significant management distraction and expenses. As a result, a significant number of our clients facing money laundering charges could materially affect our business, operations and financial condition. Additionally, proceeds from our clients’ business activities, including payments we have received from those clients, could be subject to seizure or forfeiture if they are found to be illegal proceeds of a crime transmitted in violation of anti-money laundering laws, which could have a material adverse effect on our business. Finally, if any of our clients are found to be violating the above statutes, this could have a material adverse effect on their ability to access or maintain financial services, as discussed in detail below, which could, in turn, have a material adverse effect on our business.</w:t>
      </w:r>
    </w:p>
    <w:p>
      <w:pPr>
        <w:spacing w:after="0" w:line="79" w:lineRule="exact"/>
        <w:rPr>
          <w:sz w:val="20"/>
          <w:szCs w:val="20"/>
          <w:color w:val="auto"/>
        </w:rPr>
      </w:pPr>
    </w:p>
    <w:p>
      <w:pPr>
        <w:jc w:val="both"/>
        <w:spacing w:after="0" w:line="324" w:lineRule="auto"/>
        <w:rPr>
          <w:sz w:val="20"/>
          <w:szCs w:val="20"/>
          <w:color w:val="auto"/>
        </w:rPr>
      </w:pPr>
      <w:r>
        <w:rPr>
          <w:rFonts w:ascii="Times New Roman" w:cs="Times New Roman" w:eastAsia="Times New Roman" w:hAnsi="Times New Roman"/>
          <w:sz w:val="20"/>
          <w:szCs w:val="20"/>
          <w:b w:val="1"/>
          <w:bCs w:val="1"/>
          <w:i w:val="1"/>
          <w:iCs w:val="1"/>
          <w:color w:val="auto"/>
        </w:rPr>
        <w:t>We are dependent on our banking relations, and we may have difficulty accessing or consistently maintaining banking or other financial services due to our connection with the cannabis industry.</w:t>
      </w:r>
    </w:p>
    <w:p>
      <w:pPr>
        <w:spacing w:after="0" w:line="47" w:lineRule="exact"/>
        <w:rPr>
          <w:sz w:val="20"/>
          <w:szCs w:val="20"/>
          <w:color w:val="auto"/>
        </w:rPr>
      </w:pPr>
    </w:p>
    <w:p>
      <w:pPr>
        <w:jc w:val="both"/>
        <w:spacing w:after="0" w:line="309" w:lineRule="auto"/>
        <w:rPr>
          <w:sz w:val="20"/>
          <w:szCs w:val="20"/>
          <w:color w:val="auto"/>
        </w:rPr>
      </w:pPr>
      <w:r>
        <w:rPr>
          <w:rFonts w:ascii="Times New Roman" w:cs="Times New Roman" w:eastAsia="Times New Roman" w:hAnsi="Times New Roman"/>
          <w:sz w:val="20"/>
          <w:szCs w:val="20"/>
          <w:color w:val="auto"/>
        </w:rPr>
        <w:t>Although we do not grow or sell cannabis products, our general connection with the cannabis industry may hamper our efforts to do business or establish collaborative relationships with others that may fear disruption or increased regulatory scrutiny of their own activities.</w:t>
      </w:r>
    </w:p>
    <w:p>
      <w:pPr>
        <w:spacing w:after="0" w:line="193"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20"/>
          <w:szCs w:val="20"/>
          <w:color w:val="auto"/>
        </w:rPr>
        <w:t>44</w:t>
      </w:r>
    </w:p>
    <w:p>
      <w:pPr>
        <w:sectPr>
          <w:pgSz w:w="12240" w:h="15840" w:orient="portrait"/>
          <w:cols w:equalWidth="0" w:num="1">
            <w:col w:w="10260"/>
          </w:cols>
          <w:pgMar w:left="1000" w:top="884" w:right="980" w:bottom="222" w:gutter="0" w:footer="0" w:header="0"/>
        </w:sectPr>
      </w:pPr>
    </w:p>
    <w:bookmarkStart w:id="48" w:name="page49"/>
    <w:bookmarkEnd w:id="48"/>
    <w:p>
      <w:pPr>
        <w:jc w:val="both"/>
        <w:spacing w:after="0" w:line="307" w:lineRule="auto"/>
        <w:rPr>
          <w:sz w:val="20"/>
          <w:szCs w:val="20"/>
          <w:color w:val="auto"/>
        </w:rPr>
      </w:pPr>
      <w:r>
        <w:rPr>
          <w:rFonts w:ascii="Times New Roman" w:cs="Times New Roman" w:eastAsia="Times New Roman" w:hAnsi="Times New Roman"/>
          <w:sz w:val="19"/>
          <w:szCs w:val="19"/>
          <w:color w:val="auto"/>
        </w:rPr>
        <w:t>We are dependent on the banking industry to support the financial functions of our products and solutions. Our business operating functions including payroll for our employees and other expenses are reliant on traditional banking. Additionally, many of our clients pay us via wire transfer to our bank accounts, or via checks that we deposit into our banks. We require access to banking services for both us and our clients to receive payments in a timely manner. Lastly, to the extent we rely on any lines of credit, these could be affected by our relationships with financial institutions and could be jeopardized if we lose access to a bank account. Important components of our offerings depend on client accounts and relationships, which in turn depend on banking functions. Most federal and federally-insured state banks currently do not serve businesses that grow and sell cannabis products on the stated ground that growing and selling cannabis is illegal under federal law, even though the Treasury Department’s Financial Crimes Enforcement Network (“FinCEN”), issued guidelines to banks in February 2014 that clarified how financial institutions can provide services to cannabis-related businesses, consistent with financial institutions’ obligations under the Bank Secrecy Act. While the federal government has generally not initiated financial crimes prosecutions against state-law compliant cannabis companies or their vendors, the government theoretically could, at least against companies in the adult-use markets. The continued uncertainty surrounding financial transactions related to cannabis activities and the subsequent risks this uncertainty presents to financial institutions may result in their discontinuing services to the cannabis industry or limit their ability to provide services to the cannabis industry or ancillary businesses providing services to the cannabis industry.</w:t>
      </w:r>
    </w:p>
    <w:p>
      <w:pPr>
        <w:spacing w:after="0" w:line="70" w:lineRule="exact"/>
        <w:rPr>
          <w:sz w:val="20"/>
          <w:szCs w:val="20"/>
          <w:color w:val="auto"/>
        </w:rPr>
      </w:pPr>
    </w:p>
    <w:p>
      <w:pPr>
        <w:jc w:val="both"/>
        <w:spacing w:after="0" w:line="290" w:lineRule="auto"/>
        <w:rPr>
          <w:sz w:val="20"/>
          <w:szCs w:val="20"/>
          <w:color w:val="auto"/>
        </w:rPr>
      </w:pPr>
      <w:r>
        <w:rPr>
          <w:rFonts w:ascii="Times New Roman" w:cs="Times New Roman" w:eastAsia="Times New Roman" w:hAnsi="Times New Roman"/>
          <w:sz w:val="20"/>
          <w:szCs w:val="20"/>
          <w:color w:val="auto"/>
        </w:rPr>
        <w:t>As a result of federal-level illegality and the risk that providing services to state-licensed cannabis businesses poses to banks, cannabis-related businesses face difficulties accessing banks that will provide services to them. When cannabis businesses are able to find a bank that will provide services, they face extensive client due diligence in light of complex state regulatory requirements and guidance from FinCEN, and these reviews may be time-consuming and costly, potentially creating additional barriers to financial services for, and imposing additional compliance requirements on, us and our clients. FinCEN requires a party in trade or business to file with the IRS, a Form 8300 report within 15 days of receiving a cash payment of over $10,000. While we receive very few cash payments for the products we sell, if we fail to comply with these laws and regulations, the imposition of a substantial penalty could have a material adverse effect on our business, results of operations and financial condition. We cannot assure that our strategies and techniques for designing our products and solutions for our clients will operate effectively and efficiently and not be adversely impacted by any refusal or reluctance of banks to serve businesses that grow and sell cannabis products. A change in banking regulations or a change in the position of the banking industry that permits banks to serve businesses that grow and sell cannabis products may increase competition for us, facilitate new entrants into the industry offering products or solutions similar to those that we offer, or otherwise adversely affect our results of operations. Also, the inability of potential clients in our target market to open accounts and otherwise use the services of banks or other financial institutions may make it difficult for us to conduct business, including receiving payments in a timely manner.</w:t>
      </w:r>
    </w:p>
    <w:p>
      <w:pPr>
        <w:spacing w:after="0" w:line="87" w:lineRule="exact"/>
        <w:rPr>
          <w:sz w:val="20"/>
          <w:szCs w:val="20"/>
          <w:color w:val="auto"/>
        </w:rPr>
      </w:pPr>
    </w:p>
    <w:p>
      <w:pPr>
        <w:jc w:val="both"/>
        <w:spacing w:after="0" w:line="290" w:lineRule="auto"/>
        <w:rPr>
          <w:sz w:val="20"/>
          <w:szCs w:val="20"/>
          <w:color w:val="auto"/>
        </w:rPr>
      </w:pPr>
      <w:r>
        <w:rPr>
          <w:rFonts w:ascii="Times New Roman" w:cs="Times New Roman" w:eastAsia="Times New Roman" w:hAnsi="Times New Roman"/>
          <w:sz w:val="20"/>
          <w:szCs w:val="20"/>
          <w:color w:val="auto"/>
        </w:rPr>
        <w:t>We do not sell cannabis, or products that contain cannabis; accordingly, our company is not part of the cannabis industry that generally has been restricted from using federal and federally insured banks. However, because of “weed” in our name and the fact that our revenue is generated largely from companies licensed as operators in the cannabis industry, banks have and may continue to consider us to be subject to banking restrictions related to cannabis. If we were to lose any of our banking relationships or fail to secure additional banking relationships in the future, we could experience difficulty and incur increased costs in the administration of our business, paying our employees, accepting payments from clients, each of which may adversely affect our reputation or results of operations. Additionally, the closure of many or one of our bank accounts due to a bank’s reluctance to provide services to a business working with state legal cannabis businesses would require significant management attention from us and could materially adversely affect our business and operations. In addition to banks and financial institutions, merchant processors may take a similar view of the risks of working with us since we provide services to cannabis businesses, and loss of any of our merchant processor relationships could have similar results. Moreover, Visa and Mastercard currently prohibit processing of transactions involving the sale of cannabis on their networks, and Mastercard has reportedly issued cease-and-desist letters to certain banks and payment processors to stop allowing such transactions on its debit cards. Although consumers cannot currently purchase products on the Weedmaps marketplace and we do not currently use, nor have we historically used, any of our merchant processing relationships to process payments for cannabis transactions, to the extent Visa or Mastercard extend these restrictions to cannabis-related businesses, our merchant processing relationships could be terminated, or we could be prevented from processing any Visa or Mastercard transactions, which could have a material adverse effect on our business and results of operations. Furthermore, our clients may be adversely impacted by Visa’s or Mastercard’s policies, which could in turn have a material adverse effect on our business and results of operations.</w:t>
      </w:r>
    </w:p>
    <w:p>
      <w:pPr>
        <w:spacing w:after="0" w:line="142"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20"/>
          <w:szCs w:val="20"/>
          <w:color w:val="auto"/>
        </w:rPr>
        <w:t>45</w:t>
      </w:r>
    </w:p>
    <w:p>
      <w:pPr>
        <w:sectPr>
          <w:pgSz w:w="12240" w:h="15840" w:orient="portrait"/>
          <w:cols w:equalWidth="0" w:num="1">
            <w:col w:w="10260"/>
          </w:cols>
          <w:pgMar w:left="1000" w:top="884" w:right="980" w:bottom="222" w:gutter="0" w:footer="0" w:header="0"/>
        </w:sectPr>
      </w:pPr>
    </w:p>
    <w:bookmarkStart w:id="49" w:name="page50"/>
    <w:bookmarkEnd w:id="49"/>
    <w:p>
      <w:pPr>
        <w:spacing w:after="0"/>
        <w:rPr>
          <w:sz w:val="20"/>
          <w:szCs w:val="20"/>
          <w:color w:val="auto"/>
        </w:rPr>
      </w:pPr>
      <w:r>
        <w:rPr>
          <w:rFonts w:ascii="Times New Roman" w:cs="Times New Roman" w:eastAsia="Times New Roman" w:hAnsi="Times New Roman"/>
          <w:sz w:val="20"/>
          <w:szCs w:val="20"/>
          <w:b w:val="1"/>
          <w:bCs w:val="1"/>
          <w:i w:val="1"/>
          <w:iCs w:val="1"/>
          <w:color w:val="auto"/>
        </w:rPr>
        <w:t>Participating in transactions involving proceeds derived from cannabis may constitute criminal money laundering.</w:t>
      </w:r>
    </w:p>
    <w:p>
      <w:pPr>
        <w:spacing w:after="0" w:line="164" w:lineRule="exact"/>
        <w:rPr>
          <w:sz w:val="20"/>
          <w:szCs w:val="20"/>
          <w:color w:val="auto"/>
        </w:rPr>
      </w:pPr>
    </w:p>
    <w:p>
      <w:pPr>
        <w:jc w:val="both"/>
        <w:spacing w:after="0" w:line="310" w:lineRule="auto"/>
        <w:rPr>
          <w:sz w:val="20"/>
          <w:szCs w:val="20"/>
          <w:color w:val="auto"/>
        </w:rPr>
      </w:pPr>
      <w:r>
        <w:rPr>
          <w:rFonts w:ascii="Times New Roman" w:cs="Times New Roman" w:eastAsia="Times New Roman" w:hAnsi="Times New Roman"/>
          <w:sz w:val="19"/>
          <w:szCs w:val="19"/>
          <w:color w:val="auto"/>
        </w:rPr>
        <w:t>Participating in transactions involving proceeds derived from cannabis may constitute criminal money laundering. It is a federal crime to engage in certain transactions involving the proceeds of a “specified unlawful activity” (a “SUA”) when those transactions are designed to promote an underlying SUA, or conceal the source of the funds. Violations of the CSA and violations of a state’s laws may be deemed to be SUAs. In the event that any of our investments, or any proceeds thereof, any dividends or distributions therefrom, or any profits or revenues were found to be in violation of anti-money laundering legislation or otherwise, such transactions may be viewed as proceeds of crime under one or more of statutes of the United States or any other applicable jurisdiction. This could restrict or otherwise jeopardize our ability to declare or pay dividends, effect other distributions, or subsequently require us to repatriate such funds back to the United States from Canada or other foreign jurisdictions.</w:t>
      </w:r>
    </w:p>
    <w:p>
      <w:pPr>
        <w:spacing w:after="0" w:line="68" w:lineRule="exact"/>
        <w:rPr>
          <w:sz w:val="20"/>
          <w:szCs w:val="20"/>
          <w:color w:val="auto"/>
        </w:rPr>
      </w:pPr>
    </w:p>
    <w:p>
      <w:pPr>
        <w:jc w:val="both"/>
        <w:spacing w:after="0" w:line="292" w:lineRule="auto"/>
        <w:rPr>
          <w:sz w:val="20"/>
          <w:szCs w:val="20"/>
          <w:color w:val="auto"/>
        </w:rPr>
      </w:pPr>
      <w:r>
        <w:rPr>
          <w:rFonts w:ascii="Times New Roman" w:cs="Times New Roman" w:eastAsia="Times New Roman" w:hAnsi="Times New Roman"/>
          <w:sz w:val="20"/>
          <w:szCs w:val="20"/>
          <w:color w:val="auto"/>
        </w:rPr>
        <w:t>If any of our clients’ business activities, any dividends or distributions therefrom, or any profits or revenue accruing thereby are found to be in violation of money laundering statutes, we and our investors could be subject to criminal liability and significant penalties and fines. Any violations of these laws, or allegations of such violations could disrupt our operations and involve significant management distraction and expenses. Facing money laundering charges could materially affect our business, operations and financial condition. Additionally, proceeds from our clients’ business activities, if found to be in violation of anti-money laundering laws, could subject payments we have received from those clients to seizure or forfeiture, if they are found to be illegal proceeds of a crime committed by a client, which could have a material adverse effect on our business and our investors. Finally, if we or any of our clients are found to be violating the above statutes, this could have a material adverse effect on our ability to access or maintain financial services, as discussed in detail below, which could, in turn, have a material adverse effect on our business.</w:t>
      </w:r>
    </w:p>
    <w:p>
      <w:pPr>
        <w:spacing w:after="0" w:line="84"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We may have difficulty using bankruptcy courts due to our involvement in the regulated cannabis industry.</w:t>
      </w:r>
    </w:p>
    <w:p>
      <w:pPr>
        <w:spacing w:after="0" w:line="164" w:lineRule="exact"/>
        <w:rPr>
          <w:sz w:val="20"/>
          <w:szCs w:val="20"/>
          <w:color w:val="auto"/>
        </w:rPr>
      </w:pPr>
    </w:p>
    <w:p>
      <w:pPr>
        <w:jc w:val="both"/>
        <w:spacing w:after="0" w:line="321" w:lineRule="auto"/>
        <w:rPr>
          <w:sz w:val="20"/>
          <w:szCs w:val="20"/>
          <w:color w:val="auto"/>
        </w:rPr>
      </w:pPr>
      <w:r>
        <w:rPr>
          <w:rFonts w:ascii="Times New Roman" w:cs="Times New Roman" w:eastAsia="Times New Roman" w:hAnsi="Times New Roman"/>
          <w:sz w:val="19"/>
          <w:szCs w:val="19"/>
          <w:color w:val="auto"/>
        </w:rPr>
        <w:t>We currently have no need or plans to seek bankruptcy protection. U.S. courts have held that debtors whose income is derived from cannabis or cannabis assets in violation of the CSA cannot seek federal bankruptcy protections. Although we are not in the business of growing or processing cannabis or selling or even possessing cannabis or cannabis products, a U.S. court could determine that our revenue is derived from cannabis or cannabis assets and prevent us from obtaining bankruptcy protections if necessary.</w:t>
      </w:r>
    </w:p>
    <w:p>
      <w:pPr>
        <w:spacing w:after="0" w:line="57"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The conduct of third parties may jeopardize our business.</w:t>
      </w:r>
    </w:p>
    <w:p>
      <w:pPr>
        <w:spacing w:after="0" w:line="164" w:lineRule="exact"/>
        <w:rPr>
          <w:sz w:val="20"/>
          <w:szCs w:val="20"/>
          <w:color w:val="auto"/>
        </w:rPr>
      </w:pPr>
    </w:p>
    <w:p>
      <w:pPr>
        <w:jc w:val="both"/>
        <w:spacing w:after="0" w:line="294" w:lineRule="auto"/>
        <w:rPr>
          <w:sz w:val="20"/>
          <w:szCs w:val="20"/>
          <w:color w:val="auto"/>
        </w:rPr>
      </w:pPr>
      <w:r>
        <w:rPr>
          <w:rFonts w:ascii="Times New Roman" w:cs="Times New Roman" w:eastAsia="Times New Roman" w:hAnsi="Times New Roman"/>
          <w:sz w:val="20"/>
          <w:szCs w:val="20"/>
          <w:color w:val="auto"/>
        </w:rPr>
        <w:t>We cannot guarantee that our systems, protocols and practices will prevent all unauthorized or illegal activities by our clients. Our success depends in part on our clients’ ability to operate consistently with the regulatory and licensing requirements of each state, local and regional jurisdiction in which they operate. We have a dedicated Policy &amp; Compliance Operations team that reviews cannabis license information for operational cannabis retail clients, both on submission and on an ongoing basis, to ensure validity and accuracy. We require all operational cannabis retailer clients, including storefronts and delivery services, to display on their WMH listing a valid, unexpired state-issued license number. For certain of our products or services, we request additional verification and documentation. We cannot ensure that the conduct of our clients, who are third parties, and their actions could expose them to legal sanctions and costs, which would in turn, adversely affect our business and operations.</w:t>
      </w:r>
    </w:p>
    <w:p>
      <w:pPr>
        <w:spacing w:after="0" w:line="81"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The conduct of third parties may jeopardize our regulatory compliance.</w:t>
      </w:r>
    </w:p>
    <w:p>
      <w:pPr>
        <w:spacing w:after="0" w:line="164" w:lineRule="exact"/>
        <w:rPr>
          <w:sz w:val="20"/>
          <w:szCs w:val="20"/>
          <w:color w:val="auto"/>
        </w:rPr>
      </w:pPr>
    </w:p>
    <w:p>
      <w:pPr>
        <w:jc w:val="both"/>
        <w:spacing w:after="0" w:line="293" w:lineRule="auto"/>
        <w:rPr>
          <w:sz w:val="20"/>
          <w:szCs w:val="20"/>
          <w:color w:val="auto"/>
        </w:rPr>
      </w:pPr>
      <w:r>
        <w:rPr>
          <w:rFonts w:ascii="Times New Roman" w:cs="Times New Roman" w:eastAsia="Times New Roman" w:hAnsi="Times New Roman"/>
          <w:sz w:val="20"/>
          <w:szCs w:val="20"/>
          <w:color w:val="auto"/>
        </w:rPr>
        <w:t>While we are a technology company, not a cannabis licensee, and as such, are not subject to commercial cannabis regulations that apply to cannabis operators, we cannot guarantee that our systems, protocols and practices will prevent any and all unauthorized or illegal activities by our clients. Our success depends in part on our clients’ ability to operate consistently with the regulatory and licensing requirements of each state, local and regional jurisdiction in which they operate. Despite the procedures and protocols in place for license verification by our Policy &amp; Compliance Operations team, any non-compliance by our clients could put our business at risk, as discussed herein, and could also subject us to potential actions by state regulators, to the extent they could be applied to technology service providers, which could materially adversely affect our business, operations, financial condition, brand and reputation.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7"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20"/>
          <w:szCs w:val="20"/>
          <w:color w:val="auto"/>
        </w:rPr>
        <w:t>46</w:t>
      </w:r>
    </w:p>
    <w:p>
      <w:pPr>
        <w:sectPr>
          <w:pgSz w:w="12240" w:h="15840" w:orient="portrait"/>
          <w:cols w:equalWidth="0" w:num="1">
            <w:col w:w="10260"/>
          </w:cols>
          <w:pgMar w:left="1000" w:top="886" w:right="980" w:bottom="222" w:gutter="0" w:footer="0" w:header="0"/>
        </w:sectPr>
      </w:pPr>
    </w:p>
    <w:bookmarkStart w:id="50" w:name="page51"/>
    <w:bookmarkEnd w:id="50"/>
    <w:p>
      <w:pPr>
        <w:jc w:val="both"/>
        <w:ind w:right="20"/>
        <w:spacing w:after="0" w:line="324" w:lineRule="auto"/>
        <w:rPr>
          <w:sz w:val="20"/>
          <w:szCs w:val="20"/>
          <w:color w:val="auto"/>
        </w:rPr>
      </w:pPr>
      <w:r>
        <w:rPr>
          <w:rFonts w:ascii="Times New Roman" w:cs="Times New Roman" w:eastAsia="Times New Roman" w:hAnsi="Times New Roman"/>
          <w:sz w:val="20"/>
          <w:szCs w:val="20"/>
          <w:b w:val="1"/>
          <w:bCs w:val="1"/>
          <w:i w:val="1"/>
          <w:iCs w:val="1"/>
          <w:color w:val="auto"/>
        </w:rPr>
        <w:t>FDA regulation of adult-use and medical-use cannabis, as well as e-cigarettes and other vaping products, could negatively affect the cannabis industry, which would directly affect our financial condition.</w:t>
      </w:r>
    </w:p>
    <w:p>
      <w:pPr>
        <w:spacing w:after="0" w:line="47" w:lineRule="exact"/>
        <w:rPr>
          <w:sz w:val="20"/>
          <w:szCs w:val="20"/>
          <w:color w:val="auto"/>
        </w:rPr>
      </w:pPr>
    </w:p>
    <w:p>
      <w:pPr>
        <w:jc w:val="both"/>
        <w:spacing w:after="0" w:line="296" w:lineRule="auto"/>
        <w:rPr>
          <w:sz w:val="20"/>
          <w:szCs w:val="20"/>
          <w:color w:val="auto"/>
        </w:rPr>
      </w:pPr>
      <w:r>
        <w:rPr>
          <w:rFonts w:ascii="Times New Roman" w:cs="Times New Roman" w:eastAsia="Times New Roman" w:hAnsi="Times New Roman"/>
          <w:sz w:val="20"/>
          <w:szCs w:val="20"/>
          <w:color w:val="auto"/>
        </w:rPr>
        <w:t>Should the federal government legalize cannabis for adult-use and/or medical-use, it is possible that the U.S. Food and Drug Administration (the “FDA”) would seek to regulate it under the Food, Drug and Cosmetics Act of 1938, as it has with federally legal hemp. Additionally, the FDA may issue rules and regulations including certified good manufacturing practices related to the growth, cultivation, harvesting and processing of adult-use and medical-use cannabis. Clinical trials may be needed to verify efficacy and safety. It is also possible that the FDA would require that facilities where adult-use and medical-use cannabis is grown register with the FDA and comply with certain federally prescribed regulations.</w:t>
      </w:r>
    </w:p>
    <w:p>
      <w:pPr>
        <w:spacing w:after="0" w:line="76" w:lineRule="exact"/>
        <w:rPr>
          <w:sz w:val="20"/>
          <w:szCs w:val="20"/>
          <w:color w:val="auto"/>
        </w:rPr>
      </w:pPr>
    </w:p>
    <w:p>
      <w:pPr>
        <w:jc w:val="both"/>
        <w:spacing w:after="0" w:line="321" w:lineRule="auto"/>
        <w:rPr>
          <w:sz w:val="20"/>
          <w:szCs w:val="20"/>
          <w:color w:val="auto"/>
        </w:rPr>
      </w:pPr>
      <w:r>
        <w:rPr>
          <w:rFonts w:ascii="Times New Roman" w:cs="Times New Roman" w:eastAsia="Times New Roman" w:hAnsi="Times New Roman"/>
          <w:sz w:val="19"/>
          <w:szCs w:val="19"/>
          <w:color w:val="auto"/>
        </w:rPr>
        <w:t>In addition, as a result of the recent lung injuries and deaths associated with e-cigarettes and other vaping products, the FDA and the U.S. Centers for Disease Control and Prevention (the “CDC”) have warned consumers not to use vaping products containing tetrahydrocannabinol (“THC”). While the FDA and the CDC continue to conduct ongoing investigations, it is currently unknown when and whether the FDA will impose additional rules and regulations on e-cigarettes and other vaping products.</w:t>
      </w:r>
    </w:p>
    <w:p>
      <w:pPr>
        <w:spacing w:after="0" w:line="55" w:lineRule="exact"/>
        <w:rPr>
          <w:sz w:val="20"/>
          <w:szCs w:val="20"/>
          <w:color w:val="auto"/>
        </w:rPr>
      </w:pPr>
    </w:p>
    <w:p>
      <w:pPr>
        <w:jc w:val="both"/>
        <w:ind w:right="20"/>
        <w:spacing w:after="0" w:line="297" w:lineRule="auto"/>
        <w:rPr>
          <w:sz w:val="20"/>
          <w:szCs w:val="20"/>
          <w:color w:val="auto"/>
        </w:rPr>
      </w:pPr>
      <w:r>
        <w:rPr>
          <w:rFonts w:ascii="Times New Roman" w:cs="Times New Roman" w:eastAsia="Times New Roman" w:hAnsi="Times New Roman"/>
          <w:sz w:val="20"/>
          <w:szCs w:val="20"/>
          <w:color w:val="auto"/>
        </w:rPr>
        <w:t>In the event that some or all of these regulations are imposed, we do not know what the impact would be on the adult-use and medical-use cannabis industry, including what costs, requirements and possible prohibitions may be enforced. If our clients are unable to comply with any new rules, regulations or registration as prescribed by the FDA, or are unable to do so in a cost-effective manner, our clients may be unable to continue to operate their respective business in its current form, or at all, which may also result in our clients being unable to continue engaging our technology services.</w:t>
      </w:r>
    </w:p>
    <w:p>
      <w:pPr>
        <w:spacing w:after="0" w:line="77"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Synthetic or hemp-derived products may compete with cannabis use and products.</w:t>
      </w:r>
    </w:p>
    <w:p>
      <w:pPr>
        <w:spacing w:after="0" w:line="164" w:lineRule="exact"/>
        <w:rPr>
          <w:sz w:val="20"/>
          <w:szCs w:val="20"/>
          <w:color w:val="auto"/>
        </w:rPr>
      </w:pPr>
    </w:p>
    <w:p>
      <w:pPr>
        <w:jc w:val="both"/>
        <w:spacing w:after="0" w:line="299" w:lineRule="auto"/>
        <w:rPr>
          <w:sz w:val="20"/>
          <w:szCs w:val="20"/>
          <w:color w:val="auto"/>
        </w:rPr>
      </w:pPr>
      <w:r>
        <w:rPr>
          <w:rFonts w:ascii="Times New Roman" w:cs="Times New Roman" w:eastAsia="Times New Roman" w:hAnsi="Times New Roman"/>
          <w:sz w:val="20"/>
          <w:szCs w:val="20"/>
          <w:color w:val="auto"/>
        </w:rPr>
        <w:t>The hemp and pharmaceutical industry may attempt to compete with or dominate the cannabis industry, and in particular, legal cannabis, through the development and distribution of hemp-derived or synthetic products which emulate the effects and treatment of cannabis. If they are successful, the widespread popularity of such products could change the demand, volume and profitability of the cannabis industry. This could adversely affect the ability of our clients to secure long-term profitability and success.</w:t>
      </w:r>
    </w:p>
    <w:p>
      <w:pPr>
        <w:spacing w:after="0" w:line="72" w:lineRule="exact"/>
        <w:rPr>
          <w:sz w:val="20"/>
          <w:szCs w:val="20"/>
          <w:color w:val="auto"/>
        </w:rPr>
      </w:pPr>
    </w:p>
    <w:p>
      <w:pPr>
        <w:jc w:val="both"/>
        <w:spacing w:after="0" w:line="292" w:lineRule="auto"/>
        <w:rPr>
          <w:sz w:val="20"/>
          <w:szCs w:val="20"/>
          <w:color w:val="auto"/>
        </w:rPr>
      </w:pPr>
      <w:r>
        <w:rPr>
          <w:rFonts w:ascii="Times New Roman" w:cs="Times New Roman" w:eastAsia="Times New Roman" w:hAnsi="Times New Roman"/>
          <w:sz w:val="20"/>
          <w:szCs w:val="20"/>
          <w:color w:val="auto"/>
        </w:rPr>
        <w:t>Recently, there has been a proliferation of the extraction of delta-8-THC and other intoxicating cannabinoids from industrial hemp and infusion of these isomers into various saleable and finished products. Utilizing the legality of industrial hemp under U.S. federal law, many such products are available for sale through unlicensed channels and are shipped in interstate commerce. Additionally, some hemp companies sell hemp-derived THC products with state authorization. Given the similar intoxicating effects to cannabis-derived THC, which is an illegal substance under the CSA, and its substantially lower price point, patients and consumers may choose to consume hemp-derived products in lieu of cannabis-derived products. In light of the substantial investment our clients have made and continue to make in State-licensed cannabis facilities, the widespread use of hemp-derived THC or synthetic products could adversely impact our clients, which could, in turn, have a material adverse effect on our business and results of operations.</w:t>
      </w:r>
    </w:p>
    <w:p>
      <w:pPr>
        <w:spacing w:after="0" w:line="90" w:lineRule="exact"/>
        <w:rPr>
          <w:sz w:val="20"/>
          <w:szCs w:val="20"/>
          <w:color w:val="auto"/>
        </w:rPr>
      </w:pPr>
    </w:p>
    <w:p>
      <w:pPr>
        <w:jc w:val="both"/>
        <w:spacing w:after="0" w:line="324" w:lineRule="auto"/>
        <w:rPr>
          <w:sz w:val="20"/>
          <w:szCs w:val="20"/>
          <w:color w:val="auto"/>
        </w:rPr>
      </w:pPr>
      <w:r>
        <w:rPr>
          <w:rFonts w:ascii="Times New Roman" w:cs="Times New Roman" w:eastAsia="Times New Roman" w:hAnsi="Times New Roman"/>
          <w:sz w:val="20"/>
          <w:szCs w:val="20"/>
          <w:b w:val="1"/>
          <w:bCs w:val="1"/>
          <w:i w:val="1"/>
          <w:iCs w:val="1"/>
          <w:color w:val="auto"/>
        </w:rPr>
        <w:t>We believe that Section 230(c)(1) of the Communications Decency Act (“CDA”) provides immunity from civil and state criminal liability, but it is possible that it does not.</w:t>
      </w:r>
    </w:p>
    <w:p>
      <w:pPr>
        <w:spacing w:after="0" w:line="47" w:lineRule="exact"/>
        <w:rPr>
          <w:sz w:val="20"/>
          <w:szCs w:val="20"/>
          <w:color w:val="auto"/>
        </w:rPr>
      </w:pPr>
    </w:p>
    <w:p>
      <w:pPr>
        <w:jc w:val="both"/>
        <w:spacing w:after="0" w:line="291" w:lineRule="auto"/>
        <w:rPr>
          <w:sz w:val="20"/>
          <w:szCs w:val="20"/>
          <w:color w:val="auto"/>
        </w:rPr>
      </w:pPr>
      <w:r>
        <w:rPr>
          <w:rFonts w:ascii="Times New Roman" w:cs="Times New Roman" w:eastAsia="Times New Roman" w:hAnsi="Times New Roman"/>
          <w:sz w:val="20"/>
          <w:szCs w:val="20"/>
          <w:color w:val="auto"/>
        </w:rPr>
        <w:t>We believe that Section 230(c)(1) provides immunity from civil and state criminal liability to internet service provider intermediaries in the United States, such as us, for content provided on their platforms that they did not create or develop. We do not create or develop the information that appears on our clients’ listing pages and advertising placements, although our moderation teams may take down a client’s information if it breaches our listing restrictions or admonish consumers who post reviews that violate our community terms of use (which, for example, prohibit profanity and racism). We do author and edit certain original content that appears in other sections of our website, such as WM News, WM Learn and WM Policy. All of these sections are general news and information, and none of these sections are advertisements for, or listing pages of, cannabis businesses, except in limited circumstances related to descriptions of certain cannabis strains. For additional information about Section 230, see the section captioned “Risk Factors—Risks Related to our Business and Industry.” Our clients are subject to licensing and related requirements under applicable laws and regulations, and our own compliance policies, and some of our clients currently and in the future may not be in compliance with all such requirements. Despite our belief that we are protected by Section 230, it is possible that we are not, which would subject us to legal, business and operational risks. In addition, there</w:t>
      </w:r>
    </w:p>
    <w:p>
      <w:pPr>
        <w:spacing w:after="0" w:line="247"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20"/>
          <w:szCs w:val="20"/>
          <w:color w:val="auto"/>
        </w:rPr>
        <w:t>47</w:t>
      </w:r>
    </w:p>
    <w:p>
      <w:pPr>
        <w:sectPr>
          <w:pgSz w:w="12240" w:h="15840" w:orient="portrait"/>
          <w:cols w:equalWidth="0" w:num="1">
            <w:col w:w="10260"/>
          </w:cols>
          <w:pgMar w:left="1000" w:top="886" w:right="980" w:bottom="222" w:gutter="0" w:footer="0" w:header="0"/>
        </w:sectPr>
      </w:pPr>
    </w:p>
    <w:bookmarkStart w:id="51" w:name="page52"/>
    <w:bookmarkEnd w:id="51"/>
    <w:p>
      <w:pPr>
        <w:jc w:val="both"/>
        <w:spacing w:after="0" w:line="296" w:lineRule="auto"/>
        <w:rPr>
          <w:sz w:val="20"/>
          <w:szCs w:val="20"/>
          <w:color w:val="auto"/>
        </w:rPr>
      </w:pPr>
      <w:r>
        <w:rPr>
          <w:rFonts w:ascii="Times New Roman" w:cs="Times New Roman" w:eastAsia="Times New Roman" w:hAnsi="Times New Roman"/>
          <w:sz w:val="20"/>
          <w:szCs w:val="20"/>
          <w:color w:val="auto"/>
        </w:rPr>
        <w:t>have been various Congressional efforts to restrict the scope of the protections available to online platforms under Section 230 of the CDA, and our current protections from liability for third-party content in the United States could decrease or change. We could incur significant costs investigating and defending such claims and, if we are found liable, significant damages. We could also face fines or orders restricting or blocking our services in particular geographies as a result of content hosted on our services. For example, recently enacted legislation in Germany may impose significant fines for failure to comply with certain content removal and disclosure obligations.</w:t>
      </w:r>
    </w:p>
    <w:p>
      <w:pPr>
        <w:spacing w:after="0" w:line="79"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We may continue to be subject to constraints on marketing our products.</w:t>
      </w:r>
    </w:p>
    <w:p>
      <w:pPr>
        <w:spacing w:after="0" w:line="164" w:lineRule="exact"/>
        <w:rPr>
          <w:sz w:val="20"/>
          <w:szCs w:val="20"/>
          <w:color w:val="auto"/>
        </w:rPr>
      </w:pPr>
    </w:p>
    <w:p>
      <w:pPr>
        <w:jc w:val="both"/>
        <w:spacing w:after="0" w:line="294" w:lineRule="auto"/>
        <w:rPr>
          <w:sz w:val="20"/>
          <w:szCs w:val="20"/>
          <w:color w:val="auto"/>
        </w:rPr>
      </w:pPr>
      <w:r>
        <w:rPr>
          <w:rFonts w:ascii="Times New Roman" w:cs="Times New Roman" w:eastAsia="Times New Roman" w:hAnsi="Times New Roman"/>
          <w:sz w:val="20"/>
          <w:szCs w:val="20"/>
          <w:color w:val="auto"/>
        </w:rPr>
        <w:t>Certain of the states in which we operate have enacted strict regulations regarding marketing and sales activities on cannabis products, which could affect our cannabis retail clients’ demand for our listing and marketing services. There may be restrictions on sales and marketing activities of cannabis businesses imposed by government regulatory bodies that can hinder the development of our business and operating results because of the restrictions our clients face. If our clients are unable to effectively market our products and compete for market share, or if the costs of compliance with government legislation and regulation cannot be absorbed through increased selling prices for our products for our clients, this could hamper demand for our products and services from licensed cannabis retailers, which could result in a loss of revenue.</w:t>
      </w:r>
    </w:p>
    <w:p>
      <w:pPr>
        <w:spacing w:after="0" w:line="82"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Cannabis businesses are subject to unfavorable U.S. tax treatment.</w:t>
      </w:r>
    </w:p>
    <w:p>
      <w:pPr>
        <w:spacing w:after="0" w:line="164" w:lineRule="exact"/>
        <w:rPr>
          <w:sz w:val="20"/>
          <w:szCs w:val="20"/>
          <w:color w:val="auto"/>
        </w:rPr>
      </w:pPr>
    </w:p>
    <w:p>
      <w:pPr>
        <w:jc w:val="both"/>
        <w:spacing w:after="0" w:line="307" w:lineRule="auto"/>
        <w:rPr>
          <w:sz w:val="20"/>
          <w:szCs w:val="20"/>
          <w:color w:val="auto"/>
        </w:rPr>
      </w:pPr>
      <w:r>
        <w:rPr>
          <w:rFonts w:ascii="Times New Roman" w:cs="Times New Roman" w:eastAsia="Times New Roman" w:hAnsi="Times New Roman"/>
          <w:sz w:val="19"/>
          <w:szCs w:val="19"/>
          <w:color w:val="auto"/>
        </w:rPr>
        <w:t>Until and unless cannabis is rescheduled to Schedule III, Section 280E of the Code may continue to apply to cannabis and does not allow any deduction or credit for any amount paid or incurred during the taxable year in carrying on business, other than costs of goods sold, if the business (or the activities which comprise the trade or business) consists of trafficking in controlled substances (within the meaning of Schedules I and II of the CSA). The IRS has applied this provision to cannabis operations, prohibiting them from deducting expenses associated with cannabis businesses beyond costs of goods sold and asserting assessments and penalties for additional taxes owed. Section 280E may have a lesser impact on cannabis cultivation and manufacturing operations than on sales operations, which directly affects our clients, who are cannabis retailers. However, Section 280E and related IRS enforcement activity have had a significant impact on the operations of all cannabis companies. While the Section does not directly affect our Company, it lowers our clients’ profitability, and could result in decreased demand for our listing and marketing services. An otherwise profitable cannabis business may operate at a loss after taking into account its U.S. income tax expenses. This affects us because our sales and operating results could be adversely affected if our clients decrease their marketing budgets and are operating on lower profit margins as a result of unfavorable treatment by the Code.</w:t>
      </w:r>
    </w:p>
    <w:p>
      <w:pPr>
        <w:spacing w:after="0" w:line="75"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Service providers to cannabis businesses may also be subject to unfavorable U.S. tax treatment.</w:t>
      </w:r>
    </w:p>
    <w:p>
      <w:pPr>
        <w:spacing w:after="0" w:line="164" w:lineRule="exact"/>
        <w:rPr>
          <w:sz w:val="20"/>
          <w:szCs w:val="20"/>
          <w:color w:val="auto"/>
        </w:rPr>
      </w:pPr>
    </w:p>
    <w:p>
      <w:pPr>
        <w:jc w:val="both"/>
        <w:spacing w:after="0" w:line="294" w:lineRule="auto"/>
        <w:rPr>
          <w:sz w:val="20"/>
          <w:szCs w:val="20"/>
          <w:color w:val="auto"/>
        </w:rPr>
      </w:pPr>
      <w:r>
        <w:rPr>
          <w:rFonts w:ascii="Times New Roman" w:cs="Times New Roman" w:eastAsia="Times New Roman" w:hAnsi="Times New Roman"/>
          <w:sz w:val="20"/>
          <w:szCs w:val="20"/>
          <w:color w:val="auto"/>
        </w:rPr>
        <w:t>As discussed above, under Section 280E of the Code, no deduction or credit is allowed for any amount paid or incurred during the taxable year in carrying on business, other than costs of goods sold, if the business (or the activities which comprise the trade or business) consists of trafficking in controlled substances (within the meaning of Schedules I and II of the CSA). The IRS has applied this provision to cannabis operations, prohibiting them from deducting expenses associated with cannabis businesses and asserting assessments and penalties for additional taxes owed. While we do believe that Section 280E does not apply to our business, or ancillary service providers that work with state-licensed cannabis businesses, if the IRS interprets the section to apply, it would significantly and materially affect our profitability and financial condition.</w:t>
      </w:r>
    </w:p>
    <w:p>
      <w:pPr>
        <w:spacing w:after="0" w:line="82"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Cannabis businesses may be subject to civil asset forfeiture.</w:t>
      </w:r>
    </w:p>
    <w:p>
      <w:pPr>
        <w:spacing w:after="0" w:line="164" w:lineRule="exact"/>
        <w:rPr>
          <w:sz w:val="20"/>
          <w:szCs w:val="20"/>
          <w:color w:val="auto"/>
        </w:rPr>
      </w:pPr>
    </w:p>
    <w:p>
      <w:pPr>
        <w:jc w:val="both"/>
        <w:ind w:right="20"/>
        <w:spacing w:after="0" w:line="294" w:lineRule="auto"/>
        <w:rPr>
          <w:sz w:val="20"/>
          <w:szCs w:val="20"/>
          <w:color w:val="auto"/>
        </w:rPr>
      </w:pPr>
      <w:r>
        <w:rPr>
          <w:rFonts w:ascii="Times New Roman" w:cs="Times New Roman" w:eastAsia="Times New Roman" w:hAnsi="Times New Roman"/>
          <w:sz w:val="20"/>
          <w:szCs w:val="20"/>
          <w:color w:val="auto"/>
        </w:rPr>
        <w:t>Any property owned by participants in the cannabis industry used in the course of conducting such business, or that represents proceeds of such business or is traceable to proceeds of such business, could be subject to seizure by law enforcement and subsequent civil asset forfeiture because of the illegality of the cannabis industry under federal law. Even if the owner of the property or the assets is never charged with a crime, the property in question could still be seized and subject to an administrative proceeding by which, with minimal due process, it could be subject to forfeiture. Forfeiture of assets of our cannabis business clients could adversely affect our revenues if it impedes their profitability or operations and our clients’ ability to continue to subscribe to our services.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4"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20"/>
          <w:szCs w:val="20"/>
          <w:color w:val="auto"/>
        </w:rPr>
        <w:t>48</w:t>
      </w:r>
    </w:p>
    <w:p>
      <w:pPr>
        <w:sectPr>
          <w:pgSz w:w="12240" w:h="15840" w:orient="portrait"/>
          <w:cols w:equalWidth="0" w:num="1">
            <w:col w:w="10260"/>
          </w:cols>
          <w:pgMar w:left="1000" w:top="884" w:right="980" w:bottom="222" w:gutter="0" w:footer="0" w:header="0"/>
        </w:sectPr>
      </w:pPr>
    </w:p>
    <w:bookmarkStart w:id="52" w:name="page53"/>
    <w:bookmarkEnd w:id="52"/>
    <w:p>
      <w:pPr>
        <w:jc w:val="both"/>
        <w:spacing w:after="0" w:line="324" w:lineRule="auto"/>
        <w:rPr>
          <w:sz w:val="20"/>
          <w:szCs w:val="20"/>
          <w:color w:val="auto"/>
        </w:rPr>
      </w:pPr>
      <w:r>
        <w:rPr>
          <w:rFonts w:ascii="Times New Roman" w:cs="Times New Roman" w:eastAsia="Times New Roman" w:hAnsi="Times New Roman"/>
          <w:sz w:val="20"/>
          <w:szCs w:val="20"/>
          <w:b w:val="1"/>
          <w:bCs w:val="1"/>
          <w:i w:val="1"/>
          <w:iCs w:val="1"/>
          <w:color w:val="auto"/>
        </w:rPr>
        <w:t>Due to our involvement in the cannabis industry, we may have a difficult time obtaining the various insurances that are desired to operate our business, which may expose us to additional risk and financial liability.</w:t>
      </w:r>
    </w:p>
    <w:p>
      <w:pPr>
        <w:spacing w:after="0" w:line="47" w:lineRule="exact"/>
        <w:rPr>
          <w:sz w:val="20"/>
          <w:szCs w:val="20"/>
          <w:color w:val="auto"/>
        </w:rPr>
      </w:pPr>
    </w:p>
    <w:p>
      <w:pPr>
        <w:jc w:val="both"/>
        <w:spacing w:after="0" w:line="296" w:lineRule="auto"/>
        <w:rPr>
          <w:sz w:val="20"/>
          <w:szCs w:val="20"/>
          <w:color w:val="auto"/>
        </w:rPr>
      </w:pPr>
      <w:r>
        <w:rPr>
          <w:rFonts w:ascii="Times New Roman" w:cs="Times New Roman" w:eastAsia="Times New Roman" w:hAnsi="Times New Roman"/>
          <w:sz w:val="20"/>
          <w:szCs w:val="20"/>
          <w:color w:val="auto"/>
        </w:rPr>
        <w:t>Insurance that is otherwise readily available, such as general liability and directors’ and officers’ insurance, is more difficult for us to find and is more expensive or contains significant exclusions because our clients are cannabis industry participants. There are no guarantees that we will be able to find such insurance coverage in the future or that the cost will be affordable to us. If we are forced to go without such insurance coverage, it may prevent us from entering into certain business sectors, may inhibit our growth, and may expose us to additional risk and financial liabilities. If we experience an uninsured loss, it may result in loss of anticipated cash flow and could materially adversely affect our results of operations, financial condition and business.</w:t>
      </w:r>
    </w:p>
    <w:p>
      <w:pPr>
        <w:spacing w:after="0" w:line="79"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There may be difficulty enforcing certain of our commercial agreements and contracts.</w:t>
      </w:r>
    </w:p>
    <w:p>
      <w:pPr>
        <w:spacing w:after="0" w:line="164" w:lineRule="exact"/>
        <w:rPr>
          <w:sz w:val="20"/>
          <w:szCs w:val="20"/>
          <w:color w:val="auto"/>
        </w:rPr>
      </w:pPr>
    </w:p>
    <w:p>
      <w:pPr>
        <w:jc w:val="both"/>
        <w:spacing w:after="0" w:line="294" w:lineRule="auto"/>
        <w:rPr>
          <w:sz w:val="20"/>
          <w:szCs w:val="20"/>
          <w:color w:val="auto"/>
        </w:rPr>
      </w:pPr>
      <w:r>
        <w:rPr>
          <w:rFonts w:ascii="Times New Roman" w:cs="Times New Roman" w:eastAsia="Times New Roman" w:hAnsi="Times New Roman"/>
          <w:sz w:val="20"/>
          <w:szCs w:val="20"/>
          <w:color w:val="auto"/>
        </w:rPr>
        <w:t>Courts will not enforce a contract deemed to involve a violation of law or public policy. Because cannabis remains illegal under U.S. federal law, parties to contracts involving the state legal cannabis industry have argued that the agreement was void as federally illegal or against public policy. Some courts have accepted this argument in certain cases, usually against the company trafficking in cannabis. While courts have enforced contracts related to activities by state-legal cannabis companies, and the trend is generally to enforce contracts with state-legal cannabis companies and their vendors, there remains doubt and uncertainty that we will be able to enforce our commercial agreements in court for this reason. We cannot be assured that we will have a remedy for breach of contract, which would have a material adverse effect on our business.</w:t>
      </w:r>
    </w:p>
    <w:p>
      <w:pPr>
        <w:spacing w:after="0" w:line="82" w:lineRule="exact"/>
        <w:rPr>
          <w:sz w:val="20"/>
          <w:szCs w:val="20"/>
          <w:color w:val="auto"/>
        </w:rPr>
      </w:pPr>
    </w:p>
    <w:p>
      <w:pPr>
        <w:jc w:val="both"/>
        <w:spacing w:after="0" w:line="324" w:lineRule="auto"/>
        <w:rPr>
          <w:sz w:val="20"/>
          <w:szCs w:val="20"/>
          <w:color w:val="auto"/>
        </w:rPr>
      </w:pPr>
      <w:r>
        <w:rPr>
          <w:rFonts w:ascii="Times New Roman" w:cs="Times New Roman" w:eastAsia="Times New Roman" w:hAnsi="Times New Roman"/>
          <w:sz w:val="20"/>
          <w:szCs w:val="20"/>
          <w:b w:val="1"/>
          <w:bCs w:val="1"/>
          <w:i w:val="1"/>
          <w:iCs w:val="1"/>
          <w:color w:val="auto"/>
        </w:rPr>
        <w:t>Certain of our directors, officers, employees and investors who are not U.S. citizens may face constraints on cross-border travel into the United States.</w:t>
      </w:r>
    </w:p>
    <w:p>
      <w:pPr>
        <w:spacing w:after="0" w:line="47" w:lineRule="exact"/>
        <w:rPr>
          <w:sz w:val="20"/>
          <w:szCs w:val="20"/>
          <w:color w:val="auto"/>
        </w:rPr>
      </w:pPr>
    </w:p>
    <w:p>
      <w:pPr>
        <w:jc w:val="both"/>
        <w:spacing w:after="0" w:line="307" w:lineRule="auto"/>
        <w:rPr>
          <w:sz w:val="20"/>
          <w:szCs w:val="20"/>
          <w:color w:val="auto"/>
        </w:rPr>
      </w:pPr>
      <w:r>
        <w:rPr>
          <w:rFonts w:ascii="Times New Roman" w:cs="Times New Roman" w:eastAsia="Times New Roman" w:hAnsi="Times New Roman"/>
          <w:sz w:val="19"/>
          <w:szCs w:val="19"/>
          <w:color w:val="auto"/>
        </w:rPr>
        <w:t>Because cannabis remains illegal under U.S. federal law, non-U.S. citizens employed at or investing in companies doing business in the state legal cannabis industry could face detention, denial of entry or lifetime bans from the United States for their business associations with cannabis businesses. Entry to the United States happens at the sole discretion of the officers on duty of the U.S. Customs and Border Protection (“CBP”), and these officers have wide latitude to ask questions to determine the admissibility of a foreign national. The government of Canada has started warning travelers on its website that previous use of cannabis, or any substance prohibited by U.S. federal laws, could mean denial of entry to the United States. Business or financial involvement in the legal cannabis industry in Canada or in the United States could also be grounds for U.S. border guards to deny entry. On September 21, 2018, CBP released a statement outlining its current position with respect to enforcement of the laws of the United States. It stated that Canada’s legalization of cannabis will not change CBP enforcement of U.S. laws regarding controlled substances and because cannabis continues to be a controlled substance under U.S. federal law, working in or facilitating the proliferation of the legal marijuana industry in U.S. states where it is deemed legal or in Canada may affect admissibility to the United States. CBP updated its stated policy on October 9, 2018 to clarify that a Canadian citizen coming to the United States for reasons unrelated to the cannabis industry will generally be admissible to the United States.</w:t>
      </w:r>
    </w:p>
    <w:p>
      <w:pPr>
        <w:spacing w:after="0" w:line="75" w:lineRule="exact"/>
        <w:rPr>
          <w:sz w:val="20"/>
          <w:szCs w:val="20"/>
          <w:color w:val="auto"/>
        </w:rPr>
      </w:pPr>
    </w:p>
    <w:p>
      <w:pPr>
        <w:jc w:val="both"/>
        <w:spacing w:after="0" w:line="294" w:lineRule="auto"/>
        <w:rPr>
          <w:sz w:val="20"/>
          <w:szCs w:val="20"/>
          <w:color w:val="auto"/>
        </w:rPr>
      </w:pPr>
      <w:r>
        <w:rPr>
          <w:rFonts w:ascii="Times New Roman" w:cs="Times New Roman" w:eastAsia="Times New Roman" w:hAnsi="Times New Roman"/>
          <w:sz w:val="20"/>
          <w:szCs w:val="20"/>
          <w:color w:val="auto"/>
        </w:rPr>
        <w:t>As a result, CBP has affirmed that employees, directors, officers, managers and investors of companies involved in business activities related to cannabis in the United States or Canada (such as us), who are not U.S. citizens, face the risk of being barred from entry into the United States for life. On October 9, 2018, CBP released an additional policy statement indicating that Canadian citizens working in or facilitating the proliferation of the legal cannabis industry in Canada, if travelling to the United States for reasons unrelated to the cannabis industry, will generally be admissible. However, if the traveler is found to be entering into the United States for reasons related to the cannabis industry, he or she may be deemed inadmissible. Ultimately, travel restrictions imposed on our directors, officers, employees and investors could impair our ability to conduct business and to freely explore new strategic relationships.</w:t>
      </w:r>
    </w:p>
    <w:p>
      <w:pPr>
        <w:spacing w:after="0" w:line="77"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Risks Related to Ownership of Our Securities</w:t>
      </w:r>
    </w:p>
    <w:p>
      <w:pPr>
        <w:spacing w:after="0" w:line="170" w:lineRule="exact"/>
        <w:rPr>
          <w:sz w:val="20"/>
          <w:szCs w:val="20"/>
          <w:color w:val="auto"/>
        </w:rPr>
      </w:pPr>
    </w:p>
    <w:p>
      <w:pPr>
        <w:jc w:val="both"/>
        <w:ind w:right="20"/>
        <w:spacing w:after="0" w:line="324" w:lineRule="auto"/>
        <w:rPr>
          <w:sz w:val="20"/>
          <w:szCs w:val="20"/>
          <w:color w:val="auto"/>
        </w:rPr>
      </w:pPr>
      <w:r>
        <w:rPr>
          <w:rFonts w:ascii="Times New Roman" w:cs="Times New Roman" w:eastAsia="Times New Roman" w:hAnsi="Times New Roman"/>
          <w:sz w:val="20"/>
          <w:szCs w:val="20"/>
          <w:b w:val="1"/>
          <w:bCs w:val="1"/>
          <w:i w:val="1"/>
          <w:iCs w:val="1"/>
          <w:color w:val="auto"/>
        </w:rPr>
        <w:t>Concentration of ownership among our existing executive officers, directors and their respective affiliates may prevent new investors from influencing significant corporate decisions.</w:t>
      </w:r>
    </w:p>
    <w:p>
      <w:pPr>
        <w:spacing w:after="0" w:line="47" w:lineRule="exact"/>
        <w:rPr>
          <w:sz w:val="20"/>
          <w:szCs w:val="20"/>
          <w:color w:val="auto"/>
        </w:rPr>
      </w:pPr>
    </w:p>
    <w:p>
      <w:pPr>
        <w:jc w:val="both"/>
        <w:spacing w:after="0" w:line="321" w:lineRule="auto"/>
        <w:rPr>
          <w:sz w:val="20"/>
          <w:szCs w:val="20"/>
          <w:color w:val="auto"/>
        </w:rPr>
      </w:pPr>
      <w:r>
        <w:rPr>
          <w:rFonts w:ascii="Times New Roman" w:cs="Times New Roman" w:eastAsia="Times New Roman" w:hAnsi="Times New Roman"/>
          <w:sz w:val="19"/>
          <w:szCs w:val="19"/>
          <w:color w:val="auto"/>
        </w:rPr>
        <w:t>As of December 31, 2023, our affiliates, executive officers, directors and their respective affiliates as a group beneficially own approximately 22.3% of our outstanding Class A Common Stock and Class V Common Stock. As a result, these stockholders are able to exercise a significant level of control over all matters requiring stockholder approval, including the election of directors, amendment of our Certificate of Incorporation and approval of significant corporate transactions. This control could have the</w:t>
      </w:r>
    </w:p>
    <w:p>
      <w:pPr>
        <w:spacing w:after="0" w:line="99"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20"/>
          <w:szCs w:val="20"/>
          <w:color w:val="auto"/>
        </w:rPr>
        <w:t>49</w:t>
      </w:r>
    </w:p>
    <w:p>
      <w:pPr>
        <w:sectPr>
          <w:pgSz w:w="12240" w:h="15840" w:orient="portrait"/>
          <w:cols w:equalWidth="0" w:num="1">
            <w:col w:w="10260"/>
          </w:cols>
          <w:pgMar w:left="1000" w:top="886" w:right="980" w:bottom="222" w:gutter="0" w:footer="0" w:header="0"/>
        </w:sectPr>
      </w:pPr>
    </w:p>
    <w:bookmarkStart w:id="53" w:name="page54"/>
    <w:bookmarkEnd w:id="53"/>
    <w:p>
      <w:pPr>
        <w:jc w:val="both"/>
        <w:ind w:right="20"/>
        <w:spacing w:after="0" w:line="326" w:lineRule="auto"/>
        <w:rPr>
          <w:sz w:val="20"/>
          <w:szCs w:val="20"/>
          <w:color w:val="auto"/>
        </w:rPr>
      </w:pPr>
      <w:r>
        <w:rPr>
          <w:rFonts w:ascii="Times New Roman" w:cs="Times New Roman" w:eastAsia="Times New Roman" w:hAnsi="Times New Roman"/>
          <w:sz w:val="20"/>
          <w:szCs w:val="20"/>
          <w:color w:val="auto"/>
        </w:rPr>
        <w:t>effect of delaying or preventing a change of control of us or changes in management and will make the approval of certain transactions difficult or impossible without the support of these stockholders.</w:t>
      </w:r>
    </w:p>
    <w:p>
      <w:pPr>
        <w:spacing w:after="0" w:line="47" w:lineRule="exact"/>
        <w:rPr>
          <w:sz w:val="20"/>
          <w:szCs w:val="20"/>
          <w:color w:val="auto"/>
        </w:rPr>
      </w:pPr>
    </w:p>
    <w:p>
      <w:pPr>
        <w:jc w:val="both"/>
        <w:spacing w:after="0" w:line="332" w:lineRule="auto"/>
        <w:rPr>
          <w:sz w:val="20"/>
          <w:szCs w:val="20"/>
          <w:color w:val="auto"/>
        </w:rPr>
      </w:pPr>
      <w:r>
        <w:rPr>
          <w:rFonts w:ascii="Times New Roman" w:cs="Times New Roman" w:eastAsia="Times New Roman" w:hAnsi="Times New Roman"/>
          <w:sz w:val="20"/>
          <w:szCs w:val="20"/>
          <w:b w:val="1"/>
          <w:bCs w:val="1"/>
          <w:i w:val="1"/>
          <w:iCs w:val="1"/>
          <w:color w:val="auto"/>
        </w:rPr>
        <w:t>We are a “smaller reporting company” under the U.S. federal securities laws, and the reduced reporting requirements applicable to smaller reporting companies could make our common stock less attractive to investors.</w:t>
      </w:r>
    </w:p>
    <w:p>
      <w:pPr>
        <w:spacing w:after="0" w:line="38" w:lineRule="exact"/>
        <w:rPr>
          <w:sz w:val="20"/>
          <w:szCs w:val="20"/>
          <w:color w:val="auto"/>
        </w:rPr>
      </w:pPr>
    </w:p>
    <w:p>
      <w:pPr>
        <w:jc w:val="both"/>
        <w:spacing w:after="0" w:line="295" w:lineRule="auto"/>
        <w:rPr>
          <w:sz w:val="20"/>
          <w:szCs w:val="20"/>
          <w:color w:val="auto"/>
        </w:rPr>
      </w:pPr>
      <w:r>
        <w:rPr>
          <w:rFonts w:ascii="Times New Roman" w:cs="Times New Roman" w:eastAsia="Times New Roman" w:hAnsi="Times New Roman"/>
          <w:sz w:val="20"/>
          <w:szCs w:val="20"/>
          <w:color w:val="auto"/>
        </w:rPr>
        <w:t>We are a “smaller reporting company” under U.S. federal securities laws. For as long as we continue to be a smaller reporting company, we may take advantage of exemptions from various reporting requirements that are applicable to other public companies that are not smaller reporting companies, including reduced disclosure obligations regarding executive compensation in our periodic reports and proxy statements. Investors may not find our common stock attractive because we may rely on these exemptions. If some investors find our common stock less attractive as a result, there may be a less active trading market for our common stock and our stock price may be more volatile.</w:t>
      </w:r>
    </w:p>
    <w:p>
      <w:pPr>
        <w:spacing w:after="0" w:line="84"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We do not expect to declare any dividends in the foreseeable future.</w:t>
      </w:r>
    </w:p>
    <w:p>
      <w:pPr>
        <w:spacing w:after="0" w:line="157" w:lineRule="exact"/>
        <w:rPr>
          <w:sz w:val="20"/>
          <w:szCs w:val="20"/>
          <w:color w:val="auto"/>
        </w:rPr>
      </w:pPr>
    </w:p>
    <w:p>
      <w:pPr>
        <w:jc w:val="both"/>
        <w:ind w:right="20"/>
        <w:spacing w:after="0" w:line="309" w:lineRule="auto"/>
        <w:rPr>
          <w:sz w:val="20"/>
          <w:szCs w:val="20"/>
          <w:color w:val="auto"/>
        </w:rPr>
      </w:pPr>
      <w:r>
        <w:rPr>
          <w:rFonts w:ascii="Times New Roman" w:cs="Times New Roman" w:eastAsia="Times New Roman" w:hAnsi="Times New Roman"/>
          <w:sz w:val="20"/>
          <w:szCs w:val="20"/>
          <w:color w:val="auto"/>
        </w:rPr>
        <w:t>We do not anticipate declaring any cash dividends to holders of Class A Common Stock in the foreseeable future. Consequently, investors may need to rely on sales of their shares after price appreciation, which may never occur, as the only way to realize any future gains on their investment.</w:t>
      </w:r>
    </w:p>
    <w:p>
      <w:pPr>
        <w:spacing w:after="0" w:line="64" w:lineRule="exact"/>
        <w:rPr>
          <w:sz w:val="20"/>
          <w:szCs w:val="20"/>
          <w:color w:val="auto"/>
        </w:rPr>
      </w:pPr>
    </w:p>
    <w:p>
      <w:pPr>
        <w:jc w:val="both"/>
        <w:spacing w:after="0" w:line="308" w:lineRule="auto"/>
        <w:rPr>
          <w:sz w:val="20"/>
          <w:szCs w:val="20"/>
          <w:color w:val="auto"/>
        </w:rPr>
      </w:pPr>
      <w:r>
        <w:rPr>
          <w:rFonts w:ascii="Times New Roman" w:cs="Times New Roman" w:eastAsia="Times New Roman" w:hAnsi="Times New Roman"/>
          <w:sz w:val="20"/>
          <w:szCs w:val="20"/>
          <w:b w:val="1"/>
          <w:bCs w:val="1"/>
          <w:i w:val="1"/>
          <w:iCs w:val="1"/>
          <w:color w:val="auto"/>
        </w:rPr>
        <w:t>Our Certificate of Incorporation designates specific courts as the exclusive forum for certain stockholder litigation matters, which could limit the ability of our stockholders to obtain a favorable forum for disputes with us or our directors, officers or employees.</w:t>
      </w:r>
    </w:p>
    <w:p>
      <w:pPr>
        <w:spacing w:after="0" w:line="63" w:lineRule="exact"/>
        <w:rPr>
          <w:sz w:val="20"/>
          <w:szCs w:val="20"/>
          <w:color w:val="auto"/>
        </w:rPr>
      </w:pPr>
    </w:p>
    <w:p>
      <w:pPr>
        <w:jc w:val="both"/>
        <w:spacing w:after="0" w:line="306" w:lineRule="auto"/>
        <w:rPr>
          <w:sz w:val="20"/>
          <w:szCs w:val="20"/>
          <w:color w:val="auto"/>
        </w:rPr>
      </w:pPr>
      <w:r>
        <w:rPr>
          <w:rFonts w:ascii="Times New Roman" w:cs="Times New Roman" w:eastAsia="Times New Roman" w:hAnsi="Times New Roman"/>
          <w:sz w:val="19"/>
          <w:szCs w:val="19"/>
          <w:color w:val="auto"/>
        </w:rPr>
        <w:t>Our Certificate of Incorporation requires, to the fullest extent permitted by law, that derivative actions brought in our name, actions against current or former directors, officers or other employees for breach of fiduciary duty, other similar actions, any other action as to which the DGCL confers jurisdiction to the Court of Chancery of the State of Delaware and any action or proceeding concerning the validity of our Certificate of Incorporation or our Bylaws may be brought only in the Court of Chancery in the State of Delaware (or, if and only if the Court of Chancery of the State of Delaware does not have subject matter jurisdiction thereof, any state court located in the State of Delaware or, if and only if all such state courts lack subject matter jurisdiction, the federal district court for the District of Delaware), unless we consent in writing to the selection of an alternative forum. This provision would not apply to suits brought to enforce a duty or liability created by the Exchange Act or any other claim for which the federal courts have exclusive jurisdiction. Our Certificate of Incorporation also provides that, unless we consent in writing to the selection of an alternative forum, the federal district courts of the U.S. shall be the exclusive forum for the resolution of any complaint asserting a cause of action arising under the Securities Act. This provision may limit the ability of our stockholders to bring a claim in a judicial forum that such stockholder finds favorable for disputes with us and our directors, officers or other employees and may have the effect of discouraging lawsuits against our directors, officers and other employees. Furthermore, our stockholders may be subject to increased costs to bring these claims, and the exclusive forum provision could have the effect of discouraging claims or limiting investors’ ability to bring claims in a judicial forum that they find favorable.</w:t>
      </w:r>
    </w:p>
    <w:p>
      <w:pPr>
        <w:spacing w:after="0" w:line="77" w:lineRule="exact"/>
        <w:rPr>
          <w:sz w:val="20"/>
          <w:szCs w:val="20"/>
          <w:color w:val="auto"/>
        </w:rPr>
      </w:pPr>
    </w:p>
    <w:p>
      <w:pPr>
        <w:jc w:val="both"/>
        <w:spacing w:after="0" w:line="293" w:lineRule="auto"/>
        <w:rPr>
          <w:sz w:val="20"/>
          <w:szCs w:val="20"/>
          <w:color w:val="auto"/>
        </w:rPr>
      </w:pPr>
      <w:r>
        <w:rPr>
          <w:rFonts w:ascii="Times New Roman" w:cs="Times New Roman" w:eastAsia="Times New Roman" w:hAnsi="Times New Roman"/>
          <w:sz w:val="20"/>
          <w:szCs w:val="20"/>
          <w:color w:val="auto"/>
        </w:rPr>
        <w:t xml:space="preserve">In addition, the enforceability of similar exclusive forum provisions in other companies’ certificates of incorporation has been challenged in legal proceedings, and it is possible that, in connection with one or more actions or proceedings described above, a court could rule that this provision in our Certificate of Incorporation is inapplicable or unenforceable. In March 2020, the Delaware Supreme Court issued a decision in </w:t>
      </w:r>
      <w:r>
        <w:rPr>
          <w:rFonts w:ascii="Times New Roman" w:cs="Times New Roman" w:eastAsia="Times New Roman" w:hAnsi="Times New Roman"/>
          <w:sz w:val="20"/>
          <w:szCs w:val="20"/>
          <w:i w:val="1"/>
          <w:iCs w:val="1"/>
          <w:color w:val="auto"/>
        </w:rPr>
        <w:t>Salzburg et al. v. Sciabacucchi</w:t>
      </w:r>
      <w:r>
        <w:rPr>
          <w:rFonts w:ascii="Times New Roman" w:cs="Times New Roman" w:eastAsia="Times New Roman" w:hAnsi="Times New Roman"/>
          <w:sz w:val="20"/>
          <w:szCs w:val="20"/>
          <w:color w:val="auto"/>
        </w:rPr>
        <w:t>, which found that an exclusive forum provision providing for claims under the Securities Act to be brought in federal court is facially valid under Delaware law. We intend to enforce this provision, but we do not know whether courts in other jurisdictions will agree with this decision or enforce it. If a court were to find the exclusive forum provision contained in our Certificate of Incorporation to be inapplicable or unenforceable in an action, we may incur additional costs associated with resolving such action in other jurisdictions, which could harm our business, prospects, financial condition and operating results.</w:t>
      </w:r>
    </w:p>
    <w:p>
      <w:pPr>
        <w:spacing w:after="0" w:line="81" w:lineRule="exact"/>
        <w:rPr>
          <w:sz w:val="20"/>
          <w:szCs w:val="20"/>
          <w:color w:val="auto"/>
        </w:rPr>
      </w:pPr>
    </w:p>
    <w:p>
      <w:pPr>
        <w:jc w:val="both"/>
        <w:ind w:right="20"/>
        <w:spacing w:after="0" w:line="324" w:lineRule="auto"/>
        <w:rPr>
          <w:sz w:val="20"/>
          <w:szCs w:val="20"/>
          <w:color w:val="auto"/>
        </w:rPr>
      </w:pPr>
      <w:r>
        <w:rPr>
          <w:rFonts w:ascii="Times New Roman" w:cs="Times New Roman" w:eastAsia="Times New Roman" w:hAnsi="Times New Roman"/>
          <w:sz w:val="20"/>
          <w:szCs w:val="20"/>
          <w:b w:val="1"/>
          <w:bCs w:val="1"/>
          <w:i w:val="1"/>
          <w:iCs w:val="1"/>
          <w:color w:val="auto"/>
        </w:rPr>
        <w:t>Sale of a substantial number of our shares in the public market could cause the market price of our Class A Common Stock to drop significantly, even if our business is doing well.</w:t>
      </w:r>
    </w:p>
    <w:p>
      <w:pPr>
        <w:spacing w:after="0" w:line="47" w:lineRule="exact"/>
        <w:rPr>
          <w:sz w:val="20"/>
          <w:szCs w:val="20"/>
          <w:color w:val="auto"/>
        </w:rPr>
      </w:pPr>
    </w:p>
    <w:p>
      <w:pPr>
        <w:jc w:val="both"/>
        <w:ind w:right="20"/>
        <w:spacing w:after="0" w:line="356" w:lineRule="auto"/>
        <w:rPr>
          <w:sz w:val="20"/>
          <w:szCs w:val="20"/>
          <w:color w:val="auto"/>
        </w:rPr>
      </w:pPr>
      <w:r>
        <w:rPr>
          <w:rFonts w:ascii="Times New Roman" w:cs="Times New Roman" w:eastAsia="Times New Roman" w:hAnsi="Times New Roman"/>
          <w:sz w:val="19"/>
          <w:szCs w:val="19"/>
          <w:color w:val="auto"/>
        </w:rPr>
        <w:t>Sales of a substantial number of shares of our Class A Common Stock in the public market could occur at any time. These sales, or the perception in the market that the holders of a large number of shares intend to sell shares, could reduce the market price of</w:t>
      </w:r>
    </w:p>
    <w:p>
      <w:pPr>
        <w:spacing w:after="0" w:line="346"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20"/>
          <w:szCs w:val="20"/>
          <w:color w:val="auto"/>
        </w:rPr>
        <w:t>50</w:t>
      </w:r>
    </w:p>
    <w:p>
      <w:pPr>
        <w:sectPr>
          <w:pgSz w:w="12240" w:h="15840" w:orient="portrait"/>
          <w:cols w:equalWidth="0" w:num="1">
            <w:col w:w="10260"/>
          </w:cols>
          <w:pgMar w:left="1000" w:top="884" w:right="980" w:bottom="222" w:gutter="0" w:footer="0" w:header="0"/>
        </w:sectPr>
      </w:pPr>
    </w:p>
    <w:bookmarkStart w:id="54" w:name="page55"/>
    <w:bookmarkEnd w:id="54"/>
    <w:p>
      <w:pPr>
        <w:jc w:val="both"/>
        <w:ind w:right="20"/>
        <w:spacing w:after="0" w:line="356" w:lineRule="auto"/>
        <w:rPr>
          <w:sz w:val="20"/>
          <w:szCs w:val="20"/>
          <w:color w:val="auto"/>
        </w:rPr>
      </w:pPr>
      <w:r>
        <w:rPr>
          <w:rFonts w:ascii="Times New Roman" w:cs="Times New Roman" w:eastAsia="Times New Roman" w:hAnsi="Times New Roman"/>
          <w:sz w:val="19"/>
          <w:szCs w:val="19"/>
          <w:color w:val="auto"/>
        </w:rPr>
        <w:t>our Class A Common Stock. We are unable to predict the effect that sales may have on the prevailing market price of our Class A Common Stock and the public warrants originally issued in the initial public offering of Silver Spike (the “Public Warrants”).</w:t>
      </w:r>
    </w:p>
    <w:p>
      <w:pPr>
        <w:spacing w:after="0" w:line="21" w:lineRule="exact"/>
        <w:rPr>
          <w:sz w:val="20"/>
          <w:szCs w:val="20"/>
          <w:color w:val="auto"/>
        </w:rPr>
      </w:pPr>
    </w:p>
    <w:p>
      <w:pPr>
        <w:jc w:val="both"/>
        <w:spacing w:after="0" w:line="299" w:lineRule="auto"/>
        <w:rPr>
          <w:sz w:val="20"/>
          <w:szCs w:val="20"/>
          <w:color w:val="auto"/>
        </w:rPr>
      </w:pPr>
      <w:r>
        <w:rPr>
          <w:rFonts w:ascii="Times New Roman" w:cs="Times New Roman" w:eastAsia="Times New Roman" w:hAnsi="Times New Roman"/>
          <w:sz w:val="20"/>
          <w:szCs w:val="20"/>
          <w:color w:val="auto"/>
        </w:rPr>
        <w:t>To the extent the Public Warrants or other exercisable securities are exercised, additional shares of our Class A Common Stock will be issued, which will result in dilution to the holders of our Class A Common Stock and increase the number of shares eligible for resale in the public market. Sales, or the potential sales, of substantial numbers of shares in the public market by the selling security holders could increase the volatility of the market price of our Class A Common Stock or adversely affect the market price of our Class A Common Stock.</w:t>
      </w:r>
    </w:p>
    <w:p>
      <w:pPr>
        <w:spacing w:after="0" w:line="74" w:lineRule="exact"/>
        <w:rPr>
          <w:sz w:val="20"/>
          <w:szCs w:val="20"/>
          <w:color w:val="auto"/>
        </w:rPr>
      </w:pPr>
    </w:p>
    <w:p>
      <w:pPr>
        <w:jc w:val="both"/>
        <w:spacing w:after="0" w:line="324" w:lineRule="auto"/>
        <w:rPr>
          <w:sz w:val="20"/>
          <w:szCs w:val="20"/>
          <w:color w:val="auto"/>
        </w:rPr>
      </w:pPr>
      <w:r>
        <w:rPr>
          <w:rFonts w:ascii="Times New Roman" w:cs="Times New Roman" w:eastAsia="Times New Roman" w:hAnsi="Times New Roman"/>
          <w:sz w:val="20"/>
          <w:szCs w:val="20"/>
          <w:b w:val="1"/>
          <w:bCs w:val="1"/>
          <w:i w:val="1"/>
          <w:iCs w:val="1"/>
          <w:color w:val="auto"/>
        </w:rPr>
        <w:t>We may issue additional shares of Class A Common Stock or preferred stock, including under our equity incentive plan. Any such issuances would dilute the interest of our stockholders and likely present other risks.</w:t>
      </w:r>
    </w:p>
    <w:p>
      <w:pPr>
        <w:spacing w:after="0" w:line="47" w:lineRule="exact"/>
        <w:rPr>
          <w:sz w:val="20"/>
          <w:szCs w:val="20"/>
          <w:color w:val="auto"/>
        </w:rPr>
      </w:pPr>
    </w:p>
    <w:p>
      <w:pPr>
        <w:jc w:val="both"/>
        <w:spacing w:after="0" w:line="326" w:lineRule="auto"/>
        <w:rPr>
          <w:sz w:val="20"/>
          <w:szCs w:val="20"/>
          <w:color w:val="auto"/>
        </w:rPr>
      </w:pPr>
      <w:r>
        <w:rPr>
          <w:rFonts w:ascii="Times New Roman" w:cs="Times New Roman" w:eastAsia="Times New Roman" w:hAnsi="Times New Roman"/>
          <w:sz w:val="20"/>
          <w:szCs w:val="20"/>
          <w:color w:val="auto"/>
        </w:rPr>
        <w:t>We may issue a substantial number of additional shares of Class A Common Stock or preferred stock, including under our equity incentive plan. Any such issuances of additional shares of Class A Common Stock or preferred stock:</w:t>
      </w:r>
    </w:p>
    <w:p>
      <w:pPr>
        <w:spacing w:after="0" w:line="45" w:lineRule="exact"/>
        <w:rPr>
          <w:sz w:val="20"/>
          <w:szCs w:val="20"/>
          <w:color w:val="auto"/>
        </w:rPr>
      </w:pPr>
    </w:p>
    <w:p>
      <w:pPr>
        <w:ind w:left="720" w:hanging="366"/>
        <w:spacing w:after="0"/>
        <w:tabs>
          <w:tab w:leader="none" w:pos="720" w:val="left"/>
        </w:tabs>
        <w:numPr>
          <w:ilvl w:val="0"/>
          <w:numId w:val="3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may significantly dilute the equity interests of our investors;</w:t>
      </w:r>
    </w:p>
    <w:p>
      <w:pPr>
        <w:spacing w:after="0" w:line="108" w:lineRule="exact"/>
        <w:rPr>
          <w:rFonts w:ascii="Times New Roman" w:cs="Times New Roman" w:eastAsia="Times New Roman" w:hAnsi="Times New Roman"/>
          <w:sz w:val="20"/>
          <w:szCs w:val="20"/>
          <w:color w:val="auto"/>
        </w:rPr>
      </w:pPr>
    </w:p>
    <w:p>
      <w:pPr>
        <w:ind w:left="720" w:hanging="366"/>
        <w:spacing w:after="0" w:line="319" w:lineRule="auto"/>
        <w:tabs>
          <w:tab w:leader="none" w:pos="720" w:val="left"/>
        </w:tabs>
        <w:numPr>
          <w:ilvl w:val="0"/>
          <w:numId w:val="3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may subordinate the rights of holders of Class A Common Stock if preferred stock is issued with rights senior to those afforded our Class A Common Stock;</w:t>
      </w:r>
    </w:p>
    <w:p>
      <w:pPr>
        <w:jc w:val="both"/>
        <w:ind w:left="720" w:hanging="366"/>
        <w:spacing w:after="0" w:line="308" w:lineRule="auto"/>
        <w:tabs>
          <w:tab w:leader="none" w:pos="720" w:val="left"/>
        </w:tabs>
        <w:numPr>
          <w:ilvl w:val="0"/>
          <w:numId w:val="3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could cause a change in control if a substantial number of shares of our Class A Common Stock are issued, which may affect, among other things, our ability to use our net operating loss carry forwards, if any, and could result in the resignation or removal of our present officers and directors; and</w:t>
      </w:r>
    </w:p>
    <w:p>
      <w:pPr>
        <w:ind w:left="720" w:hanging="366"/>
        <w:spacing w:after="0"/>
        <w:tabs>
          <w:tab w:leader="none" w:pos="720" w:val="left"/>
        </w:tabs>
        <w:numPr>
          <w:ilvl w:val="0"/>
          <w:numId w:val="3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may adversely affect prevailing market prices for our Class A Common Stock and/or Warrants.</w:t>
      </w:r>
    </w:p>
    <w:p>
      <w:pPr>
        <w:spacing w:after="0" w:line="168" w:lineRule="exact"/>
        <w:rPr>
          <w:sz w:val="20"/>
          <w:szCs w:val="20"/>
          <w:color w:val="auto"/>
        </w:rPr>
      </w:pPr>
    </w:p>
    <w:p>
      <w:pPr>
        <w:ind w:right="20"/>
        <w:spacing w:after="0" w:line="332" w:lineRule="auto"/>
        <w:rPr>
          <w:sz w:val="20"/>
          <w:szCs w:val="20"/>
          <w:color w:val="auto"/>
        </w:rPr>
      </w:pPr>
      <w:r>
        <w:rPr>
          <w:rFonts w:ascii="Times New Roman" w:cs="Times New Roman" w:eastAsia="Times New Roman" w:hAnsi="Times New Roman"/>
          <w:sz w:val="20"/>
          <w:szCs w:val="20"/>
          <w:b w:val="1"/>
          <w:bCs w:val="1"/>
          <w:i w:val="1"/>
          <w:iCs w:val="1"/>
          <w:color w:val="auto"/>
        </w:rPr>
        <w:t>The trading price of our Class A Common Stock and the Public Warrants have been, and may continue to be, volatile, and the value of our Class A Common Stock and Warrants may decline.</w:t>
      </w:r>
    </w:p>
    <w:p>
      <w:pPr>
        <w:spacing w:after="0" w:line="39" w:lineRule="exact"/>
        <w:rPr>
          <w:sz w:val="20"/>
          <w:szCs w:val="20"/>
          <w:color w:val="auto"/>
        </w:rPr>
      </w:pPr>
    </w:p>
    <w:p>
      <w:pPr>
        <w:spacing w:after="0" w:line="326" w:lineRule="auto"/>
        <w:rPr>
          <w:sz w:val="20"/>
          <w:szCs w:val="20"/>
          <w:color w:val="auto"/>
        </w:rPr>
      </w:pPr>
      <w:r>
        <w:rPr>
          <w:rFonts w:ascii="Times New Roman" w:cs="Times New Roman" w:eastAsia="Times New Roman" w:hAnsi="Times New Roman"/>
          <w:sz w:val="20"/>
          <w:szCs w:val="20"/>
          <w:color w:val="auto"/>
        </w:rPr>
        <w:t>The market price of our Class A Common Stock and the Public Warrants have been and may continue to be subject to wide fluctuations in response to numerous factors, many of which are beyond our control, including:</w:t>
      </w:r>
    </w:p>
    <w:p>
      <w:pPr>
        <w:spacing w:after="0" w:line="45" w:lineRule="exact"/>
        <w:rPr>
          <w:sz w:val="20"/>
          <w:szCs w:val="20"/>
          <w:color w:val="auto"/>
        </w:rPr>
      </w:pPr>
    </w:p>
    <w:p>
      <w:pPr>
        <w:ind w:left="720" w:hanging="366"/>
        <w:spacing w:after="0"/>
        <w:tabs>
          <w:tab w:leader="none" w:pos="720" w:val="left"/>
        </w:tabs>
        <w:numPr>
          <w:ilvl w:val="0"/>
          <w:numId w:val="3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actual or anticipated fluctuations in our financial condition and operating results;</w:t>
      </w:r>
    </w:p>
    <w:p>
      <w:pPr>
        <w:spacing w:after="0" w:line="108" w:lineRule="exact"/>
        <w:rPr>
          <w:rFonts w:ascii="Times New Roman" w:cs="Times New Roman" w:eastAsia="Times New Roman" w:hAnsi="Times New Roman"/>
          <w:sz w:val="20"/>
          <w:szCs w:val="20"/>
          <w:color w:val="auto"/>
        </w:rPr>
      </w:pPr>
    </w:p>
    <w:p>
      <w:pPr>
        <w:ind w:left="720" w:hanging="366"/>
        <w:spacing w:after="0"/>
        <w:tabs>
          <w:tab w:leader="none" w:pos="720" w:val="left"/>
        </w:tabs>
        <w:numPr>
          <w:ilvl w:val="0"/>
          <w:numId w:val="3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changes in projected operational and financial results;</w:t>
      </w:r>
    </w:p>
    <w:p>
      <w:pPr>
        <w:spacing w:after="0" w:line="101" w:lineRule="exact"/>
        <w:rPr>
          <w:rFonts w:ascii="Times New Roman" w:cs="Times New Roman" w:eastAsia="Times New Roman" w:hAnsi="Times New Roman"/>
          <w:sz w:val="20"/>
          <w:szCs w:val="20"/>
          <w:color w:val="auto"/>
        </w:rPr>
      </w:pPr>
    </w:p>
    <w:p>
      <w:pPr>
        <w:ind w:left="720" w:right="20" w:hanging="366"/>
        <w:spacing w:after="0" w:line="319" w:lineRule="auto"/>
        <w:tabs>
          <w:tab w:leader="none" w:pos="720" w:val="left"/>
        </w:tabs>
        <w:numPr>
          <w:ilvl w:val="0"/>
          <w:numId w:val="3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development, effects and enforcement of and changes to laws and regulations, including with respect to the cannabis industry;</w:t>
      </w:r>
    </w:p>
    <w:p>
      <w:pPr>
        <w:ind w:left="720" w:hanging="366"/>
        <w:spacing w:after="0"/>
        <w:tabs>
          <w:tab w:leader="none" w:pos="720" w:val="left"/>
        </w:tabs>
        <w:numPr>
          <w:ilvl w:val="0"/>
          <w:numId w:val="3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commencement or conclusion of legal proceedings that involve us;</w:t>
      </w:r>
    </w:p>
    <w:p>
      <w:pPr>
        <w:spacing w:after="0" w:line="108" w:lineRule="exact"/>
        <w:rPr>
          <w:rFonts w:ascii="Times New Roman" w:cs="Times New Roman" w:eastAsia="Times New Roman" w:hAnsi="Times New Roman"/>
          <w:sz w:val="20"/>
          <w:szCs w:val="20"/>
          <w:color w:val="auto"/>
        </w:rPr>
      </w:pPr>
    </w:p>
    <w:p>
      <w:pPr>
        <w:ind w:left="720" w:hanging="366"/>
        <w:spacing w:after="0"/>
        <w:tabs>
          <w:tab w:leader="none" w:pos="720" w:val="left"/>
        </w:tabs>
        <w:numPr>
          <w:ilvl w:val="0"/>
          <w:numId w:val="3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actual or anticipated changes in our growth rate relative to our competitors;</w:t>
      </w:r>
    </w:p>
    <w:p>
      <w:pPr>
        <w:spacing w:after="0" w:line="108" w:lineRule="exact"/>
        <w:rPr>
          <w:rFonts w:ascii="Times New Roman" w:cs="Times New Roman" w:eastAsia="Times New Roman" w:hAnsi="Times New Roman"/>
          <w:sz w:val="20"/>
          <w:szCs w:val="20"/>
          <w:color w:val="auto"/>
        </w:rPr>
      </w:pPr>
    </w:p>
    <w:p>
      <w:pPr>
        <w:ind w:left="720" w:hanging="366"/>
        <w:spacing w:after="0"/>
        <w:tabs>
          <w:tab w:leader="none" w:pos="720" w:val="left"/>
        </w:tabs>
        <w:numPr>
          <w:ilvl w:val="0"/>
          <w:numId w:val="3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announcements of new products or services by us or our competitors;</w:t>
      </w:r>
    </w:p>
    <w:p>
      <w:pPr>
        <w:spacing w:after="0" w:line="101" w:lineRule="exact"/>
        <w:rPr>
          <w:rFonts w:ascii="Times New Roman" w:cs="Times New Roman" w:eastAsia="Times New Roman" w:hAnsi="Times New Roman"/>
          <w:sz w:val="20"/>
          <w:szCs w:val="20"/>
          <w:color w:val="auto"/>
        </w:rPr>
      </w:pPr>
    </w:p>
    <w:p>
      <w:pPr>
        <w:ind w:left="720" w:hanging="366"/>
        <w:spacing w:after="0"/>
        <w:tabs>
          <w:tab w:leader="none" w:pos="720" w:val="left"/>
        </w:tabs>
        <w:numPr>
          <w:ilvl w:val="0"/>
          <w:numId w:val="3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announcements by us or our competitors of significant acquisitions, strategic partnerships, or joint ventures;</w:t>
      </w:r>
    </w:p>
    <w:p>
      <w:pPr>
        <w:spacing w:after="0" w:line="108" w:lineRule="exact"/>
        <w:rPr>
          <w:rFonts w:ascii="Times New Roman" w:cs="Times New Roman" w:eastAsia="Times New Roman" w:hAnsi="Times New Roman"/>
          <w:sz w:val="20"/>
          <w:szCs w:val="20"/>
          <w:color w:val="auto"/>
        </w:rPr>
      </w:pPr>
    </w:p>
    <w:p>
      <w:pPr>
        <w:ind w:left="720" w:hanging="366"/>
        <w:spacing w:after="0"/>
        <w:tabs>
          <w:tab w:leader="none" w:pos="720" w:val="left"/>
        </w:tabs>
        <w:numPr>
          <w:ilvl w:val="0"/>
          <w:numId w:val="3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capital-raising activities or commitments;</w:t>
      </w:r>
    </w:p>
    <w:p>
      <w:pPr>
        <w:spacing w:after="0" w:line="108" w:lineRule="exact"/>
        <w:rPr>
          <w:rFonts w:ascii="Times New Roman" w:cs="Times New Roman" w:eastAsia="Times New Roman" w:hAnsi="Times New Roman"/>
          <w:sz w:val="20"/>
          <w:szCs w:val="20"/>
          <w:color w:val="auto"/>
        </w:rPr>
      </w:pPr>
    </w:p>
    <w:p>
      <w:pPr>
        <w:ind w:left="720" w:hanging="366"/>
        <w:spacing w:after="0"/>
        <w:tabs>
          <w:tab w:leader="none" w:pos="720" w:val="left"/>
        </w:tabs>
        <w:numPr>
          <w:ilvl w:val="0"/>
          <w:numId w:val="3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issuance of new or updated research or reports by securities analysts;</w:t>
      </w:r>
    </w:p>
    <w:p>
      <w:pPr>
        <w:spacing w:after="0" w:line="101" w:lineRule="exact"/>
        <w:rPr>
          <w:rFonts w:ascii="Times New Roman" w:cs="Times New Roman" w:eastAsia="Times New Roman" w:hAnsi="Times New Roman"/>
          <w:sz w:val="20"/>
          <w:szCs w:val="20"/>
          <w:color w:val="auto"/>
        </w:rPr>
      </w:pPr>
    </w:p>
    <w:p>
      <w:pPr>
        <w:ind w:left="720" w:hanging="366"/>
        <w:spacing w:after="0"/>
        <w:tabs>
          <w:tab w:leader="none" w:pos="720" w:val="left"/>
        </w:tabs>
        <w:numPr>
          <w:ilvl w:val="0"/>
          <w:numId w:val="32"/>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the use by investors or analysts of third-party data regarding our business that may not reflect our financial performance;</w:t>
      </w:r>
    </w:p>
    <w:p>
      <w:pPr>
        <w:spacing w:after="0" w:line="120" w:lineRule="exact"/>
        <w:rPr>
          <w:rFonts w:ascii="Times New Roman" w:cs="Times New Roman" w:eastAsia="Times New Roman" w:hAnsi="Times New Roman"/>
          <w:sz w:val="19"/>
          <w:szCs w:val="19"/>
          <w:color w:val="auto"/>
        </w:rPr>
      </w:pPr>
    </w:p>
    <w:p>
      <w:pPr>
        <w:ind w:left="720" w:hanging="366"/>
        <w:spacing w:after="0"/>
        <w:tabs>
          <w:tab w:leader="none" w:pos="720" w:val="left"/>
        </w:tabs>
        <w:numPr>
          <w:ilvl w:val="0"/>
          <w:numId w:val="3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fluctuations in the valuation of companies perceived by investors to be comparable to us;</w:t>
      </w:r>
    </w:p>
    <w:p>
      <w:pPr>
        <w:spacing w:after="0" w:line="108" w:lineRule="exact"/>
        <w:rPr>
          <w:rFonts w:ascii="Times New Roman" w:cs="Times New Roman" w:eastAsia="Times New Roman" w:hAnsi="Times New Roman"/>
          <w:sz w:val="20"/>
          <w:szCs w:val="20"/>
          <w:color w:val="auto"/>
        </w:rPr>
      </w:pPr>
    </w:p>
    <w:p>
      <w:pPr>
        <w:ind w:left="720" w:hanging="366"/>
        <w:spacing w:after="0"/>
        <w:tabs>
          <w:tab w:leader="none" w:pos="720" w:val="left"/>
        </w:tabs>
        <w:numPr>
          <w:ilvl w:val="0"/>
          <w:numId w:val="3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sales of our securities, including short selling of our securities;</w:t>
      </w:r>
    </w:p>
    <w:p>
      <w:pPr>
        <w:spacing w:after="0" w:line="101" w:lineRule="exact"/>
        <w:rPr>
          <w:rFonts w:ascii="Times New Roman" w:cs="Times New Roman" w:eastAsia="Times New Roman" w:hAnsi="Times New Roman"/>
          <w:sz w:val="20"/>
          <w:szCs w:val="20"/>
          <w:color w:val="auto"/>
        </w:rPr>
      </w:pPr>
    </w:p>
    <w:p>
      <w:pPr>
        <w:ind w:left="720" w:hanging="366"/>
        <w:spacing w:after="0"/>
        <w:tabs>
          <w:tab w:leader="none" w:pos="720" w:val="left"/>
        </w:tabs>
        <w:numPr>
          <w:ilvl w:val="0"/>
          <w:numId w:val="3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share price and volume fluctuations attributable to inconsistent trading volume levels of our shares;</w:t>
      </w:r>
    </w:p>
    <w:p>
      <w:pPr>
        <w:spacing w:after="0" w:line="108" w:lineRule="exact"/>
        <w:rPr>
          <w:rFonts w:ascii="Times New Roman" w:cs="Times New Roman" w:eastAsia="Times New Roman" w:hAnsi="Times New Roman"/>
          <w:sz w:val="20"/>
          <w:szCs w:val="20"/>
          <w:color w:val="auto"/>
        </w:rPr>
      </w:pPr>
    </w:p>
    <w:p>
      <w:pPr>
        <w:ind w:left="720" w:hanging="366"/>
        <w:spacing w:after="0"/>
        <w:tabs>
          <w:tab w:leader="none" w:pos="720" w:val="left"/>
        </w:tabs>
        <w:numPr>
          <w:ilvl w:val="0"/>
          <w:numId w:val="3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general economic and market conditions; and</w:t>
      </w:r>
    </w:p>
    <w:p>
      <w:pPr>
        <w:spacing w:after="0" w:line="108" w:lineRule="exact"/>
        <w:rPr>
          <w:rFonts w:ascii="Times New Roman" w:cs="Times New Roman" w:eastAsia="Times New Roman" w:hAnsi="Times New Roman"/>
          <w:sz w:val="20"/>
          <w:szCs w:val="20"/>
          <w:color w:val="auto"/>
        </w:rPr>
      </w:pPr>
    </w:p>
    <w:p>
      <w:pPr>
        <w:ind w:left="720" w:hanging="365"/>
        <w:spacing w:after="0" w:line="326" w:lineRule="auto"/>
        <w:tabs>
          <w:tab w:leader="none" w:pos="720" w:val="left"/>
        </w:tabs>
        <w:numPr>
          <w:ilvl w:val="0"/>
          <w:numId w:val="3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other events or factors, including those resulting from civil unrest, war, foreign invasions, terrorism, or public health crises, or responses to such events.</w:t>
      </w:r>
    </w:p>
    <w:p>
      <w:pPr>
        <w:spacing w:after="0" w:line="45" w:lineRule="exact"/>
        <w:rPr>
          <w:sz w:val="20"/>
          <w:szCs w:val="20"/>
          <w:color w:val="auto"/>
        </w:rPr>
      </w:pPr>
    </w:p>
    <w:p>
      <w:pPr>
        <w:jc w:val="both"/>
        <w:spacing w:after="0" w:line="321" w:lineRule="auto"/>
        <w:rPr>
          <w:sz w:val="20"/>
          <w:szCs w:val="20"/>
          <w:color w:val="auto"/>
        </w:rPr>
      </w:pPr>
      <w:r>
        <w:rPr>
          <w:rFonts w:ascii="Times New Roman" w:cs="Times New Roman" w:eastAsia="Times New Roman" w:hAnsi="Times New Roman"/>
          <w:sz w:val="19"/>
          <w:szCs w:val="19"/>
          <w:color w:val="auto"/>
        </w:rPr>
        <w:t>Furthermore, the stock markets frequently experience extreme price and volume fluctuations that affect the market prices of equity securities of many companies. These fluctuations often have been unrelated or disproportionate to the operating performance of those companies. These broad market and industry fluctuations, as well as general economic, political and market conditions such as recessions, elections, interest rate changes, or international currency fluctuations, may negatively impact the</w:t>
      </w:r>
    </w:p>
    <w:p>
      <w:pPr>
        <w:spacing w:after="0" w:line="26"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20"/>
          <w:szCs w:val="20"/>
          <w:color w:val="auto"/>
        </w:rPr>
        <w:t>51</w:t>
      </w:r>
    </w:p>
    <w:p>
      <w:pPr>
        <w:sectPr>
          <w:pgSz w:w="12240" w:h="15840" w:orient="portrait"/>
          <w:cols w:equalWidth="0" w:num="1">
            <w:col w:w="10260"/>
          </w:cols>
          <w:pgMar w:left="1000" w:top="884" w:right="980" w:bottom="222" w:gutter="0" w:footer="0" w:header="0"/>
        </w:sectPr>
      </w:pPr>
    </w:p>
    <w:bookmarkStart w:id="55" w:name="page56"/>
    <w:bookmarkEnd w:id="55"/>
    <w:p>
      <w:pPr>
        <w:jc w:val="both"/>
        <w:spacing w:after="0" w:line="316" w:lineRule="auto"/>
        <w:rPr>
          <w:sz w:val="20"/>
          <w:szCs w:val="20"/>
          <w:color w:val="auto"/>
        </w:rPr>
      </w:pPr>
      <w:r>
        <w:rPr>
          <w:rFonts w:ascii="Times New Roman" w:cs="Times New Roman" w:eastAsia="Times New Roman" w:hAnsi="Times New Roman"/>
          <w:sz w:val="19"/>
          <w:szCs w:val="19"/>
          <w:color w:val="auto"/>
        </w:rPr>
        <w:t>market price of our Class A Common Stock and the Public Warrants. As a result of such fluctuations, you may not realize any return on your investment in us and may lose some or all of your investment. In the past, companies that have experienced volatility in the market price of their stock have been subject to securities class action litigation or derivative litigation. For example, stockholders have filed or threatened to file derivative lawsuits, purportedly on our behalf, in the past and may do so in the future. Such litigation could result in substantial costs and divert our management’s attention from other business concerns.</w:t>
      </w:r>
    </w:p>
    <w:p>
      <w:pPr>
        <w:spacing w:after="0" w:line="57"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General Risk Factors</w:t>
      </w:r>
    </w:p>
    <w:p>
      <w:pPr>
        <w:spacing w:after="0" w:line="170" w:lineRule="exact"/>
        <w:rPr>
          <w:sz w:val="20"/>
          <w:szCs w:val="20"/>
          <w:color w:val="auto"/>
        </w:rPr>
      </w:pPr>
    </w:p>
    <w:p>
      <w:pPr>
        <w:jc w:val="both"/>
        <w:spacing w:after="0" w:line="332" w:lineRule="auto"/>
        <w:rPr>
          <w:sz w:val="20"/>
          <w:szCs w:val="20"/>
          <w:color w:val="auto"/>
        </w:rPr>
      </w:pPr>
      <w:r>
        <w:rPr>
          <w:rFonts w:ascii="Times New Roman" w:cs="Times New Roman" w:eastAsia="Times New Roman" w:hAnsi="Times New Roman"/>
          <w:sz w:val="20"/>
          <w:szCs w:val="20"/>
          <w:b w:val="1"/>
          <w:bCs w:val="1"/>
          <w:i w:val="1"/>
          <w:iCs w:val="1"/>
          <w:color w:val="auto"/>
        </w:rPr>
        <w:t>The impact of global, regional or local economic and market conditions may adversely affect our business, operating results and financial condition.</w:t>
      </w:r>
    </w:p>
    <w:p>
      <w:pPr>
        <w:spacing w:after="0" w:line="38" w:lineRule="exact"/>
        <w:rPr>
          <w:sz w:val="20"/>
          <w:szCs w:val="20"/>
          <w:color w:val="auto"/>
        </w:rPr>
      </w:pPr>
    </w:p>
    <w:p>
      <w:pPr>
        <w:jc w:val="both"/>
        <w:spacing w:after="0" w:line="297" w:lineRule="auto"/>
        <w:rPr>
          <w:sz w:val="20"/>
          <w:szCs w:val="20"/>
          <w:color w:val="auto"/>
        </w:rPr>
      </w:pPr>
      <w:r>
        <w:rPr>
          <w:rFonts w:ascii="Times New Roman" w:cs="Times New Roman" w:eastAsia="Times New Roman" w:hAnsi="Times New Roman"/>
          <w:sz w:val="20"/>
          <w:szCs w:val="20"/>
          <w:color w:val="auto"/>
        </w:rPr>
        <w:t>Our performance is subject to global economic conditions and economic conditions in one or more of our key markets, which impact spending by our clients and consumers. A majority of our clients are small and medium-sized businesses that operate one or two retail locations, and their access to capital, liquidity and other financial resources is constrained due to the regulatory restrictions applicable to cannabis businesses. As a result, these clients have been and may be further disproportionately affected by economic downturns.</w:t>
      </w:r>
    </w:p>
    <w:p>
      <w:pPr>
        <w:spacing w:after="0" w:line="74" w:lineRule="exact"/>
        <w:rPr>
          <w:sz w:val="20"/>
          <w:szCs w:val="20"/>
          <w:color w:val="auto"/>
        </w:rPr>
      </w:pPr>
    </w:p>
    <w:p>
      <w:pPr>
        <w:jc w:val="both"/>
        <w:spacing w:after="0" w:line="321" w:lineRule="auto"/>
        <w:rPr>
          <w:sz w:val="20"/>
          <w:szCs w:val="20"/>
          <w:color w:val="auto"/>
        </w:rPr>
      </w:pPr>
      <w:r>
        <w:rPr>
          <w:rFonts w:ascii="Times New Roman" w:cs="Times New Roman" w:eastAsia="Times New Roman" w:hAnsi="Times New Roman"/>
          <w:sz w:val="19"/>
          <w:szCs w:val="19"/>
          <w:color w:val="auto"/>
        </w:rPr>
        <w:t>Clients may choose to allocate their spending to items other than our platform, especially during economic downturns. Economic conditions may also adversely impact retail sales of cannabis. Declining retail sales of cannabis could result in our clients going out of business or deciding to stop using our platform to conserve financial resources. Negative economic conditions may also affect third parties with whom we have entered into relationships and upon whom we depend in order to grow our business.</w:t>
      </w:r>
    </w:p>
    <w:p>
      <w:pPr>
        <w:spacing w:after="0" w:line="55" w:lineRule="exact"/>
        <w:rPr>
          <w:sz w:val="20"/>
          <w:szCs w:val="20"/>
          <w:color w:val="auto"/>
        </w:rPr>
      </w:pPr>
    </w:p>
    <w:p>
      <w:pPr>
        <w:jc w:val="both"/>
        <w:spacing w:after="0" w:line="301" w:lineRule="auto"/>
        <w:rPr>
          <w:sz w:val="20"/>
          <w:szCs w:val="20"/>
          <w:color w:val="auto"/>
        </w:rPr>
      </w:pPr>
      <w:r>
        <w:rPr>
          <w:rFonts w:ascii="Times New Roman" w:cs="Times New Roman" w:eastAsia="Times New Roman" w:hAnsi="Times New Roman"/>
          <w:sz w:val="20"/>
          <w:szCs w:val="20"/>
          <w:color w:val="auto"/>
        </w:rPr>
        <w:t>Furthermore, economic downturns could also lead to limitations on our ability to obtain debt or equity financing on favorable terms or at all, reduced liquidity, decreases in the market price of our securities, decreases in the fair market value of our financial or other assets, and write-downs of and increased credit and collectability risk on our trade receivables, any of which could have a material adverse effect on our business, operating results or financial condition.</w:t>
      </w:r>
    </w:p>
    <w:p>
      <w:pPr>
        <w:spacing w:after="0" w:line="72" w:lineRule="exact"/>
        <w:rPr>
          <w:sz w:val="20"/>
          <w:szCs w:val="20"/>
          <w:color w:val="auto"/>
        </w:rPr>
      </w:pPr>
    </w:p>
    <w:p>
      <w:pPr>
        <w:jc w:val="both"/>
        <w:spacing w:after="0" w:line="324" w:lineRule="auto"/>
        <w:rPr>
          <w:sz w:val="20"/>
          <w:szCs w:val="20"/>
          <w:color w:val="auto"/>
        </w:rPr>
      </w:pPr>
      <w:r>
        <w:rPr>
          <w:rFonts w:ascii="Times New Roman" w:cs="Times New Roman" w:eastAsia="Times New Roman" w:hAnsi="Times New Roman"/>
          <w:sz w:val="20"/>
          <w:szCs w:val="20"/>
          <w:b w:val="1"/>
          <w:bCs w:val="1"/>
          <w:i w:val="1"/>
          <w:iCs w:val="1"/>
          <w:color w:val="auto"/>
        </w:rPr>
        <w:t>Catastrophic events may disrupt our business and impair our ability to provide our platform to clients and consumers, resulting in costs for remediation, client and consumer dissatisfaction and other business or financial losses.</w:t>
      </w:r>
    </w:p>
    <w:p>
      <w:pPr>
        <w:spacing w:after="0" w:line="47" w:lineRule="exact"/>
        <w:rPr>
          <w:sz w:val="20"/>
          <w:szCs w:val="20"/>
          <w:color w:val="auto"/>
        </w:rPr>
      </w:pPr>
    </w:p>
    <w:p>
      <w:pPr>
        <w:jc w:val="both"/>
        <w:spacing w:after="0" w:line="312" w:lineRule="auto"/>
        <w:rPr>
          <w:sz w:val="20"/>
          <w:szCs w:val="20"/>
          <w:color w:val="auto"/>
        </w:rPr>
      </w:pPr>
      <w:r>
        <w:rPr>
          <w:rFonts w:ascii="Times New Roman" w:cs="Times New Roman" w:eastAsia="Times New Roman" w:hAnsi="Times New Roman"/>
          <w:sz w:val="19"/>
          <w:szCs w:val="19"/>
          <w:color w:val="auto"/>
        </w:rPr>
        <w:t>Our operations depend, in part, on our ability to protect our facilities against damage or interruption from natural disasters, power or telecommunications failures, criminal acts and similar events. Despite precautions taken at our facilities, the occurrence of a natural disaster, an act of terrorism, vandalism or sabotage, spikes in usage volume or other unanticipated problems at a facility could result in lengthy interruptions in the availability of our platform. Even with current and planned disaster recovery arrangements, our business could be harmed. Also, in the event of damage or interruption, our insurance policies may not adequately compensate us for any losses that we may incur. These factors in turn could further reduce revenue, subject us to liability and lead to decreased usage of our platform and decrease sales of our advertising placements, any of which could harm our business.</w:t>
      </w:r>
    </w:p>
    <w:p>
      <w:pPr>
        <w:spacing w:after="0" w:line="66" w:lineRule="exact"/>
        <w:rPr>
          <w:sz w:val="20"/>
          <w:szCs w:val="20"/>
          <w:color w:val="auto"/>
        </w:rPr>
      </w:pPr>
    </w:p>
    <w:p>
      <w:pPr>
        <w:jc w:val="both"/>
        <w:spacing w:after="0" w:line="332" w:lineRule="auto"/>
        <w:rPr>
          <w:sz w:val="20"/>
          <w:szCs w:val="20"/>
          <w:color w:val="auto"/>
        </w:rPr>
      </w:pPr>
      <w:r>
        <w:rPr>
          <w:rFonts w:ascii="Times New Roman" w:cs="Times New Roman" w:eastAsia="Times New Roman" w:hAnsi="Times New Roman"/>
          <w:sz w:val="20"/>
          <w:szCs w:val="20"/>
          <w:b w:val="1"/>
          <w:bCs w:val="1"/>
          <w:i w:val="1"/>
          <w:iCs w:val="1"/>
          <w:color w:val="auto"/>
        </w:rPr>
        <w:t>We have incurred increased costs and administrative burden as a result of operating as a public company, and our management will continue to devote substantial time to new compliance initiatives.</w:t>
      </w:r>
    </w:p>
    <w:p>
      <w:pPr>
        <w:spacing w:after="0" w:line="38" w:lineRule="exact"/>
        <w:rPr>
          <w:sz w:val="20"/>
          <w:szCs w:val="20"/>
          <w:color w:val="auto"/>
        </w:rPr>
      </w:pPr>
    </w:p>
    <w:p>
      <w:pPr>
        <w:jc w:val="both"/>
        <w:spacing w:after="0" w:line="307" w:lineRule="auto"/>
        <w:rPr>
          <w:sz w:val="20"/>
          <w:szCs w:val="20"/>
          <w:color w:val="auto"/>
        </w:rPr>
      </w:pPr>
      <w:r>
        <w:rPr>
          <w:rFonts w:ascii="Times New Roman" w:cs="Times New Roman" w:eastAsia="Times New Roman" w:hAnsi="Times New Roman"/>
          <w:sz w:val="19"/>
          <w:szCs w:val="19"/>
          <w:color w:val="auto"/>
        </w:rPr>
        <w:t>As a public company, we incur significant legal, accounting and other expenses that we did not incur as a private company. As a public company, we are subject to the requirements of the Exchange Act, the Sarbanes-Oxley Act, the Dodd-Frank Wall Street Reform and Consumer Protection Act of 2010, and the rules and regulations promulgated and to be promulgated thereunder, Public Company Accounting Oversight Board (the “PCAOB”), as well as rules adopted, and to be adopted, by the SEC and the Nasdaq Stock Market (“Nasdaq”). Our management and other personnel devote a substantial amount of time to these compliance initiatives. Moreover, we expect these rules and regulations to substantially increase our legal and financial compliance costs and to make some activities more time-consuming and costly. The increased costs will increase our net loss or reduce our net income. Compliance with public company requirements will increase costs and make certain activities more time-consuming. A number of those requirements will require us to carry out activities we have not done previously. For example, we created new board committees and adopted new internal controls and disclosure controls and procedures. In addition, expenses associated with SEC reporting requirements will be incurred. Furthermore, if any issues in complying with those requirements are identified (for example, our recent identification of material weaknesses in our internal controls over financial reporting and any additional material weaknesses or significant deficiency in the internal control over financial reporting that we or our independent registered public accounting firm may identify in the future), we could incur additional costs rectifying those issues, and the existence of</w:t>
      </w:r>
    </w:p>
    <w:p>
      <w:pPr>
        <w:spacing w:after="0" w:line="113"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20"/>
          <w:szCs w:val="20"/>
          <w:color w:val="auto"/>
        </w:rPr>
        <w:t>52</w:t>
      </w:r>
    </w:p>
    <w:p>
      <w:pPr>
        <w:sectPr>
          <w:pgSz w:w="12240" w:h="15840" w:orient="portrait"/>
          <w:cols w:equalWidth="0" w:num="1">
            <w:col w:w="10260"/>
          </w:cols>
          <w:pgMar w:left="1000" w:top="884" w:right="980" w:bottom="222" w:gutter="0" w:footer="0" w:header="0"/>
        </w:sectPr>
      </w:pPr>
    </w:p>
    <w:bookmarkStart w:id="56" w:name="page57"/>
    <w:bookmarkEnd w:id="56"/>
    <w:p>
      <w:pPr>
        <w:jc w:val="both"/>
        <w:spacing w:after="0" w:line="293" w:lineRule="auto"/>
        <w:rPr>
          <w:sz w:val="20"/>
          <w:szCs w:val="20"/>
          <w:color w:val="auto"/>
        </w:rPr>
      </w:pPr>
      <w:r>
        <w:rPr>
          <w:rFonts w:ascii="Times New Roman" w:cs="Times New Roman" w:eastAsia="Times New Roman" w:hAnsi="Times New Roman"/>
          <w:sz w:val="20"/>
          <w:szCs w:val="20"/>
          <w:color w:val="auto"/>
        </w:rPr>
        <w:t>those issues could adversely affect our reputation or investor perceptions of it. It may also be more expensive to obtain director and officer liability insurance. We cannot predict or estimate the amount or timing of additional costs it may incur to respond to these requirements. The impact of these requirements could also make it more difficult for us to attract and retain qualified persons to serve on our board of directors, our board committees or as executive officers. The additional reporting and other obligations imposed by these rules and regulations will increase legal and financial compliance costs and the costs of related legal, accounting and administrative activities. These increased costs will require us to divert a significant amount of money that could otherwise be used to expand the business and achieve strategic objectives. Advocacy efforts by stockholders and third parties may also prompt additional changes in governance and reporting requirements, which could further increase costs.</w:t>
      </w:r>
    </w:p>
    <w:p>
      <w:pPr>
        <w:spacing w:after="0" w:line="81" w:lineRule="exact"/>
        <w:rPr>
          <w:sz w:val="20"/>
          <w:szCs w:val="20"/>
          <w:color w:val="auto"/>
        </w:rPr>
      </w:pPr>
    </w:p>
    <w:p>
      <w:pPr>
        <w:jc w:val="both"/>
        <w:spacing w:after="0" w:line="332" w:lineRule="auto"/>
        <w:rPr>
          <w:sz w:val="20"/>
          <w:szCs w:val="20"/>
          <w:color w:val="auto"/>
        </w:rPr>
      </w:pPr>
      <w:r>
        <w:rPr>
          <w:rFonts w:ascii="Times New Roman" w:cs="Times New Roman" w:eastAsia="Times New Roman" w:hAnsi="Times New Roman"/>
          <w:sz w:val="20"/>
          <w:szCs w:val="20"/>
          <w:b w:val="1"/>
          <w:bCs w:val="1"/>
          <w:i w:val="1"/>
          <w:iCs w:val="1"/>
          <w:color w:val="auto"/>
        </w:rPr>
        <w:t>Our employees and independent contractors may engage in misconduct or other improper activities, which could have an adverse effect on our business, prospects, financial condition and operating results.</w:t>
      </w:r>
    </w:p>
    <w:p>
      <w:pPr>
        <w:spacing w:after="0" w:line="38" w:lineRule="exact"/>
        <w:rPr>
          <w:sz w:val="20"/>
          <w:szCs w:val="20"/>
          <w:color w:val="auto"/>
        </w:rPr>
      </w:pPr>
    </w:p>
    <w:p>
      <w:pPr>
        <w:jc w:val="both"/>
        <w:spacing w:after="0" w:line="291" w:lineRule="auto"/>
        <w:rPr>
          <w:sz w:val="20"/>
          <w:szCs w:val="20"/>
          <w:color w:val="auto"/>
        </w:rPr>
      </w:pPr>
      <w:r>
        <w:rPr>
          <w:rFonts w:ascii="Times New Roman" w:cs="Times New Roman" w:eastAsia="Times New Roman" w:hAnsi="Times New Roman"/>
          <w:sz w:val="20"/>
          <w:szCs w:val="20"/>
          <w:color w:val="auto"/>
        </w:rPr>
        <w:t>We are exposed to the risk that our employees and independent contractors may engage in misconduct or other illegal activity. Misconduct by these parties could include intentional, reckless or negligent conduct or other activities that violate laws and regulations, including production standards, U.S. federal and state fraud, abuse, data privacy and security laws, other similar non-U.S. laws or laws that require the true, complete and accurate reporting of financial information or data. It is not always possible to identify and deter misconduct by employees and other third parties, and the precautions we take to detect and prevent this activity may not be effective in controlling unknown or unmanaged risks or losses or in protecting us from governmental investigations or other actions or lawsuits stemming from a failure to be in compliance with such laws or regulations. In addition, we are subject to the risk that a person or government could allege such fraud or other misconduct, even if none occurred. If any such actions are instituted against us, and we are not successful in defending ourselves or asserting our rights, those actions could have a significant impact on our business, prospects, financial condition and operating results, including, without limitation, the imposition of significant civil, criminal and administrative penalties, damages, monetary fines, disgorgement, integrity oversight and reporting obligations to resolve allegations of non-compliance, imprisonment, other sanctions, contractual damages, reputational harm, diminished profits and future earnings and curtailment of our operations, any of which could adversely affect our business, prospects, financial condition and operating results.</w:t>
      </w:r>
    </w:p>
    <w:p>
      <w:pPr>
        <w:spacing w:after="0" w:line="80" w:lineRule="exact"/>
        <w:rPr>
          <w:sz w:val="20"/>
          <w:szCs w:val="20"/>
          <w:color w:val="auto"/>
        </w:rPr>
      </w:pPr>
    </w:p>
    <w:p>
      <w:pPr>
        <w:jc w:val="both"/>
        <w:spacing w:after="0" w:line="301" w:lineRule="auto"/>
        <w:rPr>
          <w:sz w:val="20"/>
          <w:szCs w:val="20"/>
          <w:color w:val="auto"/>
        </w:rPr>
      </w:pPr>
      <w:r>
        <w:rPr>
          <w:rFonts w:ascii="Times New Roman" w:cs="Times New Roman" w:eastAsia="Times New Roman" w:hAnsi="Times New Roman"/>
          <w:sz w:val="20"/>
          <w:szCs w:val="20"/>
          <w:b w:val="1"/>
          <w:bCs w:val="1"/>
          <w:i w:val="1"/>
          <w:iCs w:val="1"/>
          <w:color w:val="auto"/>
        </w:rPr>
        <w:t>Certain securities and industry analysts may not publish, have in the past ceased publishing, or may in the future cease publishing research or reports about us, our business or our market, or may adversely change their recommendations regarding our Class A Common Stock, which could cause the price and trading volume of our Class A Common Stock to decline.</w:t>
      </w:r>
    </w:p>
    <w:p>
      <w:pPr>
        <w:spacing w:after="0" w:line="68" w:lineRule="exact"/>
        <w:rPr>
          <w:sz w:val="20"/>
          <w:szCs w:val="20"/>
          <w:color w:val="auto"/>
        </w:rPr>
      </w:pPr>
    </w:p>
    <w:p>
      <w:pPr>
        <w:jc w:val="both"/>
        <w:spacing w:after="0" w:line="296" w:lineRule="auto"/>
        <w:rPr>
          <w:sz w:val="20"/>
          <w:szCs w:val="20"/>
          <w:color w:val="auto"/>
        </w:rPr>
      </w:pPr>
      <w:r>
        <w:rPr>
          <w:rFonts w:ascii="Times New Roman" w:cs="Times New Roman" w:eastAsia="Times New Roman" w:hAnsi="Times New Roman"/>
          <w:sz w:val="20"/>
          <w:szCs w:val="20"/>
          <w:color w:val="auto"/>
        </w:rPr>
        <w:t>The trading market for our Class A Common Stock will be influenced by the research and reports that industry or securities analysts may publish about us, our business, our market or our competitors. If any of the analysts who may cover us change their recommendation regarding our stock adversely, or provide more favorable relative recommendations about our competitors, the price of our Class A Common Stock would likely decline. If any analyst who may cover us were to cease their coverage or fail to regularly publish reports on us, we could lose visibility in the financial markets, which could cause our stock price or trading volume to decline.</w:t>
      </w:r>
    </w:p>
    <w:p>
      <w:pPr>
        <w:spacing w:after="0" w:line="78"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We may not have sufficient funds to satisfy indemnification claims of our directors and executive officers.</w:t>
      </w:r>
    </w:p>
    <w:p>
      <w:pPr>
        <w:spacing w:after="0" w:line="164" w:lineRule="exact"/>
        <w:rPr>
          <w:sz w:val="20"/>
          <w:szCs w:val="20"/>
          <w:color w:val="auto"/>
        </w:rPr>
      </w:pPr>
    </w:p>
    <w:p>
      <w:pPr>
        <w:jc w:val="both"/>
        <w:spacing w:after="0" w:line="294" w:lineRule="auto"/>
        <w:rPr>
          <w:sz w:val="20"/>
          <w:szCs w:val="20"/>
          <w:color w:val="auto"/>
        </w:rPr>
      </w:pPr>
      <w:r>
        <w:rPr>
          <w:rFonts w:ascii="Times New Roman" w:cs="Times New Roman" w:eastAsia="Times New Roman" w:hAnsi="Times New Roman"/>
          <w:sz w:val="20"/>
          <w:szCs w:val="20"/>
          <w:color w:val="auto"/>
        </w:rPr>
        <w:t>We have agreed to indemnify our officers and directors to the fullest extent permitted by law. Accordingly, any indemnification provided will be able to be satisfied by us only if we have sufficient funds. Our obligation to indemnify our officers and directors may discourage shareholders from bringing a lawsuit against our officers or directors for breach of their fiduciary duty. These provisions also may have the effect of reducing the likelihood of derivative litigation against our officers and directors, even though such an action, if successful, might otherwise benefit us and our shareholders. Furthermore, a shareholder’s investment may be adversely affected to the extent we pay the costs of settlement and damage awards against our officers and directors pursuant to these indemnification provisions.</w:t>
      </w:r>
    </w:p>
    <w:p>
      <w:pPr>
        <w:spacing w:after="0" w:line="78" w:lineRule="exact"/>
        <w:rPr>
          <w:sz w:val="20"/>
          <w:szCs w:val="20"/>
          <w:color w:val="auto"/>
        </w:rPr>
      </w:pPr>
    </w:p>
    <w:p>
      <w:pPr>
        <w:spacing w:after="0"/>
        <w:tabs>
          <w:tab w:leader="none" w:pos="1060" w:val="left"/>
        </w:tabs>
        <w:rPr>
          <w:sz w:val="20"/>
          <w:szCs w:val="20"/>
          <w:color w:val="auto"/>
        </w:rPr>
      </w:pPr>
      <w:r>
        <w:rPr>
          <w:rFonts w:ascii="Times New Roman" w:cs="Times New Roman" w:eastAsia="Times New Roman" w:hAnsi="Times New Roman"/>
          <w:sz w:val="20"/>
          <w:szCs w:val="20"/>
          <w:b w:val="1"/>
          <w:bCs w:val="1"/>
          <w:color w:val="auto"/>
        </w:rPr>
        <w:t>ITEM 1B.</w:t>
      </w:r>
      <w:r>
        <w:rPr>
          <w:sz w:val="20"/>
          <w:szCs w:val="20"/>
          <w:color w:val="auto"/>
        </w:rPr>
        <w:tab/>
      </w:r>
      <w:r>
        <w:rPr>
          <w:rFonts w:ascii="Times New Roman" w:cs="Times New Roman" w:eastAsia="Times New Roman" w:hAnsi="Times New Roman"/>
          <w:sz w:val="19"/>
          <w:szCs w:val="19"/>
          <w:b w:val="1"/>
          <w:bCs w:val="1"/>
          <w:color w:val="auto"/>
        </w:rPr>
        <w:t>UNRESOLVED STAFF COMMENTS</w:t>
      </w:r>
    </w:p>
    <w:p>
      <w:pPr>
        <w:spacing w:after="0" w:line="161"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None.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7"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20"/>
          <w:szCs w:val="20"/>
          <w:color w:val="auto"/>
        </w:rPr>
        <w:t>53</w:t>
      </w:r>
    </w:p>
    <w:p>
      <w:pPr>
        <w:sectPr>
          <w:pgSz w:w="12240" w:h="15840" w:orient="portrait"/>
          <w:cols w:equalWidth="0" w:num="1">
            <w:col w:w="10260"/>
          </w:cols>
          <w:pgMar w:left="1000" w:top="884" w:right="980" w:bottom="222" w:gutter="0" w:footer="0" w:header="0"/>
        </w:sectPr>
      </w:pPr>
    </w:p>
    <w:bookmarkStart w:id="57" w:name="page58"/>
    <w:bookmarkEnd w:id="57"/>
    <w:p>
      <w:pPr>
        <w:spacing w:after="0"/>
        <w:tabs>
          <w:tab w:leader="none" w:pos="1060" w:val="left"/>
        </w:tabs>
        <w:rPr>
          <w:sz w:val="20"/>
          <w:szCs w:val="20"/>
          <w:color w:val="auto"/>
        </w:rPr>
      </w:pPr>
      <w:r>
        <w:rPr>
          <w:rFonts w:ascii="Times New Roman" w:cs="Times New Roman" w:eastAsia="Times New Roman" w:hAnsi="Times New Roman"/>
          <w:sz w:val="20"/>
          <w:szCs w:val="20"/>
          <w:b w:val="1"/>
          <w:bCs w:val="1"/>
          <w:color w:val="auto"/>
        </w:rPr>
        <w:t>ITEM 1C.</w:t>
        <w:tab/>
        <w:t>CYBERSECURITY</w:t>
      </w:r>
    </w:p>
    <w:p>
      <w:pPr>
        <w:spacing w:after="0" w:line="17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Risk management and strategy</w:t>
      </w:r>
    </w:p>
    <w:p>
      <w:pPr>
        <w:spacing w:after="0" w:line="171" w:lineRule="exact"/>
        <w:rPr>
          <w:sz w:val="20"/>
          <w:szCs w:val="20"/>
          <w:color w:val="auto"/>
        </w:rPr>
      </w:pPr>
    </w:p>
    <w:p>
      <w:pPr>
        <w:jc w:val="both"/>
        <w:ind w:right="20"/>
        <w:spacing w:after="0" w:line="295" w:lineRule="auto"/>
        <w:rPr>
          <w:sz w:val="20"/>
          <w:szCs w:val="20"/>
          <w:color w:val="auto"/>
        </w:rPr>
      </w:pPr>
      <w:r>
        <w:rPr>
          <w:rFonts w:ascii="Times New Roman" w:cs="Times New Roman" w:eastAsia="Times New Roman" w:hAnsi="Times New Roman"/>
          <w:sz w:val="20"/>
          <w:szCs w:val="20"/>
          <w:color w:val="auto"/>
        </w:rPr>
        <w:t>We have implemented and maintain various information security processes designed to identify, assess and manage material risks from cybersecurity threats to our critical computer networks, third party hosted services, communications systems, hardware and software, and our critical data, including intellectual property, confidential information that is proprietary, strategic or competitive in nature, or otherwise material to our business, including customer and client Personally Identifiable Information (“Information Systems and Data”).</w:t>
      </w:r>
    </w:p>
    <w:p>
      <w:pPr>
        <w:spacing w:after="0" w:line="84" w:lineRule="exact"/>
        <w:rPr>
          <w:sz w:val="20"/>
          <w:szCs w:val="20"/>
          <w:color w:val="auto"/>
        </w:rPr>
      </w:pPr>
    </w:p>
    <w:p>
      <w:pPr>
        <w:jc w:val="both"/>
        <w:spacing w:after="0" w:line="313" w:lineRule="auto"/>
        <w:rPr>
          <w:sz w:val="20"/>
          <w:szCs w:val="20"/>
          <w:color w:val="auto"/>
        </w:rPr>
      </w:pPr>
      <w:r>
        <w:rPr>
          <w:rFonts w:ascii="Times New Roman" w:cs="Times New Roman" w:eastAsia="Times New Roman" w:hAnsi="Times New Roman"/>
          <w:sz w:val="19"/>
          <w:szCs w:val="19"/>
          <w:color w:val="auto"/>
        </w:rPr>
        <w:t>Our security team, managed by our Chief Technology Officer (“CTO”) and Senior Director, Information Security, helps identify, assess and manage our cybersecurity threats and risks, including through the use of our cybersecurity risk acceptance register. Our security team identifies and assesses risks from cybersecurity threats by monitoring and evaluating our threat environment and our risk profile using various methods including, for example: manual and automated tools; conducting vulnerability scans; penetration tests conducted internally and by third parties; leveraging threat intelligence feeds; reports and services that identify cybersecurity threats; and working with third parties who conduct threat assessments of our platform and APIs.</w:t>
      </w:r>
    </w:p>
    <w:p>
      <w:pPr>
        <w:spacing w:after="0" w:line="69" w:lineRule="exact"/>
        <w:rPr>
          <w:sz w:val="20"/>
          <w:szCs w:val="20"/>
          <w:color w:val="auto"/>
        </w:rPr>
      </w:pPr>
    </w:p>
    <w:p>
      <w:pPr>
        <w:jc w:val="both"/>
        <w:ind w:right="20"/>
        <w:spacing w:after="0" w:line="293" w:lineRule="auto"/>
        <w:rPr>
          <w:sz w:val="20"/>
          <w:szCs w:val="20"/>
          <w:color w:val="auto"/>
        </w:rPr>
      </w:pPr>
      <w:r>
        <w:rPr>
          <w:rFonts w:ascii="Times New Roman" w:cs="Times New Roman" w:eastAsia="Times New Roman" w:hAnsi="Times New Roman"/>
          <w:sz w:val="20"/>
          <w:szCs w:val="20"/>
          <w:color w:val="auto"/>
        </w:rPr>
        <w:t>Depending on the environment, we implement and maintain various technical, physical, and organizational measures, processes, standards and policies designed to manage and mitigate material risks from cybersecurity threats to our Information Systems and Data, including, for example: incident detection and response plans; vulnerability management plan; disaster recovery and business continuity plans; segregating and encrypting certain of our data; maintaining network security and access controls; asset management, tracking, and disposal; monitoring certain of our systems and network; penetration testing and tabletop exercises; cybersecurity insurance; having dedicated cybersecurity staff; and training our employees about certain cybersecurity risks and threats.</w:t>
      </w:r>
    </w:p>
    <w:p>
      <w:pPr>
        <w:spacing w:after="0" w:line="87" w:lineRule="exact"/>
        <w:rPr>
          <w:sz w:val="20"/>
          <w:szCs w:val="20"/>
          <w:color w:val="auto"/>
        </w:rPr>
      </w:pPr>
    </w:p>
    <w:p>
      <w:pPr>
        <w:jc w:val="both"/>
        <w:spacing w:after="0" w:line="295" w:lineRule="auto"/>
        <w:rPr>
          <w:sz w:val="20"/>
          <w:szCs w:val="20"/>
          <w:color w:val="auto"/>
        </w:rPr>
      </w:pPr>
      <w:r>
        <w:rPr>
          <w:rFonts w:ascii="Times New Roman" w:cs="Times New Roman" w:eastAsia="Times New Roman" w:hAnsi="Times New Roman"/>
          <w:sz w:val="20"/>
          <w:szCs w:val="20"/>
          <w:color w:val="auto"/>
        </w:rPr>
        <w:t>Our assessment and management of material risks from cybersecurity threats are integrated into our overall risk management processes. For example, (1) cybersecurity risk is addressed as a component of our enterprise risk management program and identified in our risk register; (2) the security team works with certain members of our senior management to prioritize our risk management processes and mitigate cybersecurity threats that are more likely to lead to a material impact to our business; (3) our senior management evaluates material risks from cybersecurity threats against our overall business objectives and provides periodic reports to the technology and audit committees of our board of directors, which evaluate our overall enterprise risk.</w:t>
      </w:r>
    </w:p>
    <w:p>
      <w:pPr>
        <w:spacing w:after="0" w:line="75" w:lineRule="exact"/>
        <w:rPr>
          <w:sz w:val="20"/>
          <w:szCs w:val="20"/>
          <w:color w:val="auto"/>
        </w:rPr>
      </w:pPr>
    </w:p>
    <w:p>
      <w:pPr>
        <w:jc w:val="both"/>
        <w:ind w:right="20"/>
        <w:spacing w:after="0" w:line="306" w:lineRule="auto"/>
        <w:rPr>
          <w:sz w:val="20"/>
          <w:szCs w:val="20"/>
          <w:color w:val="auto"/>
        </w:rPr>
      </w:pPr>
      <w:r>
        <w:rPr>
          <w:rFonts w:ascii="Times New Roman" w:cs="Times New Roman" w:eastAsia="Times New Roman" w:hAnsi="Times New Roman"/>
          <w:sz w:val="20"/>
          <w:szCs w:val="20"/>
          <w:color w:val="auto"/>
        </w:rPr>
        <w:t>We use third-party service providers to assist us from time to time to identify, assess, and manage material risks from cybersecurity threats, including for example penetration testing firms, threat intelligence service providers, cybersecurity software providers, and professional services firms, including legal counsel.</w:t>
      </w:r>
    </w:p>
    <w:p>
      <w:pPr>
        <w:spacing w:after="0" w:line="71" w:lineRule="exact"/>
        <w:rPr>
          <w:sz w:val="20"/>
          <w:szCs w:val="20"/>
          <w:color w:val="auto"/>
        </w:rPr>
      </w:pPr>
    </w:p>
    <w:p>
      <w:pPr>
        <w:jc w:val="both"/>
        <w:spacing w:after="0" w:line="295" w:lineRule="auto"/>
        <w:rPr>
          <w:sz w:val="20"/>
          <w:szCs w:val="20"/>
          <w:color w:val="auto"/>
        </w:rPr>
      </w:pPr>
      <w:r>
        <w:rPr>
          <w:rFonts w:ascii="Times New Roman" w:cs="Times New Roman" w:eastAsia="Times New Roman" w:hAnsi="Times New Roman"/>
          <w:sz w:val="20"/>
          <w:szCs w:val="20"/>
          <w:color w:val="auto"/>
        </w:rPr>
        <w:t>We use third-party service providers to perform a variety of functions throughout our business, such as cloud data hosting services. We have a vendor management program designed to manage cybersecurity risks associated with our use of these providers, which may involve different levels of assessment designed to help identify cybersecurity risks associated with a provider depending on the nature of the services provided, the sensitivity of the Information Systems and Data at issue, and the identity of the provider. The program includes contractually obligating certain third-party service providers with access to Information Systems and Data to implement and maintain cybersecurity practices consistent with applicable legal requirements.</w:t>
      </w:r>
    </w:p>
    <w:p>
      <w:pPr>
        <w:spacing w:after="0" w:line="82" w:lineRule="exact"/>
        <w:rPr>
          <w:sz w:val="20"/>
          <w:szCs w:val="20"/>
          <w:color w:val="auto"/>
        </w:rPr>
      </w:pPr>
    </w:p>
    <w:p>
      <w:pPr>
        <w:jc w:val="both"/>
        <w:spacing w:after="0" w:line="292" w:lineRule="auto"/>
        <w:rPr>
          <w:sz w:val="20"/>
          <w:szCs w:val="20"/>
          <w:color w:val="auto"/>
        </w:rPr>
      </w:pPr>
      <w:r>
        <w:rPr>
          <w:rFonts w:ascii="Times New Roman" w:cs="Times New Roman" w:eastAsia="Times New Roman" w:hAnsi="Times New Roman"/>
          <w:sz w:val="20"/>
          <w:szCs w:val="20"/>
          <w:color w:val="auto"/>
        </w:rPr>
        <w:t>For a description of the risks from cybersecurity threats that may materially affect us and how they may do so, see our risk factors under Part 1. Item 1A. Risk Factors in this Annual Report on Form 10-K, including (i) Real or perceived errors, failures, or bugs in our platform could adversely affect our operating results and growth prospects, (ii) Any security incident, including a distributed denial of service attack, ransomware attack, security breach or unauthorized data access could impair or incapacitate our information technology systems and delay or interrupt service to our clients and consumers, harm our reputation, or subject us to significant liability, and (iii) We are subject to industry standards, governmental laws, regulations and other legal obligations, particularly related to privacy, data protection and information security, and any actual or perceived failure to comply with such obligations could harm our business.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4"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20"/>
          <w:szCs w:val="20"/>
          <w:color w:val="auto"/>
        </w:rPr>
        <w:t>54</w:t>
      </w:r>
    </w:p>
    <w:p>
      <w:pPr>
        <w:sectPr>
          <w:pgSz w:w="12240" w:h="15840" w:orient="portrait"/>
          <w:cols w:equalWidth="0" w:num="1">
            <w:col w:w="10260"/>
          </w:cols>
          <w:pgMar w:left="1000" w:top="882" w:right="980" w:bottom="222" w:gutter="0" w:footer="0" w:header="0"/>
        </w:sectPr>
      </w:pPr>
    </w:p>
    <w:bookmarkStart w:id="58" w:name="page59"/>
    <w:bookmarkEnd w:id="58"/>
    <w:p>
      <w:pPr>
        <w:spacing w:after="0"/>
        <w:rPr>
          <w:sz w:val="20"/>
          <w:szCs w:val="20"/>
          <w:color w:val="auto"/>
        </w:rPr>
      </w:pPr>
      <w:r>
        <w:rPr>
          <w:rFonts w:ascii="Times New Roman" w:cs="Times New Roman" w:eastAsia="Times New Roman" w:hAnsi="Times New Roman"/>
          <w:sz w:val="20"/>
          <w:szCs w:val="20"/>
          <w:b w:val="1"/>
          <w:bCs w:val="1"/>
          <w:i w:val="1"/>
          <w:iCs w:val="1"/>
          <w:color w:val="auto"/>
        </w:rPr>
        <w:t>Governance</w:t>
      </w:r>
    </w:p>
    <w:p>
      <w:pPr>
        <w:spacing w:after="0" w:line="171" w:lineRule="exact"/>
        <w:rPr>
          <w:sz w:val="20"/>
          <w:szCs w:val="20"/>
          <w:color w:val="auto"/>
        </w:rPr>
      </w:pPr>
    </w:p>
    <w:p>
      <w:pPr>
        <w:jc w:val="both"/>
        <w:spacing w:after="0" w:line="306" w:lineRule="auto"/>
        <w:rPr>
          <w:sz w:val="20"/>
          <w:szCs w:val="20"/>
          <w:color w:val="auto"/>
        </w:rPr>
      </w:pPr>
      <w:r>
        <w:rPr>
          <w:rFonts w:ascii="Times New Roman" w:cs="Times New Roman" w:eastAsia="Times New Roman" w:hAnsi="Times New Roman"/>
          <w:sz w:val="20"/>
          <w:szCs w:val="20"/>
          <w:color w:val="auto"/>
        </w:rPr>
        <w:t>Our board of directors addresses our cybersecurity risk management as part of its general oversight function. The Audit Committee and technology committee of our board of directors are responsible for overseeing our cybersecurity risk management processes, including oversight and mitigation of risks from cybersecurity threats.</w:t>
      </w:r>
    </w:p>
    <w:p>
      <w:pPr>
        <w:spacing w:after="0" w:line="63" w:lineRule="exact"/>
        <w:rPr>
          <w:sz w:val="20"/>
          <w:szCs w:val="20"/>
          <w:color w:val="auto"/>
        </w:rPr>
      </w:pPr>
    </w:p>
    <w:p>
      <w:pPr>
        <w:jc w:val="both"/>
        <w:spacing w:after="0" w:line="297" w:lineRule="auto"/>
        <w:rPr>
          <w:sz w:val="20"/>
          <w:szCs w:val="20"/>
          <w:color w:val="auto"/>
        </w:rPr>
      </w:pPr>
      <w:r>
        <w:rPr>
          <w:rFonts w:ascii="Times New Roman" w:cs="Times New Roman" w:eastAsia="Times New Roman" w:hAnsi="Times New Roman"/>
          <w:sz w:val="20"/>
          <w:szCs w:val="20"/>
          <w:color w:val="auto"/>
        </w:rPr>
        <w:t>Our cybersecurity risk assessment and management processes are implemented and maintained by certain members of management, including our Chief Technology Officer (CTO) and our Senior Director, Information Security. Our CTO has over 15 years of experience in engineering and development, including in leadership roles. Our Senior Director, Information Security has over 20 years of experience in information security, including similar roles leading Information Security teams at Ticketmaster, Sony Pictures, and Warner Bros.</w:t>
      </w:r>
    </w:p>
    <w:p>
      <w:pPr>
        <w:spacing w:after="0" w:line="82" w:lineRule="exact"/>
        <w:rPr>
          <w:sz w:val="20"/>
          <w:szCs w:val="20"/>
          <w:color w:val="auto"/>
        </w:rPr>
      </w:pPr>
    </w:p>
    <w:p>
      <w:pPr>
        <w:jc w:val="both"/>
        <w:ind w:right="20"/>
        <w:spacing w:after="0" w:line="299" w:lineRule="auto"/>
        <w:rPr>
          <w:sz w:val="20"/>
          <w:szCs w:val="20"/>
          <w:color w:val="auto"/>
        </w:rPr>
      </w:pPr>
      <w:r>
        <w:rPr>
          <w:rFonts w:ascii="Times New Roman" w:cs="Times New Roman" w:eastAsia="Times New Roman" w:hAnsi="Times New Roman"/>
          <w:sz w:val="20"/>
          <w:szCs w:val="20"/>
          <w:color w:val="auto"/>
        </w:rPr>
        <w:t>Our CTO is responsible for hiring appropriate personnel, helping to integrate cybersecurity risk considerations into our overall risk management strategy, communicating key priorities to relevant personnel, and approving budgets. Our Senior Director, Information Security manages preparing for cybersecurity incidents, approving cybersecurity processes, and reviewing security assessments and other security-related reports.</w:t>
      </w:r>
    </w:p>
    <w:p>
      <w:pPr>
        <w:spacing w:after="0" w:line="78" w:lineRule="exact"/>
        <w:rPr>
          <w:sz w:val="20"/>
          <w:szCs w:val="20"/>
          <w:color w:val="auto"/>
        </w:rPr>
      </w:pPr>
    </w:p>
    <w:p>
      <w:pPr>
        <w:jc w:val="both"/>
        <w:spacing w:after="0" w:line="295" w:lineRule="auto"/>
        <w:rPr>
          <w:sz w:val="20"/>
          <w:szCs w:val="20"/>
          <w:color w:val="auto"/>
        </w:rPr>
      </w:pPr>
      <w:r>
        <w:rPr>
          <w:rFonts w:ascii="Times New Roman" w:cs="Times New Roman" w:eastAsia="Times New Roman" w:hAnsi="Times New Roman"/>
          <w:sz w:val="20"/>
          <w:szCs w:val="20"/>
          <w:color w:val="auto"/>
        </w:rPr>
        <w:t>Our cybersecurity incident response and vulnerability management plans are designed to escalate certain cybersecurity incidents to members of management depending on the circumstances, including our CTO, General Counsel and CEO. Our CTO, General Counsel and CEO work with our incident response team to help us mitigate and remediate cybersecurity incidents of which they are notified. In addition, our incident response and vulnerability management plans include reporting to the Audit Committee (who may consult with our technology committee) for certain cybersecurity incidents.</w:t>
      </w:r>
    </w:p>
    <w:p>
      <w:pPr>
        <w:spacing w:after="0" w:line="84" w:lineRule="exact"/>
        <w:rPr>
          <w:sz w:val="20"/>
          <w:szCs w:val="20"/>
          <w:color w:val="auto"/>
        </w:rPr>
      </w:pPr>
    </w:p>
    <w:p>
      <w:pPr>
        <w:jc w:val="both"/>
        <w:ind w:right="20"/>
        <w:spacing w:after="0" w:line="306" w:lineRule="auto"/>
        <w:rPr>
          <w:sz w:val="20"/>
          <w:szCs w:val="20"/>
          <w:color w:val="auto"/>
        </w:rPr>
      </w:pPr>
      <w:r>
        <w:rPr>
          <w:rFonts w:ascii="Times New Roman" w:cs="Times New Roman" w:eastAsia="Times New Roman" w:hAnsi="Times New Roman"/>
          <w:sz w:val="20"/>
          <w:szCs w:val="20"/>
          <w:color w:val="auto"/>
        </w:rPr>
        <w:t>Our technology committee receives periodic reports from the CTO concerning our significant cybersecurity threats and risk and the processes we have implemented to address them. Our board of directors, our Audit Committee and our technology committees also have access to certain reports or presentations related to cybersecurity threats, risk and mitigation.</w:t>
      </w:r>
    </w:p>
    <w:p>
      <w:pPr>
        <w:spacing w:after="0" w:line="61" w:lineRule="exact"/>
        <w:rPr>
          <w:sz w:val="20"/>
          <w:szCs w:val="20"/>
          <w:color w:val="auto"/>
        </w:rPr>
      </w:pPr>
    </w:p>
    <w:p>
      <w:pPr>
        <w:spacing w:after="0"/>
        <w:tabs>
          <w:tab w:leader="none" w:pos="1060" w:val="left"/>
        </w:tabs>
        <w:rPr>
          <w:sz w:val="20"/>
          <w:szCs w:val="20"/>
          <w:color w:val="auto"/>
        </w:rPr>
      </w:pPr>
      <w:r>
        <w:rPr>
          <w:rFonts w:ascii="Times New Roman" w:cs="Times New Roman" w:eastAsia="Times New Roman" w:hAnsi="Times New Roman"/>
          <w:sz w:val="20"/>
          <w:szCs w:val="20"/>
          <w:b w:val="1"/>
          <w:bCs w:val="1"/>
          <w:color w:val="auto"/>
        </w:rPr>
        <w:t>ITEM 2.</w:t>
      </w:r>
      <w:r>
        <w:rPr>
          <w:sz w:val="20"/>
          <w:szCs w:val="20"/>
          <w:color w:val="auto"/>
        </w:rPr>
        <w:tab/>
      </w:r>
      <w:r>
        <w:rPr>
          <w:rFonts w:ascii="Times New Roman" w:cs="Times New Roman" w:eastAsia="Times New Roman" w:hAnsi="Times New Roman"/>
          <w:sz w:val="19"/>
          <w:szCs w:val="19"/>
          <w:b w:val="1"/>
          <w:bCs w:val="1"/>
          <w:color w:val="auto"/>
        </w:rPr>
        <w:t>PROPERTIES</w:t>
      </w:r>
    </w:p>
    <w:p>
      <w:pPr>
        <w:spacing w:after="0" w:line="168" w:lineRule="exact"/>
        <w:rPr>
          <w:sz w:val="20"/>
          <w:szCs w:val="20"/>
          <w:color w:val="auto"/>
        </w:rPr>
      </w:pPr>
    </w:p>
    <w:p>
      <w:pPr>
        <w:jc w:val="both"/>
        <w:spacing w:after="0" w:line="309" w:lineRule="auto"/>
        <w:rPr>
          <w:sz w:val="20"/>
          <w:szCs w:val="20"/>
          <w:color w:val="auto"/>
        </w:rPr>
      </w:pPr>
      <w:r>
        <w:rPr>
          <w:rFonts w:ascii="Times New Roman" w:cs="Times New Roman" w:eastAsia="Times New Roman" w:hAnsi="Times New Roman"/>
          <w:sz w:val="20"/>
          <w:szCs w:val="20"/>
          <w:color w:val="auto"/>
        </w:rPr>
        <w:t>We currently maintain our executive offices at 41 Discovery, Irvine, California 92618, pursuant to an operating lease that expires in 2025. We have a second headquarter space in Los Angeles, California, pursuant to an operating lease that expires in 2031. We also lease additional offices in Denver, Colorado.</w:t>
      </w:r>
    </w:p>
    <w:p>
      <w:pPr>
        <w:spacing w:after="0" w:line="63" w:lineRule="exact"/>
        <w:rPr>
          <w:sz w:val="20"/>
          <w:szCs w:val="20"/>
          <w:color w:val="auto"/>
        </w:rPr>
      </w:pPr>
    </w:p>
    <w:p>
      <w:pPr>
        <w:jc w:val="both"/>
        <w:spacing w:after="0" w:line="306" w:lineRule="auto"/>
        <w:rPr>
          <w:sz w:val="20"/>
          <w:szCs w:val="20"/>
          <w:color w:val="auto"/>
        </w:rPr>
      </w:pPr>
      <w:r>
        <w:rPr>
          <w:rFonts w:ascii="Times New Roman" w:cs="Times New Roman" w:eastAsia="Times New Roman" w:hAnsi="Times New Roman"/>
          <w:sz w:val="20"/>
          <w:szCs w:val="20"/>
          <w:color w:val="auto"/>
        </w:rPr>
        <w:t>We consider our current office space adequate to meet our ongoing needs. However, from time to time we may evaluate additional or substitute office spaces. We believe that we will be able to obtain additional facilities, as needed, on commercially reasonable terms.</w:t>
      </w:r>
    </w:p>
    <w:p>
      <w:pPr>
        <w:spacing w:after="0" w:line="62" w:lineRule="exact"/>
        <w:rPr>
          <w:sz w:val="20"/>
          <w:szCs w:val="20"/>
          <w:color w:val="auto"/>
        </w:rPr>
      </w:pPr>
    </w:p>
    <w:p>
      <w:pPr>
        <w:spacing w:after="0"/>
        <w:tabs>
          <w:tab w:leader="none" w:pos="1060" w:val="left"/>
        </w:tabs>
        <w:rPr>
          <w:sz w:val="20"/>
          <w:szCs w:val="20"/>
          <w:color w:val="auto"/>
        </w:rPr>
      </w:pPr>
      <w:r>
        <w:rPr>
          <w:rFonts w:ascii="Times New Roman" w:cs="Times New Roman" w:eastAsia="Times New Roman" w:hAnsi="Times New Roman"/>
          <w:sz w:val="20"/>
          <w:szCs w:val="20"/>
          <w:b w:val="1"/>
          <w:bCs w:val="1"/>
          <w:color w:val="auto"/>
        </w:rPr>
        <w:t>ITEM 3.</w:t>
      </w:r>
      <w:r>
        <w:rPr>
          <w:sz w:val="20"/>
          <w:szCs w:val="20"/>
          <w:color w:val="auto"/>
        </w:rPr>
        <w:tab/>
      </w:r>
      <w:r>
        <w:rPr>
          <w:rFonts w:ascii="Times New Roman" w:cs="Times New Roman" w:eastAsia="Times New Roman" w:hAnsi="Times New Roman"/>
          <w:sz w:val="19"/>
          <w:szCs w:val="19"/>
          <w:b w:val="1"/>
          <w:bCs w:val="1"/>
          <w:color w:val="auto"/>
        </w:rPr>
        <w:t>LEGAL PROCEEDINGS</w:t>
      </w:r>
    </w:p>
    <w:p>
      <w:pPr>
        <w:spacing w:after="0" w:line="168" w:lineRule="exact"/>
        <w:rPr>
          <w:sz w:val="20"/>
          <w:szCs w:val="20"/>
          <w:color w:val="auto"/>
        </w:rPr>
      </w:pPr>
    </w:p>
    <w:p>
      <w:pPr>
        <w:jc w:val="both"/>
        <w:ind w:right="20"/>
        <w:spacing w:after="0" w:line="334" w:lineRule="auto"/>
        <w:rPr>
          <w:sz w:val="20"/>
          <w:szCs w:val="20"/>
          <w:color w:val="auto"/>
        </w:rPr>
      </w:pPr>
      <w:r>
        <w:rPr>
          <w:rFonts w:ascii="Times New Roman" w:cs="Times New Roman" w:eastAsia="Times New Roman" w:hAnsi="Times New Roman"/>
          <w:sz w:val="20"/>
          <w:szCs w:val="20"/>
          <w:color w:val="auto"/>
        </w:rPr>
        <w:t>The information set forth under "Commitment and Contingencies—Litigation" in Note 5 to our consolidated financial statements included in Part II, Item 8 of this Annual Report on Form 10-K is incorporated by reference into this Item 3.</w:t>
      </w:r>
    </w:p>
    <w:p>
      <w:pPr>
        <w:spacing w:after="0" w:line="37" w:lineRule="exact"/>
        <w:rPr>
          <w:sz w:val="20"/>
          <w:szCs w:val="20"/>
          <w:color w:val="auto"/>
        </w:rPr>
      </w:pPr>
    </w:p>
    <w:p>
      <w:pPr>
        <w:jc w:val="both"/>
        <w:spacing w:after="0" w:line="307" w:lineRule="auto"/>
        <w:rPr>
          <w:sz w:val="20"/>
          <w:szCs w:val="20"/>
          <w:color w:val="auto"/>
        </w:rPr>
      </w:pPr>
      <w:r>
        <w:rPr>
          <w:rFonts w:ascii="Times New Roman" w:cs="Times New Roman" w:eastAsia="Times New Roman" w:hAnsi="Times New Roman"/>
          <w:sz w:val="19"/>
          <w:szCs w:val="19"/>
          <w:color w:val="auto"/>
        </w:rPr>
        <w:t>As previously disclosed, in the second quarter of 2022, our board of directors received an internal complaint regarding the calculation, definition and reporting of our monthly active users (“MAUs”) metric. In response, the board of directors formed a special committee (the “Special Committee”) of independent directors to conduct an internal investigation with the assistance of outside counsel. As a result of the findings of that internal investigation, we provided certain additional information regarding the growth and nature of our previously-reported MAUs in our Quarterly Report on Form 10-Q for the quarter ended June 30, 2022 filed with the SEC on August 9, 2022. This investigation found no impact on our financial results under accounting principles generally accepted in the United States of America (“GAAP”) or the reporting or disclosure of any currently disclosed non-GAAP financial metric. As also previously reported, in the third quarter of 2022, we determined not to report MAUs going forward. In August 2022, our board of directors determined to voluntarily report the internal complaint and subsequent internal investigation to the SEC. Since that date, we have received two subpoenas from the SEC’s Division of Enforcement requesting additional information and documents. In addition, the SEC issued subpoenas to several of our current and former employees seeking their testimony, and their testimony occurred in July and August of 2023. We have been fully cooperating with the SEC’s investigation. Such investigations are inherently uncertain and their results cannot be predicted with certainty, but could result in penalties or</w:t>
      </w:r>
    </w:p>
    <w:p>
      <w:pPr>
        <w:spacing w:after="0" w:line="200" w:lineRule="exact"/>
        <w:rPr>
          <w:sz w:val="20"/>
          <w:szCs w:val="20"/>
          <w:color w:val="auto"/>
        </w:rPr>
      </w:pPr>
    </w:p>
    <w:p>
      <w:pPr>
        <w:spacing w:after="0" w:line="228"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20"/>
          <w:szCs w:val="20"/>
          <w:color w:val="auto"/>
        </w:rPr>
        <w:t>55</w:t>
      </w:r>
    </w:p>
    <w:p>
      <w:pPr>
        <w:sectPr>
          <w:pgSz w:w="12240" w:h="15840" w:orient="portrait"/>
          <w:cols w:equalWidth="0" w:num="1">
            <w:col w:w="10260"/>
          </w:cols>
          <w:pgMar w:left="1000" w:top="886" w:right="980" w:bottom="222" w:gutter="0" w:footer="0" w:header="0"/>
        </w:sectPr>
      </w:pPr>
    </w:p>
    <w:bookmarkStart w:id="59" w:name="page60"/>
    <w:bookmarkEnd w:id="59"/>
    <w:p>
      <w:pPr>
        <w:jc w:val="both"/>
        <w:spacing w:after="0" w:line="326" w:lineRule="auto"/>
        <w:rPr>
          <w:sz w:val="20"/>
          <w:szCs w:val="20"/>
          <w:color w:val="auto"/>
        </w:rPr>
      </w:pPr>
      <w:r>
        <w:rPr>
          <w:rFonts w:ascii="Times New Roman" w:cs="Times New Roman" w:eastAsia="Times New Roman" w:hAnsi="Times New Roman"/>
          <w:sz w:val="20"/>
          <w:szCs w:val="20"/>
          <w:color w:val="auto"/>
        </w:rPr>
        <w:t>other sanctions against us, as well as negative publicity and reputational harm. Regardless of the outcome, such proceedings can have an adverse impact on us because of legal costs, diversion of management resources and other factors.</w:t>
      </w:r>
    </w:p>
    <w:p>
      <w:pPr>
        <w:spacing w:after="0" w:line="45" w:lineRule="exact"/>
        <w:rPr>
          <w:sz w:val="20"/>
          <w:szCs w:val="20"/>
          <w:color w:val="auto"/>
        </w:rPr>
      </w:pPr>
    </w:p>
    <w:p>
      <w:pPr>
        <w:jc w:val="both"/>
        <w:spacing w:after="0" w:line="296" w:lineRule="auto"/>
        <w:rPr>
          <w:sz w:val="20"/>
          <w:szCs w:val="20"/>
          <w:color w:val="auto"/>
        </w:rPr>
      </w:pPr>
      <w:r>
        <w:rPr>
          <w:rFonts w:ascii="Times New Roman" w:cs="Times New Roman" w:eastAsia="Times New Roman" w:hAnsi="Times New Roman"/>
          <w:sz w:val="20"/>
          <w:szCs w:val="20"/>
          <w:color w:val="auto"/>
        </w:rPr>
        <w:t>Additionally, from time to time, we are involved in legal proceedings and subject to claims that arise in the ordinary course of business. Although the results of legal proceedings and claims cannot be predicted with certainty, to our knowledge we are not currently party to any legal proceedings which, if determined adversely to us, would individually or taken together have a material adverse effect on our business, operating results, cash flows or financial condition. We also pursue litigation to protect our legal rights and additional litigation may be necessary in the future to enforce our intellectual property and our contractual rights, to protect our confidential information or to determine the validity and scope of the proprietary rights of others.</w:t>
      </w:r>
    </w:p>
    <w:p>
      <w:pPr>
        <w:spacing w:after="0" w:line="74" w:lineRule="exact"/>
        <w:rPr>
          <w:sz w:val="20"/>
          <w:szCs w:val="20"/>
          <w:color w:val="auto"/>
        </w:rPr>
      </w:pPr>
    </w:p>
    <w:p>
      <w:pPr>
        <w:spacing w:after="0"/>
        <w:tabs>
          <w:tab w:leader="none" w:pos="1060" w:val="left"/>
        </w:tabs>
        <w:rPr>
          <w:sz w:val="20"/>
          <w:szCs w:val="20"/>
          <w:color w:val="auto"/>
        </w:rPr>
      </w:pPr>
      <w:r>
        <w:rPr>
          <w:rFonts w:ascii="Times New Roman" w:cs="Times New Roman" w:eastAsia="Times New Roman" w:hAnsi="Times New Roman"/>
          <w:sz w:val="20"/>
          <w:szCs w:val="20"/>
          <w:b w:val="1"/>
          <w:bCs w:val="1"/>
          <w:color w:val="auto"/>
        </w:rPr>
        <w:t>ITEM 4.</w:t>
      </w:r>
      <w:r>
        <w:rPr>
          <w:sz w:val="20"/>
          <w:szCs w:val="20"/>
          <w:color w:val="auto"/>
        </w:rPr>
        <w:tab/>
      </w:r>
      <w:r>
        <w:rPr>
          <w:rFonts w:ascii="Times New Roman" w:cs="Times New Roman" w:eastAsia="Times New Roman" w:hAnsi="Times New Roman"/>
          <w:sz w:val="19"/>
          <w:szCs w:val="19"/>
          <w:b w:val="1"/>
          <w:bCs w:val="1"/>
          <w:color w:val="auto"/>
        </w:rPr>
        <w:t>MINE SAFETY DISCLOSURES</w:t>
      </w:r>
    </w:p>
    <w:p>
      <w:pPr>
        <w:spacing w:after="0" w:line="168"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Not applicable.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56</w:t>
      </w:r>
    </w:p>
    <w:p>
      <w:pPr>
        <w:sectPr>
          <w:pgSz w:w="12240" w:h="15840" w:orient="portrait"/>
          <w:cols w:equalWidth="0" w:num="1">
            <w:col w:w="10240"/>
          </w:cols>
          <w:pgMar w:left="1000" w:top="884" w:right="1000" w:bottom="222" w:gutter="0" w:footer="0" w:header="0"/>
        </w:sectPr>
      </w:pPr>
    </w:p>
    <w:bookmarkStart w:id="60" w:name="page61"/>
    <w:bookmarkEnd w:id="60"/>
    <w:p>
      <w:pPr>
        <w:spacing w:after="0"/>
        <w:rPr>
          <w:sz w:val="20"/>
          <w:szCs w:val="20"/>
          <w:color w:val="auto"/>
        </w:rPr>
      </w:pPr>
      <w:r>
        <w:rPr>
          <w:rFonts w:ascii="Times New Roman" w:cs="Times New Roman" w:eastAsia="Times New Roman" w:hAnsi="Times New Roman"/>
          <w:sz w:val="20"/>
          <w:szCs w:val="20"/>
          <w:b w:val="1"/>
          <w:bCs w:val="1"/>
          <w:color w:val="auto"/>
        </w:rPr>
        <w:t>PART II</w:t>
      </w:r>
    </w:p>
    <w:p>
      <w:pPr>
        <w:spacing w:after="0" w:line="48" w:lineRule="exact"/>
        <w:rPr>
          <w:sz w:val="20"/>
          <w:szCs w:val="20"/>
          <w:color w:val="auto"/>
        </w:rPr>
      </w:pPr>
    </w:p>
    <w:p>
      <w:pPr>
        <w:ind w:right="260"/>
        <w:spacing w:after="0" w:line="338" w:lineRule="auto"/>
        <w:rPr>
          <w:sz w:val="20"/>
          <w:szCs w:val="20"/>
          <w:color w:val="auto"/>
        </w:rPr>
      </w:pPr>
      <w:r>
        <w:rPr>
          <w:rFonts w:ascii="Times New Roman" w:cs="Times New Roman" w:eastAsia="Times New Roman" w:hAnsi="Times New Roman"/>
          <w:sz w:val="20"/>
          <w:szCs w:val="20"/>
          <w:b w:val="1"/>
          <w:bCs w:val="1"/>
          <w:color w:val="auto"/>
        </w:rPr>
        <w:t>ITEM 5. MARKET FOR REGISTRANT’S COMMON EQUITY, RELATED STOCKHOLDER MATTERS AND ISSUER PURCHASES OF EQUITY SECURITIES</w:t>
      </w:r>
    </w:p>
    <w:p>
      <w:pPr>
        <w:spacing w:after="0" w:line="25"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Market Information</w:t>
      </w:r>
    </w:p>
    <w:p>
      <w:pPr>
        <w:spacing w:after="0" w:line="168" w:lineRule="exact"/>
        <w:rPr>
          <w:sz w:val="20"/>
          <w:szCs w:val="20"/>
          <w:color w:val="auto"/>
        </w:rPr>
      </w:pPr>
    </w:p>
    <w:p>
      <w:pPr>
        <w:jc w:val="both"/>
        <w:ind w:right="20"/>
        <w:spacing w:after="0" w:line="301" w:lineRule="auto"/>
        <w:rPr>
          <w:sz w:val="20"/>
          <w:szCs w:val="20"/>
          <w:color w:val="auto"/>
        </w:rPr>
      </w:pPr>
      <w:r>
        <w:rPr>
          <w:rFonts w:ascii="Times New Roman" w:cs="Times New Roman" w:eastAsia="Times New Roman" w:hAnsi="Times New Roman"/>
          <w:sz w:val="20"/>
          <w:szCs w:val="20"/>
          <w:color w:val="auto"/>
        </w:rPr>
        <w:t>Our Class A Common Stock and Public Warrants are currently listed on Nasdaq under the symbols “MAPS” and “MAPSW”, respectively. As of May 13, 2024, there were 95,051,735 shares of Class A Common Stock issued and outstanding and 55,486,361 shares of our Class V common stock (the “Class V Common Stock”) issued and outstanding. No market exists for the Class V Common Stock.</w:t>
      </w:r>
    </w:p>
    <w:p>
      <w:pPr>
        <w:spacing w:after="0" w:line="68"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Holders of Record</w:t>
      </w:r>
    </w:p>
    <w:p>
      <w:pPr>
        <w:spacing w:after="0" w:line="168" w:lineRule="exact"/>
        <w:rPr>
          <w:sz w:val="20"/>
          <w:szCs w:val="20"/>
          <w:color w:val="auto"/>
        </w:rPr>
      </w:pPr>
    </w:p>
    <w:p>
      <w:pPr>
        <w:jc w:val="both"/>
        <w:spacing w:after="0" w:line="326" w:lineRule="auto"/>
        <w:rPr>
          <w:sz w:val="20"/>
          <w:szCs w:val="20"/>
          <w:color w:val="auto"/>
        </w:rPr>
      </w:pPr>
      <w:r>
        <w:rPr>
          <w:rFonts w:ascii="Times New Roman" w:cs="Times New Roman" w:eastAsia="Times New Roman" w:hAnsi="Times New Roman"/>
          <w:sz w:val="20"/>
          <w:szCs w:val="20"/>
          <w:color w:val="auto"/>
        </w:rPr>
        <w:t>As of May 13, 2024, there were 115 holders of record of our Class A Common Stock, 12 holders of record of our Class V Common Stock and 2 holders of record of our Public Warrants.</w:t>
      </w:r>
    </w:p>
    <w:p>
      <w:pPr>
        <w:spacing w:after="0" w:line="43"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Dividend Policy</w:t>
      </w:r>
    </w:p>
    <w:p>
      <w:pPr>
        <w:spacing w:after="0" w:line="168" w:lineRule="exact"/>
        <w:rPr>
          <w:sz w:val="20"/>
          <w:szCs w:val="20"/>
          <w:color w:val="auto"/>
        </w:rPr>
      </w:pPr>
    </w:p>
    <w:p>
      <w:pPr>
        <w:jc w:val="both"/>
        <w:spacing w:after="0" w:line="296" w:lineRule="auto"/>
        <w:rPr>
          <w:sz w:val="20"/>
          <w:szCs w:val="20"/>
          <w:color w:val="auto"/>
        </w:rPr>
      </w:pPr>
      <w:r>
        <w:rPr>
          <w:rFonts w:ascii="Times New Roman" w:cs="Times New Roman" w:eastAsia="Times New Roman" w:hAnsi="Times New Roman"/>
          <w:sz w:val="20"/>
          <w:szCs w:val="20"/>
          <w:color w:val="auto"/>
        </w:rPr>
        <w:t>We have not paid any cash dividends on the Class A Common Stock or Class V Common Stock to date. The payment of cash dividends in the future will be dependent upon our revenues and earnings, if any, capital requirements, general financial condition, contractual restrictions and other factors that our board of directors may deem relevant and will be within the discretion of our board of directors at such time. In addition, our ability to pay dividends may be limited by covenants of any existing and future outstanding indebtedness we or our subsidiaries incur. We do not anticipate declaring any cash dividends to holders of Common Stock in the foreseeable future.</w:t>
      </w:r>
    </w:p>
    <w:p>
      <w:pPr>
        <w:spacing w:after="0" w:line="74"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Securities Authorized for Issuance Under Equity Compensation Plans</w:t>
      </w:r>
    </w:p>
    <w:p>
      <w:pPr>
        <w:spacing w:after="0" w:line="168" w:lineRule="exact"/>
        <w:rPr>
          <w:sz w:val="20"/>
          <w:szCs w:val="20"/>
          <w:color w:val="auto"/>
        </w:rPr>
      </w:pPr>
    </w:p>
    <w:p>
      <w:pPr>
        <w:jc w:val="both"/>
        <w:ind w:right="20"/>
        <w:spacing w:after="0" w:line="326" w:lineRule="auto"/>
        <w:rPr>
          <w:sz w:val="20"/>
          <w:szCs w:val="20"/>
          <w:color w:val="auto"/>
        </w:rPr>
      </w:pPr>
      <w:r>
        <w:rPr>
          <w:rFonts w:ascii="Times New Roman" w:cs="Times New Roman" w:eastAsia="Times New Roman" w:hAnsi="Times New Roman"/>
          <w:sz w:val="20"/>
          <w:szCs w:val="20"/>
          <w:color w:val="auto"/>
        </w:rPr>
        <w:t>Information about our equity compensation plans in Item 12 of Part III of this Annual Report on Form 10-K is incorporated herein by reference.</w:t>
      </w:r>
    </w:p>
    <w:p>
      <w:pPr>
        <w:spacing w:after="0" w:line="43"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Recent Sales of Unregistered Securities; Use of Proceeds from Registered Offerings</w:t>
      </w:r>
    </w:p>
    <w:p>
      <w:pPr>
        <w:spacing w:after="0" w:line="168" w:lineRule="exact"/>
        <w:rPr>
          <w:sz w:val="20"/>
          <w:szCs w:val="20"/>
          <w:color w:val="auto"/>
        </w:rPr>
      </w:pPr>
    </w:p>
    <w:p>
      <w:pPr>
        <w:jc w:val="both"/>
        <w:spacing w:after="0" w:line="301" w:lineRule="auto"/>
        <w:rPr>
          <w:sz w:val="20"/>
          <w:szCs w:val="20"/>
          <w:color w:val="auto"/>
        </w:rPr>
      </w:pPr>
      <w:r>
        <w:rPr>
          <w:rFonts w:ascii="Times New Roman" w:cs="Times New Roman" w:eastAsia="Times New Roman" w:hAnsi="Times New Roman"/>
          <w:sz w:val="20"/>
          <w:szCs w:val="20"/>
          <w:color w:val="auto"/>
        </w:rPr>
        <w:t>There have been no recent sales of unregistered securities for the fiscal year ended December 31, 2023 that would be required to be disclosed pursuant to Item 701 of Regulation S-K. All unregistered sales of our securities for the fiscal years ended December 31, 2022 and 2021 were previously disclosed in our Annual Report on Form 10-K, which was filed with the SEC on March 16, 2023.</w:t>
      </w:r>
    </w:p>
    <w:p>
      <w:pPr>
        <w:spacing w:after="0" w:line="68" w:lineRule="exact"/>
        <w:rPr>
          <w:sz w:val="20"/>
          <w:szCs w:val="20"/>
          <w:color w:val="auto"/>
        </w:rPr>
      </w:pPr>
    </w:p>
    <w:p>
      <w:pPr>
        <w:ind w:right="4300"/>
        <w:spacing w:after="0" w:line="456" w:lineRule="auto"/>
        <w:rPr>
          <w:sz w:val="20"/>
          <w:szCs w:val="20"/>
          <w:color w:val="auto"/>
        </w:rPr>
      </w:pPr>
      <w:r>
        <w:rPr>
          <w:rFonts w:ascii="Times New Roman" w:cs="Times New Roman" w:eastAsia="Times New Roman" w:hAnsi="Times New Roman"/>
          <w:sz w:val="20"/>
          <w:szCs w:val="20"/>
          <w:b w:val="1"/>
          <w:bCs w:val="1"/>
          <w:color w:val="auto"/>
        </w:rPr>
        <w:t xml:space="preserve">Purchases of Equity Securities by the Issuer and Affiliated Purchasers </w:t>
      </w:r>
      <w:r>
        <w:rPr>
          <w:rFonts w:ascii="Times New Roman" w:cs="Times New Roman" w:eastAsia="Times New Roman" w:hAnsi="Times New Roman"/>
          <w:sz w:val="20"/>
          <w:szCs w:val="20"/>
          <w:color w:val="auto"/>
        </w:rPr>
        <w:t>None.</w:t>
      </w:r>
    </w:p>
    <w:p>
      <w:pPr>
        <w:spacing w:after="0" w:line="40" w:lineRule="exact"/>
        <w:rPr>
          <w:sz w:val="20"/>
          <w:szCs w:val="20"/>
          <w:color w:val="auto"/>
        </w:rPr>
      </w:pPr>
    </w:p>
    <w:p>
      <w:pPr>
        <w:spacing w:after="0"/>
        <w:tabs>
          <w:tab w:leader="none" w:pos="1060" w:val="left"/>
        </w:tabs>
        <w:rPr>
          <w:sz w:val="20"/>
          <w:szCs w:val="20"/>
          <w:color w:val="auto"/>
        </w:rPr>
      </w:pPr>
      <w:r>
        <w:rPr>
          <w:rFonts w:ascii="Times New Roman" w:cs="Times New Roman" w:eastAsia="Times New Roman" w:hAnsi="Times New Roman"/>
          <w:sz w:val="20"/>
          <w:szCs w:val="20"/>
          <w:b w:val="1"/>
          <w:bCs w:val="1"/>
          <w:color w:val="auto"/>
        </w:rPr>
        <w:t>ITEM 6.</w:t>
      </w:r>
      <w:r>
        <w:rPr>
          <w:sz w:val="20"/>
          <w:szCs w:val="20"/>
          <w:color w:val="auto"/>
        </w:rPr>
        <w:tab/>
      </w:r>
      <w:r>
        <w:rPr>
          <w:rFonts w:ascii="Times New Roman" w:cs="Times New Roman" w:eastAsia="Times New Roman" w:hAnsi="Times New Roman"/>
          <w:sz w:val="19"/>
          <w:szCs w:val="19"/>
          <w:b w:val="1"/>
          <w:bCs w:val="1"/>
          <w:color w:val="auto"/>
        </w:rPr>
        <w:t>[Reserved]</w:t>
      </w:r>
    </w:p>
    <w:p>
      <w:pPr>
        <w:spacing w:after="0" w:line="288" w:lineRule="exact"/>
        <w:rPr>
          <w:sz w:val="20"/>
          <w:szCs w:val="20"/>
          <w:color w:val="auto"/>
        </w:rPr>
      </w:pPr>
    </w:p>
    <w:p>
      <w:pPr>
        <w:ind w:right="260"/>
        <w:spacing w:after="0" w:line="335" w:lineRule="auto"/>
        <w:rPr>
          <w:sz w:val="20"/>
          <w:szCs w:val="20"/>
          <w:color w:val="auto"/>
        </w:rPr>
      </w:pPr>
      <w:r>
        <w:rPr>
          <w:rFonts w:ascii="Times New Roman" w:cs="Times New Roman" w:eastAsia="Times New Roman" w:hAnsi="Times New Roman"/>
          <w:sz w:val="20"/>
          <w:szCs w:val="20"/>
          <w:b w:val="1"/>
          <w:bCs w:val="1"/>
          <w:color w:val="auto"/>
        </w:rPr>
        <w:t>ITEM 7. MANAGEMENT’S DISCUSSION AND ANALYSIS OF FINANCIAL CONDITION AND RESULTS OF OPERATIONS</w:t>
      </w:r>
    </w:p>
    <w:p>
      <w:pPr>
        <w:spacing w:after="0" w:line="33" w:lineRule="exact"/>
        <w:rPr>
          <w:sz w:val="20"/>
          <w:szCs w:val="20"/>
          <w:color w:val="auto"/>
        </w:rPr>
      </w:pPr>
    </w:p>
    <w:p>
      <w:pPr>
        <w:jc w:val="both"/>
        <w:spacing w:after="0" w:line="294" w:lineRule="auto"/>
        <w:rPr>
          <w:sz w:val="20"/>
          <w:szCs w:val="20"/>
          <w:color w:val="auto"/>
        </w:rPr>
      </w:pPr>
      <w:r>
        <w:rPr>
          <w:rFonts w:ascii="Times New Roman" w:cs="Times New Roman" w:eastAsia="Times New Roman" w:hAnsi="Times New Roman"/>
          <w:sz w:val="20"/>
          <w:szCs w:val="20"/>
          <w:i w:val="1"/>
          <w:iCs w:val="1"/>
          <w:color w:val="auto"/>
        </w:rPr>
        <w:t>The following discussion and analysis of the financial condition and results of operations of WM Technology, Inc. should be read in conjunction with our consolidated financial statements and related notes included in this Form 10-K, as well as the discussion under “Item 1A. Risk Factors.” In addition to historical financial information, the following discussion and analysis contains forward-looking statements that involve risks, uncertainties and assumptions. Our actual results and timing of selected events may differ materially from those anticipated in these forward-looking statements as a result of many factors, including those discussed under “Item 1A. Risk Factors” and elsewhere herein.</w:t>
      </w:r>
    </w:p>
    <w:p>
      <w:pPr>
        <w:spacing w:after="0" w:line="77" w:lineRule="exact"/>
        <w:rPr>
          <w:sz w:val="20"/>
          <w:szCs w:val="20"/>
          <w:color w:val="auto"/>
        </w:rPr>
      </w:pPr>
    </w:p>
    <w:p>
      <w:pPr>
        <w:jc w:val="both"/>
        <w:spacing w:after="0" w:line="301" w:lineRule="auto"/>
        <w:rPr>
          <w:sz w:val="20"/>
          <w:szCs w:val="20"/>
          <w:color w:val="auto"/>
        </w:rPr>
      </w:pPr>
      <w:r>
        <w:rPr>
          <w:rFonts w:ascii="Times New Roman" w:cs="Times New Roman" w:eastAsia="Times New Roman" w:hAnsi="Times New Roman"/>
          <w:sz w:val="20"/>
          <w:szCs w:val="20"/>
          <w:color w:val="auto"/>
        </w:rPr>
        <w:t>For further discussion of our products and services, growth strategy, challenges in our end-markets and competitive strengths, see “Item 1. Business.” Unless stated otherwise, the comparisons presented in this discussion and analysis refer to the year-over-year comparison of changes in our financial condition and results of operations as of and for the fiscal years ended December 31, 2023 and December 31, 2022.</w:t>
      </w:r>
    </w:p>
    <w:p>
      <w:pPr>
        <w:spacing w:after="0" w:line="200" w:lineRule="exact"/>
        <w:rPr>
          <w:sz w:val="20"/>
          <w:szCs w:val="20"/>
          <w:color w:val="auto"/>
        </w:rPr>
      </w:pPr>
    </w:p>
    <w:p>
      <w:pPr>
        <w:spacing w:after="0" w:line="217"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20"/>
          <w:szCs w:val="20"/>
          <w:color w:val="auto"/>
        </w:rPr>
        <w:t>57</w:t>
      </w:r>
    </w:p>
    <w:p>
      <w:pPr>
        <w:sectPr>
          <w:pgSz w:w="12240" w:h="15840" w:orient="portrait"/>
          <w:cols w:equalWidth="0" w:num="1">
            <w:col w:w="10260"/>
          </w:cols>
          <w:pgMar w:left="1000" w:top="882" w:right="980" w:bottom="222" w:gutter="0" w:footer="0" w:header="0"/>
        </w:sectPr>
      </w:pPr>
    </w:p>
    <w:bookmarkStart w:id="61" w:name="page62"/>
    <w:bookmarkEnd w:id="61"/>
    <w:p>
      <w:pPr>
        <w:spacing w:after="0"/>
        <w:rPr>
          <w:sz w:val="20"/>
          <w:szCs w:val="20"/>
          <w:color w:val="auto"/>
        </w:rPr>
      </w:pPr>
      <w:r>
        <w:rPr>
          <w:rFonts w:ascii="Times New Roman" w:cs="Times New Roman" w:eastAsia="Times New Roman" w:hAnsi="Times New Roman"/>
          <w:sz w:val="20"/>
          <w:szCs w:val="20"/>
          <w:b w:val="1"/>
          <w:bCs w:val="1"/>
          <w:color w:val="auto"/>
        </w:rPr>
        <w:t>Fiscal Year 2023 Financial Highlights</w:t>
      </w:r>
    </w:p>
    <w:p>
      <w:pPr>
        <w:spacing w:after="0" w:line="168" w:lineRule="exact"/>
        <w:rPr>
          <w:sz w:val="20"/>
          <w:szCs w:val="20"/>
          <w:color w:val="auto"/>
        </w:rPr>
      </w:pPr>
    </w:p>
    <w:p>
      <w:pPr>
        <w:ind w:left="720" w:hanging="366"/>
        <w:spacing w:after="0"/>
        <w:tabs>
          <w:tab w:leader="none" w:pos="720" w:val="left"/>
        </w:tabs>
        <w:numPr>
          <w:ilvl w:val="0"/>
          <w:numId w:val="3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Net Revenue was $188.0 million as compared to $215.5 million in the prior year.</w:t>
      </w:r>
    </w:p>
    <w:p>
      <w:pPr>
        <w:spacing w:after="0" w:line="108" w:lineRule="exact"/>
        <w:rPr>
          <w:rFonts w:ascii="Times New Roman" w:cs="Times New Roman" w:eastAsia="Times New Roman" w:hAnsi="Times New Roman"/>
          <w:sz w:val="20"/>
          <w:szCs w:val="20"/>
          <w:color w:val="auto"/>
        </w:rPr>
      </w:pPr>
    </w:p>
    <w:p>
      <w:pPr>
        <w:ind w:left="720" w:hanging="366"/>
        <w:spacing w:after="0"/>
        <w:tabs>
          <w:tab w:leader="none" w:pos="720" w:val="left"/>
        </w:tabs>
        <w:numPr>
          <w:ilvl w:val="0"/>
          <w:numId w:val="3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Average monthly paying clients was 5,419, as compared to 5,457 in the prior year.</w:t>
      </w:r>
    </w:p>
    <w:p>
      <w:pPr>
        <w:spacing w:after="0" w:line="101" w:lineRule="exact"/>
        <w:rPr>
          <w:rFonts w:ascii="Times New Roman" w:cs="Times New Roman" w:eastAsia="Times New Roman" w:hAnsi="Times New Roman"/>
          <w:sz w:val="20"/>
          <w:szCs w:val="20"/>
          <w:color w:val="auto"/>
        </w:rPr>
      </w:pPr>
    </w:p>
    <w:p>
      <w:pPr>
        <w:ind w:left="720" w:hanging="366"/>
        <w:spacing w:after="0"/>
        <w:tabs>
          <w:tab w:leader="none" w:pos="720" w:val="left"/>
        </w:tabs>
        <w:numPr>
          <w:ilvl w:val="0"/>
          <w:numId w:val="3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Average monthly revenue per paying client was $2,891, as compared to $3,291 in the prior year.</w:t>
      </w:r>
    </w:p>
    <w:p>
      <w:pPr>
        <w:spacing w:after="0" w:line="108" w:lineRule="exact"/>
        <w:rPr>
          <w:rFonts w:ascii="Times New Roman" w:cs="Times New Roman" w:eastAsia="Times New Roman" w:hAnsi="Times New Roman"/>
          <w:sz w:val="20"/>
          <w:szCs w:val="20"/>
          <w:color w:val="auto"/>
        </w:rPr>
      </w:pPr>
    </w:p>
    <w:p>
      <w:pPr>
        <w:ind w:left="720" w:hanging="366"/>
        <w:spacing w:after="0"/>
        <w:tabs>
          <w:tab w:leader="none" w:pos="720" w:val="left"/>
        </w:tabs>
        <w:numPr>
          <w:ilvl w:val="0"/>
          <w:numId w:val="3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Net loss was $15.7 million as compared to $82.7 million in the prior year.</w:t>
      </w:r>
    </w:p>
    <w:p>
      <w:pPr>
        <w:spacing w:after="0" w:line="108" w:lineRule="exact"/>
        <w:rPr>
          <w:rFonts w:ascii="Times New Roman" w:cs="Times New Roman" w:eastAsia="Times New Roman" w:hAnsi="Times New Roman"/>
          <w:sz w:val="20"/>
          <w:szCs w:val="20"/>
          <w:color w:val="auto"/>
        </w:rPr>
      </w:pPr>
    </w:p>
    <w:p>
      <w:pPr>
        <w:ind w:left="720" w:hanging="366"/>
        <w:spacing w:after="0"/>
        <w:tabs>
          <w:tab w:leader="none" w:pos="720" w:val="left"/>
        </w:tabs>
        <w:numPr>
          <w:ilvl w:val="0"/>
          <w:numId w:val="3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Adjusted EBITDA was $36.9 million.</w:t>
      </w:r>
    </w:p>
    <w:p>
      <w:pPr>
        <w:spacing w:after="0" w:line="101" w:lineRule="exact"/>
        <w:rPr>
          <w:rFonts w:ascii="Times New Roman" w:cs="Times New Roman" w:eastAsia="Times New Roman" w:hAnsi="Times New Roman"/>
          <w:sz w:val="20"/>
          <w:szCs w:val="20"/>
          <w:color w:val="auto"/>
        </w:rPr>
      </w:pPr>
    </w:p>
    <w:p>
      <w:pPr>
        <w:ind w:left="720" w:hanging="366"/>
        <w:spacing w:after="0"/>
        <w:tabs>
          <w:tab w:leader="none" w:pos="720" w:val="left"/>
        </w:tabs>
        <w:numPr>
          <w:ilvl w:val="0"/>
          <w:numId w:val="3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Cash totaled $34.4 million as of December 31, 2023, with no long-term debt.</w:t>
      </w:r>
    </w:p>
    <w:p>
      <w:pPr>
        <w:spacing w:after="0" w:line="109" w:lineRule="exact"/>
        <w:rPr>
          <w:sz w:val="20"/>
          <w:szCs w:val="20"/>
          <w:color w:val="auto"/>
        </w:rPr>
      </w:pPr>
    </w:p>
    <w:p>
      <w:pPr>
        <w:jc w:val="both"/>
        <w:spacing w:after="0" w:line="309" w:lineRule="auto"/>
        <w:rPr>
          <w:sz w:val="20"/>
          <w:szCs w:val="20"/>
          <w:color w:val="auto"/>
        </w:rPr>
      </w:pPr>
      <w:r>
        <w:rPr>
          <w:rFonts w:ascii="Times New Roman" w:cs="Times New Roman" w:eastAsia="Times New Roman" w:hAnsi="Times New Roman"/>
          <w:sz w:val="20"/>
          <w:szCs w:val="20"/>
          <w:color w:val="auto"/>
        </w:rPr>
        <w:t>For further information about how we calculate EBITDA and Adjusted EBITDA as well as limitations of its use and a reconciliation of EBITDA and Adjusted EBITDA to net income (loss), see “Net Income (Loss) to EBITDA and Adjusted EBITDA” in Non-GAAP Financial Measurements below.</w:t>
      </w:r>
    </w:p>
    <w:p>
      <w:pPr>
        <w:spacing w:after="0" w:line="6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Overview</w:t>
      </w:r>
    </w:p>
    <w:p>
      <w:pPr>
        <w:spacing w:after="0" w:line="168" w:lineRule="exact"/>
        <w:rPr>
          <w:sz w:val="20"/>
          <w:szCs w:val="20"/>
          <w:color w:val="auto"/>
        </w:rPr>
      </w:pPr>
    </w:p>
    <w:p>
      <w:pPr>
        <w:jc w:val="both"/>
        <w:spacing w:after="0" w:line="295" w:lineRule="auto"/>
        <w:rPr>
          <w:sz w:val="20"/>
          <w:szCs w:val="20"/>
          <w:color w:val="auto"/>
        </w:rPr>
      </w:pPr>
      <w:r>
        <w:rPr>
          <w:rFonts w:ascii="Times New Roman" w:cs="Times New Roman" w:eastAsia="Times New Roman" w:hAnsi="Times New Roman"/>
          <w:sz w:val="20"/>
          <w:szCs w:val="20"/>
          <w:color w:val="auto"/>
        </w:rPr>
        <w:t>Founded in 2008, and headquartered in Irvine, California, WM Technology, Inc. operates a leading online cannabis marketplace for consumers together with a comprehensive set of eCommerce and compliance software solutions for cannabis businesses, which are sold to both storefront locations and delivery operators (“retailers”) and brands in the legalized cannabis markets in states and territories of the United States. Our comprehensive business-to-consumer and business-to-business suite of products afford cannabis retailers and brands of all sizes integrated tools to compliantly run their businesses and to reach, convert, and retain consumers.</w:t>
      </w:r>
    </w:p>
    <w:p>
      <w:pPr>
        <w:spacing w:after="0" w:line="75" w:lineRule="exact"/>
        <w:rPr>
          <w:sz w:val="20"/>
          <w:szCs w:val="20"/>
          <w:color w:val="auto"/>
        </w:rPr>
      </w:pPr>
    </w:p>
    <w:p>
      <w:pPr>
        <w:jc w:val="both"/>
        <w:ind w:right="20" w:firstLine="1"/>
        <w:spacing w:after="0" w:line="314" w:lineRule="auto"/>
        <w:rPr>
          <w:sz w:val="20"/>
          <w:szCs w:val="20"/>
          <w:color w:val="auto"/>
        </w:rPr>
      </w:pPr>
      <w:r>
        <w:rPr>
          <w:rFonts w:ascii="Times New Roman" w:cs="Times New Roman" w:eastAsia="Times New Roman" w:hAnsi="Times New Roman"/>
          <w:sz w:val="19"/>
          <w:szCs w:val="19"/>
          <w:color w:val="auto"/>
        </w:rPr>
        <w:t>Our business primarily consists of our commerce-driven marketplace (“Weedmaps”), and our fully integrated suite of end-to-end Software-as-a-Service (“SaaS”) solutions software offering (“Weedmaps for Business”). The Weedmaps marketplace is a premier destination for cannabis consumers to discover and browse information regarding cannabis and cannabis products with 5,419 average monthly paying business clients during the year ended December 31, 2023, on the supply-side of our marketplace. These paying clients include retailers, brands and other client types (such as doctors). Further, these clients, who can choose to purchase multiple listings solutions for each business, had purchased over 7,800 listing pages as of December 31, 2023.</w:t>
      </w:r>
    </w:p>
    <w:p>
      <w:pPr>
        <w:spacing w:after="0" w:line="64" w:lineRule="exact"/>
        <w:rPr>
          <w:sz w:val="20"/>
          <w:szCs w:val="20"/>
          <w:color w:val="auto"/>
        </w:rPr>
      </w:pPr>
    </w:p>
    <w:p>
      <w:pPr>
        <w:jc w:val="both"/>
        <w:ind w:right="20"/>
        <w:spacing w:after="0" w:line="296" w:lineRule="auto"/>
        <w:rPr>
          <w:sz w:val="20"/>
          <w:szCs w:val="20"/>
          <w:color w:val="auto"/>
        </w:rPr>
      </w:pPr>
      <w:r>
        <w:rPr>
          <w:rFonts w:ascii="Times New Roman" w:cs="Times New Roman" w:eastAsia="Times New Roman" w:hAnsi="Times New Roman"/>
          <w:sz w:val="20"/>
          <w:szCs w:val="20"/>
          <w:color w:val="auto"/>
        </w:rPr>
        <w:t>We sell our Weedmaps for Business suite in the United States and have a limited number of non-monetized listings in several other countries including Austria, Canada, Germany, the Netherlands, Spain and Switzerland. We operate in the United States, Canada and other foreign jurisdictions where medical and/or adult cannabis use is legal under state or national law. As of December 31, 2023, we actively operated in over 35 U.S. states and territories that have adult-use and/or medical-use regulations in place. Substantially all of our revenue was generated in the United States during the periods presented. We define actively operated markets as those U.S. states or territories with greater than $1,000 monthly revenue.</w:t>
      </w:r>
    </w:p>
    <w:p>
      <w:pPr>
        <w:spacing w:after="0" w:line="76" w:lineRule="exact"/>
        <w:rPr>
          <w:sz w:val="20"/>
          <w:szCs w:val="20"/>
          <w:color w:val="auto"/>
        </w:rPr>
      </w:pPr>
    </w:p>
    <w:p>
      <w:pPr>
        <w:jc w:val="both"/>
        <w:ind w:right="20"/>
        <w:spacing w:after="0" w:line="295" w:lineRule="auto"/>
        <w:rPr>
          <w:sz w:val="20"/>
          <w:szCs w:val="20"/>
          <w:color w:val="auto"/>
        </w:rPr>
      </w:pPr>
      <w:r>
        <w:rPr>
          <w:rFonts w:ascii="Times New Roman" w:cs="Times New Roman" w:eastAsia="Times New Roman" w:hAnsi="Times New Roman"/>
          <w:sz w:val="20"/>
          <w:szCs w:val="20"/>
          <w:color w:val="auto"/>
        </w:rPr>
        <w:t>Our mission is to power a transparent and inclusive global cannabis economy. Our technology addresses the challenges facing both consumers seeking to understand cannabis products and businesses who serve cannabis users in a legally compliant fashion. Since our founding in 2008, Weedmaps has become a premier destination for cannabis consumers to discover and browse information regarding cannabis and cannabis products, permitting product discovery and order-ahead for pickup or delivery by participating retailers. Weedmaps for Business is a set of eCommerce-enablement tools designed to help retailers and brands get the best out of the Weedmaps’ consumer experience, create labor efficiencies and manage compliance needs.</w:t>
      </w:r>
    </w:p>
    <w:p>
      <w:pPr>
        <w:spacing w:after="0" w:line="75" w:lineRule="exact"/>
        <w:rPr>
          <w:sz w:val="20"/>
          <w:szCs w:val="20"/>
          <w:color w:val="auto"/>
        </w:rPr>
      </w:pPr>
    </w:p>
    <w:p>
      <w:pPr>
        <w:jc w:val="both"/>
        <w:spacing w:after="0" w:line="294" w:lineRule="auto"/>
        <w:rPr>
          <w:sz w:val="20"/>
          <w:szCs w:val="20"/>
          <w:color w:val="auto"/>
        </w:rPr>
      </w:pPr>
      <w:r>
        <w:rPr>
          <w:rFonts w:ascii="Times New Roman" w:cs="Times New Roman" w:eastAsia="Times New Roman" w:hAnsi="Times New Roman"/>
          <w:sz w:val="20"/>
          <w:szCs w:val="20"/>
          <w:color w:val="auto"/>
        </w:rPr>
        <w:t>As we continue to expand the presence and increase the number of consumers on the Weedmaps marketplace and broaden our offerings, we generate more value for our business clients. As we continue to expand the presence and increase the number of cannabis businesses listed on weedmaps.com, we become a more compelling marketplace for consumers. To capitalize on the growth opportunities of our two-sided marketplace and solutions, we plan to continue making investments in raising brand awareness, increasing penetration within existing markets and expanding to new markets, as well as continuing to develop and monetize new solutions to extend the functionality of our platform. These investments serve to deepen the consumer experience with our platform and continue to provide a high level of support to our business clients.</w:t>
      </w:r>
    </w:p>
    <w:p>
      <w:pPr>
        <w:spacing w:after="0" w:line="80" w:lineRule="exact"/>
        <w:rPr>
          <w:sz w:val="20"/>
          <w:szCs w:val="20"/>
          <w:color w:val="auto"/>
        </w:rPr>
      </w:pPr>
    </w:p>
    <w:p>
      <w:pPr>
        <w:jc w:val="both"/>
        <w:ind w:right="20"/>
        <w:spacing w:after="0" w:line="309" w:lineRule="auto"/>
        <w:rPr>
          <w:sz w:val="20"/>
          <w:szCs w:val="20"/>
          <w:color w:val="auto"/>
        </w:rPr>
      </w:pPr>
      <w:r>
        <w:rPr>
          <w:rFonts w:ascii="Times New Roman" w:cs="Times New Roman" w:eastAsia="Times New Roman" w:hAnsi="Times New Roman"/>
          <w:sz w:val="20"/>
          <w:szCs w:val="20"/>
          <w:color w:val="auto"/>
        </w:rPr>
        <w:t>In December 31, 2023, we completed the sunset of WM AdSuite, WM CRM and WM Screens product offerings as we continue to focus our efforts on other Weedmaps for Business products that support the Weedmaps marketplace and improve the eCommerce experience for our clients and users.</w:t>
      </w:r>
    </w:p>
    <w:p>
      <w:pPr>
        <w:spacing w:after="0" w:line="142"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20"/>
          <w:szCs w:val="20"/>
          <w:color w:val="auto"/>
        </w:rPr>
        <w:t>58</w:t>
      </w:r>
    </w:p>
    <w:p>
      <w:pPr>
        <w:sectPr>
          <w:pgSz w:w="12240" w:h="15840" w:orient="portrait"/>
          <w:cols w:equalWidth="0" w:num="1">
            <w:col w:w="10260"/>
          </w:cols>
          <w:pgMar w:left="1000" w:top="882" w:right="980" w:bottom="222" w:gutter="0" w:footer="0" w:header="0"/>
        </w:sectPr>
      </w:pPr>
    </w:p>
    <w:bookmarkStart w:id="62" w:name="page63"/>
    <w:bookmarkEnd w:id="62"/>
    <w:p>
      <w:pPr>
        <w:ind w:left="6"/>
        <w:spacing w:after="0"/>
        <w:rPr>
          <w:sz w:val="20"/>
          <w:szCs w:val="20"/>
          <w:color w:val="auto"/>
        </w:rPr>
      </w:pPr>
      <w:r>
        <w:rPr>
          <w:rFonts w:ascii="Times New Roman" w:cs="Times New Roman" w:eastAsia="Times New Roman" w:hAnsi="Times New Roman"/>
          <w:sz w:val="20"/>
          <w:szCs w:val="20"/>
          <w:b w:val="1"/>
          <w:bCs w:val="1"/>
          <w:color w:val="auto"/>
        </w:rPr>
        <w:t>Key Operating and Financial Metrics</w:t>
      </w:r>
    </w:p>
    <w:p>
      <w:pPr>
        <w:spacing w:after="0" w:line="168" w:lineRule="exact"/>
        <w:rPr>
          <w:sz w:val="20"/>
          <w:szCs w:val="20"/>
          <w:color w:val="auto"/>
        </w:rPr>
      </w:pPr>
    </w:p>
    <w:p>
      <w:pPr>
        <w:jc w:val="both"/>
        <w:ind w:left="6"/>
        <w:spacing w:after="0" w:line="300" w:lineRule="auto"/>
        <w:rPr>
          <w:sz w:val="20"/>
          <w:szCs w:val="20"/>
          <w:color w:val="auto"/>
        </w:rPr>
      </w:pPr>
      <w:r>
        <w:rPr>
          <w:rFonts w:ascii="Times New Roman" w:cs="Times New Roman" w:eastAsia="Times New Roman" w:hAnsi="Times New Roman"/>
          <w:sz w:val="20"/>
          <w:szCs w:val="20"/>
          <w:color w:val="auto"/>
        </w:rPr>
        <w:t>We monitor the following key financial and operational metrics to evaluate our business, measure our performance, identify trends affecting our business, formulate business plans and make strategic decisions. The following table summarizes our financial performance for the year ended December 31, 2023 compared to our financial performance for the years ended December 31, 2022 and 2021. For a detailed discussion of our results of operations, see “Results of Operations” below.</w:t>
      </w:r>
    </w:p>
    <w:tbl>
      <w:tblPr>
        <w:tblLayout w:type="fixed"/>
        <w:tblInd w:w="6" w:type="dxa"/>
        <w:tblCellMar>
          <w:top w:w="0" w:type="dxa"/>
          <w:left w:w="0" w:type="dxa"/>
          <w:bottom w:w="0" w:type="dxa"/>
          <w:right w:w="0" w:type="dxa"/>
        </w:tblCellMar>
      </w:tblPr>
      <w:tr>
        <w:trPr>
          <w:trHeight w:val="262"/>
        </w:trPr>
        <w:tc>
          <w:tcPr>
            <w:tcW w:w="5040" w:type="dxa"/>
            <w:vAlign w:val="bottom"/>
          </w:tcPr>
          <w:p>
            <w:pPr>
              <w:spacing w:after="0"/>
              <w:rPr>
                <w:sz w:val="22"/>
                <w:szCs w:val="22"/>
                <w:color w:val="auto"/>
              </w:rPr>
            </w:pPr>
          </w:p>
        </w:tc>
        <w:tc>
          <w:tcPr>
            <w:tcW w:w="420" w:type="dxa"/>
            <w:vAlign w:val="bottom"/>
            <w:tcBorders>
              <w:bottom w:val="single" w:sz="8" w:color="auto"/>
            </w:tcBorders>
          </w:tcPr>
          <w:p>
            <w:pPr>
              <w:spacing w:after="0"/>
              <w:rPr>
                <w:sz w:val="22"/>
                <w:szCs w:val="22"/>
                <w:color w:val="auto"/>
              </w:rPr>
            </w:pPr>
          </w:p>
        </w:tc>
        <w:tc>
          <w:tcPr>
            <w:tcW w:w="3540" w:type="dxa"/>
            <w:vAlign w:val="bottom"/>
            <w:tcBorders>
              <w:bottom w:val="single" w:sz="8" w:color="auto"/>
            </w:tcBorders>
            <w:gridSpan w:val="6"/>
          </w:tcPr>
          <w:p>
            <w:pPr>
              <w:jc w:val="center"/>
              <w:ind w:left="739"/>
              <w:spacing w:after="0"/>
              <w:rPr>
                <w:sz w:val="20"/>
                <w:szCs w:val="20"/>
                <w:color w:val="auto"/>
              </w:rPr>
            </w:pPr>
            <w:r>
              <w:rPr>
                <w:rFonts w:ascii="Times New Roman" w:cs="Times New Roman" w:eastAsia="Times New Roman" w:hAnsi="Times New Roman"/>
                <w:sz w:val="20"/>
                <w:szCs w:val="20"/>
                <w:b w:val="1"/>
                <w:bCs w:val="1"/>
                <w:color w:val="auto"/>
                <w:w w:val="99"/>
              </w:rPr>
              <w:t>Years Ended December 31,</w:t>
            </w:r>
          </w:p>
        </w:tc>
        <w:tc>
          <w:tcPr>
            <w:tcW w:w="1260" w:type="dxa"/>
            <w:vAlign w:val="bottom"/>
            <w:tcBorders>
              <w:bottom w:val="single" w:sz="8" w:color="auto"/>
            </w:tcBorders>
          </w:tcPr>
          <w:p>
            <w:pPr>
              <w:spacing w:after="0"/>
              <w:rPr>
                <w:sz w:val="22"/>
                <w:szCs w:val="22"/>
                <w:color w:val="auto"/>
              </w:rPr>
            </w:pPr>
          </w:p>
        </w:tc>
      </w:tr>
      <w:tr>
        <w:trPr>
          <w:trHeight w:val="261"/>
        </w:trPr>
        <w:tc>
          <w:tcPr>
            <w:tcW w:w="5040" w:type="dxa"/>
            <w:vAlign w:val="bottom"/>
          </w:tcPr>
          <w:p>
            <w:pPr>
              <w:spacing w:after="0"/>
              <w:rPr>
                <w:sz w:val="22"/>
                <w:szCs w:val="22"/>
                <w:color w:val="auto"/>
              </w:rPr>
            </w:pPr>
          </w:p>
        </w:tc>
        <w:tc>
          <w:tcPr>
            <w:tcW w:w="420" w:type="dxa"/>
            <w:vAlign w:val="bottom"/>
            <w:tcBorders>
              <w:bottom w:val="single" w:sz="8" w:color="auto"/>
            </w:tcBorders>
          </w:tcPr>
          <w:p>
            <w:pPr>
              <w:spacing w:after="0"/>
              <w:rPr>
                <w:sz w:val="22"/>
                <w:szCs w:val="22"/>
                <w:color w:val="auto"/>
              </w:rPr>
            </w:pPr>
          </w:p>
        </w:tc>
        <w:tc>
          <w:tcPr>
            <w:tcW w:w="1280" w:type="dxa"/>
            <w:vAlign w:val="bottom"/>
            <w:tcBorders>
              <w:bottom w:val="single" w:sz="8" w:color="auto"/>
            </w:tcBorders>
          </w:tcPr>
          <w:p>
            <w:pPr>
              <w:jc w:val="right"/>
              <w:ind w:right="539"/>
              <w:spacing w:after="0"/>
              <w:rPr>
                <w:sz w:val="20"/>
                <w:szCs w:val="20"/>
                <w:color w:val="auto"/>
              </w:rPr>
            </w:pPr>
            <w:r>
              <w:rPr>
                <w:rFonts w:ascii="Times New Roman" w:cs="Times New Roman" w:eastAsia="Times New Roman" w:hAnsi="Times New Roman"/>
                <w:sz w:val="20"/>
                <w:szCs w:val="20"/>
                <w:b w:val="1"/>
                <w:bCs w:val="1"/>
                <w:color w:val="auto"/>
              </w:rPr>
              <w:t>2023</w:t>
            </w:r>
          </w:p>
        </w:tc>
        <w:tc>
          <w:tcPr>
            <w:tcW w:w="60" w:type="dxa"/>
            <w:vAlign w:val="bottom"/>
          </w:tcPr>
          <w:p>
            <w:pPr>
              <w:spacing w:after="0"/>
              <w:rPr>
                <w:sz w:val="22"/>
                <w:szCs w:val="22"/>
                <w:color w:val="auto"/>
              </w:rPr>
            </w:pPr>
          </w:p>
        </w:tc>
        <w:tc>
          <w:tcPr>
            <w:tcW w:w="400" w:type="dxa"/>
            <w:vAlign w:val="bottom"/>
            <w:tcBorders>
              <w:bottom w:val="single" w:sz="8" w:color="auto"/>
            </w:tcBorders>
          </w:tcPr>
          <w:p>
            <w:pPr>
              <w:spacing w:after="0"/>
              <w:rPr>
                <w:sz w:val="22"/>
                <w:szCs w:val="22"/>
                <w:color w:val="auto"/>
              </w:rPr>
            </w:pPr>
          </w:p>
        </w:tc>
        <w:tc>
          <w:tcPr>
            <w:tcW w:w="1300" w:type="dxa"/>
            <w:vAlign w:val="bottom"/>
            <w:tcBorders>
              <w:bottom w:val="single" w:sz="8" w:color="auto"/>
            </w:tcBorders>
          </w:tcPr>
          <w:p>
            <w:pPr>
              <w:jc w:val="center"/>
              <w:ind w:right="319"/>
              <w:spacing w:after="0"/>
              <w:rPr>
                <w:sz w:val="20"/>
                <w:szCs w:val="20"/>
                <w:color w:val="auto"/>
              </w:rPr>
            </w:pPr>
            <w:r>
              <w:rPr>
                <w:rFonts w:ascii="Times New Roman" w:cs="Times New Roman" w:eastAsia="Times New Roman" w:hAnsi="Times New Roman"/>
                <w:sz w:val="20"/>
                <w:szCs w:val="20"/>
                <w:b w:val="1"/>
                <w:bCs w:val="1"/>
                <w:color w:val="auto"/>
                <w:w w:val="99"/>
              </w:rPr>
              <w:t>2022</w:t>
            </w:r>
          </w:p>
        </w:tc>
        <w:tc>
          <w:tcPr>
            <w:tcW w:w="60" w:type="dxa"/>
            <w:vAlign w:val="bottom"/>
          </w:tcPr>
          <w:p>
            <w:pPr>
              <w:spacing w:after="0"/>
              <w:rPr>
                <w:sz w:val="22"/>
                <w:szCs w:val="22"/>
                <w:color w:val="auto"/>
              </w:rPr>
            </w:pPr>
          </w:p>
        </w:tc>
        <w:tc>
          <w:tcPr>
            <w:tcW w:w="440" w:type="dxa"/>
            <w:vAlign w:val="bottom"/>
            <w:tcBorders>
              <w:bottom w:val="single" w:sz="8" w:color="auto"/>
            </w:tcBorders>
          </w:tcPr>
          <w:p>
            <w:pPr>
              <w:spacing w:after="0"/>
              <w:rPr>
                <w:sz w:val="22"/>
                <w:szCs w:val="22"/>
                <w:color w:val="auto"/>
              </w:rPr>
            </w:pPr>
          </w:p>
        </w:tc>
        <w:tc>
          <w:tcPr>
            <w:tcW w:w="1260" w:type="dxa"/>
            <w:vAlign w:val="bottom"/>
            <w:tcBorders>
              <w:bottom w:val="single" w:sz="8" w:color="auto"/>
            </w:tcBorders>
          </w:tcPr>
          <w:p>
            <w:pPr>
              <w:jc w:val="right"/>
              <w:ind w:right="559"/>
              <w:spacing w:after="0"/>
              <w:rPr>
                <w:sz w:val="20"/>
                <w:szCs w:val="20"/>
                <w:color w:val="auto"/>
              </w:rPr>
            </w:pPr>
            <w:r>
              <w:rPr>
                <w:rFonts w:ascii="Times New Roman" w:cs="Times New Roman" w:eastAsia="Times New Roman" w:hAnsi="Times New Roman"/>
                <w:sz w:val="20"/>
                <w:szCs w:val="20"/>
                <w:b w:val="1"/>
                <w:bCs w:val="1"/>
                <w:color w:val="auto"/>
              </w:rPr>
              <w:t>2021</w:t>
            </w:r>
          </w:p>
        </w:tc>
      </w:tr>
      <w:tr>
        <w:trPr>
          <w:trHeight w:val="445"/>
        </w:trPr>
        <w:tc>
          <w:tcPr>
            <w:tcW w:w="5040" w:type="dxa"/>
            <w:vAlign w:val="bottom"/>
          </w:tcPr>
          <w:p>
            <w:pPr>
              <w:spacing w:after="0"/>
              <w:rPr>
                <w:sz w:val="24"/>
                <w:szCs w:val="24"/>
                <w:color w:val="auto"/>
              </w:rPr>
            </w:pPr>
          </w:p>
        </w:tc>
        <w:tc>
          <w:tcPr>
            <w:tcW w:w="5220" w:type="dxa"/>
            <w:vAlign w:val="bottom"/>
            <w:gridSpan w:val="8"/>
          </w:tcPr>
          <w:p>
            <w:pPr>
              <w:jc w:val="center"/>
              <w:spacing w:after="0"/>
              <w:rPr>
                <w:sz w:val="20"/>
                <w:szCs w:val="20"/>
                <w:color w:val="auto"/>
              </w:rPr>
            </w:pPr>
            <w:r>
              <w:rPr>
                <w:rFonts w:ascii="Times New Roman" w:cs="Times New Roman" w:eastAsia="Times New Roman" w:hAnsi="Times New Roman"/>
                <w:sz w:val="20"/>
                <w:szCs w:val="20"/>
                <w:b w:val="1"/>
                <w:bCs w:val="1"/>
                <w:color w:val="auto"/>
              </w:rPr>
              <w:t>(dollars in thousands, except for revenue per paying client)</w:t>
            </w:r>
          </w:p>
        </w:tc>
      </w:tr>
      <w:tr>
        <w:trPr>
          <w:trHeight w:val="284"/>
        </w:trPr>
        <w:tc>
          <w:tcPr>
            <w:tcW w:w="5040" w:type="dxa"/>
            <w:vAlign w:val="bottom"/>
            <w:shd w:val="clear" w:color="auto" w:fill="DDDDDD"/>
          </w:tcPr>
          <w:p>
            <w:pPr>
              <w:ind w:left="40"/>
              <w:spacing w:after="0"/>
              <w:rPr>
                <w:sz w:val="20"/>
                <w:szCs w:val="20"/>
                <w:color w:val="auto"/>
              </w:rPr>
            </w:pPr>
            <w:r>
              <w:rPr>
                <w:rFonts w:ascii="Times New Roman" w:cs="Times New Roman" w:eastAsia="Times New Roman" w:hAnsi="Times New Roman"/>
                <w:sz w:val="20"/>
                <w:szCs w:val="20"/>
                <w:color w:val="auto"/>
              </w:rPr>
              <w:t>Net revenues</w:t>
            </w:r>
          </w:p>
        </w:tc>
        <w:tc>
          <w:tcPr>
            <w:tcW w:w="420" w:type="dxa"/>
            <w:vAlign w:val="bottom"/>
            <w:shd w:val="clear" w:color="auto" w:fill="DDDDDD"/>
          </w:tcPr>
          <w:p>
            <w:pPr>
              <w:jc w:val="right"/>
              <w:ind w:right="159"/>
              <w:spacing w:after="0"/>
              <w:rPr>
                <w:sz w:val="20"/>
                <w:szCs w:val="20"/>
                <w:color w:val="auto"/>
              </w:rPr>
            </w:pPr>
            <w:r>
              <w:rPr>
                <w:rFonts w:ascii="Times New Roman" w:cs="Times New Roman" w:eastAsia="Times New Roman" w:hAnsi="Times New Roman"/>
                <w:sz w:val="20"/>
                <w:szCs w:val="20"/>
                <w:color w:val="auto"/>
              </w:rPr>
              <w:t>$</w:t>
            </w:r>
          </w:p>
        </w:tc>
        <w:tc>
          <w:tcPr>
            <w:tcW w:w="1280" w:type="dxa"/>
            <w:vAlign w:val="bottom"/>
            <w:shd w:val="clear" w:color="auto" w:fill="DDDDDD"/>
          </w:tcPr>
          <w:p>
            <w:pPr>
              <w:jc w:val="right"/>
              <w:spacing w:after="0"/>
              <w:rPr>
                <w:sz w:val="20"/>
                <w:szCs w:val="20"/>
                <w:color w:val="auto"/>
              </w:rPr>
            </w:pPr>
            <w:r>
              <w:rPr>
                <w:rFonts w:ascii="Times New Roman" w:cs="Times New Roman" w:eastAsia="Times New Roman" w:hAnsi="Times New Roman"/>
                <w:sz w:val="20"/>
                <w:szCs w:val="20"/>
                <w:color w:val="auto"/>
              </w:rPr>
              <w:t>187,993</w:t>
            </w:r>
          </w:p>
        </w:tc>
        <w:tc>
          <w:tcPr>
            <w:tcW w:w="60" w:type="dxa"/>
            <w:vAlign w:val="bottom"/>
            <w:shd w:val="clear" w:color="auto" w:fill="DDDDDD"/>
          </w:tcPr>
          <w:p>
            <w:pPr>
              <w:spacing w:after="0"/>
              <w:rPr>
                <w:sz w:val="24"/>
                <w:szCs w:val="24"/>
                <w:color w:val="auto"/>
              </w:rPr>
            </w:pPr>
          </w:p>
        </w:tc>
        <w:tc>
          <w:tcPr>
            <w:tcW w:w="400" w:type="dxa"/>
            <w:vAlign w:val="bottom"/>
            <w:shd w:val="clear" w:color="auto" w:fill="DDDDDD"/>
          </w:tcPr>
          <w:p>
            <w:pPr>
              <w:jc w:val="right"/>
              <w:ind w:right="139"/>
              <w:spacing w:after="0"/>
              <w:rPr>
                <w:sz w:val="20"/>
                <w:szCs w:val="20"/>
                <w:color w:val="auto"/>
              </w:rPr>
            </w:pPr>
            <w:r>
              <w:rPr>
                <w:rFonts w:ascii="Times New Roman" w:cs="Times New Roman" w:eastAsia="Times New Roman" w:hAnsi="Times New Roman"/>
                <w:sz w:val="20"/>
                <w:szCs w:val="20"/>
                <w:color w:val="auto"/>
              </w:rPr>
              <w:t>$</w:t>
            </w:r>
          </w:p>
        </w:tc>
        <w:tc>
          <w:tcPr>
            <w:tcW w:w="1300" w:type="dxa"/>
            <w:vAlign w:val="bottom"/>
            <w:shd w:val="clear" w:color="auto" w:fill="DDDDDD"/>
          </w:tcPr>
          <w:p>
            <w:pPr>
              <w:jc w:val="right"/>
              <w:spacing w:after="0"/>
              <w:rPr>
                <w:sz w:val="20"/>
                <w:szCs w:val="20"/>
                <w:color w:val="auto"/>
              </w:rPr>
            </w:pPr>
            <w:r>
              <w:rPr>
                <w:rFonts w:ascii="Times New Roman" w:cs="Times New Roman" w:eastAsia="Times New Roman" w:hAnsi="Times New Roman"/>
                <w:sz w:val="20"/>
                <w:szCs w:val="20"/>
                <w:color w:val="auto"/>
              </w:rPr>
              <w:t>215,531</w:t>
            </w:r>
          </w:p>
        </w:tc>
        <w:tc>
          <w:tcPr>
            <w:tcW w:w="60" w:type="dxa"/>
            <w:vAlign w:val="bottom"/>
            <w:shd w:val="clear" w:color="auto" w:fill="DDDDDD"/>
          </w:tcPr>
          <w:p>
            <w:pPr>
              <w:spacing w:after="0"/>
              <w:rPr>
                <w:sz w:val="24"/>
                <w:szCs w:val="24"/>
                <w:color w:val="auto"/>
              </w:rPr>
            </w:pPr>
          </w:p>
        </w:tc>
        <w:tc>
          <w:tcPr>
            <w:tcW w:w="440" w:type="dxa"/>
            <w:vAlign w:val="bottom"/>
            <w:shd w:val="clear" w:color="auto" w:fill="DDDDDD"/>
          </w:tcPr>
          <w:p>
            <w:pPr>
              <w:jc w:val="right"/>
              <w:ind w:right="179"/>
              <w:spacing w:after="0"/>
              <w:rPr>
                <w:sz w:val="20"/>
                <w:szCs w:val="20"/>
                <w:color w:val="auto"/>
              </w:rPr>
            </w:pPr>
            <w:r>
              <w:rPr>
                <w:rFonts w:ascii="Times New Roman" w:cs="Times New Roman" w:eastAsia="Times New Roman" w:hAnsi="Times New Roman"/>
                <w:sz w:val="20"/>
                <w:szCs w:val="20"/>
                <w:color w:val="auto"/>
              </w:rPr>
              <w:t>$</w:t>
            </w:r>
          </w:p>
        </w:tc>
        <w:tc>
          <w:tcPr>
            <w:tcW w:w="1260" w:type="dxa"/>
            <w:vAlign w:val="bottom"/>
            <w:shd w:val="clear" w:color="auto" w:fill="DDDDDD"/>
          </w:tcPr>
          <w:p>
            <w:pPr>
              <w:jc w:val="right"/>
              <w:spacing w:after="0"/>
              <w:rPr>
                <w:sz w:val="20"/>
                <w:szCs w:val="20"/>
                <w:color w:val="auto"/>
              </w:rPr>
            </w:pPr>
            <w:r>
              <w:rPr>
                <w:rFonts w:ascii="Times New Roman" w:cs="Times New Roman" w:eastAsia="Times New Roman" w:hAnsi="Times New Roman"/>
                <w:sz w:val="20"/>
                <w:szCs w:val="20"/>
                <w:color w:val="auto"/>
              </w:rPr>
              <w:t>193,146</w:t>
            </w:r>
          </w:p>
        </w:tc>
      </w:tr>
      <w:tr>
        <w:trPr>
          <w:trHeight w:val="288"/>
        </w:trPr>
        <w:tc>
          <w:tcPr>
            <w:tcW w:w="5040" w:type="dxa"/>
            <w:vAlign w:val="bottom"/>
          </w:tcPr>
          <w:p>
            <w:pPr>
              <w:ind w:left="40"/>
              <w:spacing w:after="0"/>
              <w:rPr>
                <w:sz w:val="20"/>
                <w:szCs w:val="20"/>
                <w:color w:val="auto"/>
              </w:rPr>
            </w:pPr>
            <w:r>
              <w:rPr>
                <w:rFonts w:ascii="Times New Roman" w:cs="Times New Roman" w:eastAsia="Times New Roman" w:hAnsi="Times New Roman"/>
                <w:sz w:val="20"/>
                <w:szCs w:val="20"/>
                <w:color w:val="auto"/>
              </w:rPr>
              <w:t>Net income (loss)</w:t>
            </w:r>
          </w:p>
        </w:tc>
        <w:tc>
          <w:tcPr>
            <w:tcW w:w="420" w:type="dxa"/>
            <w:vAlign w:val="bottom"/>
          </w:tcPr>
          <w:p>
            <w:pPr>
              <w:jc w:val="right"/>
              <w:ind w:right="139"/>
              <w:spacing w:after="0"/>
              <w:rPr>
                <w:sz w:val="20"/>
                <w:szCs w:val="20"/>
                <w:color w:val="auto"/>
              </w:rPr>
            </w:pPr>
            <w:r>
              <w:rPr>
                <w:rFonts w:ascii="Times New Roman" w:cs="Times New Roman" w:eastAsia="Times New Roman" w:hAnsi="Times New Roman"/>
                <w:sz w:val="20"/>
                <w:szCs w:val="20"/>
                <w:color w:val="auto"/>
              </w:rPr>
              <w:t>$</w:t>
            </w:r>
          </w:p>
        </w:tc>
        <w:tc>
          <w:tcPr>
            <w:tcW w:w="12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(15,727)</w:t>
            </w:r>
          </w:p>
        </w:tc>
        <w:tc>
          <w:tcPr>
            <w:tcW w:w="460" w:type="dxa"/>
            <w:vAlign w:val="bottom"/>
            <w:gridSpan w:val="2"/>
          </w:tcPr>
          <w:p>
            <w:pPr>
              <w:jc w:val="right"/>
              <w:ind w:right="119"/>
              <w:spacing w:after="0"/>
              <w:rPr>
                <w:sz w:val="20"/>
                <w:szCs w:val="20"/>
                <w:color w:val="auto"/>
              </w:rPr>
            </w:pPr>
            <w:r>
              <w:rPr>
                <w:rFonts w:ascii="Times New Roman" w:cs="Times New Roman" w:eastAsia="Times New Roman" w:hAnsi="Times New Roman"/>
                <w:sz w:val="20"/>
                <w:szCs w:val="20"/>
                <w:color w:val="auto"/>
              </w:rPr>
              <w:t>$</w:t>
            </w:r>
          </w:p>
        </w:tc>
        <w:tc>
          <w:tcPr>
            <w:tcW w:w="13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(82,651)</w:t>
            </w:r>
          </w:p>
        </w:tc>
        <w:tc>
          <w:tcPr>
            <w:tcW w:w="500" w:type="dxa"/>
            <w:vAlign w:val="bottom"/>
            <w:gridSpan w:val="2"/>
          </w:tcPr>
          <w:p>
            <w:pPr>
              <w:jc w:val="right"/>
              <w:ind w:right="179"/>
              <w:spacing w:after="0"/>
              <w:rPr>
                <w:sz w:val="20"/>
                <w:szCs w:val="20"/>
                <w:color w:val="auto"/>
              </w:rPr>
            </w:pPr>
            <w:r>
              <w:rPr>
                <w:rFonts w:ascii="Times New Roman" w:cs="Times New Roman" w:eastAsia="Times New Roman" w:hAnsi="Times New Roman"/>
                <w:sz w:val="20"/>
                <w:szCs w:val="20"/>
                <w:color w:val="auto"/>
              </w:rPr>
              <w:t>$</w:t>
            </w:r>
          </w:p>
        </w:tc>
        <w:tc>
          <w:tcPr>
            <w:tcW w:w="12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152,218</w:t>
            </w:r>
          </w:p>
        </w:tc>
      </w:tr>
      <w:tr>
        <w:trPr>
          <w:trHeight w:val="281"/>
        </w:trPr>
        <w:tc>
          <w:tcPr>
            <w:tcW w:w="5040" w:type="dxa"/>
            <w:vAlign w:val="bottom"/>
            <w:shd w:val="clear" w:color="auto" w:fill="DDDDDD"/>
          </w:tcPr>
          <w:p>
            <w:pPr>
              <w:ind w:left="40"/>
              <w:spacing w:after="0" w:line="281" w:lineRule="exact"/>
              <w:rPr>
                <w:sz w:val="20"/>
                <w:szCs w:val="20"/>
                <w:color w:val="auto"/>
              </w:rPr>
            </w:pPr>
            <w:r>
              <w:rPr>
                <w:rFonts w:ascii="Times New Roman" w:cs="Times New Roman" w:eastAsia="Times New Roman" w:hAnsi="Times New Roman"/>
                <w:sz w:val="20"/>
                <w:szCs w:val="20"/>
                <w:color w:val="auto"/>
              </w:rPr>
              <w:t>EBITDA</w:t>
            </w:r>
            <w:r>
              <w:rPr>
                <w:rFonts w:ascii="Times New Roman" w:cs="Times New Roman" w:eastAsia="Times New Roman" w:hAnsi="Times New Roman"/>
                <w:sz w:val="25"/>
                <w:szCs w:val="25"/>
                <w:color w:val="auto"/>
                <w:vertAlign w:val="superscript"/>
              </w:rPr>
              <w:t>(1)</w:t>
            </w:r>
          </w:p>
        </w:tc>
        <w:tc>
          <w:tcPr>
            <w:tcW w:w="420" w:type="dxa"/>
            <w:vAlign w:val="bottom"/>
            <w:shd w:val="clear" w:color="auto" w:fill="DDDDDD"/>
          </w:tcPr>
          <w:p>
            <w:pPr>
              <w:jc w:val="right"/>
              <w:ind w:right="139"/>
              <w:spacing w:after="0"/>
              <w:rPr>
                <w:sz w:val="20"/>
                <w:szCs w:val="20"/>
                <w:color w:val="auto"/>
              </w:rPr>
            </w:pPr>
            <w:r>
              <w:rPr>
                <w:rFonts w:ascii="Times New Roman" w:cs="Times New Roman" w:eastAsia="Times New Roman" w:hAnsi="Times New Roman"/>
                <w:sz w:val="20"/>
                <w:szCs w:val="20"/>
                <w:color w:val="auto"/>
              </w:rPr>
              <w:t>$</w:t>
            </w:r>
          </w:p>
        </w:tc>
        <w:tc>
          <w:tcPr>
            <w:tcW w:w="1280" w:type="dxa"/>
            <w:vAlign w:val="bottom"/>
            <w:shd w:val="clear" w:color="auto" w:fill="DDDDDD"/>
          </w:tcPr>
          <w:p>
            <w:pPr>
              <w:jc w:val="right"/>
              <w:spacing w:after="0"/>
              <w:rPr>
                <w:sz w:val="20"/>
                <w:szCs w:val="20"/>
                <w:color w:val="auto"/>
              </w:rPr>
            </w:pPr>
            <w:r>
              <w:rPr>
                <w:rFonts w:ascii="Times New Roman" w:cs="Times New Roman" w:eastAsia="Times New Roman" w:hAnsi="Times New Roman"/>
                <w:sz w:val="20"/>
                <w:szCs w:val="20"/>
                <w:color w:val="auto"/>
              </w:rPr>
              <w:t>(3,534)</w:t>
            </w:r>
          </w:p>
        </w:tc>
        <w:tc>
          <w:tcPr>
            <w:tcW w:w="60" w:type="dxa"/>
            <w:vAlign w:val="bottom"/>
            <w:shd w:val="clear" w:color="auto" w:fill="DDDDDD"/>
          </w:tcPr>
          <w:p>
            <w:pPr>
              <w:spacing w:after="0"/>
              <w:rPr>
                <w:sz w:val="24"/>
                <w:szCs w:val="24"/>
                <w:color w:val="auto"/>
              </w:rPr>
            </w:pPr>
          </w:p>
        </w:tc>
        <w:tc>
          <w:tcPr>
            <w:tcW w:w="400" w:type="dxa"/>
            <w:vAlign w:val="bottom"/>
            <w:shd w:val="clear" w:color="auto" w:fill="DDDDDD"/>
          </w:tcPr>
          <w:p>
            <w:pPr>
              <w:jc w:val="right"/>
              <w:ind w:right="139"/>
              <w:spacing w:after="0"/>
              <w:rPr>
                <w:sz w:val="20"/>
                <w:szCs w:val="20"/>
                <w:color w:val="auto"/>
              </w:rPr>
            </w:pPr>
            <w:r>
              <w:rPr>
                <w:rFonts w:ascii="Times New Roman" w:cs="Times New Roman" w:eastAsia="Times New Roman" w:hAnsi="Times New Roman"/>
                <w:sz w:val="20"/>
                <w:szCs w:val="20"/>
                <w:color w:val="auto"/>
              </w:rPr>
              <w:t>$</w:t>
            </w:r>
          </w:p>
        </w:tc>
        <w:tc>
          <w:tcPr>
            <w:tcW w:w="1300" w:type="dxa"/>
            <w:vAlign w:val="bottom"/>
            <w:shd w:val="clear" w:color="auto" w:fill="DDDDDD"/>
          </w:tcPr>
          <w:p>
            <w:pPr>
              <w:jc w:val="right"/>
              <w:spacing w:after="0"/>
              <w:rPr>
                <w:sz w:val="20"/>
                <w:szCs w:val="20"/>
                <w:color w:val="auto"/>
              </w:rPr>
            </w:pPr>
            <w:r>
              <w:rPr>
                <w:rFonts w:ascii="Times New Roman" w:cs="Times New Roman" w:eastAsia="Times New Roman" w:hAnsi="Times New Roman"/>
                <w:sz w:val="20"/>
                <w:szCs w:val="20"/>
                <w:color w:val="auto"/>
              </w:rPr>
              <w:t>107,924</w:t>
            </w:r>
          </w:p>
        </w:tc>
        <w:tc>
          <w:tcPr>
            <w:tcW w:w="60" w:type="dxa"/>
            <w:vAlign w:val="bottom"/>
            <w:shd w:val="clear" w:color="auto" w:fill="DDDDDD"/>
          </w:tcPr>
          <w:p>
            <w:pPr>
              <w:spacing w:after="0"/>
              <w:rPr>
                <w:sz w:val="24"/>
                <w:szCs w:val="24"/>
                <w:color w:val="auto"/>
              </w:rPr>
            </w:pPr>
          </w:p>
        </w:tc>
        <w:tc>
          <w:tcPr>
            <w:tcW w:w="440" w:type="dxa"/>
            <w:vAlign w:val="bottom"/>
            <w:shd w:val="clear" w:color="auto" w:fill="DDDDDD"/>
          </w:tcPr>
          <w:p>
            <w:pPr>
              <w:jc w:val="right"/>
              <w:ind w:right="179"/>
              <w:spacing w:after="0"/>
              <w:rPr>
                <w:sz w:val="20"/>
                <w:szCs w:val="20"/>
                <w:color w:val="auto"/>
              </w:rPr>
            </w:pPr>
            <w:r>
              <w:rPr>
                <w:rFonts w:ascii="Times New Roman" w:cs="Times New Roman" w:eastAsia="Times New Roman" w:hAnsi="Times New Roman"/>
                <w:sz w:val="20"/>
                <w:szCs w:val="20"/>
                <w:color w:val="auto"/>
              </w:rPr>
              <w:t>$</w:t>
            </w:r>
          </w:p>
        </w:tc>
        <w:tc>
          <w:tcPr>
            <w:tcW w:w="1260" w:type="dxa"/>
            <w:vAlign w:val="bottom"/>
            <w:shd w:val="clear" w:color="auto" w:fill="DDDDDD"/>
          </w:tcPr>
          <w:p>
            <w:pPr>
              <w:jc w:val="right"/>
              <w:spacing w:after="0"/>
              <w:rPr>
                <w:sz w:val="20"/>
                <w:szCs w:val="20"/>
                <w:color w:val="auto"/>
              </w:rPr>
            </w:pPr>
            <w:r>
              <w:rPr>
                <w:rFonts w:ascii="Times New Roman" w:cs="Times New Roman" w:eastAsia="Times New Roman" w:hAnsi="Times New Roman"/>
                <w:sz w:val="20"/>
                <w:szCs w:val="20"/>
                <w:color w:val="auto"/>
              </w:rPr>
              <w:t>156,042</w:t>
            </w:r>
          </w:p>
        </w:tc>
      </w:tr>
      <w:tr>
        <w:trPr>
          <w:trHeight w:val="288"/>
        </w:trPr>
        <w:tc>
          <w:tcPr>
            <w:tcW w:w="5040" w:type="dxa"/>
            <w:vAlign w:val="bottom"/>
          </w:tcPr>
          <w:p>
            <w:pPr>
              <w:ind w:left="40"/>
              <w:spacing w:after="0"/>
              <w:rPr>
                <w:sz w:val="20"/>
                <w:szCs w:val="20"/>
                <w:color w:val="auto"/>
              </w:rPr>
            </w:pPr>
            <w:r>
              <w:rPr>
                <w:rFonts w:ascii="Times New Roman" w:cs="Times New Roman" w:eastAsia="Times New Roman" w:hAnsi="Times New Roman"/>
                <w:sz w:val="20"/>
                <w:szCs w:val="20"/>
                <w:color w:val="auto"/>
              </w:rPr>
              <w:t>Adjusted EBITDA</w:t>
            </w:r>
            <w:r>
              <w:rPr>
                <w:rFonts w:ascii="Times New Roman" w:cs="Times New Roman" w:eastAsia="Times New Roman" w:hAnsi="Times New Roman"/>
                <w:sz w:val="25"/>
                <w:szCs w:val="25"/>
                <w:color w:val="auto"/>
                <w:vertAlign w:val="superscript"/>
              </w:rPr>
              <w:t>(1)</w:t>
            </w:r>
          </w:p>
        </w:tc>
        <w:tc>
          <w:tcPr>
            <w:tcW w:w="420" w:type="dxa"/>
            <w:vAlign w:val="bottom"/>
          </w:tcPr>
          <w:p>
            <w:pPr>
              <w:jc w:val="right"/>
              <w:ind w:right="159"/>
              <w:spacing w:after="0"/>
              <w:rPr>
                <w:sz w:val="20"/>
                <w:szCs w:val="20"/>
                <w:color w:val="auto"/>
              </w:rPr>
            </w:pPr>
            <w:r>
              <w:rPr>
                <w:rFonts w:ascii="Times New Roman" w:cs="Times New Roman" w:eastAsia="Times New Roman" w:hAnsi="Times New Roman"/>
                <w:sz w:val="20"/>
                <w:szCs w:val="20"/>
                <w:color w:val="auto"/>
              </w:rPr>
              <w:t>$</w:t>
            </w:r>
          </w:p>
        </w:tc>
        <w:tc>
          <w:tcPr>
            <w:tcW w:w="12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36,907</w:t>
            </w:r>
          </w:p>
        </w:tc>
        <w:tc>
          <w:tcPr>
            <w:tcW w:w="460" w:type="dxa"/>
            <w:vAlign w:val="bottom"/>
            <w:gridSpan w:val="2"/>
          </w:tcPr>
          <w:p>
            <w:pPr>
              <w:jc w:val="right"/>
              <w:ind w:right="119"/>
              <w:spacing w:after="0"/>
              <w:rPr>
                <w:sz w:val="20"/>
                <w:szCs w:val="20"/>
                <w:color w:val="auto"/>
              </w:rPr>
            </w:pPr>
            <w:r>
              <w:rPr>
                <w:rFonts w:ascii="Times New Roman" w:cs="Times New Roman" w:eastAsia="Times New Roman" w:hAnsi="Times New Roman"/>
                <w:sz w:val="20"/>
                <w:szCs w:val="20"/>
                <w:color w:val="auto"/>
              </w:rPr>
              <w:t>$</w:t>
            </w:r>
          </w:p>
        </w:tc>
        <w:tc>
          <w:tcPr>
            <w:tcW w:w="13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(9,633)</w:t>
            </w:r>
          </w:p>
        </w:tc>
        <w:tc>
          <w:tcPr>
            <w:tcW w:w="500" w:type="dxa"/>
            <w:vAlign w:val="bottom"/>
            <w:gridSpan w:val="2"/>
          </w:tcPr>
          <w:p>
            <w:pPr>
              <w:jc w:val="right"/>
              <w:ind w:right="179"/>
              <w:spacing w:after="0"/>
              <w:rPr>
                <w:sz w:val="20"/>
                <w:szCs w:val="20"/>
                <w:color w:val="auto"/>
              </w:rPr>
            </w:pPr>
            <w:r>
              <w:rPr>
                <w:rFonts w:ascii="Times New Roman" w:cs="Times New Roman" w:eastAsia="Times New Roman" w:hAnsi="Times New Roman"/>
                <w:sz w:val="20"/>
                <w:szCs w:val="20"/>
                <w:color w:val="auto"/>
              </w:rPr>
              <w:t>$</w:t>
            </w:r>
          </w:p>
        </w:tc>
        <w:tc>
          <w:tcPr>
            <w:tcW w:w="12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31,698</w:t>
            </w:r>
          </w:p>
        </w:tc>
      </w:tr>
      <w:tr>
        <w:trPr>
          <w:trHeight w:val="288"/>
        </w:trPr>
        <w:tc>
          <w:tcPr>
            <w:tcW w:w="5040" w:type="dxa"/>
            <w:vAlign w:val="bottom"/>
            <w:shd w:val="clear" w:color="auto" w:fill="DDDDDD"/>
          </w:tcPr>
          <w:p>
            <w:pPr>
              <w:ind w:left="40"/>
              <w:spacing w:after="0"/>
              <w:rPr>
                <w:sz w:val="20"/>
                <w:szCs w:val="20"/>
                <w:color w:val="auto"/>
              </w:rPr>
            </w:pPr>
            <w:r>
              <w:rPr>
                <w:rFonts w:ascii="Times New Roman" w:cs="Times New Roman" w:eastAsia="Times New Roman" w:hAnsi="Times New Roman"/>
                <w:sz w:val="20"/>
                <w:szCs w:val="20"/>
                <w:color w:val="auto"/>
              </w:rPr>
              <w:t>Average monthly revenue per paying client</w:t>
            </w:r>
            <w:r>
              <w:rPr>
                <w:rFonts w:ascii="Times New Roman" w:cs="Times New Roman" w:eastAsia="Times New Roman" w:hAnsi="Times New Roman"/>
                <w:sz w:val="25"/>
                <w:szCs w:val="25"/>
                <w:color w:val="auto"/>
                <w:vertAlign w:val="superscript"/>
              </w:rPr>
              <w:t>(2)</w:t>
            </w:r>
          </w:p>
        </w:tc>
        <w:tc>
          <w:tcPr>
            <w:tcW w:w="420" w:type="dxa"/>
            <w:vAlign w:val="bottom"/>
            <w:shd w:val="clear" w:color="auto" w:fill="DDDDDD"/>
          </w:tcPr>
          <w:p>
            <w:pPr>
              <w:jc w:val="right"/>
              <w:ind w:right="159"/>
              <w:spacing w:after="0"/>
              <w:rPr>
                <w:sz w:val="20"/>
                <w:szCs w:val="20"/>
                <w:color w:val="auto"/>
              </w:rPr>
            </w:pPr>
            <w:r>
              <w:rPr>
                <w:rFonts w:ascii="Times New Roman" w:cs="Times New Roman" w:eastAsia="Times New Roman" w:hAnsi="Times New Roman"/>
                <w:sz w:val="20"/>
                <w:szCs w:val="20"/>
                <w:color w:val="auto"/>
              </w:rPr>
              <w:t>$</w:t>
            </w:r>
          </w:p>
        </w:tc>
        <w:tc>
          <w:tcPr>
            <w:tcW w:w="1280" w:type="dxa"/>
            <w:vAlign w:val="bottom"/>
            <w:shd w:val="clear" w:color="auto" w:fill="DDDDDD"/>
          </w:tcPr>
          <w:p>
            <w:pPr>
              <w:jc w:val="right"/>
              <w:spacing w:after="0"/>
              <w:rPr>
                <w:sz w:val="20"/>
                <w:szCs w:val="20"/>
                <w:color w:val="auto"/>
              </w:rPr>
            </w:pPr>
            <w:r>
              <w:rPr>
                <w:rFonts w:ascii="Times New Roman" w:cs="Times New Roman" w:eastAsia="Times New Roman" w:hAnsi="Times New Roman"/>
                <w:sz w:val="20"/>
                <w:szCs w:val="20"/>
                <w:color w:val="auto"/>
              </w:rPr>
              <w:t>2,891</w:t>
            </w:r>
          </w:p>
        </w:tc>
        <w:tc>
          <w:tcPr>
            <w:tcW w:w="60" w:type="dxa"/>
            <w:vAlign w:val="bottom"/>
            <w:shd w:val="clear" w:color="auto" w:fill="DDDDDD"/>
          </w:tcPr>
          <w:p>
            <w:pPr>
              <w:spacing w:after="0"/>
              <w:rPr>
                <w:sz w:val="24"/>
                <w:szCs w:val="24"/>
                <w:color w:val="auto"/>
              </w:rPr>
            </w:pPr>
          </w:p>
        </w:tc>
        <w:tc>
          <w:tcPr>
            <w:tcW w:w="400" w:type="dxa"/>
            <w:vAlign w:val="bottom"/>
            <w:shd w:val="clear" w:color="auto" w:fill="DDDDDD"/>
          </w:tcPr>
          <w:p>
            <w:pPr>
              <w:jc w:val="right"/>
              <w:ind w:right="139"/>
              <w:spacing w:after="0"/>
              <w:rPr>
                <w:sz w:val="20"/>
                <w:szCs w:val="20"/>
                <w:color w:val="auto"/>
              </w:rPr>
            </w:pPr>
            <w:r>
              <w:rPr>
                <w:rFonts w:ascii="Times New Roman" w:cs="Times New Roman" w:eastAsia="Times New Roman" w:hAnsi="Times New Roman"/>
                <w:sz w:val="20"/>
                <w:szCs w:val="20"/>
                <w:color w:val="auto"/>
              </w:rPr>
              <w:t>$</w:t>
            </w:r>
          </w:p>
        </w:tc>
        <w:tc>
          <w:tcPr>
            <w:tcW w:w="1300" w:type="dxa"/>
            <w:vAlign w:val="bottom"/>
            <w:shd w:val="clear" w:color="auto" w:fill="DDDDDD"/>
          </w:tcPr>
          <w:p>
            <w:pPr>
              <w:jc w:val="right"/>
              <w:spacing w:after="0"/>
              <w:rPr>
                <w:sz w:val="20"/>
                <w:szCs w:val="20"/>
                <w:color w:val="auto"/>
              </w:rPr>
            </w:pPr>
            <w:r>
              <w:rPr>
                <w:rFonts w:ascii="Times New Roman" w:cs="Times New Roman" w:eastAsia="Times New Roman" w:hAnsi="Times New Roman"/>
                <w:sz w:val="20"/>
                <w:szCs w:val="20"/>
                <w:color w:val="auto"/>
              </w:rPr>
              <w:t>3,291</w:t>
            </w:r>
          </w:p>
        </w:tc>
        <w:tc>
          <w:tcPr>
            <w:tcW w:w="60" w:type="dxa"/>
            <w:vAlign w:val="bottom"/>
            <w:shd w:val="clear" w:color="auto" w:fill="DDDDDD"/>
          </w:tcPr>
          <w:p>
            <w:pPr>
              <w:spacing w:after="0"/>
              <w:rPr>
                <w:sz w:val="24"/>
                <w:szCs w:val="24"/>
                <w:color w:val="auto"/>
              </w:rPr>
            </w:pPr>
          </w:p>
        </w:tc>
        <w:tc>
          <w:tcPr>
            <w:tcW w:w="440" w:type="dxa"/>
            <w:vAlign w:val="bottom"/>
            <w:shd w:val="clear" w:color="auto" w:fill="DDDDDD"/>
          </w:tcPr>
          <w:p>
            <w:pPr>
              <w:jc w:val="right"/>
              <w:ind w:right="179"/>
              <w:spacing w:after="0"/>
              <w:rPr>
                <w:sz w:val="20"/>
                <w:szCs w:val="20"/>
                <w:color w:val="auto"/>
              </w:rPr>
            </w:pPr>
            <w:r>
              <w:rPr>
                <w:rFonts w:ascii="Times New Roman" w:cs="Times New Roman" w:eastAsia="Times New Roman" w:hAnsi="Times New Roman"/>
                <w:sz w:val="20"/>
                <w:szCs w:val="20"/>
                <w:color w:val="auto"/>
              </w:rPr>
              <w:t>$</w:t>
            </w:r>
          </w:p>
        </w:tc>
        <w:tc>
          <w:tcPr>
            <w:tcW w:w="1260" w:type="dxa"/>
            <w:vAlign w:val="bottom"/>
            <w:shd w:val="clear" w:color="auto" w:fill="DDDDDD"/>
          </w:tcPr>
          <w:p>
            <w:pPr>
              <w:ind w:left="720"/>
              <w:spacing w:after="0"/>
              <w:rPr>
                <w:sz w:val="20"/>
                <w:szCs w:val="20"/>
                <w:color w:val="auto"/>
              </w:rPr>
            </w:pPr>
            <w:r>
              <w:rPr>
                <w:rFonts w:ascii="Times New Roman" w:cs="Times New Roman" w:eastAsia="Times New Roman" w:hAnsi="Times New Roman"/>
                <w:sz w:val="20"/>
                <w:szCs w:val="20"/>
                <w:color w:val="auto"/>
              </w:rPr>
              <w:t>3,711</w:t>
            </w:r>
          </w:p>
        </w:tc>
      </w:tr>
      <w:tr>
        <w:trPr>
          <w:trHeight w:val="258"/>
        </w:trPr>
        <w:tc>
          <w:tcPr>
            <w:tcW w:w="5040" w:type="dxa"/>
            <w:vAlign w:val="bottom"/>
          </w:tcPr>
          <w:p>
            <w:pPr>
              <w:ind w:left="40"/>
              <w:spacing w:after="0" w:line="258" w:lineRule="exact"/>
              <w:rPr>
                <w:sz w:val="20"/>
                <w:szCs w:val="20"/>
                <w:color w:val="auto"/>
              </w:rPr>
            </w:pPr>
            <w:r>
              <w:rPr>
                <w:rFonts w:ascii="Times New Roman" w:cs="Times New Roman" w:eastAsia="Times New Roman" w:hAnsi="Times New Roman"/>
                <w:sz w:val="20"/>
                <w:szCs w:val="20"/>
                <w:color w:val="auto"/>
              </w:rPr>
              <w:t>Average monthly paying clients</w:t>
            </w:r>
            <w:r>
              <w:rPr>
                <w:rFonts w:ascii="Times New Roman" w:cs="Times New Roman" w:eastAsia="Times New Roman" w:hAnsi="Times New Roman"/>
                <w:sz w:val="25"/>
                <w:szCs w:val="25"/>
                <w:color w:val="auto"/>
                <w:vertAlign w:val="superscript"/>
              </w:rPr>
              <w:t>(3)</w:t>
            </w:r>
          </w:p>
        </w:tc>
        <w:tc>
          <w:tcPr>
            <w:tcW w:w="420" w:type="dxa"/>
            <w:vAlign w:val="bottom"/>
          </w:tcPr>
          <w:p>
            <w:pPr>
              <w:spacing w:after="0"/>
              <w:rPr>
                <w:sz w:val="22"/>
                <w:szCs w:val="22"/>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5,419</w:t>
            </w:r>
          </w:p>
        </w:tc>
        <w:tc>
          <w:tcPr>
            <w:tcW w:w="60" w:type="dxa"/>
            <w:vAlign w:val="bottom"/>
          </w:tcPr>
          <w:p>
            <w:pPr>
              <w:spacing w:after="0"/>
              <w:rPr>
                <w:sz w:val="22"/>
                <w:szCs w:val="22"/>
                <w:color w:val="auto"/>
              </w:rPr>
            </w:pPr>
          </w:p>
        </w:tc>
        <w:tc>
          <w:tcPr>
            <w:tcW w:w="400" w:type="dxa"/>
            <w:vAlign w:val="bottom"/>
          </w:tcPr>
          <w:p>
            <w:pPr>
              <w:spacing w:after="0"/>
              <w:rPr>
                <w:sz w:val="22"/>
                <w:szCs w:val="22"/>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5,457</w:t>
            </w:r>
          </w:p>
        </w:tc>
        <w:tc>
          <w:tcPr>
            <w:tcW w:w="60" w:type="dxa"/>
            <w:vAlign w:val="bottom"/>
          </w:tcPr>
          <w:p>
            <w:pPr>
              <w:spacing w:after="0"/>
              <w:rPr>
                <w:sz w:val="22"/>
                <w:szCs w:val="22"/>
                <w:color w:val="auto"/>
              </w:rPr>
            </w:pPr>
          </w:p>
        </w:tc>
        <w:tc>
          <w:tcPr>
            <w:tcW w:w="440" w:type="dxa"/>
            <w:vAlign w:val="bottom"/>
          </w:tcPr>
          <w:p>
            <w:pPr>
              <w:spacing w:after="0"/>
              <w:rPr>
                <w:sz w:val="22"/>
                <w:szCs w:val="22"/>
                <w:color w:val="auto"/>
              </w:rPr>
            </w:pPr>
          </w:p>
        </w:tc>
        <w:tc>
          <w:tcPr>
            <w:tcW w:w="1260" w:type="dxa"/>
            <w:vAlign w:val="bottom"/>
          </w:tcPr>
          <w:p>
            <w:pPr>
              <w:ind w:left="720"/>
              <w:spacing w:after="0"/>
              <w:rPr>
                <w:sz w:val="20"/>
                <w:szCs w:val="20"/>
                <w:color w:val="auto"/>
              </w:rPr>
            </w:pPr>
            <w:r>
              <w:rPr>
                <w:rFonts w:ascii="Times New Roman" w:cs="Times New Roman" w:eastAsia="Times New Roman" w:hAnsi="Times New Roman"/>
                <w:sz w:val="20"/>
                <w:szCs w:val="20"/>
                <w:color w:val="auto"/>
              </w:rPr>
              <w:t>4,337</w:t>
            </w:r>
          </w:p>
        </w:tc>
      </w:tr>
      <w:tr>
        <w:trPr>
          <w:trHeight w:val="270"/>
        </w:trPr>
        <w:tc>
          <w:tcPr>
            <w:tcW w:w="5040" w:type="dxa"/>
            <w:vAlign w:val="bottom"/>
          </w:tcPr>
          <w:p>
            <w:pPr>
              <w:spacing w:after="0"/>
              <w:rPr>
                <w:sz w:val="20"/>
                <w:szCs w:val="20"/>
                <w:color w:val="auto"/>
              </w:rPr>
            </w:pPr>
            <w:r>
              <w:rPr>
                <w:rFonts w:ascii="Times New Roman" w:cs="Times New Roman" w:eastAsia="Times New Roman" w:hAnsi="Times New Roman"/>
                <w:sz w:val="20"/>
                <w:szCs w:val="20"/>
                <w:color w:val="auto"/>
              </w:rPr>
              <w:t>___________________________</w:t>
            </w:r>
          </w:p>
        </w:tc>
        <w:tc>
          <w:tcPr>
            <w:tcW w:w="420" w:type="dxa"/>
            <w:vAlign w:val="bottom"/>
          </w:tcPr>
          <w:p>
            <w:pPr>
              <w:spacing w:after="0"/>
              <w:rPr>
                <w:sz w:val="23"/>
                <w:szCs w:val="23"/>
                <w:color w:val="auto"/>
              </w:rPr>
            </w:pPr>
          </w:p>
        </w:tc>
        <w:tc>
          <w:tcPr>
            <w:tcW w:w="128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400" w:type="dxa"/>
            <w:vAlign w:val="bottom"/>
          </w:tcPr>
          <w:p>
            <w:pPr>
              <w:spacing w:after="0"/>
              <w:rPr>
                <w:sz w:val="23"/>
                <w:szCs w:val="23"/>
                <w:color w:val="auto"/>
              </w:rPr>
            </w:pPr>
          </w:p>
        </w:tc>
        <w:tc>
          <w:tcPr>
            <w:tcW w:w="130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440" w:type="dxa"/>
            <w:vAlign w:val="bottom"/>
          </w:tcPr>
          <w:p>
            <w:pPr>
              <w:spacing w:after="0"/>
              <w:rPr>
                <w:sz w:val="23"/>
                <w:szCs w:val="23"/>
                <w:color w:val="auto"/>
              </w:rPr>
            </w:pPr>
          </w:p>
        </w:tc>
        <w:tc>
          <w:tcPr>
            <w:tcW w:w="1260" w:type="dxa"/>
            <w:vAlign w:val="bottom"/>
          </w:tcPr>
          <w:p>
            <w:pPr>
              <w:spacing w:after="0"/>
              <w:rPr>
                <w:sz w:val="23"/>
                <w:szCs w:val="23"/>
                <w:color w:val="auto"/>
              </w:rPr>
            </w:pPr>
          </w:p>
        </w:tc>
      </w:tr>
    </w:tbl>
    <w:p>
      <w:pPr>
        <w:spacing w:after="0" w:line="13" w:lineRule="exact"/>
        <w:rPr>
          <w:sz w:val="20"/>
          <w:szCs w:val="20"/>
          <w:color w:val="auto"/>
        </w:rPr>
      </w:pPr>
    </w:p>
    <w:p>
      <w:pPr>
        <w:jc w:val="both"/>
        <w:ind w:left="366" w:hanging="366"/>
        <w:spacing w:after="0" w:line="286" w:lineRule="auto"/>
        <w:tabs>
          <w:tab w:leader="none" w:pos="366"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 further information about how we calculate EBITDA and Adjusted EBITDA as well as limitations of its use and a reconciliation of EBITDA and Adjusted EBITDA to net income (loss), see “Net Income (Loss) to EBITDA and Adjusted EBITDA” in Non-GAAP Financial Measurements below.</w:t>
      </w:r>
    </w:p>
    <w:p>
      <w:pPr>
        <w:spacing w:after="0" w:line="1" w:lineRule="exact"/>
        <w:rPr>
          <w:rFonts w:ascii="Times New Roman" w:cs="Times New Roman" w:eastAsia="Times New Roman" w:hAnsi="Times New Roman"/>
          <w:sz w:val="18"/>
          <w:szCs w:val="18"/>
          <w:color w:val="auto"/>
        </w:rPr>
      </w:pPr>
    </w:p>
    <w:p>
      <w:pPr>
        <w:ind w:left="366" w:right="20" w:hanging="366"/>
        <w:spacing w:after="0" w:line="288" w:lineRule="auto"/>
        <w:tabs>
          <w:tab w:leader="none" w:pos="366"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Average monthly revenue per paying client is defined as the average monthly revenue for any particular period divided by the average monthly paying clients in the same respective period.</w:t>
      </w:r>
    </w:p>
    <w:p>
      <w:pPr>
        <w:ind w:left="366" w:right="20" w:hanging="366"/>
        <w:spacing w:after="0" w:line="330" w:lineRule="auto"/>
        <w:tabs>
          <w:tab w:leader="none" w:pos="366"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Average monthly paying clients are defined as the average of the number of paying clients billed in a month across a particular period (and for which services were provided).</w:t>
      </w:r>
    </w:p>
    <w:p>
      <w:pPr>
        <w:spacing w:after="0" w:line="108" w:lineRule="exact"/>
        <w:rPr>
          <w:sz w:val="20"/>
          <w:szCs w:val="20"/>
          <w:color w:val="auto"/>
        </w:rPr>
      </w:pPr>
    </w:p>
    <w:p>
      <w:pPr>
        <w:ind w:left="6"/>
        <w:spacing w:after="0"/>
        <w:rPr>
          <w:sz w:val="20"/>
          <w:szCs w:val="20"/>
          <w:color w:val="auto"/>
        </w:rPr>
      </w:pPr>
      <w:r>
        <w:rPr>
          <w:rFonts w:ascii="Times New Roman" w:cs="Times New Roman" w:eastAsia="Times New Roman" w:hAnsi="Times New Roman"/>
          <w:sz w:val="20"/>
          <w:szCs w:val="20"/>
          <w:b w:val="1"/>
          <w:bCs w:val="1"/>
          <w:i w:val="1"/>
          <w:iCs w:val="1"/>
          <w:color w:val="auto"/>
        </w:rPr>
        <w:t>Average Monthly Revenue Per Paying Client</w:t>
      </w:r>
    </w:p>
    <w:p>
      <w:pPr>
        <w:spacing w:after="0" w:line="106" w:lineRule="exact"/>
        <w:rPr>
          <w:sz w:val="20"/>
          <w:szCs w:val="20"/>
          <w:color w:val="auto"/>
        </w:rPr>
      </w:pPr>
    </w:p>
    <w:p>
      <w:pPr>
        <w:jc w:val="both"/>
        <w:ind w:left="6"/>
        <w:spacing w:after="0" w:line="295" w:lineRule="auto"/>
        <w:rPr>
          <w:sz w:val="20"/>
          <w:szCs w:val="20"/>
          <w:color w:val="auto"/>
        </w:rPr>
      </w:pPr>
      <w:r>
        <w:rPr>
          <w:rFonts w:ascii="Times New Roman" w:cs="Times New Roman" w:eastAsia="Times New Roman" w:hAnsi="Times New Roman"/>
          <w:sz w:val="20"/>
          <w:szCs w:val="20"/>
          <w:color w:val="auto"/>
        </w:rPr>
        <w:t>Average monthly revenue per paying client measures how much clients, for the period of measurement, are willing to pay us for our subscription and additional offerings and the efficiency of the bid-auction process for our featured listings placements. We calculate this metric by dividing the average monthly revenue for any particular period by the average monthly number of paying clients in the same respective period. The decline in our average monthly revenue per paying client for the years ended December 31, 2023 was due to spend declines in established markets. We expected these pressures given the continued liquidity challenges that clients are facing.</w:t>
      </w:r>
    </w:p>
    <w:p>
      <w:pPr>
        <w:spacing w:after="0" w:line="135" w:lineRule="exact"/>
        <w:rPr>
          <w:sz w:val="20"/>
          <w:szCs w:val="20"/>
          <w:color w:val="auto"/>
        </w:rPr>
      </w:pPr>
    </w:p>
    <w:p>
      <w:pPr>
        <w:ind w:left="6"/>
        <w:spacing w:after="0"/>
        <w:rPr>
          <w:sz w:val="20"/>
          <w:szCs w:val="20"/>
          <w:color w:val="auto"/>
        </w:rPr>
      </w:pPr>
      <w:r>
        <w:rPr>
          <w:rFonts w:ascii="Times New Roman" w:cs="Times New Roman" w:eastAsia="Times New Roman" w:hAnsi="Times New Roman"/>
          <w:sz w:val="20"/>
          <w:szCs w:val="20"/>
          <w:b w:val="1"/>
          <w:bCs w:val="1"/>
          <w:i w:val="1"/>
          <w:iCs w:val="1"/>
          <w:color w:val="auto"/>
        </w:rPr>
        <w:t>Average Monthly Paying Clients</w:t>
      </w:r>
    </w:p>
    <w:p>
      <w:pPr>
        <w:spacing w:after="0" w:line="171" w:lineRule="exact"/>
        <w:rPr>
          <w:sz w:val="20"/>
          <w:szCs w:val="20"/>
          <w:color w:val="auto"/>
        </w:rPr>
      </w:pPr>
    </w:p>
    <w:p>
      <w:pPr>
        <w:jc w:val="both"/>
        <w:ind w:left="6"/>
        <w:spacing w:after="0" w:line="295" w:lineRule="auto"/>
        <w:rPr>
          <w:sz w:val="20"/>
          <w:szCs w:val="20"/>
          <w:color w:val="auto"/>
        </w:rPr>
      </w:pPr>
      <w:r>
        <w:rPr>
          <w:rFonts w:ascii="Times New Roman" w:cs="Times New Roman" w:eastAsia="Times New Roman" w:hAnsi="Times New Roman"/>
          <w:sz w:val="20"/>
          <w:szCs w:val="20"/>
          <w:color w:val="auto"/>
        </w:rPr>
        <w:t>We define average monthly paying clients as the monthly average of clients billed each month over a particular period (and for which services were provided). Our paying clients include both individual cannabis businesses as well as retail websites or businesses within a larger organization that have independent relationships with us, many of whom are owned by holding companies where decision-making is decentralized such that purchasing decisions are made, and relationships with us are located, at a lower organizational level. In addition, any client may choose to purchase multiple listing solutions for each of their retail websites or businesses.</w:t>
      </w:r>
    </w:p>
    <w:p>
      <w:pPr>
        <w:spacing w:after="0" w:line="75" w:lineRule="exact"/>
        <w:rPr>
          <w:sz w:val="20"/>
          <w:szCs w:val="20"/>
          <w:color w:val="auto"/>
        </w:rPr>
      </w:pPr>
    </w:p>
    <w:p>
      <w:pPr>
        <w:jc w:val="both"/>
        <w:ind w:left="6" w:right="20"/>
        <w:spacing w:after="0" w:line="301" w:lineRule="auto"/>
        <w:rPr>
          <w:sz w:val="20"/>
          <w:szCs w:val="20"/>
          <w:color w:val="auto"/>
        </w:rPr>
      </w:pPr>
      <w:r>
        <w:rPr>
          <w:rFonts w:ascii="Times New Roman" w:cs="Times New Roman" w:eastAsia="Times New Roman" w:hAnsi="Times New Roman"/>
          <w:sz w:val="20"/>
          <w:szCs w:val="20"/>
          <w:color w:val="auto"/>
        </w:rPr>
        <w:t>Average monthly paying clients for the year ended December 31, 2023 decreased by approximately 1% to 5,419 average monthly paying clients from 5,457 average monthly paying clients in the same period in 2022. The decrease in average monthly paying clients in 2023 as compared to the same period in 2022 was primarily due to elevated churn as a result of the cannabis industry facing price deflation in 2023.</w:t>
      </w:r>
    </w:p>
    <w:p>
      <w:pPr>
        <w:spacing w:after="0" w:line="191" w:lineRule="exact"/>
        <w:rPr>
          <w:sz w:val="20"/>
          <w:szCs w:val="20"/>
          <w:color w:val="auto"/>
        </w:rPr>
      </w:pPr>
    </w:p>
    <w:p>
      <w:pPr>
        <w:ind w:left="6"/>
        <w:spacing w:after="0"/>
        <w:rPr>
          <w:sz w:val="20"/>
          <w:szCs w:val="20"/>
          <w:color w:val="auto"/>
        </w:rPr>
      </w:pPr>
      <w:r>
        <w:rPr>
          <w:rFonts w:ascii="Times New Roman" w:cs="Times New Roman" w:eastAsia="Times New Roman" w:hAnsi="Times New Roman"/>
          <w:sz w:val="20"/>
          <w:szCs w:val="20"/>
          <w:b w:val="1"/>
          <w:bCs w:val="1"/>
          <w:color w:val="auto"/>
        </w:rPr>
        <w:t>Factors Affecting Our Performance</w:t>
      </w:r>
    </w:p>
    <w:p>
      <w:pPr>
        <w:spacing w:after="0" w:line="170" w:lineRule="exact"/>
        <w:rPr>
          <w:sz w:val="20"/>
          <w:szCs w:val="20"/>
          <w:color w:val="auto"/>
        </w:rPr>
      </w:pPr>
    </w:p>
    <w:p>
      <w:pPr>
        <w:ind w:left="6"/>
        <w:spacing w:after="0"/>
        <w:rPr>
          <w:sz w:val="20"/>
          <w:szCs w:val="20"/>
          <w:color w:val="auto"/>
        </w:rPr>
      </w:pPr>
      <w:r>
        <w:rPr>
          <w:rFonts w:ascii="Times New Roman" w:cs="Times New Roman" w:eastAsia="Times New Roman" w:hAnsi="Times New Roman"/>
          <w:sz w:val="20"/>
          <w:szCs w:val="20"/>
          <w:b w:val="1"/>
          <w:bCs w:val="1"/>
          <w:i w:val="1"/>
          <w:iCs w:val="1"/>
          <w:color w:val="auto"/>
        </w:rPr>
        <w:t>Growth of Our Two-Sided Weedmaps Marketplace</w:t>
      </w:r>
    </w:p>
    <w:p>
      <w:pPr>
        <w:spacing w:after="0" w:line="107" w:lineRule="exact"/>
        <w:rPr>
          <w:sz w:val="20"/>
          <w:szCs w:val="20"/>
          <w:color w:val="auto"/>
        </w:rPr>
      </w:pPr>
    </w:p>
    <w:p>
      <w:pPr>
        <w:jc w:val="both"/>
        <w:ind w:left="6"/>
        <w:spacing w:after="0" w:line="306" w:lineRule="auto"/>
        <w:rPr>
          <w:sz w:val="20"/>
          <w:szCs w:val="20"/>
          <w:color w:val="auto"/>
        </w:rPr>
      </w:pPr>
      <w:r>
        <w:rPr>
          <w:rFonts w:ascii="Times New Roman" w:cs="Times New Roman" w:eastAsia="Times New Roman" w:hAnsi="Times New Roman"/>
          <w:sz w:val="20"/>
          <w:szCs w:val="20"/>
          <w:color w:val="auto"/>
        </w:rPr>
        <w:t>We have historically grown through and intend to focus on continuing to grow through the expansion of our two-sided marketplace, which occurs through growth of the number and type of businesses and consumers that we attract to our platform. We believe that expansion of the number and types of cannabis businesses that choose to list on our platform will continue to</w:t>
      </w:r>
    </w:p>
    <w:p>
      <w:pPr>
        <w:spacing w:after="0" w:line="78" w:lineRule="exact"/>
        <w:rPr>
          <w:sz w:val="20"/>
          <w:szCs w:val="20"/>
          <w:color w:val="auto"/>
        </w:rPr>
      </w:pPr>
    </w:p>
    <w:p>
      <w:pPr>
        <w:jc w:val="center"/>
        <w:ind w:right="14"/>
        <w:spacing w:after="0"/>
        <w:rPr>
          <w:sz w:val="20"/>
          <w:szCs w:val="20"/>
          <w:color w:val="auto"/>
        </w:rPr>
      </w:pPr>
      <w:r>
        <w:rPr>
          <w:rFonts w:ascii="Times New Roman" w:cs="Times New Roman" w:eastAsia="Times New Roman" w:hAnsi="Times New Roman"/>
          <w:sz w:val="20"/>
          <w:szCs w:val="20"/>
          <w:color w:val="auto"/>
        </w:rPr>
        <w:t>59</w:t>
      </w:r>
    </w:p>
    <w:p>
      <w:pPr>
        <w:sectPr>
          <w:pgSz w:w="12240" w:h="15840" w:orient="portrait"/>
          <w:cols w:equalWidth="0" w:num="1">
            <w:col w:w="10266"/>
          </w:cols>
          <w:pgMar w:left="994" w:top="1005" w:right="980" w:bottom="222" w:gutter="0" w:footer="0" w:header="0"/>
        </w:sectPr>
      </w:pPr>
    </w:p>
    <w:bookmarkStart w:id="63" w:name="page64"/>
    <w:bookmarkEnd w:id="63"/>
    <w:p>
      <w:pPr>
        <w:jc w:val="both"/>
        <w:ind w:right="20"/>
        <w:spacing w:after="0" w:line="326" w:lineRule="auto"/>
        <w:rPr>
          <w:sz w:val="20"/>
          <w:szCs w:val="20"/>
          <w:color w:val="auto"/>
        </w:rPr>
      </w:pPr>
      <w:r>
        <w:rPr>
          <w:rFonts w:ascii="Times New Roman" w:cs="Times New Roman" w:eastAsia="Times New Roman" w:hAnsi="Times New Roman"/>
          <w:sz w:val="20"/>
          <w:szCs w:val="20"/>
          <w:color w:val="auto"/>
        </w:rPr>
        <w:t>make our platform more compelling for consumers and drive traffic and consumer engagement, which in turn will make our platform more valuable to cannabis businesses.</w:t>
      </w:r>
    </w:p>
    <w:p>
      <w:pPr>
        <w:spacing w:after="0" w:line="47"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Growth and Retention of Our Paying Clients</w:t>
      </w:r>
    </w:p>
    <w:p>
      <w:pPr>
        <w:spacing w:after="0" w:line="164" w:lineRule="exact"/>
        <w:rPr>
          <w:sz w:val="20"/>
          <w:szCs w:val="20"/>
          <w:color w:val="auto"/>
        </w:rPr>
      </w:pPr>
    </w:p>
    <w:p>
      <w:pPr>
        <w:jc w:val="both"/>
        <w:spacing w:after="0" w:line="301" w:lineRule="auto"/>
        <w:rPr>
          <w:sz w:val="20"/>
          <w:szCs w:val="20"/>
          <w:color w:val="auto"/>
        </w:rPr>
      </w:pPr>
      <w:r>
        <w:rPr>
          <w:rFonts w:ascii="Times New Roman" w:cs="Times New Roman" w:eastAsia="Times New Roman" w:hAnsi="Times New Roman"/>
          <w:sz w:val="20"/>
          <w:szCs w:val="20"/>
          <w:color w:val="auto"/>
        </w:rPr>
        <w:t>Our revenue grows primarily through acquiring and retaining paying clients and increasing the revenue per paying client over time. We have a history of attracting new paying clients and increasing their annual spend with us over time, primarily due to the value they receive once they are onboarded and able to take advantage of the benefits of participating in our two-sided marketplace and leveraging our software solutions.</w:t>
      </w:r>
    </w:p>
    <w:p>
      <w:pPr>
        <w:spacing w:after="0" w:line="70" w:lineRule="exact"/>
        <w:rPr>
          <w:sz w:val="20"/>
          <w:szCs w:val="20"/>
          <w:color w:val="auto"/>
        </w:rPr>
      </w:pPr>
    </w:p>
    <w:p>
      <w:pPr>
        <w:jc w:val="both"/>
        <w:spacing w:after="0" w:line="294" w:lineRule="auto"/>
        <w:rPr>
          <w:sz w:val="20"/>
          <w:szCs w:val="20"/>
          <w:color w:val="auto"/>
        </w:rPr>
      </w:pPr>
      <w:r>
        <w:rPr>
          <w:rFonts w:ascii="Times New Roman" w:cs="Times New Roman" w:eastAsia="Times New Roman" w:hAnsi="Times New Roman"/>
          <w:sz w:val="20"/>
          <w:szCs w:val="20"/>
          <w:color w:val="auto"/>
        </w:rPr>
        <w:t>Prices of certain commodity products, including gas prices, are historically volatile and subject to fluctuations arising from changes in domestic and international supply and demand, labor costs, competition, market speculation, government regulations, trade restrictions and tariffs, inflation, the military conflict between Russia and Ukraine and the recent state of war between Israel and Hamas and the related risk of a larger regional conflict. Increasing prices in the component materials for the goods or services of our clients may impact their ability to maintain or increase their spend with us and their ability to pay their invoices on time. Rapid and significant changes in commodity prices may negatively affect our revenue if our clients are unable to mitigate inflationary increases through various customer pricing actions and cost reduction initiatives. This could also negatively impact our net dollar retention and our collections on accounts receivable.</w:t>
      </w:r>
    </w:p>
    <w:p>
      <w:pPr>
        <w:spacing w:after="0" w:line="81"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Regulation and Maturation of Cannabis Markets</w:t>
      </w:r>
    </w:p>
    <w:p>
      <w:pPr>
        <w:spacing w:after="0" w:line="164" w:lineRule="exact"/>
        <w:rPr>
          <w:sz w:val="20"/>
          <w:szCs w:val="20"/>
          <w:color w:val="auto"/>
        </w:rPr>
      </w:pPr>
    </w:p>
    <w:p>
      <w:pPr>
        <w:jc w:val="both"/>
        <w:spacing w:after="0" w:line="293" w:lineRule="auto"/>
        <w:rPr>
          <w:sz w:val="20"/>
          <w:szCs w:val="20"/>
          <w:color w:val="auto"/>
        </w:rPr>
      </w:pPr>
      <w:r>
        <w:rPr>
          <w:rFonts w:ascii="Times New Roman" w:cs="Times New Roman" w:eastAsia="Times New Roman" w:hAnsi="Times New Roman"/>
          <w:sz w:val="20"/>
          <w:szCs w:val="20"/>
          <w:color w:val="auto"/>
        </w:rPr>
        <w:t>We believe that we will have significant opportunities for greater growth as more jurisdictions legalize cannabis for medical and/or adult-use and the regulatory environment continues to develop. Currently, thirty-nine states, the District of Columbia, Puerto Rico, the Virgin Islands, Guam and the Northern Mariana have legalized some form of cannabis use for certain medical purposes. Twenty-four of those states, the District of Columbia, Guam and Northern Mariana have legalized cannabis for adults for non-medical purposes as well (sometimes referred to as adult or recreational use). Eight additional states have legalized forms of low-potency cannabis, for select medical conditions. Only three states continue to prohibit cannabis entirely. We intend to explore new expansion opportunities as additional jurisdictions legalize cannabis for medical or adult use and leverage our business model informed by our 15-year operating history to enter new markets.</w:t>
      </w:r>
    </w:p>
    <w:p>
      <w:pPr>
        <w:spacing w:after="0" w:line="79" w:lineRule="exact"/>
        <w:rPr>
          <w:sz w:val="20"/>
          <w:szCs w:val="20"/>
          <w:color w:val="auto"/>
        </w:rPr>
      </w:pPr>
    </w:p>
    <w:p>
      <w:pPr>
        <w:jc w:val="both"/>
        <w:spacing w:after="0" w:line="293" w:lineRule="auto"/>
        <w:rPr>
          <w:sz w:val="20"/>
          <w:szCs w:val="20"/>
          <w:color w:val="auto"/>
        </w:rPr>
      </w:pPr>
      <w:r>
        <w:rPr>
          <w:rFonts w:ascii="Times New Roman" w:cs="Times New Roman" w:eastAsia="Times New Roman" w:hAnsi="Times New Roman"/>
          <w:sz w:val="20"/>
          <w:szCs w:val="20"/>
          <w:color w:val="auto"/>
        </w:rPr>
        <w:t>We also have a significant opportunity to monetize transactions originating from users engaging with a retailer on the Weedmaps marketplace or tracked via one of our Weedmaps for Business solutions. Given U.S. federal prohibitions on plant-touching businesses and our current policy not to participate in the chain of commerce associated with the sale of cannabis products, we do not charge take-rates or payment fees for transactions originating from users who engage with a retailer on the Weedmaps platform or tracked via one of our Weedmaps for Business solutions. A change in U.S. federal regulations could result in our ability to engage in such monetization efforts without adverse consequences to our business. A change in U.S. federal regulations could also increase access to capital and remove limitations of Section 280E of the Internal Revenue Code of 1986, as amended, thus allowing deduction or credit for certain expenses of cannabis business to increase our cash flow and liquidity, as well as those of many industry participants.</w:t>
      </w:r>
    </w:p>
    <w:p>
      <w:pPr>
        <w:spacing w:after="0" w:line="79" w:lineRule="exact"/>
        <w:rPr>
          <w:sz w:val="20"/>
          <w:szCs w:val="20"/>
          <w:color w:val="auto"/>
        </w:rPr>
      </w:pPr>
    </w:p>
    <w:p>
      <w:pPr>
        <w:jc w:val="both"/>
        <w:spacing w:after="0" w:line="301" w:lineRule="auto"/>
        <w:rPr>
          <w:sz w:val="20"/>
          <w:szCs w:val="20"/>
          <w:color w:val="auto"/>
        </w:rPr>
      </w:pPr>
      <w:r>
        <w:rPr>
          <w:rFonts w:ascii="Times New Roman" w:cs="Times New Roman" w:eastAsia="Times New Roman" w:hAnsi="Times New Roman"/>
          <w:sz w:val="20"/>
          <w:szCs w:val="20"/>
          <w:color w:val="auto"/>
        </w:rPr>
        <w:t>Our long-term growth depends on our ability to successfully capitalize on new and existing cannabis markets. Each market must reach a critical mass of both cannabis businesses and consumers for listing subscriptions, advertising placements and other solutions to have meaningful appeal to potential clients. As regulated markets mature and as we incur expenses to attract paying clients and convert non-paying clients to paying clients, we may generate losses in new markets for an extended period.</w:t>
      </w:r>
    </w:p>
    <w:p>
      <w:pPr>
        <w:spacing w:after="0" w:line="70" w:lineRule="exact"/>
        <w:rPr>
          <w:sz w:val="20"/>
          <w:szCs w:val="20"/>
          <w:color w:val="auto"/>
        </w:rPr>
      </w:pPr>
    </w:p>
    <w:p>
      <w:pPr>
        <w:jc w:val="both"/>
        <w:spacing w:after="0" w:line="295" w:lineRule="auto"/>
        <w:rPr>
          <w:sz w:val="20"/>
          <w:szCs w:val="20"/>
          <w:color w:val="auto"/>
        </w:rPr>
      </w:pPr>
      <w:r>
        <w:rPr>
          <w:rFonts w:ascii="Times New Roman" w:cs="Times New Roman" w:eastAsia="Times New Roman" w:hAnsi="Times New Roman"/>
          <w:sz w:val="20"/>
          <w:szCs w:val="20"/>
          <w:color w:val="auto"/>
        </w:rPr>
        <w:t>Furthermore, we compete with cannabis-focused and general two-sided marketplaces, internet search engines and various other newspaper, television and media companies and other software providers. We expect competition to intensify in the future as the regulatory regime for cannabis becomes more settled and the legal market for cannabis becomes more accepted, which may encourage new participants to enter the market, including established companies with substantially greater financial, technical and other resources than existing market participants. Our current and future competitors may also enjoy other competitive advantages, such as greater name recognition, more offerings and larger marketing budgets.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9"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20"/>
          <w:szCs w:val="20"/>
          <w:color w:val="auto"/>
        </w:rPr>
        <w:t>60</w:t>
      </w:r>
    </w:p>
    <w:p>
      <w:pPr>
        <w:sectPr>
          <w:pgSz w:w="12240" w:h="15840" w:orient="portrait"/>
          <w:cols w:equalWidth="0" w:num="1">
            <w:col w:w="10260"/>
          </w:cols>
          <w:pgMar w:left="1000" w:top="884" w:right="980" w:bottom="222" w:gutter="0" w:footer="0" w:header="0"/>
        </w:sectPr>
      </w:pPr>
    </w:p>
    <w:bookmarkStart w:id="64" w:name="page65"/>
    <w:bookmarkEnd w:id="64"/>
    <w:p>
      <w:pPr>
        <w:spacing w:after="0"/>
        <w:rPr>
          <w:sz w:val="20"/>
          <w:szCs w:val="20"/>
          <w:color w:val="auto"/>
        </w:rPr>
      </w:pPr>
      <w:r>
        <w:rPr>
          <w:rFonts w:ascii="Times New Roman" w:cs="Times New Roman" w:eastAsia="Times New Roman" w:hAnsi="Times New Roman"/>
          <w:sz w:val="20"/>
          <w:szCs w:val="20"/>
          <w:b w:val="1"/>
          <w:bCs w:val="1"/>
          <w:i w:val="1"/>
          <w:iCs w:val="1"/>
          <w:color w:val="auto"/>
        </w:rPr>
        <w:t>Brand Recognition and Reputation</w:t>
      </w:r>
    </w:p>
    <w:p>
      <w:pPr>
        <w:spacing w:after="0" w:line="164" w:lineRule="exact"/>
        <w:rPr>
          <w:sz w:val="20"/>
          <w:szCs w:val="20"/>
          <w:color w:val="auto"/>
        </w:rPr>
      </w:pPr>
    </w:p>
    <w:p>
      <w:pPr>
        <w:jc w:val="both"/>
        <w:spacing w:after="0" w:line="291" w:lineRule="auto"/>
        <w:rPr>
          <w:sz w:val="20"/>
          <w:szCs w:val="20"/>
          <w:color w:val="auto"/>
        </w:rPr>
      </w:pPr>
      <w:r>
        <w:rPr>
          <w:rFonts w:ascii="Times New Roman" w:cs="Times New Roman" w:eastAsia="Times New Roman" w:hAnsi="Times New Roman"/>
          <w:sz w:val="20"/>
          <w:szCs w:val="20"/>
          <w:color w:val="auto"/>
        </w:rPr>
        <w:t>We believe that maintaining and enhancing our brand identity and our reputation is critical to maintaining and growing our relationships with clients and consumers and to our ability to attract new clients and consumers. Historically, a substantial majority of our marketing spending was on out-of-home advertising on billboards, buses and other non-digital outlets. Starting in 2019, consistent with the overall shift in perceptions regarding cannabis, a number of demand-side digital advertising platforms allowed us to advertise online. We also invested in growing our internal digital performance advertising team. We believe there is an opportunity to improve market efficiency through digital channels and expect to shift our marketing spending accordingly. Over the longer term, we expect to shift and accelerate our marketing spend to additional online and traditional channels, such as broadcast television or radio, as they become available to us. Further, we have begun reinvesting in our own on-the-ground and field marketing presence and are increasing the types and cadence of client events. These events and in-store activations allow Weedmaps to engage with consumers at the point of purchase and also afford Weedmaps with the opportunity to engage directly with our clients, understand their needs and challenges and foster goodwill.</w:t>
      </w:r>
    </w:p>
    <w:p>
      <w:pPr>
        <w:spacing w:after="0" w:line="86" w:lineRule="exact"/>
        <w:rPr>
          <w:sz w:val="20"/>
          <w:szCs w:val="20"/>
          <w:color w:val="auto"/>
        </w:rPr>
      </w:pPr>
    </w:p>
    <w:p>
      <w:pPr>
        <w:jc w:val="both"/>
        <w:ind w:right="20"/>
        <w:spacing w:after="0" w:line="296" w:lineRule="auto"/>
        <w:rPr>
          <w:sz w:val="20"/>
          <w:szCs w:val="20"/>
          <w:color w:val="auto"/>
        </w:rPr>
      </w:pPr>
      <w:r>
        <w:rPr>
          <w:rFonts w:ascii="Times New Roman" w:cs="Times New Roman" w:eastAsia="Times New Roman" w:hAnsi="Times New Roman"/>
          <w:sz w:val="20"/>
          <w:szCs w:val="20"/>
          <w:color w:val="auto"/>
        </w:rPr>
        <w:t>Negative publicity, whether or not justified, relating to events or activities attributed to us, our employees, clients or others associated with any of these parties, may tarnish our reputation and reduce the value of our brand. Given our high visibility and relatively long operating history compared to many of our competitors, we may be more susceptible to the risk of negative publicity. Damage to our reputation and loss of brand equity may reduce demand for our platform and have an adverse effect on our business, operating results and financial condition. Moreover, any attempts to rebuild our reputation and restore the value of our brand may be costly and time consuming, and such efforts may not ultimately be successful.</w:t>
      </w:r>
    </w:p>
    <w:p>
      <w:pPr>
        <w:spacing w:after="0" w:line="76" w:lineRule="exact"/>
        <w:rPr>
          <w:sz w:val="20"/>
          <w:szCs w:val="20"/>
          <w:color w:val="auto"/>
        </w:rPr>
      </w:pPr>
    </w:p>
    <w:p>
      <w:pPr>
        <w:jc w:val="both"/>
        <w:ind w:right="20"/>
        <w:spacing w:after="0" w:line="309" w:lineRule="auto"/>
        <w:rPr>
          <w:sz w:val="20"/>
          <w:szCs w:val="20"/>
          <w:color w:val="auto"/>
        </w:rPr>
      </w:pPr>
      <w:r>
        <w:rPr>
          <w:rFonts w:ascii="Times New Roman" w:cs="Times New Roman" w:eastAsia="Times New Roman" w:hAnsi="Times New Roman"/>
          <w:sz w:val="20"/>
          <w:szCs w:val="20"/>
          <w:color w:val="auto"/>
        </w:rPr>
        <w:t>We also believe that the importance of our brand recognition and reputation will continue to increase as competition in our market continues to develop. If our brand promotion activities are not successful, our operating results and growth may be adversely impacted.</w:t>
      </w:r>
    </w:p>
    <w:p>
      <w:pPr>
        <w:spacing w:after="0" w:line="64"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Investments in Growth</w:t>
      </w:r>
    </w:p>
    <w:p>
      <w:pPr>
        <w:spacing w:after="0" w:line="164" w:lineRule="exact"/>
        <w:rPr>
          <w:sz w:val="20"/>
          <w:szCs w:val="20"/>
          <w:color w:val="auto"/>
        </w:rPr>
      </w:pPr>
    </w:p>
    <w:p>
      <w:pPr>
        <w:jc w:val="both"/>
        <w:spacing w:after="0" w:line="326" w:lineRule="auto"/>
        <w:rPr>
          <w:sz w:val="20"/>
          <w:szCs w:val="20"/>
          <w:color w:val="auto"/>
        </w:rPr>
      </w:pPr>
      <w:r>
        <w:rPr>
          <w:rFonts w:ascii="Times New Roman" w:cs="Times New Roman" w:eastAsia="Times New Roman" w:hAnsi="Times New Roman"/>
          <w:sz w:val="20"/>
          <w:szCs w:val="20"/>
          <w:color w:val="auto"/>
        </w:rPr>
        <w:t>We intend to continue to make focused organic and inorganic investments to grow our revenue and scale operations to support that growth.</w:t>
      </w:r>
    </w:p>
    <w:p>
      <w:pPr>
        <w:spacing w:after="0" w:line="45" w:lineRule="exact"/>
        <w:rPr>
          <w:sz w:val="20"/>
          <w:szCs w:val="20"/>
          <w:color w:val="auto"/>
        </w:rPr>
      </w:pPr>
    </w:p>
    <w:p>
      <w:pPr>
        <w:jc w:val="both"/>
        <w:spacing w:after="0" w:line="293" w:lineRule="auto"/>
        <w:rPr>
          <w:sz w:val="20"/>
          <w:szCs w:val="20"/>
          <w:color w:val="auto"/>
        </w:rPr>
      </w:pPr>
      <w:r>
        <w:rPr>
          <w:rFonts w:ascii="Times New Roman" w:cs="Times New Roman" w:eastAsia="Times New Roman" w:hAnsi="Times New Roman"/>
          <w:sz w:val="20"/>
          <w:szCs w:val="20"/>
          <w:color w:val="auto"/>
        </w:rPr>
        <w:t>Given our long operating history in the United States and the strength of our network, often businesses will initially list on our platform without targeted sales or marketing efforts by us. However, we plan to accelerate our investments in marketing to maintain and increase our brand awareness through both online and offline channels. We also plan to invest in expanding our business listings thereby enhancing our client and consumer experience, and improving the depth and quality of information provided on our platform. We also intend to continue to invest in several areas to continue enhancing the functionality of our Weedmaps for Business offering. We expect significant near-term investments to enhance our data assets and evolve our current listings and software offerings to our brand clients, among other areas. We anticipate undertaking such investments in order to be positioned to capitalize on the rapidly expanding cannabis market.</w:t>
      </w:r>
    </w:p>
    <w:p>
      <w:pPr>
        <w:spacing w:after="0" w:line="87" w:lineRule="exact"/>
        <w:rPr>
          <w:sz w:val="20"/>
          <w:szCs w:val="20"/>
          <w:color w:val="auto"/>
        </w:rPr>
      </w:pPr>
    </w:p>
    <w:p>
      <w:pPr>
        <w:jc w:val="both"/>
        <w:ind w:right="20"/>
        <w:spacing w:after="0" w:line="326" w:lineRule="auto"/>
        <w:rPr>
          <w:sz w:val="20"/>
          <w:szCs w:val="20"/>
          <w:color w:val="auto"/>
        </w:rPr>
      </w:pPr>
      <w:r>
        <w:rPr>
          <w:rFonts w:ascii="Times New Roman" w:cs="Times New Roman" w:eastAsia="Times New Roman" w:hAnsi="Times New Roman"/>
          <w:sz w:val="20"/>
          <w:szCs w:val="20"/>
          <w:color w:val="auto"/>
        </w:rPr>
        <w:t>As operating expenses and capital expenditures fluctuate over time, we may accordingly experience short-term, negative impacts to our operating results and cash flows.</w:t>
      </w:r>
    </w:p>
    <w:p>
      <w:pPr>
        <w:spacing w:after="0" w:line="43"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Components of Our Results of Operations</w:t>
      </w:r>
    </w:p>
    <w:p>
      <w:pPr>
        <w:spacing w:after="0" w:line="17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Revenues</w:t>
      </w:r>
    </w:p>
    <w:p>
      <w:pPr>
        <w:spacing w:after="0" w:line="165" w:lineRule="exact"/>
        <w:rPr>
          <w:sz w:val="20"/>
          <w:szCs w:val="20"/>
          <w:color w:val="auto"/>
        </w:rPr>
      </w:pPr>
    </w:p>
    <w:p>
      <w:pPr>
        <w:jc w:val="both"/>
        <w:spacing w:after="0" w:line="309" w:lineRule="auto"/>
        <w:rPr>
          <w:sz w:val="20"/>
          <w:szCs w:val="20"/>
          <w:color w:val="auto"/>
        </w:rPr>
      </w:pPr>
      <w:r>
        <w:rPr>
          <w:rFonts w:ascii="Times New Roman" w:cs="Times New Roman" w:eastAsia="Times New Roman" w:hAnsi="Times New Roman"/>
          <w:sz w:val="19"/>
          <w:szCs w:val="19"/>
          <w:color w:val="auto"/>
        </w:rPr>
        <w:t>Our revenues are derived primarily from monthly subscriptions to Weedmaps for Business, featured and deal listings and other WM Ad solutions. Our Weedmaps for Business subscriptions generally have one-month terms that automatically renew unless notice of cancellation is provided in advance. Featured and deal listings and other WM Ad solutions are offered as add-on products to the Weedmaps for Business subscriptions. Featured and deal listings provide customers with premium placement ad solutions and discount and promotion pricing tools. Other WM Ad solutions include banner ads and promotion tiles on our marketplace ad as well as other advertising products on and off the Weedmaps marketplace. We have a fixed inventory of featured listing and display advertising in each market, and price is generally determined through a competitive auction process that reflects local market demand. Revenues for these arrangements are recognized over-time, generally during a month-to-month subscription period as the products are provided. We rarely need to allocate the transaction price to separate performance obligations. In the</w:t>
      </w:r>
    </w:p>
    <w:p>
      <w:pPr>
        <w:spacing w:after="0" w:line="269"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20"/>
          <w:szCs w:val="20"/>
          <w:color w:val="auto"/>
        </w:rPr>
        <w:t>61</w:t>
      </w:r>
    </w:p>
    <w:p>
      <w:pPr>
        <w:sectPr>
          <w:pgSz w:w="12240" w:h="15840" w:orient="portrait"/>
          <w:cols w:equalWidth="0" w:num="1">
            <w:col w:w="10260"/>
          </w:cols>
          <w:pgMar w:left="1000" w:top="886" w:right="980" w:bottom="222" w:gutter="0" w:footer="0" w:header="0"/>
        </w:sectPr>
      </w:pPr>
    </w:p>
    <w:bookmarkStart w:id="65" w:name="page66"/>
    <w:bookmarkEnd w:id="65"/>
    <w:p>
      <w:pPr>
        <w:jc w:val="both"/>
        <w:spacing w:after="0" w:line="326" w:lineRule="auto"/>
        <w:rPr>
          <w:sz w:val="20"/>
          <w:szCs w:val="20"/>
          <w:color w:val="auto"/>
        </w:rPr>
      </w:pPr>
      <w:r>
        <w:rPr>
          <w:rFonts w:ascii="Times New Roman" w:cs="Times New Roman" w:eastAsia="Times New Roman" w:hAnsi="Times New Roman"/>
          <w:sz w:val="20"/>
          <w:szCs w:val="20"/>
          <w:color w:val="auto"/>
        </w:rPr>
        <w:t>rare case that allocation of the transaction price is needed, we recognize revenue in proportion to the standalone selling prices of the underlying services at contract inception.</w:t>
      </w:r>
    </w:p>
    <w:p>
      <w:pPr>
        <w:spacing w:after="0" w:line="43"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Costs and Expenses</w:t>
      </w:r>
    </w:p>
    <w:p>
      <w:pPr>
        <w:spacing w:after="0" w:line="168" w:lineRule="exact"/>
        <w:rPr>
          <w:sz w:val="20"/>
          <w:szCs w:val="20"/>
          <w:color w:val="auto"/>
        </w:rPr>
      </w:pPr>
    </w:p>
    <w:p>
      <w:pPr>
        <w:jc w:val="both"/>
        <w:spacing w:after="0" w:line="301" w:lineRule="auto"/>
        <w:rPr>
          <w:sz w:val="20"/>
          <w:szCs w:val="20"/>
          <w:color w:val="auto"/>
        </w:rPr>
      </w:pPr>
      <w:r>
        <w:rPr>
          <w:rFonts w:ascii="Times New Roman" w:cs="Times New Roman" w:eastAsia="Times New Roman" w:hAnsi="Times New Roman"/>
          <w:sz w:val="20"/>
          <w:szCs w:val="20"/>
          <w:color w:val="auto"/>
        </w:rPr>
        <w:t>Our cost structure has two components: cost of revenues and operating expenses. Our operating expenses include costs related to selling and marketing, product development, general and administrative functions and depreciation and amortization. Certain of our costs and expenses, including those associated with the operation of our technical infrastructure as well as components of our operating expenses, are generally less variable in nature and may not correlate to changes in revenue.</w:t>
      </w:r>
    </w:p>
    <w:p>
      <w:pPr>
        <w:spacing w:after="0" w:line="72"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Cost of Revenues (Exclusive of Depreciation and Amortization)</w:t>
      </w:r>
    </w:p>
    <w:p>
      <w:pPr>
        <w:spacing w:after="0" w:line="164" w:lineRule="exact"/>
        <w:rPr>
          <w:sz w:val="20"/>
          <w:szCs w:val="20"/>
          <w:color w:val="auto"/>
        </w:rPr>
      </w:pPr>
    </w:p>
    <w:p>
      <w:pPr>
        <w:jc w:val="both"/>
        <w:spacing w:after="0" w:line="301" w:lineRule="auto"/>
        <w:rPr>
          <w:sz w:val="20"/>
          <w:szCs w:val="20"/>
          <w:color w:val="auto"/>
        </w:rPr>
      </w:pPr>
      <w:r>
        <w:rPr>
          <w:rFonts w:ascii="Times New Roman" w:cs="Times New Roman" w:eastAsia="Times New Roman" w:hAnsi="Times New Roman"/>
          <w:sz w:val="20"/>
          <w:szCs w:val="20"/>
          <w:color w:val="auto"/>
        </w:rPr>
        <w:t>Cost of revenues excludes depreciation and amortization expense and primarily consists of web hosting, internet service and credit card processing costs. Cost of revenues is primarily driven by fluctuations in revenue leading to increases or decreases in credit card processing and web hosting cost. We expect our cost of revenue to continue to increase on an absolute basis and remain relatively flat as a percentage of revenue as we scale our business and inventory costs related to multi-media offerings.</w:t>
      </w:r>
    </w:p>
    <w:p>
      <w:pPr>
        <w:spacing w:after="0" w:line="72"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Selling and Marketing Expenses</w:t>
      </w:r>
    </w:p>
    <w:p>
      <w:pPr>
        <w:spacing w:after="0" w:line="164" w:lineRule="exact"/>
        <w:rPr>
          <w:sz w:val="20"/>
          <w:szCs w:val="20"/>
          <w:color w:val="auto"/>
        </w:rPr>
      </w:pPr>
    </w:p>
    <w:p>
      <w:pPr>
        <w:jc w:val="both"/>
        <w:spacing w:after="0" w:line="299" w:lineRule="auto"/>
        <w:rPr>
          <w:sz w:val="20"/>
          <w:szCs w:val="20"/>
          <w:color w:val="auto"/>
        </w:rPr>
      </w:pPr>
      <w:r>
        <w:rPr>
          <w:rFonts w:ascii="Times New Roman" w:cs="Times New Roman" w:eastAsia="Times New Roman" w:hAnsi="Times New Roman"/>
          <w:sz w:val="20"/>
          <w:szCs w:val="20"/>
          <w:color w:val="auto"/>
        </w:rPr>
        <w:t>Selling and marketing expenses consist of salaries and benefits, stock-based compensation expense, travel expense and incentive compensation for our sales and marketing employees. In addition, sales and marketing expenses include customer acquisition marketing, events cost and branding and advertising costs. Over the longer term, we expect sales and marketing expense to increase in a manner consistent with revenue growth, however, we may experience fluctuations in some periods as we enter and develop new markets or have large one-time marketing projects.</w:t>
      </w:r>
    </w:p>
    <w:p>
      <w:pPr>
        <w:spacing w:after="0" w:line="74"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Product Development Expenses</w:t>
      </w:r>
    </w:p>
    <w:p>
      <w:pPr>
        <w:spacing w:after="0" w:line="164" w:lineRule="exact"/>
        <w:rPr>
          <w:sz w:val="20"/>
          <w:szCs w:val="20"/>
          <w:color w:val="auto"/>
        </w:rPr>
      </w:pPr>
    </w:p>
    <w:p>
      <w:pPr>
        <w:jc w:val="both"/>
        <w:spacing w:after="0" w:line="313" w:lineRule="auto"/>
        <w:rPr>
          <w:sz w:val="20"/>
          <w:szCs w:val="20"/>
          <w:color w:val="auto"/>
        </w:rPr>
      </w:pPr>
      <w:r>
        <w:rPr>
          <w:rFonts w:ascii="Times New Roman" w:cs="Times New Roman" w:eastAsia="Times New Roman" w:hAnsi="Times New Roman"/>
          <w:sz w:val="19"/>
          <w:szCs w:val="19"/>
          <w:color w:val="auto"/>
        </w:rPr>
        <w:t>Product development costs consist of salaries and benefits and stock-based compensation expense for employees, including engineering and technical teams who are responsible for building new products, as well as maintaining and improving existing products. Product development costs that do not meet the criteria for capitalization are expensed as incurred. Amortization expense related to capitalized software development cost is included in depreciation, amortization and asset impairment expense in the consolidated statements of operations. We believe that continued investment in our platform is important for our growth and expect our product development expenses will increase in a manner consistent with revenue growth as our operations grow.</w:t>
      </w:r>
    </w:p>
    <w:p>
      <w:pPr>
        <w:spacing w:after="0" w:line="71"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General and Administrative Expenses</w:t>
      </w:r>
    </w:p>
    <w:p>
      <w:pPr>
        <w:spacing w:after="0" w:line="164" w:lineRule="exact"/>
        <w:rPr>
          <w:sz w:val="20"/>
          <w:szCs w:val="20"/>
          <w:color w:val="auto"/>
        </w:rPr>
      </w:pPr>
    </w:p>
    <w:p>
      <w:pPr>
        <w:jc w:val="both"/>
        <w:spacing w:after="0" w:line="293" w:lineRule="auto"/>
        <w:rPr>
          <w:sz w:val="20"/>
          <w:szCs w:val="20"/>
          <w:color w:val="auto"/>
        </w:rPr>
      </w:pPr>
      <w:r>
        <w:rPr>
          <w:rFonts w:ascii="Times New Roman" w:cs="Times New Roman" w:eastAsia="Times New Roman" w:hAnsi="Times New Roman"/>
          <w:sz w:val="20"/>
          <w:szCs w:val="20"/>
          <w:color w:val="auto"/>
        </w:rPr>
        <w:t>General and administrative expenses consist primarily of payroll, benefit costs and stock-based compensation expense for our employees involved in general corporate functions including our senior leadership team as well as costs associated with the use by these functions of software and facilities and equipment, such as rent, insurance and other occupancy expenses. General and administrative expenses also include provision for doubtful accounts and professional and outside services related to legal and other consulting services. General and administrative expenses are primarily driven by headcount required to support our business and meet our obligations as a public company. We expect general and administrative expenses to decline as percentage of revenue as we scale our business and leverage investments in these areas.</w:t>
      </w:r>
    </w:p>
    <w:p>
      <w:pPr>
        <w:spacing w:after="0" w:line="81"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Depreciation and Amortization Expenses</w:t>
      </w:r>
    </w:p>
    <w:p>
      <w:pPr>
        <w:spacing w:after="0" w:line="164" w:lineRule="exact"/>
        <w:rPr>
          <w:sz w:val="20"/>
          <w:szCs w:val="20"/>
          <w:color w:val="auto"/>
        </w:rPr>
      </w:pPr>
    </w:p>
    <w:p>
      <w:pPr>
        <w:jc w:val="both"/>
        <w:ind w:right="20"/>
        <w:spacing w:after="0" w:line="309" w:lineRule="auto"/>
        <w:rPr>
          <w:sz w:val="20"/>
          <w:szCs w:val="20"/>
          <w:color w:val="auto"/>
        </w:rPr>
      </w:pPr>
      <w:r>
        <w:rPr>
          <w:rFonts w:ascii="Times New Roman" w:cs="Times New Roman" w:eastAsia="Times New Roman" w:hAnsi="Times New Roman"/>
          <w:sz w:val="20"/>
          <w:szCs w:val="20"/>
          <w:color w:val="auto"/>
        </w:rPr>
        <w:t>Depreciation and amortization expenses primarily consist of depreciation on computer equipment, furniture and fixtures, leasehold improvements, capitalized software development costs and amortization of intangibles. We expect depreciation and amortization expenses to increase on an absolute basis for the foreseeable future as we scale our business.</w:t>
      </w:r>
    </w:p>
    <w:p>
      <w:pPr>
        <w:spacing w:after="0" w:line="122"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Asset Impairment Charges</w:t>
      </w:r>
    </w:p>
    <w:p>
      <w:pPr>
        <w:spacing w:after="0" w:line="171" w:lineRule="exact"/>
        <w:rPr>
          <w:sz w:val="20"/>
          <w:szCs w:val="20"/>
          <w:color w:val="auto"/>
        </w:rPr>
      </w:pPr>
    </w:p>
    <w:p>
      <w:pPr>
        <w:jc w:val="both"/>
        <w:ind w:right="20"/>
        <w:spacing w:after="0" w:line="326" w:lineRule="auto"/>
        <w:rPr>
          <w:sz w:val="20"/>
          <w:szCs w:val="20"/>
          <w:color w:val="auto"/>
        </w:rPr>
      </w:pPr>
      <w:r>
        <w:rPr>
          <w:rFonts w:ascii="Times New Roman" w:cs="Times New Roman" w:eastAsia="Times New Roman" w:hAnsi="Times New Roman"/>
          <w:sz w:val="20"/>
          <w:szCs w:val="20"/>
          <w:color w:val="auto"/>
        </w:rPr>
        <w:t>Asset impairment charges primarily consist of impairment of ROU assets related to our operating leases, impairment of intangible assets, impairment of equity securities and impairment of property and equipment.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2"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20"/>
          <w:szCs w:val="20"/>
          <w:color w:val="auto"/>
        </w:rPr>
        <w:t>62</w:t>
      </w:r>
    </w:p>
    <w:p>
      <w:pPr>
        <w:sectPr>
          <w:pgSz w:w="12240" w:h="15840" w:orient="portrait"/>
          <w:cols w:equalWidth="0" w:num="1">
            <w:col w:w="10260"/>
          </w:cols>
          <w:pgMar w:left="1000" w:top="884" w:right="980" w:bottom="222" w:gutter="0" w:footer="0" w:header="0"/>
        </w:sectPr>
      </w:pPr>
    </w:p>
    <w:bookmarkStart w:id="66" w:name="page67"/>
    <w:bookmarkEnd w:id="66"/>
    <w:p>
      <w:pPr>
        <w:spacing w:after="0"/>
        <w:rPr>
          <w:sz w:val="20"/>
          <w:szCs w:val="20"/>
          <w:color w:val="auto"/>
        </w:rPr>
      </w:pPr>
      <w:r>
        <w:rPr>
          <w:rFonts w:ascii="Times New Roman" w:cs="Times New Roman" w:eastAsia="Times New Roman" w:hAnsi="Times New Roman"/>
          <w:sz w:val="20"/>
          <w:szCs w:val="20"/>
          <w:b w:val="1"/>
          <w:bCs w:val="1"/>
          <w:i w:val="1"/>
          <w:iCs w:val="1"/>
          <w:color w:val="auto"/>
        </w:rPr>
        <w:t>Other Income (Expense), Net</w:t>
      </w:r>
    </w:p>
    <w:p>
      <w:pPr>
        <w:spacing w:after="0" w:line="106" w:lineRule="exact"/>
        <w:rPr>
          <w:sz w:val="20"/>
          <w:szCs w:val="20"/>
          <w:color w:val="auto"/>
        </w:rPr>
      </w:pPr>
    </w:p>
    <w:p>
      <w:pPr>
        <w:jc w:val="both"/>
        <w:ind w:right="20"/>
        <w:spacing w:after="0" w:line="306" w:lineRule="auto"/>
        <w:rPr>
          <w:sz w:val="20"/>
          <w:szCs w:val="20"/>
          <w:color w:val="auto"/>
        </w:rPr>
      </w:pPr>
      <w:r>
        <w:rPr>
          <w:rFonts w:ascii="Times New Roman" w:cs="Times New Roman" w:eastAsia="Times New Roman" w:hAnsi="Times New Roman"/>
          <w:sz w:val="20"/>
          <w:szCs w:val="20"/>
          <w:color w:val="auto"/>
        </w:rPr>
        <w:t>Other income (expense), net consists primarily of discharge of holdback obligation related to prior acquisition, changes in fair value of warrant liability, change in TRA liability, transaction related bonus, legal settlements and other legal costs, reduction in force, and interest expense.</w:t>
      </w:r>
    </w:p>
    <w:p>
      <w:pPr>
        <w:spacing w:after="0" w:line="65"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Provision for (Benefit from) Income Taxes</w:t>
      </w:r>
    </w:p>
    <w:p>
      <w:pPr>
        <w:spacing w:after="0" w:line="164" w:lineRule="exact"/>
        <w:rPr>
          <w:sz w:val="20"/>
          <w:szCs w:val="20"/>
          <w:color w:val="auto"/>
        </w:rPr>
      </w:pPr>
    </w:p>
    <w:p>
      <w:pPr>
        <w:jc w:val="both"/>
        <w:spacing w:after="0" w:line="294" w:lineRule="auto"/>
        <w:rPr>
          <w:sz w:val="20"/>
          <w:szCs w:val="20"/>
          <w:color w:val="auto"/>
        </w:rPr>
      </w:pPr>
      <w:r>
        <w:rPr>
          <w:rFonts w:ascii="Times New Roman" w:cs="Times New Roman" w:eastAsia="Times New Roman" w:hAnsi="Times New Roman"/>
          <w:sz w:val="20"/>
          <w:szCs w:val="20"/>
          <w:color w:val="auto"/>
        </w:rPr>
        <w:t>We account for income taxes pursuant to the asset and liability method which requires the recognition of deferred income tax assets and liabilities related to the expected future tax consequences arising from temporary differences between the carrying amounts and tax bases of assets and liabilities based on enacted statutory tax rates applicable to the periods in which the temporary differences are expected to reverse. Any effects of changes in income tax rates or laws are included in income tax expense in the period of enactment. A valuation allowance is recognized if we determine it is more-likely-than-not that all or a portion of a deferred tax asset will not be recognized. In making such determination, we consider all available evidence, including scheduled reversals of deferred tax liabilities, projected future taxable income, tax planning strategies and recent and expected future results of operation. See Note 16, “Income Taxes,” to our consolidated financial statements included herein.</w:t>
      </w:r>
    </w:p>
    <w:p>
      <w:pPr>
        <w:spacing w:after="0" w:line="77"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Results of Operations</w:t>
      </w:r>
    </w:p>
    <w:p>
      <w:pPr>
        <w:spacing w:after="0" w:line="168" w:lineRule="exact"/>
        <w:rPr>
          <w:sz w:val="20"/>
          <w:szCs w:val="20"/>
          <w:color w:val="auto"/>
        </w:rPr>
      </w:pPr>
    </w:p>
    <w:p>
      <w:pPr>
        <w:jc w:val="both"/>
        <w:ind w:right="20"/>
        <w:spacing w:after="0" w:line="306" w:lineRule="auto"/>
        <w:rPr>
          <w:sz w:val="20"/>
          <w:szCs w:val="20"/>
          <w:color w:val="auto"/>
        </w:rPr>
      </w:pPr>
      <w:r>
        <w:rPr>
          <w:rFonts w:ascii="Times New Roman" w:cs="Times New Roman" w:eastAsia="Times New Roman" w:hAnsi="Times New Roman"/>
          <w:sz w:val="20"/>
          <w:szCs w:val="20"/>
          <w:color w:val="auto"/>
        </w:rPr>
        <w:t>The following table sets forth our results of operations for the periods presented and expresses the relationship of certain line items as a percentage of net revenues for those periods. The period-to-period comparison of financial results is not necessarily indicative of future results.</w:t>
      </w:r>
    </w:p>
    <w:p>
      <w:pPr>
        <w:spacing w:after="0" w:line="112" w:lineRule="exact"/>
        <w:rPr>
          <w:sz w:val="20"/>
          <w:szCs w:val="20"/>
          <w:color w:val="auto"/>
        </w:rPr>
      </w:pPr>
    </w:p>
    <w:p>
      <w:pPr>
        <w:ind w:left="6600"/>
        <w:spacing w:after="0"/>
        <w:rPr>
          <w:sz w:val="20"/>
          <w:szCs w:val="20"/>
          <w:color w:val="auto"/>
        </w:rPr>
      </w:pPr>
      <w:r>
        <w:rPr>
          <w:rFonts w:ascii="Times New Roman" w:cs="Times New Roman" w:eastAsia="Times New Roman" w:hAnsi="Times New Roman"/>
          <w:sz w:val="20"/>
          <w:szCs w:val="20"/>
          <w:b w:val="1"/>
          <w:bCs w:val="1"/>
          <w:color w:val="auto"/>
        </w:rPr>
        <w:t>Years Ended December 31,</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3333115</wp:posOffset>
                </wp:positionH>
                <wp:positionV relativeFrom="paragraph">
                  <wp:posOffset>24765</wp:posOffset>
                </wp:positionV>
                <wp:extent cx="3177540" cy="0"/>
                <wp:wrapNone/>
                <wp:docPr id="7" name="Shape 7"/>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3177540" cy="4763"/>
                        </a:xfrm>
                        <a:prstGeom prst="line">
                          <a:avLst/>
                        </a:prstGeom>
                        <a:solidFill>
                          <a:srgbClr val="FFFFFF"/>
                        </a:solidFill>
                        <a:ln w="9144">
                          <a:solidFill>
                            <a:srgbClr val="000000"/>
                          </a:solidFill>
                          <a:miter lim="800000"/>
                          <a:headEnd/>
                          <a:tailEnd/>
                        </a:ln>
                      </wps:spPr>
                      <wps:bodyPr/>
                    </wps:wsp>
                  </a:graphicData>
                </a:graphic>
              </wp:anchor>
            </w:drawing>
          </mc:Choice>
          <mc:Fallback>
            <w:pict>
              <v:line id="Shape 7" o:spid="_x0000_s1032"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262.45pt,1.95pt" to="512.65pt,1.95pt" o:allowincell="f" strokecolor="#000000" strokeweight="0.72pt"/>
            </w:pict>
          </mc:Fallback>
        </mc:AlternateContent>
      </w:r>
    </w:p>
    <w:p>
      <w:pPr>
        <w:sectPr>
          <w:pgSz w:w="12240" w:h="15840" w:orient="portrait"/>
          <w:cols w:equalWidth="0" w:num="1">
            <w:col w:w="10260"/>
          </w:cols>
          <w:pgMar w:left="1000" w:top="886" w:right="980" w:bottom="222" w:gutter="0" w:footer="0" w:header="0"/>
        </w:sectPr>
      </w:pPr>
    </w:p>
    <w:p>
      <w:pPr>
        <w:spacing w:after="0" w:line="65" w:lineRule="exact"/>
        <w:rPr>
          <w:sz w:val="20"/>
          <w:szCs w:val="20"/>
          <w:color w:val="auto"/>
        </w:rPr>
      </w:pPr>
    </w:p>
    <w:p>
      <w:pPr>
        <w:ind w:left="6280"/>
        <w:spacing w:after="0"/>
        <w:rPr>
          <w:sz w:val="20"/>
          <w:szCs w:val="20"/>
          <w:color w:val="auto"/>
        </w:rPr>
      </w:pPr>
      <w:r>
        <w:rPr>
          <w:rFonts w:ascii="Times New Roman" w:cs="Times New Roman" w:eastAsia="Times New Roman" w:hAnsi="Times New Roman"/>
          <w:sz w:val="20"/>
          <w:szCs w:val="20"/>
          <w:b w:val="1"/>
          <w:bCs w:val="1"/>
          <w:color w:val="auto"/>
        </w:rPr>
        <w:t>2023</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3333115</wp:posOffset>
                </wp:positionH>
                <wp:positionV relativeFrom="paragraph">
                  <wp:posOffset>15240</wp:posOffset>
                </wp:positionV>
                <wp:extent cx="1572895" cy="0"/>
                <wp:wrapNone/>
                <wp:docPr id="8" name="Shape 8"/>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1572895" cy="4763"/>
                        </a:xfrm>
                        <a:prstGeom prst="line">
                          <a:avLst/>
                        </a:prstGeom>
                        <a:solidFill>
                          <a:srgbClr val="FFFFFF"/>
                        </a:solidFill>
                        <a:ln w="9144">
                          <a:solidFill>
                            <a:srgbClr val="000000"/>
                          </a:solidFill>
                          <a:miter lim="800000"/>
                          <a:headEnd/>
                          <a:tailEnd/>
                        </a:ln>
                      </wps:spPr>
                      <wps:bodyPr/>
                    </wps:wsp>
                  </a:graphicData>
                </a:graphic>
              </wp:anchor>
            </w:drawing>
          </mc:Choice>
          <mc:Fallback>
            <w:pict>
              <v:line id="Shape 8" o:spid="_x0000_s1033"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262.45pt,1.2pt" to="386.3pt,1.2pt" o:allowincell="f" strokecolor="#000000" strokeweight="0.72pt"/>
            </w:pict>
          </mc:Fallback>
        </mc:AlternateContent>
      </w:r>
    </w:p>
    <w:p>
      <w:pPr>
        <w:spacing w:after="0" w:line="31" w:lineRule="exact"/>
        <w:rPr>
          <w:sz w:val="20"/>
          <w:szCs w:val="20"/>
          <w:color w:val="auto"/>
        </w:rPr>
      </w:pPr>
    </w:p>
    <w:p>
      <w:pPr>
        <w:ind w:left="5500"/>
        <w:spacing w:after="0"/>
        <w:tabs>
          <w:tab w:leader="none" w:pos="6600" w:val="left"/>
        </w:tabs>
        <w:rPr>
          <w:sz w:val="20"/>
          <w:szCs w:val="20"/>
          <w:color w:val="auto"/>
        </w:rPr>
      </w:pPr>
      <w:r>
        <w:rPr>
          <w:rFonts w:ascii="Times New Roman" w:cs="Times New Roman" w:eastAsia="Times New Roman" w:hAnsi="Times New Roman"/>
          <w:sz w:val="20"/>
          <w:szCs w:val="20"/>
          <w:b w:val="1"/>
          <w:bCs w:val="1"/>
          <w:color w:val="auto"/>
        </w:rPr>
        <w:t>Amount</w:t>
      </w:r>
      <w:r>
        <w:rPr>
          <w:sz w:val="20"/>
          <w:szCs w:val="20"/>
          <w:color w:val="auto"/>
        </w:rPr>
        <w:tab/>
      </w:r>
      <w:r>
        <w:rPr>
          <w:rFonts w:ascii="Times New Roman" w:cs="Times New Roman" w:eastAsia="Times New Roman" w:hAnsi="Times New Roman"/>
          <w:sz w:val="20"/>
          <w:szCs w:val="20"/>
          <w:b w:val="1"/>
          <w:bCs w:val="1"/>
          <w:color w:val="auto"/>
        </w:rPr>
        <w:t>% Revenue</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3333115</wp:posOffset>
                </wp:positionH>
                <wp:positionV relativeFrom="paragraph">
                  <wp:posOffset>20320</wp:posOffset>
                </wp:positionV>
                <wp:extent cx="1572895" cy="0"/>
                <wp:wrapNone/>
                <wp:docPr id="9" name="Shape 9"/>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1572895" cy="4763"/>
                        </a:xfrm>
                        <a:prstGeom prst="line">
                          <a:avLst/>
                        </a:prstGeom>
                        <a:solidFill>
                          <a:srgbClr val="FFFFFF"/>
                        </a:solidFill>
                        <a:ln w="9144">
                          <a:solidFill>
                            <a:srgbClr val="000000"/>
                          </a:solidFill>
                          <a:miter lim="800000"/>
                          <a:headEnd/>
                          <a:tailEnd/>
                        </a:ln>
                      </wps:spPr>
                      <wps:bodyPr/>
                    </wps:wsp>
                  </a:graphicData>
                </a:graphic>
              </wp:anchor>
            </w:drawing>
          </mc:Choice>
          <mc:Fallback>
            <w:pict>
              <v:line id="Shape 9" o:spid="_x0000_s1034"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262.45pt,1.6pt" to="386.3pt,1.6pt" o:allowincell="f" strokecolor="#000000" strokeweight="0.72pt"/>
            </w:pict>
          </mc:Fallback>
        </mc:AlternateContent>
      </w:r>
    </w:p>
    <w:p>
      <w:pPr>
        <w:spacing w:after="0" w:line="20" w:lineRule="exact"/>
        <w:rPr>
          <w:sz w:val="20"/>
          <w:szCs w:val="20"/>
          <w:color w:val="auto"/>
        </w:rPr>
      </w:pPr>
      <w:r>
        <w:rPr>
          <w:sz w:val="20"/>
          <w:szCs w:val="20"/>
          <w:color w:val="auto"/>
        </w:rPr>
        <w:br w:type="column"/>
      </w:r>
    </w:p>
    <w:p>
      <w:pPr>
        <w:spacing w:after="0" w:line="45" w:lineRule="exact"/>
        <w:rPr>
          <w:sz w:val="20"/>
          <w:szCs w:val="20"/>
          <w:color w:val="auto"/>
        </w:rPr>
      </w:pPr>
    </w:p>
    <w:p>
      <w:pPr>
        <w:ind w:left="800"/>
        <w:spacing w:after="0"/>
        <w:rPr>
          <w:sz w:val="20"/>
          <w:szCs w:val="20"/>
          <w:color w:val="auto"/>
        </w:rPr>
      </w:pPr>
      <w:r>
        <w:rPr>
          <w:rFonts w:ascii="Times New Roman" w:cs="Times New Roman" w:eastAsia="Times New Roman" w:hAnsi="Times New Roman"/>
          <w:sz w:val="20"/>
          <w:szCs w:val="20"/>
          <w:b w:val="1"/>
          <w:bCs w:val="1"/>
          <w:color w:val="auto"/>
        </w:rPr>
        <w:t>2022</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-149225</wp:posOffset>
                </wp:positionH>
                <wp:positionV relativeFrom="paragraph">
                  <wp:posOffset>15240</wp:posOffset>
                </wp:positionV>
                <wp:extent cx="1567180" cy="0"/>
                <wp:wrapNone/>
                <wp:docPr id="10" name="Shape 10"/>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1567180" cy="4763"/>
                        </a:xfrm>
                        <a:prstGeom prst="line">
                          <a:avLst/>
                        </a:prstGeom>
                        <a:solidFill>
                          <a:srgbClr val="FFFFFF"/>
                        </a:solidFill>
                        <a:ln w="9144">
                          <a:solidFill>
                            <a:srgbClr val="000000"/>
                          </a:solidFill>
                          <a:miter lim="800000"/>
                          <a:headEnd/>
                          <a:tailEnd/>
                        </a:ln>
                      </wps:spPr>
                      <wps:bodyPr/>
                    </wps:wsp>
                  </a:graphicData>
                </a:graphic>
              </wp:anchor>
            </w:drawing>
          </mc:Choice>
          <mc:Fallback>
            <w:pict>
              <v:line id="Shape 10" o:spid="_x0000_s1035"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11.7499pt,1.2pt" to="111.65pt,1.2pt" o:allowincell="f" strokecolor="#000000" strokeweight="0.72pt"/>
            </w:pict>
          </mc:Fallback>
        </mc:AlternateContent>
      </w:r>
    </w:p>
    <w:p>
      <w:pPr>
        <w:spacing w:after="0" w:line="31" w:lineRule="exact"/>
        <w:rPr>
          <w:sz w:val="20"/>
          <w:szCs w:val="20"/>
          <w:color w:val="auto"/>
        </w:rPr>
      </w:pPr>
    </w:p>
    <w:p>
      <w:pPr>
        <w:spacing w:after="0"/>
        <w:tabs>
          <w:tab w:leader="none" w:pos="1100" w:val="left"/>
        </w:tabs>
        <w:rPr>
          <w:sz w:val="20"/>
          <w:szCs w:val="20"/>
          <w:color w:val="auto"/>
        </w:rPr>
      </w:pPr>
      <w:r>
        <w:rPr>
          <w:rFonts w:ascii="Times New Roman" w:cs="Times New Roman" w:eastAsia="Times New Roman" w:hAnsi="Times New Roman"/>
          <w:sz w:val="20"/>
          <w:szCs w:val="20"/>
          <w:b w:val="1"/>
          <w:bCs w:val="1"/>
          <w:color w:val="auto"/>
        </w:rPr>
        <w:t>Amount</w:t>
      </w:r>
      <w:r>
        <w:rPr>
          <w:sz w:val="20"/>
          <w:szCs w:val="20"/>
          <w:color w:val="auto"/>
        </w:rPr>
        <w:tab/>
      </w:r>
      <w:r>
        <w:rPr>
          <w:rFonts w:ascii="Times New Roman" w:cs="Times New Roman" w:eastAsia="Times New Roman" w:hAnsi="Times New Roman"/>
          <w:sz w:val="20"/>
          <w:szCs w:val="20"/>
          <w:b w:val="1"/>
          <w:bCs w:val="1"/>
          <w:color w:val="auto"/>
        </w:rPr>
        <w:t>% Revenue</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-149225</wp:posOffset>
                </wp:positionH>
                <wp:positionV relativeFrom="paragraph">
                  <wp:posOffset>20320</wp:posOffset>
                </wp:positionV>
                <wp:extent cx="1567180" cy="0"/>
                <wp:wrapNone/>
                <wp:docPr id="11" name="Shape 11"/>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1567180" cy="4763"/>
                        </a:xfrm>
                        <a:prstGeom prst="line">
                          <a:avLst/>
                        </a:prstGeom>
                        <a:solidFill>
                          <a:srgbClr val="FFFFFF"/>
                        </a:solidFill>
                        <a:ln w="9144">
                          <a:solidFill>
                            <a:srgbClr val="000000"/>
                          </a:solidFill>
                          <a:miter lim="800000"/>
                          <a:headEnd/>
                          <a:tailEnd/>
                        </a:ln>
                      </wps:spPr>
                      <wps:bodyPr/>
                    </wps:wsp>
                  </a:graphicData>
                </a:graphic>
              </wp:anchor>
            </w:drawing>
          </mc:Choice>
          <mc:Fallback>
            <w:pict>
              <v:line id="Shape 11" o:spid="_x0000_s1036"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11.7499pt,1.6pt" to="111.65pt,1.6pt" o:allowincell="f" strokecolor="#000000" strokeweight="0.72pt"/>
            </w:pict>
          </mc:Fallback>
        </mc:AlternateContent>
      </w:r>
    </w:p>
    <w:p>
      <w:pPr>
        <w:spacing w:after="0" w:line="58" w:lineRule="exact"/>
        <w:rPr>
          <w:sz w:val="20"/>
          <w:szCs w:val="20"/>
          <w:color w:val="auto"/>
        </w:rPr>
      </w:pPr>
    </w:p>
    <w:p>
      <w:pPr>
        <w:sectPr>
          <w:pgSz w:w="12240" w:h="15840" w:orient="portrait"/>
          <w:cols w:equalWidth="0" w:num="2">
            <w:col w:w="7660" w:space="360"/>
            <w:col w:w="2240"/>
          </w:cols>
          <w:pgMar w:left="1000" w:top="886" w:right="980" w:bottom="222" w:gutter="0" w:footer="0" w:header="0"/>
          <w:type w:val="continuous"/>
        </w:sectPr>
      </w:pPr>
    </w:p>
    <w:tbl>
      <w:tblPr>
        <w:tblLayout w:type="fixed"/>
        <w:tblInd w:w="0" w:type="dxa"/>
        <w:tblCellMar>
          <w:top w:w="0" w:type="dxa"/>
          <w:left w:w="0" w:type="dxa"/>
          <w:bottom w:w="0" w:type="dxa"/>
          <w:right w:w="0" w:type="dxa"/>
        </w:tblCellMar>
      </w:tblPr>
      <w:tr>
        <w:trPr>
          <w:trHeight w:val="255"/>
        </w:trPr>
        <w:tc>
          <w:tcPr>
            <w:tcW w:w="524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3820" w:type="dxa"/>
            <w:vAlign w:val="bottom"/>
            <w:gridSpan w:val="11"/>
          </w:tcPr>
          <w:p>
            <w:pPr>
              <w:ind w:left="740"/>
              <w:spacing w:after="0"/>
              <w:rPr>
                <w:sz w:val="20"/>
                <w:szCs w:val="20"/>
                <w:color w:val="auto"/>
              </w:rPr>
            </w:pPr>
            <w:r>
              <w:rPr>
                <w:rFonts w:ascii="Times New Roman" w:cs="Times New Roman" w:eastAsia="Times New Roman" w:hAnsi="Times New Roman"/>
                <w:sz w:val="20"/>
                <w:szCs w:val="20"/>
                <w:b w:val="1"/>
                <w:bCs w:val="1"/>
                <w:color w:val="auto"/>
              </w:rPr>
              <w:t>(in thousands, except percentages)</w:t>
            </w:r>
          </w:p>
        </w:tc>
        <w:tc>
          <w:tcPr>
            <w:tcW w:w="880" w:type="dxa"/>
            <w:vAlign w:val="bottom"/>
          </w:tcPr>
          <w:p>
            <w:pPr>
              <w:spacing w:after="0"/>
              <w:rPr>
                <w:sz w:val="22"/>
                <w:szCs w:val="22"/>
                <w:color w:val="auto"/>
              </w:rPr>
            </w:pPr>
          </w:p>
        </w:tc>
      </w:tr>
      <w:tr>
        <w:trPr>
          <w:trHeight w:val="281"/>
        </w:trPr>
        <w:tc>
          <w:tcPr>
            <w:tcW w:w="5260" w:type="dxa"/>
            <w:vAlign w:val="bottom"/>
            <w:gridSpan w:val="2"/>
            <w:shd w:val="clear" w:color="auto" w:fill="DDDDDD"/>
          </w:tcPr>
          <w:p>
            <w:pPr>
              <w:ind w:left="40"/>
              <w:spacing w:after="0"/>
              <w:rPr>
                <w:sz w:val="20"/>
                <w:szCs w:val="20"/>
                <w:color w:val="auto"/>
              </w:rPr>
            </w:pPr>
            <w:r>
              <w:rPr>
                <w:rFonts w:ascii="Times New Roman" w:cs="Times New Roman" w:eastAsia="Times New Roman" w:hAnsi="Times New Roman"/>
                <w:sz w:val="20"/>
                <w:szCs w:val="20"/>
                <w:color w:val="auto"/>
              </w:rPr>
              <w:t>Net revenues</w:t>
            </w:r>
          </w:p>
        </w:tc>
        <w:tc>
          <w:tcPr>
            <w:tcW w:w="300" w:type="dxa"/>
            <w:vAlign w:val="bottom"/>
            <w:shd w:val="clear" w:color="auto" w:fill="DDDDDD"/>
          </w:tcPr>
          <w:p>
            <w:pPr>
              <w:jc w:val="right"/>
              <w:ind w:right="59"/>
              <w:spacing w:after="0"/>
              <w:rPr>
                <w:sz w:val="20"/>
                <w:szCs w:val="20"/>
                <w:color w:val="auto"/>
              </w:rPr>
            </w:pPr>
            <w:r>
              <w:rPr>
                <w:rFonts w:ascii="Times New Roman" w:cs="Times New Roman" w:eastAsia="Times New Roman" w:hAnsi="Times New Roman"/>
                <w:sz w:val="20"/>
                <w:szCs w:val="20"/>
                <w:color w:val="auto"/>
              </w:rPr>
              <w:t>$</w:t>
            </w:r>
          </w:p>
        </w:tc>
        <w:tc>
          <w:tcPr>
            <w:tcW w:w="900" w:type="dxa"/>
            <w:vAlign w:val="bottom"/>
            <w:shd w:val="clear" w:color="auto" w:fill="DDDDDD"/>
          </w:tcPr>
          <w:p>
            <w:pPr>
              <w:jc w:val="right"/>
              <w:spacing w:after="0"/>
              <w:rPr>
                <w:sz w:val="20"/>
                <w:szCs w:val="20"/>
                <w:color w:val="auto"/>
              </w:rPr>
            </w:pPr>
            <w:r>
              <w:rPr>
                <w:rFonts w:ascii="Times New Roman" w:cs="Times New Roman" w:eastAsia="Times New Roman" w:hAnsi="Times New Roman"/>
                <w:sz w:val="20"/>
                <w:szCs w:val="20"/>
                <w:color w:val="auto"/>
              </w:rPr>
              <w:t>187,993</w:t>
            </w:r>
          </w:p>
        </w:tc>
        <w:tc>
          <w:tcPr>
            <w:tcW w:w="60" w:type="dxa"/>
            <w:vAlign w:val="bottom"/>
            <w:shd w:val="clear" w:color="auto" w:fill="DDDDDD"/>
          </w:tcPr>
          <w:p>
            <w:pPr>
              <w:spacing w:after="0"/>
              <w:rPr>
                <w:sz w:val="24"/>
                <w:szCs w:val="24"/>
                <w:color w:val="auto"/>
              </w:rPr>
            </w:pPr>
          </w:p>
        </w:tc>
        <w:tc>
          <w:tcPr>
            <w:tcW w:w="20" w:type="dxa"/>
            <w:vAlign w:val="bottom"/>
            <w:shd w:val="clear" w:color="auto" w:fill="DDDDDD"/>
          </w:tcPr>
          <w:p>
            <w:pPr>
              <w:spacing w:after="0"/>
              <w:rPr>
                <w:sz w:val="24"/>
                <w:szCs w:val="24"/>
                <w:color w:val="auto"/>
              </w:rPr>
            </w:pPr>
          </w:p>
        </w:tc>
        <w:tc>
          <w:tcPr>
            <w:tcW w:w="1180" w:type="dxa"/>
            <w:vAlign w:val="bottom"/>
            <w:shd w:val="clear" w:color="auto" w:fill="DDDDDD"/>
          </w:tcPr>
          <w:p>
            <w:pPr>
              <w:jc w:val="right"/>
              <w:spacing w:after="0"/>
              <w:rPr>
                <w:sz w:val="20"/>
                <w:szCs w:val="20"/>
                <w:color w:val="auto"/>
              </w:rPr>
            </w:pPr>
            <w:r>
              <w:rPr>
                <w:rFonts w:ascii="Times New Roman" w:cs="Times New Roman" w:eastAsia="Times New Roman" w:hAnsi="Times New Roman"/>
                <w:sz w:val="20"/>
                <w:szCs w:val="20"/>
                <w:color w:val="auto"/>
              </w:rPr>
              <w:t>100.0 %</w:t>
            </w:r>
          </w:p>
        </w:tc>
        <w:tc>
          <w:tcPr>
            <w:tcW w:w="40" w:type="dxa"/>
            <w:vAlign w:val="bottom"/>
            <w:shd w:val="clear" w:color="auto" w:fill="DDDDDD"/>
          </w:tcPr>
          <w:p>
            <w:pPr>
              <w:spacing w:after="0"/>
              <w:rPr>
                <w:sz w:val="24"/>
                <w:szCs w:val="24"/>
                <w:color w:val="auto"/>
              </w:rPr>
            </w:pPr>
          </w:p>
        </w:tc>
        <w:tc>
          <w:tcPr>
            <w:tcW w:w="20" w:type="dxa"/>
            <w:vAlign w:val="bottom"/>
            <w:shd w:val="clear" w:color="auto" w:fill="DDDDDD"/>
          </w:tcPr>
          <w:p>
            <w:pPr>
              <w:spacing w:after="0"/>
              <w:rPr>
                <w:sz w:val="24"/>
                <w:szCs w:val="24"/>
                <w:color w:val="auto"/>
              </w:rPr>
            </w:pPr>
          </w:p>
        </w:tc>
        <w:tc>
          <w:tcPr>
            <w:tcW w:w="300" w:type="dxa"/>
            <w:vAlign w:val="bottom"/>
            <w:shd w:val="clear" w:color="auto" w:fill="DDDDDD"/>
          </w:tcPr>
          <w:p>
            <w:pPr>
              <w:jc w:val="right"/>
              <w:ind w:right="39"/>
              <w:spacing w:after="0"/>
              <w:rPr>
                <w:sz w:val="20"/>
                <w:szCs w:val="20"/>
                <w:color w:val="auto"/>
              </w:rPr>
            </w:pPr>
            <w:r>
              <w:rPr>
                <w:rFonts w:ascii="Times New Roman" w:cs="Times New Roman" w:eastAsia="Times New Roman" w:hAnsi="Times New Roman"/>
                <w:sz w:val="20"/>
                <w:szCs w:val="20"/>
                <w:color w:val="auto"/>
              </w:rPr>
              <w:t>$</w:t>
            </w:r>
          </w:p>
        </w:tc>
        <w:tc>
          <w:tcPr>
            <w:tcW w:w="900" w:type="dxa"/>
            <w:vAlign w:val="bottom"/>
            <w:shd w:val="clear" w:color="auto" w:fill="DDDDDD"/>
          </w:tcPr>
          <w:p>
            <w:pPr>
              <w:jc w:val="right"/>
              <w:spacing w:after="0"/>
              <w:rPr>
                <w:sz w:val="20"/>
                <w:szCs w:val="20"/>
                <w:color w:val="auto"/>
              </w:rPr>
            </w:pPr>
            <w:r>
              <w:rPr>
                <w:rFonts w:ascii="Times New Roman" w:cs="Times New Roman" w:eastAsia="Times New Roman" w:hAnsi="Times New Roman"/>
                <w:sz w:val="20"/>
                <w:szCs w:val="20"/>
                <w:color w:val="auto"/>
              </w:rPr>
              <w:t>215,531</w:t>
            </w:r>
          </w:p>
        </w:tc>
        <w:tc>
          <w:tcPr>
            <w:tcW w:w="60" w:type="dxa"/>
            <w:vAlign w:val="bottom"/>
            <w:shd w:val="clear" w:color="auto" w:fill="DDDDDD"/>
          </w:tcPr>
          <w:p>
            <w:pPr>
              <w:spacing w:after="0"/>
              <w:rPr>
                <w:sz w:val="24"/>
                <w:szCs w:val="24"/>
                <w:color w:val="auto"/>
              </w:rPr>
            </w:pPr>
          </w:p>
        </w:tc>
        <w:tc>
          <w:tcPr>
            <w:tcW w:w="20" w:type="dxa"/>
            <w:vAlign w:val="bottom"/>
            <w:shd w:val="clear" w:color="auto" w:fill="DDDDDD"/>
          </w:tcPr>
          <w:p>
            <w:pPr>
              <w:spacing w:after="0"/>
              <w:rPr>
                <w:sz w:val="24"/>
                <w:szCs w:val="24"/>
                <w:color w:val="auto"/>
              </w:rPr>
            </w:pPr>
          </w:p>
        </w:tc>
        <w:tc>
          <w:tcPr>
            <w:tcW w:w="320" w:type="dxa"/>
            <w:vAlign w:val="bottom"/>
            <w:shd w:val="clear" w:color="auto" w:fill="DDDDDD"/>
          </w:tcPr>
          <w:p>
            <w:pPr>
              <w:spacing w:after="0"/>
              <w:rPr>
                <w:sz w:val="24"/>
                <w:szCs w:val="24"/>
                <w:color w:val="auto"/>
              </w:rPr>
            </w:pPr>
          </w:p>
        </w:tc>
        <w:tc>
          <w:tcPr>
            <w:tcW w:w="880" w:type="dxa"/>
            <w:vAlign w:val="bottom"/>
            <w:shd w:val="clear" w:color="auto" w:fill="DDDDDD"/>
          </w:tcPr>
          <w:p>
            <w:pPr>
              <w:jc w:val="right"/>
              <w:spacing w:after="0"/>
              <w:rPr>
                <w:sz w:val="20"/>
                <w:szCs w:val="20"/>
                <w:color w:val="auto"/>
              </w:rPr>
            </w:pPr>
            <w:r>
              <w:rPr>
                <w:rFonts w:ascii="Times New Roman" w:cs="Times New Roman" w:eastAsia="Times New Roman" w:hAnsi="Times New Roman"/>
                <w:sz w:val="20"/>
                <w:szCs w:val="20"/>
                <w:color w:val="auto"/>
              </w:rPr>
              <w:t>100.0 %</w:t>
            </w:r>
          </w:p>
        </w:tc>
      </w:tr>
      <w:tr>
        <w:trPr>
          <w:trHeight w:val="288"/>
        </w:trPr>
        <w:tc>
          <w:tcPr>
            <w:tcW w:w="52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880" w:type="dxa"/>
            <w:vAlign w:val="bottom"/>
          </w:tcPr>
          <w:p>
            <w:pPr>
              <w:spacing w:after="0"/>
              <w:rPr>
                <w:sz w:val="24"/>
                <w:szCs w:val="24"/>
                <w:color w:val="auto"/>
              </w:rPr>
            </w:pPr>
          </w:p>
        </w:tc>
      </w:tr>
      <w:tr>
        <w:trPr>
          <w:trHeight w:val="281"/>
        </w:trPr>
        <w:tc>
          <w:tcPr>
            <w:tcW w:w="5260" w:type="dxa"/>
            <w:vAlign w:val="bottom"/>
            <w:gridSpan w:val="2"/>
            <w:shd w:val="clear" w:color="auto" w:fill="DDDDDD"/>
          </w:tcPr>
          <w:p>
            <w:pPr>
              <w:ind w:left="40"/>
              <w:spacing w:after="0"/>
              <w:rPr>
                <w:sz w:val="20"/>
                <w:szCs w:val="20"/>
                <w:color w:val="auto"/>
              </w:rPr>
            </w:pPr>
            <w:r>
              <w:rPr>
                <w:rFonts w:ascii="Times New Roman" w:cs="Times New Roman" w:eastAsia="Times New Roman" w:hAnsi="Times New Roman"/>
                <w:sz w:val="20"/>
                <w:szCs w:val="20"/>
                <w:color w:val="auto"/>
              </w:rPr>
              <w:t>Costs and expenses:</w:t>
            </w:r>
          </w:p>
        </w:tc>
        <w:tc>
          <w:tcPr>
            <w:tcW w:w="300" w:type="dxa"/>
            <w:vAlign w:val="bottom"/>
            <w:shd w:val="clear" w:color="auto" w:fill="DDDDDD"/>
          </w:tcPr>
          <w:p>
            <w:pPr>
              <w:spacing w:after="0"/>
              <w:rPr>
                <w:sz w:val="24"/>
                <w:szCs w:val="24"/>
                <w:color w:val="auto"/>
              </w:rPr>
            </w:pPr>
          </w:p>
        </w:tc>
        <w:tc>
          <w:tcPr>
            <w:tcW w:w="900" w:type="dxa"/>
            <w:vAlign w:val="bottom"/>
            <w:shd w:val="clear" w:color="auto" w:fill="DDDDDD"/>
          </w:tcPr>
          <w:p>
            <w:pPr>
              <w:spacing w:after="0"/>
              <w:rPr>
                <w:sz w:val="24"/>
                <w:szCs w:val="24"/>
                <w:color w:val="auto"/>
              </w:rPr>
            </w:pPr>
          </w:p>
        </w:tc>
        <w:tc>
          <w:tcPr>
            <w:tcW w:w="60" w:type="dxa"/>
            <w:vAlign w:val="bottom"/>
            <w:shd w:val="clear" w:color="auto" w:fill="DDDDDD"/>
          </w:tcPr>
          <w:p>
            <w:pPr>
              <w:spacing w:after="0"/>
              <w:rPr>
                <w:sz w:val="24"/>
                <w:szCs w:val="24"/>
                <w:color w:val="auto"/>
              </w:rPr>
            </w:pPr>
          </w:p>
        </w:tc>
        <w:tc>
          <w:tcPr>
            <w:tcW w:w="20" w:type="dxa"/>
            <w:vAlign w:val="bottom"/>
            <w:shd w:val="clear" w:color="auto" w:fill="DDDDDD"/>
          </w:tcPr>
          <w:p>
            <w:pPr>
              <w:spacing w:after="0"/>
              <w:rPr>
                <w:sz w:val="24"/>
                <w:szCs w:val="24"/>
                <w:color w:val="auto"/>
              </w:rPr>
            </w:pPr>
          </w:p>
        </w:tc>
        <w:tc>
          <w:tcPr>
            <w:tcW w:w="1180" w:type="dxa"/>
            <w:vAlign w:val="bottom"/>
            <w:shd w:val="clear" w:color="auto" w:fill="DDDDDD"/>
          </w:tcPr>
          <w:p>
            <w:pPr>
              <w:spacing w:after="0"/>
              <w:rPr>
                <w:sz w:val="24"/>
                <w:szCs w:val="24"/>
                <w:color w:val="auto"/>
              </w:rPr>
            </w:pPr>
          </w:p>
        </w:tc>
        <w:tc>
          <w:tcPr>
            <w:tcW w:w="40" w:type="dxa"/>
            <w:vAlign w:val="bottom"/>
            <w:shd w:val="clear" w:color="auto" w:fill="DDDDDD"/>
          </w:tcPr>
          <w:p>
            <w:pPr>
              <w:spacing w:after="0"/>
              <w:rPr>
                <w:sz w:val="24"/>
                <w:szCs w:val="24"/>
                <w:color w:val="auto"/>
              </w:rPr>
            </w:pPr>
          </w:p>
        </w:tc>
        <w:tc>
          <w:tcPr>
            <w:tcW w:w="20" w:type="dxa"/>
            <w:vAlign w:val="bottom"/>
            <w:shd w:val="clear" w:color="auto" w:fill="DDDDDD"/>
          </w:tcPr>
          <w:p>
            <w:pPr>
              <w:spacing w:after="0"/>
              <w:rPr>
                <w:sz w:val="24"/>
                <w:szCs w:val="24"/>
                <w:color w:val="auto"/>
              </w:rPr>
            </w:pPr>
          </w:p>
        </w:tc>
        <w:tc>
          <w:tcPr>
            <w:tcW w:w="300" w:type="dxa"/>
            <w:vAlign w:val="bottom"/>
            <w:shd w:val="clear" w:color="auto" w:fill="DDDDDD"/>
          </w:tcPr>
          <w:p>
            <w:pPr>
              <w:spacing w:after="0"/>
              <w:rPr>
                <w:sz w:val="24"/>
                <w:szCs w:val="24"/>
                <w:color w:val="auto"/>
              </w:rPr>
            </w:pPr>
          </w:p>
        </w:tc>
        <w:tc>
          <w:tcPr>
            <w:tcW w:w="900" w:type="dxa"/>
            <w:vAlign w:val="bottom"/>
            <w:shd w:val="clear" w:color="auto" w:fill="DDDDDD"/>
          </w:tcPr>
          <w:p>
            <w:pPr>
              <w:spacing w:after="0"/>
              <w:rPr>
                <w:sz w:val="24"/>
                <w:szCs w:val="24"/>
                <w:color w:val="auto"/>
              </w:rPr>
            </w:pPr>
          </w:p>
        </w:tc>
        <w:tc>
          <w:tcPr>
            <w:tcW w:w="60" w:type="dxa"/>
            <w:vAlign w:val="bottom"/>
            <w:shd w:val="clear" w:color="auto" w:fill="DDDDDD"/>
          </w:tcPr>
          <w:p>
            <w:pPr>
              <w:spacing w:after="0"/>
              <w:rPr>
                <w:sz w:val="24"/>
                <w:szCs w:val="24"/>
                <w:color w:val="auto"/>
              </w:rPr>
            </w:pPr>
          </w:p>
        </w:tc>
        <w:tc>
          <w:tcPr>
            <w:tcW w:w="20" w:type="dxa"/>
            <w:vAlign w:val="bottom"/>
            <w:shd w:val="clear" w:color="auto" w:fill="DDDDDD"/>
          </w:tcPr>
          <w:p>
            <w:pPr>
              <w:spacing w:after="0"/>
              <w:rPr>
                <w:sz w:val="24"/>
                <w:szCs w:val="24"/>
                <w:color w:val="auto"/>
              </w:rPr>
            </w:pPr>
          </w:p>
        </w:tc>
        <w:tc>
          <w:tcPr>
            <w:tcW w:w="320" w:type="dxa"/>
            <w:vAlign w:val="bottom"/>
            <w:shd w:val="clear" w:color="auto" w:fill="DDDDDD"/>
          </w:tcPr>
          <w:p>
            <w:pPr>
              <w:spacing w:after="0"/>
              <w:rPr>
                <w:sz w:val="24"/>
                <w:szCs w:val="24"/>
                <w:color w:val="auto"/>
              </w:rPr>
            </w:pPr>
          </w:p>
        </w:tc>
        <w:tc>
          <w:tcPr>
            <w:tcW w:w="880" w:type="dxa"/>
            <w:vAlign w:val="bottom"/>
            <w:shd w:val="clear" w:color="auto" w:fill="DDDDDD"/>
          </w:tcPr>
          <w:p>
            <w:pPr>
              <w:spacing w:after="0"/>
              <w:rPr>
                <w:sz w:val="24"/>
                <w:szCs w:val="24"/>
                <w:color w:val="auto"/>
              </w:rPr>
            </w:pPr>
          </w:p>
        </w:tc>
      </w:tr>
      <w:tr>
        <w:trPr>
          <w:trHeight w:val="288"/>
        </w:trPr>
        <w:tc>
          <w:tcPr>
            <w:tcW w:w="5260" w:type="dxa"/>
            <w:vAlign w:val="bottom"/>
            <w:gridSpan w:val="2"/>
          </w:tcPr>
          <w:p>
            <w:pPr>
              <w:ind w:left="200"/>
              <w:spacing w:after="0"/>
              <w:rPr>
                <w:sz w:val="20"/>
                <w:szCs w:val="20"/>
                <w:color w:val="auto"/>
              </w:rPr>
            </w:pPr>
            <w:r>
              <w:rPr>
                <w:rFonts w:ascii="Times New Roman" w:cs="Times New Roman" w:eastAsia="Times New Roman" w:hAnsi="Times New Roman"/>
                <w:sz w:val="20"/>
                <w:szCs w:val="20"/>
                <w:color w:val="auto"/>
              </w:rPr>
              <w:t>Cost of revenues (exclusive of depreciation and amortization)</w:t>
            </w:r>
          </w:p>
        </w:tc>
        <w:tc>
          <w:tcPr>
            <w:tcW w:w="300" w:type="dxa"/>
            <w:vAlign w:val="bottom"/>
          </w:tcPr>
          <w:p>
            <w:pPr>
              <w:spacing w:after="0"/>
              <w:rPr>
                <w:sz w:val="24"/>
                <w:szCs w:val="24"/>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12,527</w:t>
            </w:r>
          </w:p>
        </w:tc>
        <w:tc>
          <w:tcPr>
            <w:tcW w:w="1260" w:type="dxa"/>
            <w:vAlign w:val="bottom"/>
            <w:gridSpan w:val="3"/>
          </w:tcPr>
          <w:p>
            <w:pPr>
              <w:jc w:val="right"/>
              <w:spacing w:after="0"/>
              <w:rPr>
                <w:sz w:val="20"/>
                <w:szCs w:val="20"/>
                <w:color w:val="auto"/>
              </w:rPr>
            </w:pPr>
            <w:r>
              <w:rPr>
                <w:rFonts w:ascii="Times New Roman" w:cs="Times New Roman" w:eastAsia="Times New Roman" w:hAnsi="Times New Roman"/>
                <w:sz w:val="20"/>
                <w:szCs w:val="20"/>
                <w:color w:val="auto"/>
              </w:rPr>
              <w:t>6.7 %</w:t>
            </w: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15,407</w:t>
            </w: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7.1 %</w:t>
            </w:r>
          </w:p>
        </w:tc>
      </w:tr>
      <w:tr>
        <w:trPr>
          <w:trHeight w:val="288"/>
        </w:trPr>
        <w:tc>
          <w:tcPr>
            <w:tcW w:w="5260" w:type="dxa"/>
            <w:vAlign w:val="bottom"/>
            <w:gridSpan w:val="2"/>
            <w:shd w:val="clear" w:color="auto" w:fill="DDDDDD"/>
          </w:tcPr>
          <w:p>
            <w:pPr>
              <w:ind w:left="220"/>
              <w:spacing w:after="0"/>
              <w:rPr>
                <w:sz w:val="20"/>
                <w:szCs w:val="20"/>
                <w:color w:val="auto"/>
              </w:rPr>
            </w:pPr>
            <w:r>
              <w:rPr>
                <w:rFonts w:ascii="Times New Roman" w:cs="Times New Roman" w:eastAsia="Times New Roman" w:hAnsi="Times New Roman"/>
                <w:sz w:val="20"/>
                <w:szCs w:val="20"/>
                <w:color w:val="auto"/>
              </w:rPr>
              <w:t>Sales and marketing</w:t>
            </w:r>
          </w:p>
        </w:tc>
        <w:tc>
          <w:tcPr>
            <w:tcW w:w="300" w:type="dxa"/>
            <w:vAlign w:val="bottom"/>
            <w:shd w:val="clear" w:color="auto" w:fill="DDDDDD"/>
          </w:tcPr>
          <w:p>
            <w:pPr>
              <w:spacing w:after="0"/>
              <w:rPr>
                <w:sz w:val="24"/>
                <w:szCs w:val="24"/>
                <w:color w:val="auto"/>
              </w:rPr>
            </w:pPr>
          </w:p>
        </w:tc>
        <w:tc>
          <w:tcPr>
            <w:tcW w:w="900" w:type="dxa"/>
            <w:vAlign w:val="bottom"/>
            <w:shd w:val="clear" w:color="auto" w:fill="DDDDDD"/>
          </w:tcPr>
          <w:p>
            <w:pPr>
              <w:jc w:val="right"/>
              <w:spacing w:after="0"/>
              <w:rPr>
                <w:sz w:val="20"/>
                <w:szCs w:val="20"/>
                <w:color w:val="auto"/>
              </w:rPr>
            </w:pPr>
            <w:r>
              <w:rPr>
                <w:rFonts w:ascii="Times New Roman" w:cs="Times New Roman" w:eastAsia="Times New Roman" w:hAnsi="Times New Roman"/>
                <w:sz w:val="20"/>
                <w:szCs w:val="20"/>
                <w:color w:val="auto"/>
              </w:rPr>
              <w:t>47,073</w:t>
            </w:r>
          </w:p>
        </w:tc>
        <w:tc>
          <w:tcPr>
            <w:tcW w:w="60" w:type="dxa"/>
            <w:vAlign w:val="bottom"/>
            <w:shd w:val="clear" w:color="auto" w:fill="DDDDDD"/>
          </w:tcPr>
          <w:p>
            <w:pPr>
              <w:spacing w:after="0"/>
              <w:rPr>
                <w:sz w:val="24"/>
                <w:szCs w:val="24"/>
                <w:color w:val="auto"/>
              </w:rPr>
            </w:pPr>
          </w:p>
        </w:tc>
        <w:tc>
          <w:tcPr>
            <w:tcW w:w="20" w:type="dxa"/>
            <w:vAlign w:val="bottom"/>
            <w:shd w:val="clear" w:color="auto" w:fill="DDDDDD"/>
          </w:tcPr>
          <w:p>
            <w:pPr>
              <w:spacing w:after="0"/>
              <w:rPr>
                <w:sz w:val="24"/>
                <w:szCs w:val="24"/>
                <w:color w:val="auto"/>
              </w:rPr>
            </w:pPr>
          </w:p>
        </w:tc>
        <w:tc>
          <w:tcPr>
            <w:tcW w:w="1180" w:type="dxa"/>
            <w:vAlign w:val="bottom"/>
            <w:shd w:val="clear" w:color="auto" w:fill="DDDDDD"/>
          </w:tcPr>
          <w:p>
            <w:pPr>
              <w:jc w:val="right"/>
              <w:spacing w:after="0"/>
              <w:rPr>
                <w:sz w:val="20"/>
                <w:szCs w:val="20"/>
                <w:color w:val="auto"/>
              </w:rPr>
            </w:pPr>
            <w:r>
              <w:rPr>
                <w:rFonts w:ascii="Times New Roman" w:cs="Times New Roman" w:eastAsia="Times New Roman" w:hAnsi="Times New Roman"/>
                <w:sz w:val="20"/>
                <w:szCs w:val="20"/>
                <w:color w:val="auto"/>
              </w:rPr>
              <w:t>25.0 %</w:t>
            </w:r>
          </w:p>
        </w:tc>
        <w:tc>
          <w:tcPr>
            <w:tcW w:w="40" w:type="dxa"/>
            <w:vAlign w:val="bottom"/>
            <w:shd w:val="clear" w:color="auto" w:fill="DDDDDD"/>
          </w:tcPr>
          <w:p>
            <w:pPr>
              <w:spacing w:after="0"/>
              <w:rPr>
                <w:sz w:val="24"/>
                <w:szCs w:val="24"/>
                <w:color w:val="auto"/>
              </w:rPr>
            </w:pPr>
          </w:p>
        </w:tc>
        <w:tc>
          <w:tcPr>
            <w:tcW w:w="20" w:type="dxa"/>
            <w:vAlign w:val="bottom"/>
            <w:shd w:val="clear" w:color="auto" w:fill="DDDDDD"/>
          </w:tcPr>
          <w:p>
            <w:pPr>
              <w:spacing w:after="0"/>
              <w:rPr>
                <w:sz w:val="24"/>
                <w:szCs w:val="24"/>
                <w:color w:val="auto"/>
              </w:rPr>
            </w:pPr>
          </w:p>
        </w:tc>
        <w:tc>
          <w:tcPr>
            <w:tcW w:w="300" w:type="dxa"/>
            <w:vAlign w:val="bottom"/>
            <w:shd w:val="clear" w:color="auto" w:fill="DDDDDD"/>
          </w:tcPr>
          <w:p>
            <w:pPr>
              <w:spacing w:after="0"/>
              <w:rPr>
                <w:sz w:val="24"/>
                <w:szCs w:val="24"/>
                <w:color w:val="auto"/>
              </w:rPr>
            </w:pPr>
          </w:p>
        </w:tc>
        <w:tc>
          <w:tcPr>
            <w:tcW w:w="900" w:type="dxa"/>
            <w:vAlign w:val="bottom"/>
            <w:shd w:val="clear" w:color="auto" w:fill="DDDDDD"/>
          </w:tcPr>
          <w:p>
            <w:pPr>
              <w:jc w:val="right"/>
              <w:spacing w:after="0"/>
              <w:rPr>
                <w:sz w:val="20"/>
                <w:szCs w:val="20"/>
                <w:color w:val="auto"/>
              </w:rPr>
            </w:pPr>
            <w:r>
              <w:rPr>
                <w:rFonts w:ascii="Times New Roman" w:cs="Times New Roman" w:eastAsia="Times New Roman" w:hAnsi="Times New Roman"/>
                <w:sz w:val="20"/>
                <w:szCs w:val="20"/>
                <w:color w:val="auto"/>
              </w:rPr>
              <w:t>82,624</w:t>
            </w:r>
          </w:p>
        </w:tc>
        <w:tc>
          <w:tcPr>
            <w:tcW w:w="60" w:type="dxa"/>
            <w:vAlign w:val="bottom"/>
            <w:shd w:val="clear" w:color="auto" w:fill="DDDDDD"/>
          </w:tcPr>
          <w:p>
            <w:pPr>
              <w:spacing w:after="0"/>
              <w:rPr>
                <w:sz w:val="24"/>
                <w:szCs w:val="24"/>
                <w:color w:val="auto"/>
              </w:rPr>
            </w:pPr>
          </w:p>
        </w:tc>
        <w:tc>
          <w:tcPr>
            <w:tcW w:w="20" w:type="dxa"/>
            <w:vAlign w:val="bottom"/>
            <w:shd w:val="clear" w:color="auto" w:fill="DDDDDD"/>
          </w:tcPr>
          <w:p>
            <w:pPr>
              <w:spacing w:after="0"/>
              <w:rPr>
                <w:sz w:val="24"/>
                <w:szCs w:val="24"/>
                <w:color w:val="auto"/>
              </w:rPr>
            </w:pPr>
          </w:p>
        </w:tc>
        <w:tc>
          <w:tcPr>
            <w:tcW w:w="320" w:type="dxa"/>
            <w:vAlign w:val="bottom"/>
            <w:shd w:val="clear" w:color="auto" w:fill="DDDDDD"/>
          </w:tcPr>
          <w:p>
            <w:pPr>
              <w:spacing w:after="0"/>
              <w:rPr>
                <w:sz w:val="24"/>
                <w:szCs w:val="24"/>
                <w:color w:val="auto"/>
              </w:rPr>
            </w:pPr>
          </w:p>
        </w:tc>
        <w:tc>
          <w:tcPr>
            <w:tcW w:w="880" w:type="dxa"/>
            <w:vAlign w:val="bottom"/>
            <w:shd w:val="clear" w:color="auto" w:fill="DDDDDD"/>
          </w:tcPr>
          <w:p>
            <w:pPr>
              <w:jc w:val="right"/>
              <w:spacing w:after="0"/>
              <w:rPr>
                <w:sz w:val="20"/>
                <w:szCs w:val="20"/>
                <w:color w:val="auto"/>
              </w:rPr>
            </w:pPr>
            <w:r>
              <w:rPr>
                <w:rFonts w:ascii="Times New Roman" w:cs="Times New Roman" w:eastAsia="Times New Roman" w:hAnsi="Times New Roman"/>
                <w:sz w:val="20"/>
                <w:szCs w:val="20"/>
                <w:color w:val="auto"/>
              </w:rPr>
              <w:t>38.3 %</w:t>
            </w:r>
          </w:p>
        </w:tc>
      </w:tr>
      <w:tr>
        <w:trPr>
          <w:trHeight w:val="281"/>
        </w:trPr>
        <w:tc>
          <w:tcPr>
            <w:tcW w:w="5260" w:type="dxa"/>
            <w:vAlign w:val="bottom"/>
            <w:gridSpan w:val="2"/>
          </w:tcPr>
          <w:p>
            <w:pPr>
              <w:ind w:left="220"/>
              <w:spacing w:after="0"/>
              <w:rPr>
                <w:sz w:val="20"/>
                <w:szCs w:val="20"/>
                <w:color w:val="auto"/>
              </w:rPr>
            </w:pPr>
            <w:r>
              <w:rPr>
                <w:rFonts w:ascii="Times New Roman" w:cs="Times New Roman" w:eastAsia="Times New Roman" w:hAnsi="Times New Roman"/>
                <w:sz w:val="20"/>
                <w:szCs w:val="20"/>
                <w:color w:val="auto"/>
              </w:rPr>
              <w:t>Product development</w:t>
            </w:r>
          </w:p>
        </w:tc>
        <w:tc>
          <w:tcPr>
            <w:tcW w:w="300" w:type="dxa"/>
            <w:vAlign w:val="bottom"/>
          </w:tcPr>
          <w:p>
            <w:pPr>
              <w:spacing w:after="0"/>
              <w:rPr>
                <w:sz w:val="24"/>
                <w:szCs w:val="24"/>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36,001</w:t>
            </w:r>
          </w:p>
        </w:tc>
        <w:tc>
          <w:tcPr>
            <w:tcW w:w="1260" w:type="dxa"/>
            <w:vAlign w:val="bottom"/>
            <w:gridSpan w:val="3"/>
          </w:tcPr>
          <w:p>
            <w:pPr>
              <w:jc w:val="right"/>
              <w:spacing w:after="0"/>
              <w:rPr>
                <w:sz w:val="20"/>
                <w:szCs w:val="20"/>
                <w:color w:val="auto"/>
              </w:rPr>
            </w:pPr>
            <w:r>
              <w:rPr>
                <w:rFonts w:ascii="Times New Roman" w:cs="Times New Roman" w:eastAsia="Times New Roman" w:hAnsi="Times New Roman"/>
                <w:sz w:val="20"/>
                <w:szCs w:val="20"/>
                <w:color w:val="auto"/>
              </w:rPr>
              <w:t>19.2 %</w:t>
            </w: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50,520</w:t>
            </w: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23.4 %</w:t>
            </w:r>
          </w:p>
        </w:tc>
      </w:tr>
      <w:tr>
        <w:trPr>
          <w:trHeight w:val="288"/>
        </w:trPr>
        <w:tc>
          <w:tcPr>
            <w:tcW w:w="5260" w:type="dxa"/>
            <w:vAlign w:val="bottom"/>
            <w:gridSpan w:val="2"/>
            <w:shd w:val="clear" w:color="auto" w:fill="DDDDDD"/>
          </w:tcPr>
          <w:p>
            <w:pPr>
              <w:ind w:left="220"/>
              <w:spacing w:after="0"/>
              <w:rPr>
                <w:sz w:val="20"/>
                <w:szCs w:val="20"/>
                <w:color w:val="auto"/>
              </w:rPr>
            </w:pPr>
            <w:r>
              <w:rPr>
                <w:rFonts w:ascii="Times New Roman" w:cs="Times New Roman" w:eastAsia="Times New Roman" w:hAnsi="Times New Roman"/>
                <w:sz w:val="20"/>
                <w:szCs w:val="20"/>
                <w:color w:val="auto"/>
              </w:rPr>
              <w:t>General and administrative</w:t>
            </w:r>
          </w:p>
        </w:tc>
        <w:tc>
          <w:tcPr>
            <w:tcW w:w="300" w:type="dxa"/>
            <w:vAlign w:val="bottom"/>
            <w:shd w:val="clear" w:color="auto" w:fill="DDDDDD"/>
          </w:tcPr>
          <w:p>
            <w:pPr>
              <w:spacing w:after="0"/>
              <w:rPr>
                <w:sz w:val="24"/>
                <w:szCs w:val="24"/>
                <w:color w:val="auto"/>
              </w:rPr>
            </w:pPr>
          </w:p>
        </w:tc>
        <w:tc>
          <w:tcPr>
            <w:tcW w:w="900" w:type="dxa"/>
            <w:vAlign w:val="bottom"/>
            <w:shd w:val="clear" w:color="auto" w:fill="DDDDDD"/>
          </w:tcPr>
          <w:p>
            <w:pPr>
              <w:jc w:val="right"/>
              <w:spacing w:after="0"/>
              <w:rPr>
                <w:sz w:val="20"/>
                <w:szCs w:val="20"/>
                <w:color w:val="auto"/>
              </w:rPr>
            </w:pPr>
            <w:r>
              <w:rPr>
                <w:rFonts w:ascii="Times New Roman" w:cs="Times New Roman" w:eastAsia="Times New Roman" w:hAnsi="Times New Roman"/>
                <w:sz w:val="20"/>
                <w:szCs w:val="20"/>
                <w:color w:val="auto"/>
              </w:rPr>
              <w:t>74,313</w:t>
            </w:r>
          </w:p>
        </w:tc>
        <w:tc>
          <w:tcPr>
            <w:tcW w:w="60" w:type="dxa"/>
            <w:vAlign w:val="bottom"/>
            <w:shd w:val="clear" w:color="auto" w:fill="DDDDDD"/>
          </w:tcPr>
          <w:p>
            <w:pPr>
              <w:spacing w:after="0"/>
              <w:rPr>
                <w:sz w:val="24"/>
                <w:szCs w:val="24"/>
                <w:color w:val="auto"/>
              </w:rPr>
            </w:pPr>
          </w:p>
        </w:tc>
        <w:tc>
          <w:tcPr>
            <w:tcW w:w="20" w:type="dxa"/>
            <w:vAlign w:val="bottom"/>
            <w:shd w:val="clear" w:color="auto" w:fill="DDDDDD"/>
          </w:tcPr>
          <w:p>
            <w:pPr>
              <w:spacing w:after="0"/>
              <w:rPr>
                <w:sz w:val="24"/>
                <w:szCs w:val="24"/>
                <w:color w:val="auto"/>
              </w:rPr>
            </w:pPr>
          </w:p>
        </w:tc>
        <w:tc>
          <w:tcPr>
            <w:tcW w:w="1180" w:type="dxa"/>
            <w:vAlign w:val="bottom"/>
            <w:shd w:val="clear" w:color="auto" w:fill="DDDDDD"/>
          </w:tcPr>
          <w:p>
            <w:pPr>
              <w:jc w:val="right"/>
              <w:spacing w:after="0"/>
              <w:rPr>
                <w:sz w:val="20"/>
                <w:szCs w:val="20"/>
                <w:color w:val="auto"/>
              </w:rPr>
            </w:pPr>
            <w:r>
              <w:rPr>
                <w:rFonts w:ascii="Times New Roman" w:cs="Times New Roman" w:eastAsia="Times New Roman" w:hAnsi="Times New Roman"/>
                <w:sz w:val="20"/>
                <w:szCs w:val="20"/>
                <w:color w:val="auto"/>
              </w:rPr>
              <w:t>39.5 %</w:t>
            </w:r>
          </w:p>
        </w:tc>
        <w:tc>
          <w:tcPr>
            <w:tcW w:w="40" w:type="dxa"/>
            <w:vAlign w:val="bottom"/>
            <w:shd w:val="clear" w:color="auto" w:fill="DDDDDD"/>
          </w:tcPr>
          <w:p>
            <w:pPr>
              <w:spacing w:after="0"/>
              <w:rPr>
                <w:sz w:val="24"/>
                <w:szCs w:val="24"/>
                <w:color w:val="auto"/>
              </w:rPr>
            </w:pPr>
          </w:p>
        </w:tc>
        <w:tc>
          <w:tcPr>
            <w:tcW w:w="20" w:type="dxa"/>
            <w:vAlign w:val="bottom"/>
            <w:shd w:val="clear" w:color="auto" w:fill="DDDDDD"/>
          </w:tcPr>
          <w:p>
            <w:pPr>
              <w:spacing w:after="0"/>
              <w:rPr>
                <w:sz w:val="24"/>
                <w:szCs w:val="24"/>
                <w:color w:val="auto"/>
              </w:rPr>
            </w:pPr>
          </w:p>
        </w:tc>
        <w:tc>
          <w:tcPr>
            <w:tcW w:w="300" w:type="dxa"/>
            <w:vAlign w:val="bottom"/>
            <w:shd w:val="clear" w:color="auto" w:fill="DDDDDD"/>
          </w:tcPr>
          <w:p>
            <w:pPr>
              <w:spacing w:after="0"/>
              <w:rPr>
                <w:sz w:val="24"/>
                <w:szCs w:val="24"/>
                <w:color w:val="auto"/>
              </w:rPr>
            </w:pPr>
          </w:p>
        </w:tc>
        <w:tc>
          <w:tcPr>
            <w:tcW w:w="900" w:type="dxa"/>
            <w:vAlign w:val="bottom"/>
            <w:shd w:val="clear" w:color="auto" w:fill="DDDDDD"/>
          </w:tcPr>
          <w:p>
            <w:pPr>
              <w:jc w:val="right"/>
              <w:spacing w:after="0"/>
              <w:rPr>
                <w:sz w:val="20"/>
                <w:szCs w:val="20"/>
                <w:color w:val="auto"/>
              </w:rPr>
            </w:pPr>
            <w:r>
              <w:rPr>
                <w:rFonts w:ascii="Times New Roman" w:cs="Times New Roman" w:eastAsia="Times New Roman" w:hAnsi="Times New Roman"/>
                <w:sz w:val="20"/>
                <w:szCs w:val="20"/>
                <w:color w:val="auto"/>
              </w:rPr>
              <w:t>120,787</w:t>
            </w:r>
          </w:p>
        </w:tc>
        <w:tc>
          <w:tcPr>
            <w:tcW w:w="60" w:type="dxa"/>
            <w:vAlign w:val="bottom"/>
            <w:shd w:val="clear" w:color="auto" w:fill="DDDDDD"/>
          </w:tcPr>
          <w:p>
            <w:pPr>
              <w:spacing w:after="0"/>
              <w:rPr>
                <w:sz w:val="24"/>
                <w:szCs w:val="24"/>
                <w:color w:val="auto"/>
              </w:rPr>
            </w:pPr>
          </w:p>
        </w:tc>
        <w:tc>
          <w:tcPr>
            <w:tcW w:w="20" w:type="dxa"/>
            <w:vAlign w:val="bottom"/>
            <w:shd w:val="clear" w:color="auto" w:fill="DDDDDD"/>
          </w:tcPr>
          <w:p>
            <w:pPr>
              <w:spacing w:after="0"/>
              <w:rPr>
                <w:sz w:val="24"/>
                <w:szCs w:val="24"/>
                <w:color w:val="auto"/>
              </w:rPr>
            </w:pPr>
          </w:p>
        </w:tc>
        <w:tc>
          <w:tcPr>
            <w:tcW w:w="320" w:type="dxa"/>
            <w:vAlign w:val="bottom"/>
            <w:shd w:val="clear" w:color="auto" w:fill="DDDDDD"/>
          </w:tcPr>
          <w:p>
            <w:pPr>
              <w:spacing w:after="0"/>
              <w:rPr>
                <w:sz w:val="24"/>
                <w:szCs w:val="24"/>
                <w:color w:val="auto"/>
              </w:rPr>
            </w:pPr>
          </w:p>
        </w:tc>
        <w:tc>
          <w:tcPr>
            <w:tcW w:w="880" w:type="dxa"/>
            <w:vAlign w:val="bottom"/>
            <w:shd w:val="clear" w:color="auto" w:fill="DDDDDD"/>
          </w:tcPr>
          <w:p>
            <w:pPr>
              <w:jc w:val="right"/>
              <w:spacing w:after="0"/>
              <w:rPr>
                <w:sz w:val="20"/>
                <w:szCs w:val="20"/>
                <w:color w:val="auto"/>
              </w:rPr>
            </w:pPr>
            <w:r>
              <w:rPr>
                <w:rFonts w:ascii="Times New Roman" w:cs="Times New Roman" w:eastAsia="Times New Roman" w:hAnsi="Times New Roman"/>
                <w:sz w:val="20"/>
                <w:szCs w:val="20"/>
                <w:color w:val="auto"/>
              </w:rPr>
              <w:t>56.0 %</w:t>
            </w:r>
          </w:p>
        </w:tc>
      </w:tr>
      <w:tr>
        <w:trPr>
          <w:trHeight w:val="281"/>
        </w:trPr>
        <w:tc>
          <w:tcPr>
            <w:tcW w:w="5260" w:type="dxa"/>
            <w:vAlign w:val="bottom"/>
            <w:gridSpan w:val="2"/>
          </w:tcPr>
          <w:p>
            <w:pPr>
              <w:ind w:left="220"/>
              <w:spacing w:after="0"/>
              <w:rPr>
                <w:sz w:val="20"/>
                <w:szCs w:val="20"/>
                <w:color w:val="auto"/>
              </w:rPr>
            </w:pPr>
            <w:r>
              <w:rPr>
                <w:rFonts w:ascii="Times New Roman" w:cs="Times New Roman" w:eastAsia="Times New Roman" w:hAnsi="Times New Roman"/>
                <w:sz w:val="20"/>
                <w:szCs w:val="20"/>
                <w:color w:val="auto"/>
              </w:rPr>
              <w:t>Depreciation and amortization</w:t>
            </w:r>
          </w:p>
        </w:tc>
        <w:tc>
          <w:tcPr>
            <w:tcW w:w="300" w:type="dxa"/>
            <w:vAlign w:val="bottom"/>
          </w:tcPr>
          <w:p>
            <w:pPr>
              <w:spacing w:after="0"/>
              <w:rPr>
                <w:sz w:val="24"/>
                <w:szCs w:val="24"/>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12,133</w:t>
            </w:r>
          </w:p>
        </w:tc>
        <w:tc>
          <w:tcPr>
            <w:tcW w:w="1260" w:type="dxa"/>
            <w:vAlign w:val="bottom"/>
            <w:gridSpan w:val="3"/>
          </w:tcPr>
          <w:p>
            <w:pPr>
              <w:jc w:val="right"/>
              <w:spacing w:after="0"/>
              <w:rPr>
                <w:sz w:val="20"/>
                <w:szCs w:val="20"/>
                <w:color w:val="auto"/>
              </w:rPr>
            </w:pPr>
            <w:r>
              <w:rPr>
                <w:rFonts w:ascii="Times New Roman" w:cs="Times New Roman" w:eastAsia="Times New Roman" w:hAnsi="Times New Roman"/>
                <w:sz w:val="20"/>
                <w:szCs w:val="20"/>
                <w:color w:val="auto"/>
              </w:rPr>
              <w:t>6.5 %</w:t>
            </w: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11,498</w:t>
            </w: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5.3 %</w:t>
            </w:r>
          </w:p>
        </w:tc>
      </w:tr>
      <w:tr>
        <w:trPr>
          <w:trHeight w:val="308"/>
        </w:trPr>
        <w:tc>
          <w:tcPr>
            <w:tcW w:w="5260" w:type="dxa"/>
            <w:vAlign w:val="bottom"/>
            <w:gridSpan w:val="2"/>
            <w:shd w:val="clear" w:color="auto" w:fill="DDDDDD"/>
          </w:tcPr>
          <w:p>
            <w:pPr>
              <w:ind w:left="200"/>
              <w:spacing w:after="0"/>
              <w:rPr>
                <w:sz w:val="20"/>
                <w:szCs w:val="20"/>
                <w:color w:val="auto"/>
              </w:rPr>
            </w:pPr>
            <w:r>
              <w:rPr>
                <w:rFonts w:ascii="Times New Roman" w:cs="Times New Roman" w:eastAsia="Times New Roman" w:hAnsi="Times New Roman"/>
                <w:sz w:val="20"/>
                <w:szCs w:val="20"/>
                <w:color w:val="auto"/>
              </w:rPr>
              <w:t>Asset impairment charges</w:t>
            </w:r>
          </w:p>
        </w:tc>
        <w:tc>
          <w:tcPr>
            <w:tcW w:w="300" w:type="dxa"/>
            <w:vAlign w:val="bottom"/>
            <w:tcBorders>
              <w:bottom w:val="single" w:sz="8" w:color="auto"/>
            </w:tcBorders>
            <w:shd w:val="clear" w:color="auto" w:fill="DDDDDD"/>
          </w:tcPr>
          <w:p>
            <w:pPr>
              <w:spacing w:after="0"/>
              <w:rPr>
                <w:sz w:val="24"/>
                <w:szCs w:val="24"/>
                <w:color w:val="auto"/>
              </w:rPr>
            </w:pPr>
          </w:p>
        </w:tc>
        <w:tc>
          <w:tcPr>
            <w:tcW w:w="900" w:type="dxa"/>
            <w:vAlign w:val="bottom"/>
            <w:tcBorders>
              <w:bottom w:val="single" w:sz="8" w:color="auto"/>
            </w:tcBorders>
            <w:shd w:val="clear" w:color="auto" w:fill="DDDDDD"/>
          </w:tcPr>
          <w:p>
            <w:pPr>
              <w:jc w:val="right"/>
              <w:spacing w:after="0"/>
              <w:rPr>
                <w:sz w:val="20"/>
                <w:szCs w:val="20"/>
                <w:color w:val="auto"/>
              </w:rPr>
            </w:pPr>
            <w:r>
              <w:rPr>
                <w:rFonts w:ascii="Times New Roman" w:cs="Times New Roman" w:eastAsia="Times New Roman" w:hAnsi="Times New Roman"/>
                <w:sz w:val="20"/>
                <w:szCs w:val="20"/>
                <w:color w:val="auto"/>
              </w:rPr>
              <w:t>24,403</w:t>
            </w:r>
          </w:p>
        </w:tc>
        <w:tc>
          <w:tcPr>
            <w:tcW w:w="60" w:type="dxa"/>
            <w:vAlign w:val="bottom"/>
            <w:shd w:val="clear" w:color="auto" w:fill="DDDDDD"/>
          </w:tcPr>
          <w:p>
            <w:pPr>
              <w:spacing w:after="0"/>
              <w:rPr>
                <w:sz w:val="24"/>
                <w:szCs w:val="24"/>
                <w:color w:val="auto"/>
              </w:rPr>
            </w:pPr>
          </w:p>
        </w:tc>
        <w:tc>
          <w:tcPr>
            <w:tcW w:w="20" w:type="dxa"/>
            <w:vAlign w:val="bottom"/>
            <w:shd w:val="clear" w:color="auto" w:fill="DDDDDD"/>
          </w:tcPr>
          <w:p>
            <w:pPr>
              <w:spacing w:after="0"/>
              <w:rPr>
                <w:sz w:val="24"/>
                <w:szCs w:val="24"/>
                <w:color w:val="auto"/>
              </w:rPr>
            </w:pPr>
          </w:p>
        </w:tc>
        <w:tc>
          <w:tcPr>
            <w:tcW w:w="1180" w:type="dxa"/>
            <w:vAlign w:val="bottom"/>
            <w:tcBorders>
              <w:bottom w:val="single" w:sz="8" w:color="auto"/>
            </w:tcBorders>
            <w:shd w:val="clear" w:color="auto" w:fill="DDDDDD"/>
          </w:tcPr>
          <w:p>
            <w:pPr>
              <w:jc w:val="right"/>
              <w:spacing w:after="0"/>
              <w:rPr>
                <w:sz w:val="20"/>
                <w:szCs w:val="20"/>
                <w:color w:val="auto"/>
              </w:rPr>
            </w:pPr>
            <w:r>
              <w:rPr>
                <w:rFonts w:ascii="Times New Roman" w:cs="Times New Roman" w:eastAsia="Times New Roman" w:hAnsi="Times New Roman"/>
                <w:sz w:val="20"/>
                <w:szCs w:val="20"/>
                <w:color w:val="auto"/>
              </w:rPr>
              <w:t>13.0 %</w:t>
            </w:r>
          </w:p>
        </w:tc>
        <w:tc>
          <w:tcPr>
            <w:tcW w:w="40" w:type="dxa"/>
            <w:vAlign w:val="bottom"/>
            <w:shd w:val="clear" w:color="auto" w:fill="DDDDDD"/>
          </w:tcPr>
          <w:p>
            <w:pPr>
              <w:spacing w:after="0"/>
              <w:rPr>
                <w:sz w:val="24"/>
                <w:szCs w:val="24"/>
                <w:color w:val="auto"/>
              </w:rPr>
            </w:pPr>
          </w:p>
        </w:tc>
        <w:tc>
          <w:tcPr>
            <w:tcW w:w="20" w:type="dxa"/>
            <w:vAlign w:val="bottom"/>
            <w:shd w:val="clear" w:color="auto" w:fill="DDDDDD"/>
          </w:tcPr>
          <w:p>
            <w:pPr>
              <w:spacing w:after="0"/>
              <w:rPr>
                <w:sz w:val="24"/>
                <w:szCs w:val="24"/>
                <w:color w:val="auto"/>
              </w:rPr>
            </w:pPr>
          </w:p>
        </w:tc>
        <w:tc>
          <w:tcPr>
            <w:tcW w:w="300" w:type="dxa"/>
            <w:vAlign w:val="bottom"/>
            <w:tcBorders>
              <w:bottom w:val="single" w:sz="8" w:color="auto"/>
            </w:tcBorders>
            <w:shd w:val="clear" w:color="auto" w:fill="DDDDDD"/>
          </w:tcPr>
          <w:p>
            <w:pPr>
              <w:spacing w:after="0"/>
              <w:rPr>
                <w:sz w:val="24"/>
                <w:szCs w:val="24"/>
                <w:color w:val="auto"/>
              </w:rPr>
            </w:pPr>
          </w:p>
        </w:tc>
        <w:tc>
          <w:tcPr>
            <w:tcW w:w="900" w:type="dxa"/>
            <w:vAlign w:val="bottom"/>
            <w:tcBorders>
              <w:bottom w:val="single" w:sz="8" w:color="auto"/>
            </w:tcBorders>
            <w:shd w:val="clear" w:color="auto" w:fill="DDDDDD"/>
          </w:tcPr>
          <w:p>
            <w:pPr>
              <w:jc w:val="right"/>
              <w:spacing w:after="0"/>
              <w:rPr>
                <w:sz w:val="20"/>
                <w:szCs w:val="20"/>
                <w:color w:val="auto"/>
              </w:rPr>
            </w:pPr>
            <w:r>
              <w:rPr>
                <w:rFonts w:ascii="Times New Roman" w:cs="Times New Roman" w:eastAsia="Times New Roman" w:hAnsi="Times New Roman"/>
                <w:sz w:val="20"/>
                <w:szCs w:val="20"/>
                <w:color w:val="auto"/>
              </w:rPr>
              <w:t>4,317</w:t>
            </w:r>
          </w:p>
        </w:tc>
        <w:tc>
          <w:tcPr>
            <w:tcW w:w="60" w:type="dxa"/>
            <w:vAlign w:val="bottom"/>
            <w:shd w:val="clear" w:color="auto" w:fill="DDDDDD"/>
          </w:tcPr>
          <w:p>
            <w:pPr>
              <w:spacing w:after="0"/>
              <w:rPr>
                <w:sz w:val="24"/>
                <w:szCs w:val="24"/>
                <w:color w:val="auto"/>
              </w:rPr>
            </w:pPr>
          </w:p>
        </w:tc>
        <w:tc>
          <w:tcPr>
            <w:tcW w:w="20" w:type="dxa"/>
            <w:vAlign w:val="bottom"/>
            <w:shd w:val="clear" w:color="auto" w:fill="DDDDDD"/>
          </w:tcPr>
          <w:p>
            <w:pPr>
              <w:spacing w:after="0"/>
              <w:rPr>
                <w:sz w:val="24"/>
                <w:szCs w:val="24"/>
                <w:color w:val="auto"/>
              </w:rPr>
            </w:pPr>
          </w:p>
        </w:tc>
        <w:tc>
          <w:tcPr>
            <w:tcW w:w="320" w:type="dxa"/>
            <w:vAlign w:val="bottom"/>
            <w:tcBorders>
              <w:bottom w:val="single" w:sz="8" w:color="auto"/>
            </w:tcBorders>
            <w:shd w:val="clear" w:color="auto" w:fill="DDDDDD"/>
          </w:tcPr>
          <w:p>
            <w:pPr>
              <w:spacing w:after="0"/>
              <w:rPr>
                <w:sz w:val="24"/>
                <w:szCs w:val="24"/>
                <w:color w:val="auto"/>
              </w:rPr>
            </w:pPr>
          </w:p>
        </w:tc>
        <w:tc>
          <w:tcPr>
            <w:tcW w:w="880" w:type="dxa"/>
            <w:vAlign w:val="bottom"/>
            <w:tcBorders>
              <w:bottom w:val="single" w:sz="8" w:color="auto"/>
            </w:tcBorders>
            <w:shd w:val="clear" w:color="auto" w:fill="DDDDDD"/>
          </w:tcPr>
          <w:p>
            <w:pPr>
              <w:jc w:val="right"/>
              <w:spacing w:after="0"/>
              <w:rPr>
                <w:sz w:val="20"/>
                <w:szCs w:val="20"/>
                <w:color w:val="auto"/>
              </w:rPr>
            </w:pPr>
            <w:r>
              <w:rPr>
                <w:rFonts w:ascii="Times New Roman" w:cs="Times New Roman" w:eastAsia="Times New Roman" w:hAnsi="Times New Roman"/>
                <w:sz w:val="20"/>
                <w:szCs w:val="20"/>
                <w:color w:val="auto"/>
              </w:rPr>
              <w:t>2.0 %</w:t>
            </w:r>
          </w:p>
        </w:tc>
      </w:tr>
      <w:tr>
        <w:trPr>
          <w:trHeight w:val="241"/>
        </w:trPr>
        <w:tc>
          <w:tcPr>
            <w:tcW w:w="5260" w:type="dxa"/>
            <w:vAlign w:val="bottom"/>
            <w:tcBorders>
              <w:bottom w:val="single" w:sz="8" w:color="DDDDDD"/>
            </w:tcBorders>
            <w:gridSpan w:val="2"/>
          </w:tcPr>
          <w:p>
            <w:pPr>
              <w:ind w:left="160"/>
              <w:spacing w:after="0"/>
              <w:rPr>
                <w:sz w:val="20"/>
                <w:szCs w:val="20"/>
                <w:color w:val="auto"/>
              </w:rPr>
            </w:pPr>
            <w:r>
              <w:rPr>
                <w:rFonts w:ascii="Times New Roman" w:cs="Times New Roman" w:eastAsia="Times New Roman" w:hAnsi="Times New Roman"/>
                <w:sz w:val="20"/>
                <w:szCs w:val="20"/>
                <w:color w:val="auto"/>
              </w:rPr>
              <w:t>Total costs and expenses</w:t>
            </w:r>
          </w:p>
        </w:tc>
        <w:tc>
          <w:tcPr>
            <w:tcW w:w="30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206,450</w:t>
            </w:r>
          </w:p>
        </w:tc>
        <w:tc>
          <w:tcPr>
            <w:tcW w:w="80" w:type="dxa"/>
            <w:vAlign w:val="bottom"/>
            <w:tcBorders>
              <w:bottom w:val="single" w:sz="8" w:color="DDDDDD"/>
            </w:tcBorders>
            <w:gridSpan w:val="2"/>
          </w:tcPr>
          <w:p>
            <w:pPr>
              <w:spacing w:after="0"/>
              <w:rPr>
                <w:sz w:val="20"/>
                <w:szCs w:val="20"/>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109.8 %</w:t>
            </w:r>
          </w:p>
        </w:tc>
        <w:tc>
          <w:tcPr>
            <w:tcW w:w="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285,153</w:t>
            </w:r>
          </w:p>
        </w:tc>
        <w:tc>
          <w:tcPr>
            <w:tcW w:w="60" w:type="dxa"/>
            <w:vAlign w:val="bottom"/>
            <w:tcBorders>
              <w:bottom w:val="single" w:sz="8" w:color="DDDDDD"/>
            </w:tcBorders>
          </w:tcPr>
          <w:p>
            <w:pPr>
              <w:spacing w:after="0"/>
              <w:rPr>
                <w:sz w:val="20"/>
                <w:szCs w:val="20"/>
                <w:color w:val="auto"/>
              </w:rPr>
            </w:pPr>
          </w:p>
        </w:tc>
        <w:tc>
          <w:tcPr>
            <w:tcW w:w="20" w:type="dxa"/>
            <w:vAlign w:val="bottom"/>
            <w:tcBorders>
              <w:bottom w:val="single" w:sz="8" w:color="DDDDDD"/>
            </w:tcBorders>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132.3 %</w:t>
            </w:r>
          </w:p>
        </w:tc>
      </w:tr>
      <w:tr>
        <w:trPr>
          <w:trHeight w:val="268"/>
        </w:trPr>
        <w:tc>
          <w:tcPr>
            <w:tcW w:w="5260" w:type="dxa"/>
            <w:vAlign w:val="bottom"/>
            <w:gridSpan w:val="2"/>
            <w:shd w:val="clear" w:color="auto" w:fill="DDDDDD"/>
          </w:tcPr>
          <w:p>
            <w:pPr>
              <w:ind w:left="280"/>
              <w:spacing w:after="0"/>
              <w:rPr>
                <w:sz w:val="20"/>
                <w:szCs w:val="20"/>
                <w:color w:val="auto"/>
              </w:rPr>
            </w:pPr>
            <w:r>
              <w:rPr>
                <w:rFonts w:ascii="Times New Roman" w:cs="Times New Roman" w:eastAsia="Times New Roman" w:hAnsi="Times New Roman"/>
                <w:sz w:val="20"/>
                <w:szCs w:val="20"/>
                <w:color w:val="auto"/>
              </w:rPr>
              <w:t>Operating loss</w:t>
            </w:r>
          </w:p>
        </w:tc>
        <w:tc>
          <w:tcPr>
            <w:tcW w:w="300" w:type="dxa"/>
            <w:vAlign w:val="bottom"/>
            <w:shd w:val="clear" w:color="auto" w:fill="DDDDDD"/>
          </w:tcPr>
          <w:p>
            <w:pPr>
              <w:spacing w:after="0"/>
              <w:rPr>
                <w:sz w:val="23"/>
                <w:szCs w:val="23"/>
                <w:color w:val="auto"/>
              </w:rPr>
            </w:pPr>
          </w:p>
        </w:tc>
        <w:tc>
          <w:tcPr>
            <w:tcW w:w="900" w:type="dxa"/>
            <w:vAlign w:val="bottom"/>
            <w:shd w:val="clear" w:color="auto" w:fill="DDDDDD"/>
          </w:tcPr>
          <w:p>
            <w:pPr>
              <w:jc w:val="right"/>
              <w:spacing w:after="0"/>
              <w:rPr>
                <w:sz w:val="20"/>
                <w:szCs w:val="20"/>
                <w:color w:val="auto"/>
              </w:rPr>
            </w:pPr>
            <w:r>
              <w:rPr>
                <w:rFonts w:ascii="Times New Roman" w:cs="Times New Roman" w:eastAsia="Times New Roman" w:hAnsi="Times New Roman"/>
                <w:sz w:val="20"/>
                <w:szCs w:val="20"/>
                <w:color w:val="auto"/>
              </w:rPr>
              <w:t>(18,457)</w:t>
            </w:r>
          </w:p>
        </w:tc>
        <w:tc>
          <w:tcPr>
            <w:tcW w:w="1260" w:type="dxa"/>
            <w:vAlign w:val="bottom"/>
            <w:gridSpan w:val="3"/>
            <w:shd w:val="clear" w:color="auto" w:fill="DDDDDD"/>
          </w:tcPr>
          <w:p>
            <w:pPr>
              <w:jc w:val="right"/>
              <w:spacing w:after="0"/>
              <w:rPr>
                <w:sz w:val="20"/>
                <w:szCs w:val="20"/>
                <w:color w:val="auto"/>
              </w:rPr>
            </w:pPr>
            <w:r>
              <w:rPr>
                <w:rFonts w:ascii="Times New Roman" w:cs="Times New Roman" w:eastAsia="Times New Roman" w:hAnsi="Times New Roman"/>
                <w:sz w:val="20"/>
                <w:szCs w:val="20"/>
                <w:color w:val="auto"/>
              </w:rPr>
              <w:t>(9.8)%</w:t>
            </w:r>
          </w:p>
        </w:tc>
        <w:tc>
          <w:tcPr>
            <w:tcW w:w="40" w:type="dxa"/>
            <w:vAlign w:val="bottom"/>
            <w:shd w:val="clear" w:color="auto" w:fill="DDDDDD"/>
          </w:tcPr>
          <w:p>
            <w:pPr>
              <w:spacing w:after="0"/>
              <w:rPr>
                <w:sz w:val="23"/>
                <w:szCs w:val="23"/>
                <w:color w:val="auto"/>
              </w:rPr>
            </w:pPr>
          </w:p>
        </w:tc>
        <w:tc>
          <w:tcPr>
            <w:tcW w:w="20" w:type="dxa"/>
            <w:vAlign w:val="bottom"/>
            <w:shd w:val="clear" w:color="auto" w:fill="DDDDDD"/>
          </w:tcPr>
          <w:p>
            <w:pPr>
              <w:spacing w:after="0"/>
              <w:rPr>
                <w:sz w:val="23"/>
                <w:szCs w:val="23"/>
                <w:color w:val="auto"/>
              </w:rPr>
            </w:pPr>
          </w:p>
        </w:tc>
        <w:tc>
          <w:tcPr>
            <w:tcW w:w="300" w:type="dxa"/>
            <w:vAlign w:val="bottom"/>
            <w:shd w:val="clear" w:color="auto" w:fill="DDDDDD"/>
          </w:tcPr>
          <w:p>
            <w:pPr>
              <w:spacing w:after="0"/>
              <w:rPr>
                <w:sz w:val="23"/>
                <w:szCs w:val="23"/>
                <w:color w:val="auto"/>
              </w:rPr>
            </w:pPr>
          </w:p>
        </w:tc>
        <w:tc>
          <w:tcPr>
            <w:tcW w:w="900" w:type="dxa"/>
            <w:vAlign w:val="bottom"/>
            <w:shd w:val="clear" w:color="auto" w:fill="DDDDDD"/>
          </w:tcPr>
          <w:p>
            <w:pPr>
              <w:jc w:val="right"/>
              <w:spacing w:after="0"/>
              <w:rPr>
                <w:sz w:val="20"/>
                <w:szCs w:val="20"/>
                <w:color w:val="auto"/>
              </w:rPr>
            </w:pPr>
            <w:r>
              <w:rPr>
                <w:rFonts w:ascii="Times New Roman" w:cs="Times New Roman" w:eastAsia="Times New Roman" w:hAnsi="Times New Roman"/>
                <w:sz w:val="20"/>
                <w:szCs w:val="20"/>
                <w:color w:val="auto"/>
              </w:rPr>
              <w:t>(69,622)</w:t>
            </w:r>
          </w:p>
        </w:tc>
        <w:tc>
          <w:tcPr>
            <w:tcW w:w="60" w:type="dxa"/>
            <w:vAlign w:val="bottom"/>
            <w:shd w:val="clear" w:color="auto" w:fill="DDDDDD"/>
          </w:tcPr>
          <w:p>
            <w:pPr>
              <w:spacing w:after="0"/>
              <w:rPr>
                <w:sz w:val="23"/>
                <w:szCs w:val="23"/>
                <w:color w:val="auto"/>
              </w:rPr>
            </w:pPr>
          </w:p>
        </w:tc>
        <w:tc>
          <w:tcPr>
            <w:tcW w:w="20" w:type="dxa"/>
            <w:vAlign w:val="bottom"/>
            <w:shd w:val="clear" w:color="auto" w:fill="DDDDDD"/>
          </w:tcPr>
          <w:p>
            <w:pPr>
              <w:spacing w:after="0"/>
              <w:rPr>
                <w:sz w:val="23"/>
                <w:szCs w:val="23"/>
                <w:color w:val="auto"/>
              </w:rPr>
            </w:pPr>
          </w:p>
        </w:tc>
        <w:tc>
          <w:tcPr>
            <w:tcW w:w="320" w:type="dxa"/>
            <w:vAlign w:val="bottom"/>
            <w:shd w:val="clear" w:color="auto" w:fill="DDDDDD"/>
          </w:tcPr>
          <w:p>
            <w:pPr>
              <w:spacing w:after="0"/>
              <w:rPr>
                <w:sz w:val="23"/>
                <w:szCs w:val="23"/>
                <w:color w:val="auto"/>
              </w:rPr>
            </w:pPr>
          </w:p>
        </w:tc>
        <w:tc>
          <w:tcPr>
            <w:tcW w:w="880" w:type="dxa"/>
            <w:vAlign w:val="bottom"/>
            <w:shd w:val="clear" w:color="auto" w:fill="DDDDDD"/>
          </w:tcPr>
          <w:p>
            <w:pPr>
              <w:jc w:val="right"/>
              <w:spacing w:after="0"/>
              <w:rPr>
                <w:sz w:val="20"/>
                <w:szCs w:val="20"/>
                <w:color w:val="auto"/>
              </w:rPr>
            </w:pPr>
            <w:r>
              <w:rPr>
                <w:rFonts w:ascii="Times New Roman" w:cs="Times New Roman" w:eastAsia="Times New Roman" w:hAnsi="Times New Roman"/>
                <w:sz w:val="20"/>
                <w:szCs w:val="20"/>
                <w:color w:val="auto"/>
              </w:rPr>
              <w:t>(32.3)%</w:t>
            </w:r>
          </w:p>
        </w:tc>
      </w:tr>
      <w:tr>
        <w:trPr>
          <w:trHeight w:val="288"/>
        </w:trPr>
        <w:tc>
          <w:tcPr>
            <w:tcW w:w="5260" w:type="dxa"/>
            <w:vAlign w:val="bottom"/>
            <w:gridSpan w:val="2"/>
          </w:tcPr>
          <w:p>
            <w:pPr>
              <w:ind w:left="40"/>
              <w:spacing w:after="0"/>
              <w:rPr>
                <w:sz w:val="20"/>
                <w:szCs w:val="20"/>
                <w:color w:val="auto"/>
              </w:rPr>
            </w:pPr>
            <w:r>
              <w:rPr>
                <w:rFonts w:ascii="Times New Roman" w:cs="Times New Roman" w:eastAsia="Times New Roman" w:hAnsi="Times New Roman"/>
                <w:sz w:val="20"/>
                <w:szCs w:val="20"/>
                <w:color w:val="auto"/>
              </w:rPr>
              <w:t>Other income (expense), net:</w:t>
            </w:r>
          </w:p>
        </w:tc>
        <w:tc>
          <w:tcPr>
            <w:tcW w:w="30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880" w:type="dxa"/>
            <w:vAlign w:val="bottom"/>
          </w:tcPr>
          <w:p>
            <w:pPr>
              <w:spacing w:after="0"/>
              <w:rPr>
                <w:sz w:val="24"/>
                <w:szCs w:val="24"/>
                <w:color w:val="auto"/>
              </w:rPr>
            </w:pPr>
          </w:p>
        </w:tc>
      </w:tr>
      <w:tr>
        <w:trPr>
          <w:trHeight w:val="281"/>
        </w:trPr>
        <w:tc>
          <w:tcPr>
            <w:tcW w:w="5260" w:type="dxa"/>
            <w:vAlign w:val="bottom"/>
            <w:gridSpan w:val="2"/>
            <w:shd w:val="clear" w:color="auto" w:fill="DDDDDD"/>
          </w:tcPr>
          <w:p>
            <w:pPr>
              <w:ind w:left="220"/>
              <w:spacing w:after="0"/>
              <w:rPr>
                <w:sz w:val="20"/>
                <w:szCs w:val="20"/>
                <w:color w:val="auto"/>
              </w:rPr>
            </w:pPr>
            <w:r>
              <w:rPr>
                <w:rFonts w:ascii="Times New Roman" w:cs="Times New Roman" w:eastAsia="Times New Roman" w:hAnsi="Times New Roman"/>
                <w:sz w:val="20"/>
                <w:szCs w:val="20"/>
                <w:color w:val="auto"/>
              </w:rPr>
              <w:t>Change in fair value of warrant liability</w:t>
            </w:r>
          </w:p>
        </w:tc>
        <w:tc>
          <w:tcPr>
            <w:tcW w:w="300" w:type="dxa"/>
            <w:vAlign w:val="bottom"/>
            <w:shd w:val="clear" w:color="auto" w:fill="DDDDDD"/>
          </w:tcPr>
          <w:p>
            <w:pPr>
              <w:spacing w:after="0"/>
              <w:rPr>
                <w:sz w:val="24"/>
                <w:szCs w:val="24"/>
                <w:color w:val="auto"/>
              </w:rPr>
            </w:pPr>
          </w:p>
        </w:tc>
        <w:tc>
          <w:tcPr>
            <w:tcW w:w="900" w:type="dxa"/>
            <w:vAlign w:val="bottom"/>
            <w:shd w:val="clear" w:color="auto" w:fill="DDDDDD"/>
          </w:tcPr>
          <w:p>
            <w:pPr>
              <w:jc w:val="right"/>
              <w:spacing w:after="0"/>
              <w:rPr>
                <w:sz w:val="20"/>
                <w:szCs w:val="20"/>
                <w:color w:val="auto"/>
              </w:rPr>
            </w:pPr>
            <w:r>
              <w:rPr>
                <w:rFonts w:ascii="Times New Roman" w:cs="Times New Roman" w:eastAsia="Times New Roman" w:hAnsi="Times New Roman"/>
                <w:sz w:val="20"/>
                <w:szCs w:val="20"/>
                <w:color w:val="auto"/>
              </w:rPr>
              <w:t>1,505</w:t>
            </w:r>
          </w:p>
        </w:tc>
        <w:tc>
          <w:tcPr>
            <w:tcW w:w="60" w:type="dxa"/>
            <w:vAlign w:val="bottom"/>
            <w:shd w:val="clear" w:color="auto" w:fill="DDDDDD"/>
          </w:tcPr>
          <w:p>
            <w:pPr>
              <w:spacing w:after="0"/>
              <w:rPr>
                <w:sz w:val="24"/>
                <w:szCs w:val="24"/>
                <w:color w:val="auto"/>
              </w:rPr>
            </w:pPr>
          </w:p>
        </w:tc>
        <w:tc>
          <w:tcPr>
            <w:tcW w:w="20" w:type="dxa"/>
            <w:vAlign w:val="bottom"/>
            <w:shd w:val="clear" w:color="auto" w:fill="DDDDDD"/>
          </w:tcPr>
          <w:p>
            <w:pPr>
              <w:spacing w:after="0"/>
              <w:rPr>
                <w:sz w:val="24"/>
                <w:szCs w:val="24"/>
                <w:color w:val="auto"/>
              </w:rPr>
            </w:pPr>
          </w:p>
        </w:tc>
        <w:tc>
          <w:tcPr>
            <w:tcW w:w="1180" w:type="dxa"/>
            <w:vAlign w:val="bottom"/>
            <w:shd w:val="clear" w:color="auto" w:fill="DDDDDD"/>
          </w:tcPr>
          <w:p>
            <w:pPr>
              <w:jc w:val="right"/>
              <w:spacing w:after="0"/>
              <w:rPr>
                <w:sz w:val="20"/>
                <w:szCs w:val="20"/>
                <w:color w:val="auto"/>
              </w:rPr>
            </w:pPr>
            <w:r>
              <w:rPr>
                <w:rFonts w:ascii="Times New Roman" w:cs="Times New Roman" w:eastAsia="Times New Roman" w:hAnsi="Times New Roman"/>
                <w:sz w:val="20"/>
                <w:szCs w:val="20"/>
                <w:color w:val="auto"/>
              </w:rPr>
              <w:t>0.8 %</w:t>
            </w:r>
          </w:p>
        </w:tc>
        <w:tc>
          <w:tcPr>
            <w:tcW w:w="40" w:type="dxa"/>
            <w:vAlign w:val="bottom"/>
            <w:shd w:val="clear" w:color="auto" w:fill="DDDDDD"/>
          </w:tcPr>
          <w:p>
            <w:pPr>
              <w:spacing w:after="0"/>
              <w:rPr>
                <w:sz w:val="24"/>
                <w:szCs w:val="24"/>
                <w:color w:val="auto"/>
              </w:rPr>
            </w:pPr>
          </w:p>
        </w:tc>
        <w:tc>
          <w:tcPr>
            <w:tcW w:w="20" w:type="dxa"/>
            <w:vAlign w:val="bottom"/>
            <w:shd w:val="clear" w:color="auto" w:fill="DDDDDD"/>
          </w:tcPr>
          <w:p>
            <w:pPr>
              <w:spacing w:after="0"/>
              <w:rPr>
                <w:sz w:val="24"/>
                <w:szCs w:val="24"/>
                <w:color w:val="auto"/>
              </w:rPr>
            </w:pPr>
          </w:p>
        </w:tc>
        <w:tc>
          <w:tcPr>
            <w:tcW w:w="300" w:type="dxa"/>
            <w:vAlign w:val="bottom"/>
            <w:shd w:val="clear" w:color="auto" w:fill="DDDDDD"/>
          </w:tcPr>
          <w:p>
            <w:pPr>
              <w:spacing w:after="0"/>
              <w:rPr>
                <w:sz w:val="24"/>
                <w:szCs w:val="24"/>
                <w:color w:val="auto"/>
              </w:rPr>
            </w:pPr>
          </w:p>
        </w:tc>
        <w:tc>
          <w:tcPr>
            <w:tcW w:w="900" w:type="dxa"/>
            <w:vAlign w:val="bottom"/>
            <w:shd w:val="clear" w:color="auto" w:fill="DDDDDD"/>
          </w:tcPr>
          <w:p>
            <w:pPr>
              <w:jc w:val="right"/>
              <w:spacing w:after="0"/>
              <w:rPr>
                <w:sz w:val="20"/>
                <w:szCs w:val="20"/>
                <w:color w:val="auto"/>
              </w:rPr>
            </w:pPr>
            <w:r>
              <w:rPr>
                <w:rFonts w:ascii="Times New Roman" w:cs="Times New Roman" w:eastAsia="Times New Roman" w:hAnsi="Times New Roman"/>
                <w:sz w:val="20"/>
                <w:szCs w:val="20"/>
                <w:color w:val="auto"/>
              </w:rPr>
              <w:t>25,370</w:t>
            </w:r>
          </w:p>
        </w:tc>
        <w:tc>
          <w:tcPr>
            <w:tcW w:w="60" w:type="dxa"/>
            <w:vAlign w:val="bottom"/>
            <w:shd w:val="clear" w:color="auto" w:fill="DDDDDD"/>
          </w:tcPr>
          <w:p>
            <w:pPr>
              <w:spacing w:after="0"/>
              <w:rPr>
                <w:sz w:val="24"/>
                <w:szCs w:val="24"/>
                <w:color w:val="auto"/>
              </w:rPr>
            </w:pPr>
          </w:p>
        </w:tc>
        <w:tc>
          <w:tcPr>
            <w:tcW w:w="20" w:type="dxa"/>
            <w:vAlign w:val="bottom"/>
            <w:shd w:val="clear" w:color="auto" w:fill="DDDDDD"/>
          </w:tcPr>
          <w:p>
            <w:pPr>
              <w:spacing w:after="0"/>
              <w:rPr>
                <w:sz w:val="24"/>
                <w:szCs w:val="24"/>
                <w:color w:val="auto"/>
              </w:rPr>
            </w:pPr>
          </w:p>
        </w:tc>
        <w:tc>
          <w:tcPr>
            <w:tcW w:w="320" w:type="dxa"/>
            <w:vAlign w:val="bottom"/>
            <w:shd w:val="clear" w:color="auto" w:fill="DDDDDD"/>
          </w:tcPr>
          <w:p>
            <w:pPr>
              <w:spacing w:after="0"/>
              <w:rPr>
                <w:sz w:val="24"/>
                <w:szCs w:val="24"/>
                <w:color w:val="auto"/>
              </w:rPr>
            </w:pPr>
          </w:p>
        </w:tc>
        <w:tc>
          <w:tcPr>
            <w:tcW w:w="880" w:type="dxa"/>
            <w:vAlign w:val="bottom"/>
            <w:shd w:val="clear" w:color="auto" w:fill="DDDDDD"/>
          </w:tcPr>
          <w:p>
            <w:pPr>
              <w:jc w:val="right"/>
              <w:spacing w:after="0"/>
              <w:rPr>
                <w:sz w:val="20"/>
                <w:szCs w:val="20"/>
                <w:color w:val="auto"/>
              </w:rPr>
            </w:pPr>
            <w:r>
              <w:rPr>
                <w:rFonts w:ascii="Times New Roman" w:cs="Times New Roman" w:eastAsia="Times New Roman" w:hAnsi="Times New Roman"/>
                <w:sz w:val="20"/>
                <w:szCs w:val="20"/>
                <w:color w:val="auto"/>
              </w:rPr>
              <w:t>11.8 %</w:t>
            </w:r>
          </w:p>
        </w:tc>
      </w:tr>
      <w:tr>
        <w:trPr>
          <w:trHeight w:val="288"/>
        </w:trPr>
        <w:tc>
          <w:tcPr>
            <w:tcW w:w="5260" w:type="dxa"/>
            <w:vAlign w:val="bottom"/>
            <w:gridSpan w:val="2"/>
          </w:tcPr>
          <w:p>
            <w:pPr>
              <w:ind w:left="220"/>
              <w:spacing w:after="0"/>
              <w:rPr>
                <w:sz w:val="20"/>
                <w:szCs w:val="20"/>
                <w:color w:val="auto"/>
              </w:rPr>
            </w:pPr>
            <w:r>
              <w:rPr>
                <w:rFonts w:ascii="Times New Roman" w:cs="Times New Roman" w:eastAsia="Times New Roman" w:hAnsi="Times New Roman"/>
                <w:sz w:val="20"/>
                <w:szCs w:val="20"/>
                <w:color w:val="auto"/>
              </w:rPr>
              <w:t>Change in tax receivable agreement liability</w:t>
            </w:r>
          </w:p>
        </w:tc>
        <w:tc>
          <w:tcPr>
            <w:tcW w:w="300" w:type="dxa"/>
            <w:vAlign w:val="bottom"/>
          </w:tcPr>
          <w:p>
            <w:pPr>
              <w:spacing w:after="0"/>
              <w:rPr>
                <w:sz w:val="24"/>
                <w:szCs w:val="24"/>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(1,256)</w:t>
            </w:r>
          </w:p>
        </w:tc>
        <w:tc>
          <w:tcPr>
            <w:tcW w:w="1260" w:type="dxa"/>
            <w:vAlign w:val="bottom"/>
            <w:gridSpan w:val="3"/>
          </w:tcPr>
          <w:p>
            <w:pPr>
              <w:jc w:val="right"/>
              <w:spacing w:after="0"/>
              <w:rPr>
                <w:sz w:val="20"/>
                <w:szCs w:val="20"/>
                <w:color w:val="auto"/>
              </w:rPr>
            </w:pPr>
            <w:r>
              <w:rPr>
                <w:rFonts w:ascii="Times New Roman" w:cs="Times New Roman" w:eastAsia="Times New Roman" w:hAnsi="Times New Roman"/>
                <w:sz w:val="20"/>
                <w:szCs w:val="20"/>
                <w:color w:val="auto"/>
              </w:rPr>
              <w:t>(0.7)%</w:t>
            </w: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142,352</w:t>
            </w: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66.0 %</w:t>
            </w:r>
          </w:p>
        </w:tc>
      </w:tr>
      <w:tr>
        <w:trPr>
          <w:trHeight w:val="281"/>
        </w:trPr>
        <w:tc>
          <w:tcPr>
            <w:tcW w:w="5260" w:type="dxa"/>
            <w:vAlign w:val="bottom"/>
            <w:tcBorders>
              <w:bottom w:val="single" w:sz="8" w:color="DDDDDD"/>
            </w:tcBorders>
            <w:gridSpan w:val="2"/>
            <w:shd w:val="clear" w:color="auto" w:fill="DDDDDD"/>
          </w:tcPr>
          <w:p>
            <w:pPr>
              <w:ind w:left="220"/>
              <w:spacing w:after="0"/>
              <w:rPr>
                <w:sz w:val="20"/>
                <w:szCs w:val="20"/>
                <w:color w:val="auto"/>
              </w:rPr>
            </w:pPr>
            <w:r>
              <w:rPr>
                <w:rFonts w:ascii="Times New Roman" w:cs="Times New Roman" w:eastAsia="Times New Roman" w:hAnsi="Times New Roman"/>
                <w:sz w:val="20"/>
                <w:szCs w:val="20"/>
                <w:color w:val="auto"/>
              </w:rPr>
              <w:t>Other income (expense)</w:t>
            </w:r>
          </w:p>
        </w:tc>
        <w:tc>
          <w:tcPr>
            <w:tcW w:w="300" w:type="dxa"/>
            <w:vAlign w:val="bottom"/>
            <w:tcBorders>
              <w:bottom w:val="single" w:sz="8" w:color="auto"/>
            </w:tcBorders>
            <w:shd w:val="clear" w:color="auto" w:fill="DDDDDD"/>
          </w:tcPr>
          <w:p>
            <w:pPr>
              <w:spacing w:after="0"/>
              <w:rPr>
                <w:sz w:val="24"/>
                <w:szCs w:val="24"/>
                <w:color w:val="auto"/>
              </w:rPr>
            </w:pPr>
          </w:p>
        </w:tc>
        <w:tc>
          <w:tcPr>
            <w:tcW w:w="900" w:type="dxa"/>
            <w:vAlign w:val="bottom"/>
            <w:tcBorders>
              <w:bottom w:val="single" w:sz="8" w:color="auto"/>
            </w:tcBorders>
            <w:shd w:val="clear" w:color="auto" w:fill="DDDDDD"/>
          </w:tcPr>
          <w:p>
            <w:pPr>
              <w:jc w:val="right"/>
              <w:spacing w:after="0"/>
              <w:rPr>
                <w:sz w:val="20"/>
                <w:szCs w:val="20"/>
                <w:color w:val="auto"/>
              </w:rPr>
            </w:pPr>
            <w:r>
              <w:rPr>
                <w:rFonts w:ascii="Times New Roman" w:cs="Times New Roman" w:eastAsia="Times New Roman" w:hAnsi="Times New Roman"/>
                <w:sz w:val="20"/>
                <w:szCs w:val="20"/>
                <w:color w:val="auto"/>
              </w:rPr>
              <w:t>2,574</w:t>
            </w:r>
          </w:p>
        </w:tc>
        <w:tc>
          <w:tcPr>
            <w:tcW w:w="60" w:type="dxa"/>
            <w:vAlign w:val="bottom"/>
            <w:tcBorders>
              <w:bottom w:val="single" w:sz="8" w:color="DDDDDD"/>
            </w:tcBorders>
            <w:shd w:val="clear" w:color="auto" w:fill="DDDDDD"/>
          </w:tcPr>
          <w:p>
            <w:pPr>
              <w:spacing w:after="0"/>
              <w:rPr>
                <w:sz w:val="24"/>
                <w:szCs w:val="24"/>
                <w:color w:val="auto"/>
              </w:rPr>
            </w:pPr>
          </w:p>
        </w:tc>
        <w:tc>
          <w:tcPr>
            <w:tcW w:w="20" w:type="dxa"/>
            <w:vAlign w:val="bottom"/>
            <w:tcBorders>
              <w:bottom w:val="single" w:sz="8" w:color="DDDDDD"/>
            </w:tcBorders>
            <w:shd w:val="clear" w:color="auto" w:fill="DDDDDD"/>
          </w:tcPr>
          <w:p>
            <w:pPr>
              <w:spacing w:after="0"/>
              <w:rPr>
                <w:sz w:val="24"/>
                <w:szCs w:val="24"/>
                <w:color w:val="auto"/>
              </w:rPr>
            </w:pPr>
          </w:p>
        </w:tc>
        <w:tc>
          <w:tcPr>
            <w:tcW w:w="1180" w:type="dxa"/>
            <w:vAlign w:val="bottom"/>
            <w:tcBorders>
              <w:bottom w:val="single" w:sz="8" w:color="auto"/>
            </w:tcBorders>
            <w:shd w:val="clear" w:color="auto" w:fill="DDDDDD"/>
          </w:tcPr>
          <w:p>
            <w:pPr>
              <w:jc w:val="right"/>
              <w:spacing w:after="0"/>
              <w:rPr>
                <w:sz w:val="20"/>
                <w:szCs w:val="20"/>
                <w:color w:val="auto"/>
              </w:rPr>
            </w:pPr>
            <w:r>
              <w:rPr>
                <w:rFonts w:ascii="Times New Roman" w:cs="Times New Roman" w:eastAsia="Times New Roman" w:hAnsi="Times New Roman"/>
                <w:sz w:val="20"/>
                <w:szCs w:val="20"/>
                <w:color w:val="auto"/>
              </w:rPr>
              <w:t>1.4 %</w:t>
            </w:r>
          </w:p>
        </w:tc>
        <w:tc>
          <w:tcPr>
            <w:tcW w:w="40" w:type="dxa"/>
            <w:vAlign w:val="bottom"/>
            <w:tcBorders>
              <w:bottom w:val="single" w:sz="8" w:color="DDDDDD"/>
            </w:tcBorders>
            <w:shd w:val="clear" w:color="auto" w:fill="DDDDDD"/>
          </w:tcPr>
          <w:p>
            <w:pPr>
              <w:spacing w:after="0"/>
              <w:rPr>
                <w:sz w:val="24"/>
                <w:szCs w:val="24"/>
                <w:color w:val="auto"/>
              </w:rPr>
            </w:pPr>
          </w:p>
        </w:tc>
        <w:tc>
          <w:tcPr>
            <w:tcW w:w="20" w:type="dxa"/>
            <w:vAlign w:val="bottom"/>
            <w:tcBorders>
              <w:bottom w:val="single" w:sz="8" w:color="DDDDDD"/>
            </w:tcBorders>
            <w:shd w:val="clear" w:color="auto" w:fill="DDDDDD"/>
          </w:tcPr>
          <w:p>
            <w:pPr>
              <w:spacing w:after="0"/>
              <w:rPr>
                <w:sz w:val="24"/>
                <w:szCs w:val="24"/>
                <w:color w:val="auto"/>
              </w:rPr>
            </w:pPr>
          </w:p>
        </w:tc>
        <w:tc>
          <w:tcPr>
            <w:tcW w:w="300" w:type="dxa"/>
            <w:vAlign w:val="bottom"/>
            <w:tcBorders>
              <w:bottom w:val="single" w:sz="8" w:color="auto"/>
            </w:tcBorders>
            <w:shd w:val="clear" w:color="auto" w:fill="DDDDDD"/>
          </w:tcPr>
          <w:p>
            <w:pPr>
              <w:spacing w:after="0"/>
              <w:rPr>
                <w:sz w:val="24"/>
                <w:szCs w:val="24"/>
                <w:color w:val="auto"/>
              </w:rPr>
            </w:pPr>
          </w:p>
        </w:tc>
        <w:tc>
          <w:tcPr>
            <w:tcW w:w="900" w:type="dxa"/>
            <w:vAlign w:val="bottom"/>
            <w:tcBorders>
              <w:bottom w:val="single" w:sz="8" w:color="auto"/>
            </w:tcBorders>
            <w:shd w:val="clear" w:color="auto" w:fill="DDDDDD"/>
          </w:tcPr>
          <w:p>
            <w:pPr>
              <w:jc w:val="right"/>
              <w:spacing w:after="0"/>
              <w:rPr>
                <w:sz w:val="20"/>
                <w:szCs w:val="20"/>
                <w:color w:val="auto"/>
              </w:rPr>
            </w:pPr>
            <w:r>
              <w:rPr>
                <w:rFonts w:ascii="Times New Roman" w:cs="Times New Roman" w:eastAsia="Times New Roman" w:hAnsi="Times New Roman"/>
                <w:sz w:val="20"/>
                <w:szCs w:val="20"/>
                <w:color w:val="auto"/>
              </w:rPr>
              <w:t>(1,674)</w:t>
            </w:r>
          </w:p>
        </w:tc>
        <w:tc>
          <w:tcPr>
            <w:tcW w:w="60" w:type="dxa"/>
            <w:vAlign w:val="bottom"/>
            <w:tcBorders>
              <w:bottom w:val="single" w:sz="8" w:color="DDDDDD"/>
            </w:tcBorders>
            <w:shd w:val="clear" w:color="auto" w:fill="DDDDDD"/>
          </w:tcPr>
          <w:p>
            <w:pPr>
              <w:spacing w:after="0"/>
              <w:rPr>
                <w:sz w:val="24"/>
                <w:szCs w:val="24"/>
                <w:color w:val="auto"/>
              </w:rPr>
            </w:pPr>
          </w:p>
        </w:tc>
        <w:tc>
          <w:tcPr>
            <w:tcW w:w="20" w:type="dxa"/>
            <w:vAlign w:val="bottom"/>
            <w:tcBorders>
              <w:bottom w:val="single" w:sz="8" w:color="DDDDDD"/>
            </w:tcBorders>
            <w:shd w:val="clear" w:color="auto" w:fill="DDDDDD"/>
          </w:tcPr>
          <w:p>
            <w:pPr>
              <w:spacing w:after="0"/>
              <w:rPr>
                <w:sz w:val="24"/>
                <w:szCs w:val="24"/>
                <w:color w:val="auto"/>
              </w:rPr>
            </w:pPr>
          </w:p>
        </w:tc>
        <w:tc>
          <w:tcPr>
            <w:tcW w:w="320" w:type="dxa"/>
            <w:vAlign w:val="bottom"/>
            <w:tcBorders>
              <w:bottom w:val="single" w:sz="8" w:color="auto"/>
            </w:tcBorders>
            <w:shd w:val="clear" w:color="auto" w:fill="DDDDDD"/>
          </w:tcPr>
          <w:p>
            <w:pPr>
              <w:spacing w:after="0"/>
              <w:rPr>
                <w:sz w:val="24"/>
                <w:szCs w:val="24"/>
                <w:color w:val="auto"/>
              </w:rPr>
            </w:pPr>
          </w:p>
        </w:tc>
        <w:tc>
          <w:tcPr>
            <w:tcW w:w="880" w:type="dxa"/>
            <w:vAlign w:val="bottom"/>
            <w:tcBorders>
              <w:bottom w:val="single" w:sz="8" w:color="auto"/>
            </w:tcBorders>
            <w:shd w:val="clear" w:color="auto" w:fill="DDDDDD"/>
          </w:tcPr>
          <w:p>
            <w:pPr>
              <w:jc w:val="right"/>
              <w:spacing w:after="0"/>
              <w:rPr>
                <w:sz w:val="20"/>
                <w:szCs w:val="20"/>
                <w:color w:val="auto"/>
              </w:rPr>
            </w:pPr>
            <w:r>
              <w:rPr>
                <w:rFonts w:ascii="Times New Roman" w:cs="Times New Roman" w:eastAsia="Times New Roman" w:hAnsi="Times New Roman"/>
                <w:sz w:val="20"/>
                <w:szCs w:val="20"/>
                <w:color w:val="auto"/>
              </w:rPr>
              <w:t>(0.8)%</w:t>
            </w:r>
          </w:p>
        </w:tc>
      </w:tr>
      <w:tr>
        <w:trPr>
          <w:trHeight w:val="268"/>
        </w:trPr>
        <w:tc>
          <w:tcPr>
            <w:tcW w:w="5260" w:type="dxa"/>
            <w:vAlign w:val="bottom"/>
            <w:gridSpan w:val="2"/>
          </w:tcPr>
          <w:p>
            <w:pPr>
              <w:ind w:left="280"/>
              <w:spacing w:after="0"/>
              <w:rPr>
                <w:sz w:val="20"/>
                <w:szCs w:val="20"/>
                <w:color w:val="auto"/>
              </w:rPr>
            </w:pPr>
            <w:r>
              <w:rPr>
                <w:rFonts w:ascii="Times New Roman" w:cs="Times New Roman" w:eastAsia="Times New Roman" w:hAnsi="Times New Roman"/>
                <w:sz w:val="20"/>
                <w:szCs w:val="20"/>
                <w:color w:val="auto"/>
              </w:rPr>
              <w:t>Income (loss) before income taxes</w:t>
            </w:r>
          </w:p>
        </w:tc>
        <w:tc>
          <w:tcPr>
            <w:tcW w:w="300" w:type="dxa"/>
            <w:vAlign w:val="bottom"/>
          </w:tcPr>
          <w:p>
            <w:pPr>
              <w:spacing w:after="0"/>
              <w:rPr>
                <w:sz w:val="23"/>
                <w:szCs w:val="23"/>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(15,634)</w:t>
            </w:r>
          </w:p>
        </w:tc>
        <w:tc>
          <w:tcPr>
            <w:tcW w:w="1260" w:type="dxa"/>
            <w:vAlign w:val="bottom"/>
            <w:gridSpan w:val="3"/>
          </w:tcPr>
          <w:p>
            <w:pPr>
              <w:jc w:val="right"/>
              <w:spacing w:after="0"/>
              <w:rPr>
                <w:sz w:val="20"/>
                <w:szCs w:val="20"/>
                <w:color w:val="auto"/>
              </w:rPr>
            </w:pPr>
            <w:r>
              <w:rPr>
                <w:rFonts w:ascii="Times New Roman" w:cs="Times New Roman" w:eastAsia="Times New Roman" w:hAnsi="Times New Roman"/>
                <w:sz w:val="20"/>
                <w:szCs w:val="20"/>
                <w:color w:val="auto"/>
              </w:rPr>
              <w:t>(8.3)%</w:t>
            </w:r>
          </w:p>
        </w:tc>
        <w:tc>
          <w:tcPr>
            <w:tcW w:w="4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96,426</w:t>
            </w:r>
          </w:p>
        </w:tc>
        <w:tc>
          <w:tcPr>
            <w:tcW w:w="6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44.7 %</w:t>
            </w:r>
          </w:p>
        </w:tc>
      </w:tr>
      <w:tr>
        <w:trPr>
          <w:trHeight w:val="288"/>
        </w:trPr>
        <w:tc>
          <w:tcPr>
            <w:tcW w:w="5260" w:type="dxa"/>
            <w:vAlign w:val="bottom"/>
            <w:gridSpan w:val="2"/>
            <w:shd w:val="clear" w:color="auto" w:fill="DDDDDD"/>
          </w:tcPr>
          <w:p>
            <w:pPr>
              <w:ind w:left="40"/>
              <w:spacing w:after="0"/>
              <w:rPr>
                <w:sz w:val="20"/>
                <w:szCs w:val="20"/>
                <w:color w:val="auto"/>
              </w:rPr>
            </w:pPr>
            <w:r>
              <w:rPr>
                <w:rFonts w:ascii="Times New Roman" w:cs="Times New Roman" w:eastAsia="Times New Roman" w:hAnsi="Times New Roman"/>
                <w:sz w:val="20"/>
                <w:szCs w:val="20"/>
                <w:color w:val="auto"/>
              </w:rPr>
              <w:t>Provision for (benefit from) income taxes</w:t>
            </w:r>
          </w:p>
        </w:tc>
        <w:tc>
          <w:tcPr>
            <w:tcW w:w="300" w:type="dxa"/>
            <w:vAlign w:val="bottom"/>
            <w:tcBorders>
              <w:bottom w:val="single" w:sz="8" w:color="auto"/>
            </w:tcBorders>
            <w:shd w:val="clear" w:color="auto" w:fill="DDDDDD"/>
          </w:tcPr>
          <w:p>
            <w:pPr>
              <w:spacing w:after="0"/>
              <w:rPr>
                <w:sz w:val="24"/>
                <w:szCs w:val="24"/>
                <w:color w:val="auto"/>
              </w:rPr>
            </w:pPr>
          </w:p>
        </w:tc>
        <w:tc>
          <w:tcPr>
            <w:tcW w:w="900" w:type="dxa"/>
            <w:vAlign w:val="bottom"/>
            <w:tcBorders>
              <w:bottom w:val="single" w:sz="8" w:color="auto"/>
            </w:tcBorders>
            <w:shd w:val="clear" w:color="auto" w:fill="DDDDDD"/>
          </w:tcPr>
          <w:p>
            <w:pPr>
              <w:jc w:val="right"/>
              <w:spacing w:after="0"/>
              <w:rPr>
                <w:sz w:val="20"/>
                <w:szCs w:val="20"/>
                <w:color w:val="auto"/>
              </w:rPr>
            </w:pPr>
            <w:r>
              <w:rPr>
                <w:rFonts w:ascii="Times New Roman" w:cs="Times New Roman" w:eastAsia="Times New Roman" w:hAnsi="Times New Roman"/>
                <w:sz w:val="20"/>
                <w:szCs w:val="20"/>
                <w:color w:val="auto"/>
              </w:rPr>
              <w:t>93</w:t>
            </w:r>
          </w:p>
        </w:tc>
        <w:tc>
          <w:tcPr>
            <w:tcW w:w="60" w:type="dxa"/>
            <w:vAlign w:val="bottom"/>
            <w:shd w:val="clear" w:color="auto" w:fill="DDDDDD"/>
          </w:tcPr>
          <w:p>
            <w:pPr>
              <w:spacing w:after="0"/>
              <w:rPr>
                <w:sz w:val="24"/>
                <w:szCs w:val="24"/>
                <w:color w:val="auto"/>
              </w:rPr>
            </w:pPr>
          </w:p>
        </w:tc>
        <w:tc>
          <w:tcPr>
            <w:tcW w:w="20" w:type="dxa"/>
            <w:vAlign w:val="bottom"/>
            <w:shd w:val="clear" w:color="auto" w:fill="DDDDDD"/>
          </w:tcPr>
          <w:p>
            <w:pPr>
              <w:spacing w:after="0"/>
              <w:rPr>
                <w:sz w:val="24"/>
                <w:szCs w:val="24"/>
                <w:color w:val="auto"/>
              </w:rPr>
            </w:pPr>
          </w:p>
        </w:tc>
        <w:tc>
          <w:tcPr>
            <w:tcW w:w="1180" w:type="dxa"/>
            <w:vAlign w:val="bottom"/>
            <w:tcBorders>
              <w:bottom w:val="single" w:sz="8" w:color="auto"/>
            </w:tcBorders>
            <w:shd w:val="clear" w:color="auto" w:fill="DDDDDD"/>
          </w:tcPr>
          <w:p>
            <w:pPr>
              <w:jc w:val="right"/>
              <w:spacing w:after="0"/>
              <w:rPr>
                <w:sz w:val="20"/>
                <w:szCs w:val="20"/>
                <w:color w:val="auto"/>
              </w:rPr>
            </w:pPr>
            <w:r>
              <w:rPr>
                <w:rFonts w:ascii="Times New Roman" w:cs="Times New Roman" w:eastAsia="Times New Roman" w:hAnsi="Times New Roman"/>
                <w:sz w:val="20"/>
                <w:szCs w:val="20"/>
                <w:color w:val="auto"/>
              </w:rPr>
              <w:t>— %</w:t>
            </w:r>
          </w:p>
        </w:tc>
        <w:tc>
          <w:tcPr>
            <w:tcW w:w="40" w:type="dxa"/>
            <w:vAlign w:val="bottom"/>
            <w:shd w:val="clear" w:color="auto" w:fill="DDDDDD"/>
          </w:tcPr>
          <w:p>
            <w:pPr>
              <w:spacing w:after="0"/>
              <w:rPr>
                <w:sz w:val="24"/>
                <w:szCs w:val="24"/>
                <w:color w:val="auto"/>
              </w:rPr>
            </w:pPr>
          </w:p>
        </w:tc>
        <w:tc>
          <w:tcPr>
            <w:tcW w:w="20" w:type="dxa"/>
            <w:vAlign w:val="bottom"/>
            <w:shd w:val="clear" w:color="auto" w:fill="DDDDDD"/>
          </w:tcPr>
          <w:p>
            <w:pPr>
              <w:spacing w:after="0"/>
              <w:rPr>
                <w:sz w:val="24"/>
                <w:szCs w:val="24"/>
                <w:color w:val="auto"/>
              </w:rPr>
            </w:pPr>
          </w:p>
        </w:tc>
        <w:tc>
          <w:tcPr>
            <w:tcW w:w="300" w:type="dxa"/>
            <w:vAlign w:val="bottom"/>
            <w:tcBorders>
              <w:bottom w:val="single" w:sz="8" w:color="auto"/>
            </w:tcBorders>
            <w:shd w:val="clear" w:color="auto" w:fill="DDDDDD"/>
          </w:tcPr>
          <w:p>
            <w:pPr>
              <w:spacing w:after="0"/>
              <w:rPr>
                <w:sz w:val="24"/>
                <w:szCs w:val="24"/>
                <w:color w:val="auto"/>
              </w:rPr>
            </w:pPr>
          </w:p>
        </w:tc>
        <w:tc>
          <w:tcPr>
            <w:tcW w:w="900" w:type="dxa"/>
            <w:vAlign w:val="bottom"/>
            <w:tcBorders>
              <w:bottom w:val="single" w:sz="8" w:color="auto"/>
            </w:tcBorders>
            <w:shd w:val="clear" w:color="auto" w:fill="DDDDDD"/>
          </w:tcPr>
          <w:p>
            <w:pPr>
              <w:jc w:val="right"/>
              <w:spacing w:after="0"/>
              <w:rPr>
                <w:sz w:val="20"/>
                <w:szCs w:val="20"/>
                <w:color w:val="auto"/>
              </w:rPr>
            </w:pPr>
            <w:r>
              <w:rPr>
                <w:rFonts w:ascii="Times New Roman" w:cs="Times New Roman" w:eastAsia="Times New Roman" w:hAnsi="Times New Roman"/>
                <w:sz w:val="20"/>
                <w:szCs w:val="20"/>
                <w:color w:val="auto"/>
              </w:rPr>
              <w:t>179,077</w:t>
            </w:r>
          </w:p>
        </w:tc>
        <w:tc>
          <w:tcPr>
            <w:tcW w:w="60" w:type="dxa"/>
            <w:vAlign w:val="bottom"/>
            <w:shd w:val="clear" w:color="auto" w:fill="DDDDDD"/>
          </w:tcPr>
          <w:p>
            <w:pPr>
              <w:spacing w:after="0"/>
              <w:rPr>
                <w:sz w:val="24"/>
                <w:szCs w:val="24"/>
                <w:color w:val="auto"/>
              </w:rPr>
            </w:pPr>
          </w:p>
        </w:tc>
        <w:tc>
          <w:tcPr>
            <w:tcW w:w="20" w:type="dxa"/>
            <w:vAlign w:val="bottom"/>
            <w:shd w:val="clear" w:color="auto" w:fill="DDDDDD"/>
          </w:tcPr>
          <w:p>
            <w:pPr>
              <w:spacing w:after="0"/>
              <w:rPr>
                <w:sz w:val="24"/>
                <w:szCs w:val="24"/>
                <w:color w:val="auto"/>
              </w:rPr>
            </w:pPr>
          </w:p>
        </w:tc>
        <w:tc>
          <w:tcPr>
            <w:tcW w:w="320" w:type="dxa"/>
            <w:vAlign w:val="bottom"/>
            <w:tcBorders>
              <w:bottom w:val="single" w:sz="8" w:color="auto"/>
            </w:tcBorders>
            <w:shd w:val="clear" w:color="auto" w:fill="DDDDDD"/>
          </w:tcPr>
          <w:p>
            <w:pPr>
              <w:spacing w:after="0"/>
              <w:rPr>
                <w:sz w:val="24"/>
                <w:szCs w:val="24"/>
                <w:color w:val="auto"/>
              </w:rPr>
            </w:pPr>
          </w:p>
        </w:tc>
        <w:tc>
          <w:tcPr>
            <w:tcW w:w="880" w:type="dxa"/>
            <w:vAlign w:val="bottom"/>
            <w:tcBorders>
              <w:bottom w:val="single" w:sz="8" w:color="auto"/>
            </w:tcBorders>
            <w:shd w:val="clear" w:color="auto" w:fill="DDDDDD"/>
          </w:tcPr>
          <w:p>
            <w:pPr>
              <w:jc w:val="right"/>
              <w:spacing w:after="0"/>
              <w:rPr>
                <w:sz w:val="20"/>
                <w:szCs w:val="20"/>
                <w:color w:val="auto"/>
              </w:rPr>
            </w:pPr>
            <w:r>
              <w:rPr>
                <w:rFonts w:ascii="Times New Roman" w:cs="Times New Roman" w:eastAsia="Times New Roman" w:hAnsi="Times New Roman"/>
                <w:sz w:val="20"/>
                <w:szCs w:val="20"/>
                <w:color w:val="auto"/>
              </w:rPr>
              <w:t>83.1 %</w:t>
            </w:r>
          </w:p>
        </w:tc>
      </w:tr>
      <w:tr>
        <w:trPr>
          <w:trHeight w:val="261"/>
        </w:trPr>
        <w:tc>
          <w:tcPr>
            <w:tcW w:w="5260" w:type="dxa"/>
            <w:vAlign w:val="bottom"/>
            <w:gridSpan w:val="2"/>
          </w:tcPr>
          <w:p>
            <w:pPr>
              <w:ind w:left="160"/>
              <w:spacing w:after="0"/>
              <w:rPr>
                <w:sz w:val="20"/>
                <w:szCs w:val="20"/>
                <w:color w:val="auto"/>
              </w:rPr>
            </w:pPr>
            <w:r>
              <w:rPr>
                <w:rFonts w:ascii="Times New Roman" w:cs="Times New Roman" w:eastAsia="Times New Roman" w:hAnsi="Times New Roman"/>
                <w:sz w:val="20"/>
                <w:szCs w:val="20"/>
                <w:color w:val="auto"/>
              </w:rPr>
              <w:t>Net loss</w:t>
            </w:r>
          </w:p>
        </w:tc>
        <w:tc>
          <w:tcPr>
            <w:tcW w:w="300" w:type="dxa"/>
            <w:vAlign w:val="bottom"/>
          </w:tcPr>
          <w:p>
            <w:pPr>
              <w:spacing w:after="0"/>
              <w:rPr>
                <w:sz w:val="22"/>
                <w:szCs w:val="22"/>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(15,727)</w:t>
            </w:r>
          </w:p>
        </w:tc>
        <w:tc>
          <w:tcPr>
            <w:tcW w:w="1260" w:type="dxa"/>
            <w:vAlign w:val="bottom"/>
            <w:gridSpan w:val="3"/>
          </w:tcPr>
          <w:p>
            <w:pPr>
              <w:jc w:val="right"/>
              <w:spacing w:after="0"/>
              <w:rPr>
                <w:sz w:val="20"/>
                <w:szCs w:val="20"/>
                <w:color w:val="auto"/>
              </w:rPr>
            </w:pPr>
            <w:r>
              <w:rPr>
                <w:rFonts w:ascii="Times New Roman" w:cs="Times New Roman" w:eastAsia="Times New Roman" w:hAnsi="Times New Roman"/>
                <w:sz w:val="20"/>
                <w:szCs w:val="20"/>
                <w:color w:val="auto"/>
              </w:rPr>
              <w:t>(8.4)%</w:t>
            </w:r>
          </w:p>
        </w:tc>
        <w:tc>
          <w:tcPr>
            <w:tcW w:w="4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(82,651)</w:t>
            </w:r>
          </w:p>
        </w:tc>
        <w:tc>
          <w:tcPr>
            <w:tcW w:w="6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(38.3)%</w:t>
            </w:r>
          </w:p>
        </w:tc>
      </w:tr>
      <w:tr>
        <w:trPr>
          <w:trHeight w:val="288"/>
        </w:trPr>
        <w:tc>
          <w:tcPr>
            <w:tcW w:w="5260" w:type="dxa"/>
            <w:vAlign w:val="bottom"/>
            <w:gridSpan w:val="2"/>
            <w:shd w:val="clear" w:color="auto" w:fill="DDDDDD"/>
          </w:tcPr>
          <w:p>
            <w:pPr>
              <w:ind w:left="160"/>
              <w:spacing w:after="0"/>
              <w:rPr>
                <w:sz w:val="20"/>
                <w:szCs w:val="20"/>
                <w:color w:val="auto"/>
              </w:rPr>
            </w:pPr>
            <w:r>
              <w:rPr>
                <w:rFonts w:ascii="Times New Roman" w:cs="Times New Roman" w:eastAsia="Times New Roman" w:hAnsi="Times New Roman"/>
                <w:sz w:val="20"/>
                <w:szCs w:val="20"/>
                <w:color w:val="auto"/>
              </w:rPr>
              <w:t>Net (loss) income attributable to noncontrolling interests</w:t>
            </w:r>
          </w:p>
        </w:tc>
        <w:tc>
          <w:tcPr>
            <w:tcW w:w="300" w:type="dxa"/>
            <w:vAlign w:val="bottom"/>
            <w:tcBorders>
              <w:bottom w:val="single" w:sz="8" w:color="auto"/>
            </w:tcBorders>
            <w:shd w:val="clear" w:color="auto" w:fill="DDDDDD"/>
          </w:tcPr>
          <w:p>
            <w:pPr>
              <w:spacing w:after="0"/>
              <w:rPr>
                <w:sz w:val="24"/>
                <w:szCs w:val="24"/>
                <w:color w:val="auto"/>
              </w:rPr>
            </w:pPr>
          </w:p>
        </w:tc>
        <w:tc>
          <w:tcPr>
            <w:tcW w:w="900" w:type="dxa"/>
            <w:vAlign w:val="bottom"/>
            <w:tcBorders>
              <w:bottom w:val="single" w:sz="8" w:color="auto"/>
            </w:tcBorders>
            <w:shd w:val="clear" w:color="auto" w:fill="DDDDDD"/>
          </w:tcPr>
          <w:p>
            <w:pPr>
              <w:jc w:val="right"/>
              <w:spacing w:after="0"/>
              <w:rPr>
                <w:sz w:val="20"/>
                <w:szCs w:val="20"/>
                <w:color w:val="auto"/>
              </w:rPr>
            </w:pPr>
            <w:r>
              <w:rPr>
                <w:rFonts w:ascii="Times New Roman" w:cs="Times New Roman" w:eastAsia="Times New Roman" w:hAnsi="Times New Roman"/>
                <w:sz w:val="20"/>
                <w:szCs w:val="20"/>
                <w:color w:val="auto"/>
              </w:rPr>
              <w:t>(5,829)</w:t>
            </w:r>
          </w:p>
        </w:tc>
        <w:tc>
          <w:tcPr>
            <w:tcW w:w="60" w:type="dxa"/>
            <w:vAlign w:val="bottom"/>
            <w:shd w:val="clear" w:color="auto" w:fill="DDDDDD"/>
          </w:tcPr>
          <w:p>
            <w:pPr>
              <w:spacing w:after="0"/>
              <w:rPr>
                <w:sz w:val="24"/>
                <w:szCs w:val="24"/>
                <w:color w:val="auto"/>
              </w:rPr>
            </w:pPr>
          </w:p>
        </w:tc>
        <w:tc>
          <w:tcPr>
            <w:tcW w:w="20" w:type="dxa"/>
            <w:vAlign w:val="bottom"/>
            <w:shd w:val="clear" w:color="auto" w:fill="DDDDDD"/>
          </w:tcPr>
          <w:p>
            <w:pPr>
              <w:spacing w:after="0"/>
              <w:rPr>
                <w:sz w:val="24"/>
                <w:szCs w:val="24"/>
                <w:color w:val="auto"/>
              </w:rPr>
            </w:pPr>
          </w:p>
        </w:tc>
        <w:tc>
          <w:tcPr>
            <w:tcW w:w="1180" w:type="dxa"/>
            <w:vAlign w:val="bottom"/>
            <w:tcBorders>
              <w:bottom w:val="single" w:sz="8" w:color="auto"/>
            </w:tcBorders>
            <w:shd w:val="clear" w:color="auto" w:fill="DDDDDD"/>
          </w:tcPr>
          <w:p>
            <w:pPr>
              <w:jc w:val="right"/>
              <w:spacing w:after="0"/>
              <w:rPr>
                <w:sz w:val="20"/>
                <w:szCs w:val="20"/>
                <w:color w:val="auto"/>
              </w:rPr>
            </w:pPr>
            <w:r>
              <w:rPr>
                <w:rFonts w:ascii="Times New Roman" w:cs="Times New Roman" w:eastAsia="Times New Roman" w:hAnsi="Times New Roman"/>
                <w:sz w:val="20"/>
                <w:szCs w:val="20"/>
                <w:color w:val="auto"/>
              </w:rPr>
              <w:t>(3.1)%</w:t>
            </w:r>
          </w:p>
        </w:tc>
        <w:tc>
          <w:tcPr>
            <w:tcW w:w="40" w:type="dxa"/>
            <w:vAlign w:val="bottom"/>
            <w:shd w:val="clear" w:color="auto" w:fill="DDDDDD"/>
          </w:tcPr>
          <w:p>
            <w:pPr>
              <w:spacing w:after="0"/>
              <w:rPr>
                <w:sz w:val="24"/>
                <w:szCs w:val="24"/>
                <w:color w:val="auto"/>
              </w:rPr>
            </w:pPr>
          </w:p>
        </w:tc>
        <w:tc>
          <w:tcPr>
            <w:tcW w:w="20" w:type="dxa"/>
            <w:vAlign w:val="bottom"/>
            <w:shd w:val="clear" w:color="auto" w:fill="DDDDDD"/>
          </w:tcPr>
          <w:p>
            <w:pPr>
              <w:spacing w:after="0"/>
              <w:rPr>
                <w:sz w:val="24"/>
                <w:szCs w:val="24"/>
                <w:color w:val="auto"/>
              </w:rPr>
            </w:pPr>
          </w:p>
        </w:tc>
        <w:tc>
          <w:tcPr>
            <w:tcW w:w="300" w:type="dxa"/>
            <w:vAlign w:val="bottom"/>
            <w:tcBorders>
              <w:bottom w:val="single" w:sz="8" w:color="auto"/>
            </w:tcBorders>
            <w:shd w:val="clear" w:color="auto" w:fill="DDDDDD"/>
          </w:tcPr>
          <w:p>
            <w:pPr>
              <w:spacing w:after="0"/>
              <w:rPr>
                <w:sz w:val="24"/>
                <w:szCs w:val="24"/>
                <w:color w:val="auto"/>
              </w:rPr>
            </w:pPr>
          </w:p>
        </w:tc>
        <w:tc>
          <w:tcPr>
            <w:tcW w:w="900" w:type="dxa"/>
            <w:vAlign w:val="bottom"/>
            <w:tcBorders>
              <w:bottom w:val="single" w:sz="8" w:color="auto"/>
            </w:tcBorders>
            <w:shd w:val="clear" w:color="auto" w:fill="DDDDDD"/>
          </w:tcPr>
          <w:p>
            <w:pPr>
              <w:jc w:val="right"/>
              <w:spacing w:after="0"/>
              <w:rPr>
                <w:sz w:val="20"/>
                <w:szCs w:val="20"/>
                <w:color w:val="auto"/>
              </w:rPr>
            </w:pPr>
            <w:r>
              <w:rPr>
                <w:rFonts w:ascii="Times New Roman" w:cs="Times New Roman" w:eastAsia="Times New Roman" w:hAnsi="Times New Roman"/>
                <w:sz w:val="20"/>
                <w:szCs w:val="20"/>
                <w:color w:val="auto"/>
              </w:rPr>
              <w:t>33,338</w:t>
            </w:r>
          </w:p>
        </w:tc>
        <w:tc>
          <w:tcPr>
            <w:tcW w:w="60" w:type="dxa"/>
            <w:vAlign w:val="bottom"/>
            <w:shd w:val="clear" w:color="auto" w:fill="DDDDDD"/>
          </w:tcPr>
          <w:p>
            <w:pPr>
              <w:spacing w:after="0"/>
              <w:rPr>
                <w:sz w:val="24"/>
                <w:szCs w:val="24"/>
                <w:color w:val="auto"/>
              </w:rPr>
            </w:pPr>
          </w:p>
        </w:tc>
        <w:tc>
          <w:tcPr>
            <w:tcW w:w="20" w:type="dxa"/>
            <w:vAlign w:val="bottom"/>
            <w:shd w:val="clear" w:color="auto" w:fill="DDDDDD"/>
          </w:tcPr>
          <w:p>
            <w:pPr>
              <w:spacing w:after="0"/>
              <w:rPr>
                <w:sz w:val="24"/>
                <w:szCs w:val="24"/>
                <w:color w:val="auto"/>
              </w:rPr>
            </w:pPr>
          </w:p>
        </w:tc>
        <w:tc>
          <w:tcPr>
            <w:tcW w:w="320" w:type="dxa"/>
            <w:vAlign w:val="bottom"/>
            <w:tcBorders>
              <w:bottom w:val="single" w:sz="8" w:color="auto"/>
            </w:tcBorders>
            <w:shd w:val="clear" w:color="auto" w:fill="DDDDDD"/>
          </w:tcPr>
          <w:p>
            <w:pPr>
              <w:spacing w:after="0"/>
              <w:rPr>
                <w:sz w:val="24"/>
                <w:szCs w:val="24"/>
                <w:color w:val="auto"/>
              </w:rPr>
            </w:pPr>
          </w:p>
        </w:tc>
        <w:tc>
          <w:tcPr>
            <w:tcW w:w="880" w:type="dxa"/>
            <w:vAlign w:val="bottom"/>
            <w:tcBorders>
              <w:bottom w:val="single" w:sz="8" w:color="auto"/>
            </w:tcBorders>
            <w:shd w:val="clear" w:color="auto" w:fill="DDDDDD"/>
          </w:tcPr>
          <w:p>
            <w:pPr>
              <w:jc w:val="right"/>
              <w:spacing w:after="0"/>
              <w:rPr>
                <w:sz w:val="20"/>
                <w:szCs w:val="20"/>
                <w:color w:val="auto"/>
              </w:rPr>
            </w:pPr>
            <w:r>
              <w:rPr>
                <w:rFonts w:ascii="Times New Roman" w:cs="Times New Roman" w:eastAsia="Times New Roman" w:hAnsi="Times New Roman"/>
                <w:sz w:val="20"/>
                <w:szCs w:val="20"/>
                <w:color w:val="auto"/>
              </w:rPr>
              <w:t>15.5 %</w:t>
            </w:r>
          </w:p>
        </w:tc>
      </w:tr>
      <w:tr>
        <w:trPr>
          <w:trHeight w:val="280"/>
        </w:trPr>
        <w:tc>
          <w:tcPr>
            <w:tcW w:w="5260" w:type="dxa"/>
            <w:vAlign w:val="bottom"/>
            <w:gridSpan w:val="2"/>
          </w:tcPr>
          <w:p>
            <w:pPr>
              <w:ind w:left="160"/>
              <w:spacing w:after="0"/>
              <w:rPr>
                <w:sz w:val="20"/>
                <w:szCs w:val="20"/>
                <w:color w:val="auto"/>
              </w:rPr>
            </w:pPr>
            <w:r>
              <w:rPr>
                <w:rFonts w:ascii="Times New Roman" w:cs="Times New Roman" w:eastAsia="Times New Roman" w:hAnsi="Times New Roman"/>
                <w:sz w:val="20"/>
                <w:szCs w:val="20"/>
                <w:color w:val="auto"/>
              </w:rPr>
              <w:t>Net loss attributable to WM Technology, Inc.</w:t>
            </w:r>
          </w:p>
        </w:tc>
        <w:tc>
          <w:tcPr>
            <w:tcW w:w="300" w:type="dxa"/>
            <w:vAlign w:val="bottom"/>
          </w:tcPr>
          <w:p>
            <w:pPr>
              <w:jc w:val="right"/>
              <w:ind w:right="39"/>
              <w:spacing w:after="0"/>
              <w:rPr>
                <w:sz w:val="20"/>
                <w:szCs w:val="20"/>
                <w:color w:val="auto"/>
              </w:rPr>
            </w:pPr>
            <w:r>
              <w:rPr>
                <w:rFonts w:ascii="Times New Roman" w:cs="Times New Roman" w:eastAsia="Times New Roman" w:hAnsi="Times New Roman"/>
                <w:sz w:val="20"/>
                <w:szCs w:val="20"/>
                <w:color w:val="auto"/>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(9,898)</w:t>
            </w:r>
          </w:p>
        </w:tc>
        <w:tc>
          <w:tcPr>
            <w:tcW w:w="1260" w:type="dxa"/>
            <w:vAlign w:val="bottom"/>
            <w:gridSpan w:val="3"/>
          </w:tcPr>
          <w:p>
            <w:pPr>
              <w:jc w:val="right"/>
              <w:spacing w:after="0"/>
              <w:rPr>
                <w:sz w:val="20"/>
                <w:szCs w:val="20"/>
                <w:color w:val="auto"/>
              </w:rPr>
            </w:pPr>
            <w:r>
              <w:rPr>
                <w:rFonts w:ascii="Times New Roman" w:cs="Times New Roman" w:eastAsia="Times New Roman" w:hAnsi="Times New Roman"/>
                <w:sz w:val="20"/>
                <w:szCs w:val="20"/>
                <w:color w:val="auto"/>
              </w:rPr>
              <w:t>(5.3)%</w:t>
            </w:r>
          </w:p>
        </w:tc>
        <w:tc>
          <w:tcPr>
            <w:tcW w:w="360" w:type="dxa"/>
            <w:vAlign w:val="bottom"/>
            <w:gridSpan w:val="3"/>
          </w:tcPr>
          <w:p>
            <w:pPr>
              <w:jc w:val="right"/>
              <w:ind w:right="19"/>
              <w:spacing w:after="0"/>
              <w:rPr>
                <w:sz w:val="20"/>
                <w:szCs w:val="20"/>
                <w:color w:val="auto"/>
              </w:rPr>
            </w:pPr>
            <w:r>
              <w:rPr>
                <w:rFonts w:ascii="Times New Roman" w:cs="Times New Roman" w:eastAsia="Times New Roman" w:hAnsi="Times New Roman"/>
                <w:sz w:val="20"/>
                <w:szCs w:val="20"/>
                <w:color w:val="auto"/>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(115,989)</w:t>
            </w: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(53.8)%</w:t>
            </w:r>
          </w:p>
        </w:tc>
      </w:tr>
      <w:tr>
        <w:trPr>
          <w:trHeight w:val="20"/>
        </w:trPr>
        <w:tc>
          <w:tcPr>
            <w:tcW w:w="5240" w:type="dxa"/>
            <w:vAlign w:val="bottom"/>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4147185</wp:posOffset>
                </wp:positionH>
                <wp:positionV relativeFrom="paragraph">
                  <wp:posOffset>-2018030</wp:posOffset>
                </wp:positionV>
                <wp:extent cx="758825" cy="0"/>
                <wp:wrapNone/>
                <wp:docPr id="12" name="Shape 12"/>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758825" cy="4763"/>
                        </a:xfrm>
                        <a:prstGeom prst="line">
                          <a:avLst/>
                        </a:prstGeom>
                        <a:solidFill>
                          <a:srgbClr val="FFFFFF"/>
                        </a:solidFill>
                        <a:ln w="4572">
                          <a:solidFill>
                            <a:srgbClr val="FFFFFF"/>
                          </a:solidFill>
                          <a:miter lim="800000"/>
                          <a:headEnd/>
                          <a:tailEnd/>
                        </a:ln>
                      </wps:spPr>
                      <wps:bodyPr/>
                    </wps:wsp>
                  </a:graphicData>
                </a:graphic>
              </wp:anchor>
            </w:drawing>
          </mc:Choice>
          <mc:Fallback>
            <w:pict>
              <v:line id="Shape 12" o:spid="_x0000_s1037"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326.55pt,-158.8999pt" to="386.3pt,-158.8999pt" o:allowincell="f" strokecolor="#FFFFFF" strokeweight="0.36pt"/>
            </w:pict>
          </mc:Fallback>
        </mc:AlternateContent>
        <mc:AlternateContent>
          <mc:Choice Requires="wps">
            <w:drawing>
              <wp:anchor simplePos="0" relativeHeight="251657728" behindDoc="1" locked="0" layoutInCell="0" allowOverlap="1">
                <wp:simplePos x="0" y="0"/>
                <wp:positionH relativeFrom="column">
                  <wp:posOffset>4942840</wp:posOffset>
                </wp:positionH>
                <wp:positionV relativeFrom="paragraph">
                  <wp:posOffset>-2018030</wp:posOffset>
                </wp:positionV>
                <wp:extent cx="758825" cy="0"/>
                <wp:wrapNone/>
                <wp:docPr id="13" name="Shape 13"/>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758825" cy="4763"/>
                        </a:xfrm>
                        <a:prstGeom prst="line">
                          <a:avLst/>
                        </a:prstGeom>
                        <a:solidFill>
                          <a:srgbClr val="FFFFFF"/>
                        </a:solidFill>
                        <a:ln w="4572">
                          <a:solidFill>
                            <a:srgbClr val="FFFFFF"/>
                          </a:solidFill>
                          <a:miter lim="800000"/>
                          <a:headEnd/>
                          <a:tailEnd/>
                        </a:ln>
                      </wps:spPr>
                      <wps:bodyPr/>
                    </wps:wsp>
                  </a:graphicData>
                </a:graphic>
              </wp:anchor>
            </w:drawing>
          </mc:Choice>
          <mc:Fallback>
            <w:pict>
              <v:line id="Shape 13" o:spid="_x0000_s1038"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389.2pt,-158.8999pt" to="448.95pt,-158.8999pt" o:allowincell="f" strokecolor="#FFFFFF" strokeweight="0.36pt"/>
            </w:pict>
          </mc:Fallback>
        </mc:AlternateContent>
        <mc:AlternateContent>
          <mc:Choice Requires="wps">
            <w:drawing>
              <wp:anchor simplePos="0" relativeHeight="251657728" behindDoc="1" locked="0" layoutInCell="0" allowOverlap="1">
                <wp:simplePos x="0" y="0"/>
                <wp:positionH relativeFrom="column">
                  <wp:posOffset>5751830</wp:posOffset>
                </wp:positionH>
                <wp:positionV relativeFrom="paragraph">
                  <wp:posOffset>-2018030</wp:posOffset>
                </wp:positionV>
                <wp:extent cx="758825" cy="0"/>
                <wp:wrapNone/>
                <wp:docPr id="14" name="Shape 14"/>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758825" cy="4763"/>
                        </a:xfrm>
                        <a:prstGeom prst="line">
                          <a:avLst/>
                        </a:prstGeom>
                        <a:solidFill>
                          <a:srgbClr val="FFFFFF"/>
                        </a:solidFill>
                        <a:ln w="4572">
                          <a:solidFill>
                            <a:srgbClr val="FFFFFF"/>
                          </a:solidFill>
                          <a:miter lim="800000"/>
                          <a:headEnd/>
                          <a:tailEnd/>
                        </a:ln>
                      </wps:spPr>
                      <wps:bodyPr/>
                    </wps:wsp>
                  </a:graphicData>
                </a:graphic>
              </wp:anchor>
            </w:drawing>
          </mc:Choice>
          <mc:Fallback>
            <w:pict>
              <v:line id="Shape 14" o:spid="_x0000_s1039"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452.9pt,-158.8999pt" to="512.65pt,-158.8999pt" o:allowincell="f" strokecolor="#FFFFFF" strokeweight="0.36pt"/>
            </w:pict>
          </mc:Fallback>
        </mc:AlternateContent>
        <mc:AlternateContent>
          <mc:Choice Requires="wps">
            <w:drawing>
              <wp:anchor simplePos="0" relativeHeight="251657728" behindDoc="1" locked="0" layoutInCell="0" allowOverlap="1">
                <wp:simplePos x="0" y="0"/>
                <wp:positionH relativeFrom="column">
                  <wp:posOffset>4906010</wp:posOffset>
                </wp:positionH>
                <wp:positionV relativeFrom="paragraph">
                  <wp:posOffset>-1851025</wp:posOffset>
                </wp:positionV>
                <wp:extent cx="36830" cy="13335"/>
                <wp:wrapNone/>
                <wp:docPr id="15" name="Shape 15"/>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36830" cy="13335"/>
                        </a:xfrm>
                        <a:prstGeom prst="rect">
                          <a:avLst/>
                        </a:prstGeom>
                        <a:solidFill>
                          <a:srgbClr val="DDDDDD"/>
                        </a:solidFill>
                      </wps:spPr>
                      <wps:bodyPr/>
                    </wps:wsp>
                  </a:graphicData>
                </a:graphic>
              </wp:anchor>
            </w:drawing>
          </mc:Choice>
          <mc:Fallback>
            <w:pict>
              <v:rect id="Shape 15" o:spid="_x0000_s1040" style="position:absolute;margin-left:386.3pt;margin-top:-145.7499pt;width:2.9pt;height:1.05pt;z-index:-251657728;visibility:visible;mso-wrap-style:square;mso-width-percent:0;mso-height-percent:0;mso-wrap-distance-left:0pt;mso-wrap-distance-top:0;mso-wrap-distance-right:0pt;mso-wrap-distance-bottom:0;mso-position-horizontal:absolute;mso-position-horizontal-relative:text;mso-position-vertical:absolute;mso-position-vertical-relative:text;mso-width-percent:0;mso-height-percent:0;mso-width-relative:page;mso-height-relative:page;v-text-anchor:top" o:allowincell="f" fillcolor="#DDDDDD" stroked="f"/>
            </w:pict>
          </mc:Fallback>
        </mc:AlternateConten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2"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20"/>
          <w:szCs w:val="20"/>
          <w:color w:val="auto"/>
        </w:rPr>
        <w:t>63</w:t>
      </w:r>
    </w:p>
    <w:p>
      <w:pPr>
        <w:sectPr>
          <w:pgSz w:w="12240" w:h="15840" w:orient="portrait"/>
          <w:cols w:equalWidth="0" w:num="1">
            <w:col w:w="10260"/>
          </w:cols>
          <w:pgMar w:left="1000" w:top="886" w:right="980" w:bottom="222" w:gutter="0" w:footer="0" w:header="0"/>
          <w:type w:val="continuous"/>
        </w:sectPr>
      </w:pPr>
    </w:p>
    <w:bookmarkStart w:id="67" w:name="page68"/>
    <w:bookmarkEnd w:id="67"/>
    <w:p>
      <w:pPr>
        <w:spacing w:after="0"/>
        <w:rPr>
          <w:sz w:val="20"/>
          <w:szCs w:val="20"/>
          <w:color w:val="auto"/>
        </w:rPr>
      </w:pPr>
      <w:r>
        <w:rPr>
          <w:rFonts w:ascii="Times New Roman" w:cs="Times New Roman" w:eastAsia="Times New Roman" w:hAnsi="Times New Roman"/>
          <w:sz w:val="20"/>
          <w:szCs w:val="20"/>
          <w:b w:val="1"/>
          <w:bCs w:val="1"/>
          <w:i w:val="1"/>
          <w:iCs w:val="1"/>
          <w:color w:val="auto"/>
        </w:rPr>
        <w:t>Comparison of Years Ended December 31, 2023 and 2022</w:t>
      </w:r>
    </w:p>
    <w:p>
      <w:pPr>
        <w:spacing w:after="0" w:line="173"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Net Revenues</w:t>
      </w:r>
    </w:p>
    <w:p>
      <w:pPr>
        <w:spacing w:after="0" w:line="157"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The following table summarizes our disaggregated net revenue information:</w:t>
      </w:r>
    </w:p>
    <w:p>
      <w:pPr>
        <w:spacing w:after="0" w:line="214" w:lineRule="exact"/>
        <w:rPr>
          <w:sz w:val="20"/>
          <w:szCs w:val="20"/>
          <w:color w:val="auto"/>
        </w:rPr>
      </w:pPr>
    </w:p>
    <w:tbl>
      <w:tblPr>
        <w:tblLayout w:type="fixed"/>
        <w:tblInd w:w="0" w:type="dxa"/>
        <w:tblCellMar>
          <w:top w:w="0" w:type="dxa"/>
          <w:left w:w="0" w:type="dxa"/>
          <w:bottom w:w="0" w:type="dxa"/>
          <w:right w:w="0" w:type="dxa"/>
        </w:tblCellMar>
      </w:tblPr>
      <w:tr>
        <w:trPr>
          <w:trHeight w:val="285"/>
        </w:trPr>
        <w:tc>
          <w:tcPr>
            <w:tcW w:w="4780" w:type="dxa"/>
            <w:vAlign w:val="bottom"/>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2560" w:type="dxa"/>
            <w:vAlign w:val="bottom"/>
            <w:tcBorders>
              <w:bottom w:val="single" w:sz="8" w:color="auto"/>
            </w:tcBorders>
            <w:gridSpan w:val="4"/>
          </w:tcPr>
          <w:p>
            <w:pPr>
              <w:jc w:val="right"/>
              <w:ind w:right="139"/>
              <w:spacing w:after="0"/>
              <w:rPr>
                <w:sz w:val="20"/>
                <w:szCs w:val="20"/>
                <w:color w:val="auto"/>
              </w:rPr>
            </w:pPr>
            <w:r>
              <w:rPr>
                <w:rFonts w:ascii="Times New Roman" w:cs="Times New Roman" w:eastAsia="Times New Roman" w:hAnsi="Times New Roman"/>
                <w:sz w:val="20"/>
                <w:szCs w:val="20"/>
                <w:b w:val="1"/>
                <w:bCs w:val="1"/>
                <w:color w:val="auto"/>
                <w:w w:val="99"/>
              </w:rPr>
              <w:t>Years Ended December 31,</w:t>
            </w:r>
          </w:p>
        </w:tc>
        <w:tc>
          <w:tcPr>
            <w:tcW w:w="40" w:type="dxa"/>
            <w:vAlign w:val="bottom"/>
          </w:tcPr>
          <w:p>
            <w:pPr>
              <w:spacing w:after="0"/>
              <w:rPr>
                <w:sz w:val="24"/>
                <w:szCs w:val="24"/>
                <w:color w:val="auto"/>
              </w:rPr>
            </w:pPr>
          </w:p>
        </w:tc>
        <w:tc>
          <w:tcPr>
            <w:tcW w:w="380" w:type="dxa"/>
            <w:vAlign w:val="bottom"/>
            <w:tcBorders>
              <w:bottom w:val="single" w:sz="8" w:color="auto"/>
            </w:tcBorders>
          </w:tcPr>
          <w:p>
            <w:pPr>
              <w:spacing w:after="0"/>
              <w:rPr>
                <w:sz w:val="24"/>
                <w:szCs w:val="24"/>
                <w:color w:val="auto"/>
              </w:rPr>
            </w:pPr>
          </w:p>
        </w:tc>
        <w:tc>
          <w:tcPr>
            <w:tcW w:w="1420" w:type="dxa"/>
            <w:vAlign w:val="bottom"/>
            <w:tcBorders>
              <w:bottom w:val="single" w:sz="8" w:color="auto"/>
            </w:tcBorders>
            <w:gridSpan w:val="3"/>
          </w:tcPr>
          <w:p>
            <w:pPr>
              <w:ind w:left="660"/>
              <w:spacing w:after="0"/>
              <w:rPr>
                <w:sz w:val="20"/>
                <w:szCs w:val="20"/>
                <w:color w:val="auto"/>
              </w:rPr>
            </w:pPr>
            <w:r>
              <w:rPr>
                <w:rFonts w:ascii="Times New Roman" w:cs="Times New Roman" w:eastAsia="Times New Roman" w:hAnsi="Times New Roman"/>
                <w:sz w:val="20"/>
                <w:szCs w:val="20"/>
                <w:b w:val="1"/>
                <w:bCs w:val="1"/>
                <w:color w:val="auto"/>
              </w:rPr>
              <w:t>Change</w:t>
            </w:r>
          </w:p>
        </w:tc>
        <w:tc>
          <w:tcPr>
            <w:tcW w:w="940" w:type="dxa"/>
            <w:vAlign w:val="bottom"/>
            <w:tcBorders>
              <w:bottom w:val="single" w:sz="8" w:color="auto"/>
            </w:tcBorders>
          </w:tcPr>
          <w:p>
            <w:pPr>
              <w:spacing w:after="0"/>
              <w:rPr>
                <w:sz w:val="24"/>
                <w:szCs w:val="24"/>
                <w:color w:val="auto"/>
              </w:rPr>
            </w:pPr>
          </w:p>
        </w:tc>
      </w:tr>
      <w:tr>
        <w:trPr>
          <w:trHeight w:val="295"/>
        </w:trPr>
        <w:tc>
          <w:tcPr>
            <w:tcW w:w="4780" w:type="dxa"/>
            <w:vAlign w:val="bottom"/>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1140" w:type="dxa"/>
            <w:vAlign w:val="bottom"/>
            <w:tcBorders>
              <w:bottom w:val="single" w:sz="8" w:color="auto"/>
            </w:tcBorders>
          </w:tcPr>
          <w:p>
            <w:pPr>
              <w:jc w:val="right"/>
              <w:ind w:right="359"/>
              <w:spacing w:after="0"/>
              <w:rPr>
                <w:sz w:val="20"/>
                <w:szCs w:val="20"/>
                <w:color w:val="auto"/>
              </w:rPr>
            </w:pPr>
            <w:r>
              <w:rPr>
                <w:rFonts w:ascii="Times New Roman" w:cs="Times New Roman" w:eastAsia="Times New Roman" w:hAnsi="Times New Roman"/>
                <w:sz w:val="20"/>
                <w:szCs w:val="20"/>
                <w:b w:val="1"/>
                <w:bCs w:val="1"/>
                <w:color w:val="auto"/>
              </w:rPr>
              <w:t>2023</w:t>
            </w:r>
          </w:p>
        </w:tc>
        <w:tc>
          <w:tcPr>
            <w:tcW w:w="80" w:type="dxa"/>
            <w:vAlign w:val="bottom"/>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1040" w:type="dxa"/>
            <w:vAlign w:val="bottom"/>
            <w:tcBorders>
              <w:bottom w:val="single" w:sz="8" w:color="auto"/>
            </w:tcBorders>
          </w:tcPr>
          <w:p>
            <w:pPr>
              <w:jc w:val="right"/>
              <w:ind w:right="379"/>
              <w:spacing w:after="0"/>
              <w:rPr>
                <w:sz w:val="20"/>
                <w:szCs w:val="20"/>
                <w:color w:val="auto"/>
              </w:rPr>
            </w:pPr>
            <w:r>
              <w:rPr>
                <w:rFonts w:ascii="Times New Roman" w:cs="Times New Roman" w:eastAsia="Times New Roman" w:hAnsi="Times New Roman"/>
                <w:sz w:val="20"/>
                <w:szCs w:val="20"/>
                <w:b w:val="1"/>
                <w:bCs w:val="1"/>
                <w:color w:val="auto"/>
              </w:rPr>
              <w:t>2022</w:t>
            </w:r>
          </w:p>
        </w:tc>
        <w:tc>
          <w:tcPr>
            <w:tcW w:w="40" w:type="dxa"/>
            <w:vAlign w:val="bottom"/>
          </w:tcPr>
          <w:p>
            <w:pPr>
              <w:spacing w:after="0"/>
              <w:rPr>
                <w:sz w:val="24"/>
                <w:szCs w:val="24"/>
                <w:color w:val="auto"/>
              </w:rPr>
            </w:pPr>
          </w:p>
        </w:tc>
        <w:tc>
          <w:tcPr>
            <w:tcW w:w="380" w:type="dxa"/>
            <w:vAlign w:val="bottom"/>
            <w:tcBorders>
              <w:bottom w:val="single" w:sz="8" w:color="auto"/>
            </w:tcBorders>
          </w:tcPr>
          <w:p>
            <w:pPr>
              <w:spacing w:after="0"/>
              <w:rPr>
                <w:sz w:val="24"/>
                <w:szCs w:val="24"/>
                <w:color w:val="auto"/>
              </w:rPr>
            </w:pPr>
          </w:p>
        </w:tc>
        <w:tc>
          <w:tcPr>
            <w:tcW w:w="960" w:type="dxa"/>
            <w:vAlign w:val="bottom"/>
            <w:tcBorders>
              <w:bottom w:val="single" w:sz="8" w:color="auto"/>
            </w:tcBorders>
          </w:tcPr>
          <w:p>
            <w:pPr>
              <w:jc w:val="right"/>
              <w:ind w:right="459"/>
              <w:spacing w:after="0"/>
              <w:rPr>
                <w:sz w:val="20"/>
                <w:szCs w:val="20"/>
                <w:color w:val="auto"/>
              </w:rPr>
            </w:pPr>
            <w:r>
              <w:rPr>
                <w:rFonts w:ascii="Times New Roman" w:cs="Times New Roman" w:eastAsia="Times New Roman" w:hAnsi="Times New Roman"/>
                <w:sz w:val="20"/>
                <w:szCs w:val="20"/>
                <w:b w:val="1"/>
                <w:bCs w:val="1"/>
                <w:color w:val="auto"/>
              </w:rPr>
              <w:t>($)</w:t>
            </w:r>
          </w:p>
        </w:tc>
        <w:tc>
          <w:tcPr>
            <w:tcW w:w="60" w:type="dxa"/>
            <w:vAlign w:val="bottom"/>
          </w:tcPr>
          <w:p>
            <w:pPr>
              <w:spacing w:after="0"/>
              <w:rPr>
                <w:sz w:val="24"/>
                <w:szCs w:val="24"/>
                <w:color w:val="auto"/>
              </w:rPr>
            </w:pPr>
          </w:p>
        </w:tc>
        <w:tc>
          <w:tcPr>
            <w:tcW w:w="400" w:type="dxa"/>
            <w:vAlign w:val="bottom"/>
            <w:tcBorders>
              <w:bottom w:val="single" w:sz="8" w:color="auto"/>
            </w:tcBorders>
          </w:tcPr>
          <w:p>
            <w:pPr>
              <w:spacing w:after="0"/>
              <w:rPr>
                <w:sz w:val="24"/>
                <w:szCs w:val="24"/>
                <w:color w:val="auto"/>
              </w:rPr>
            </w:pPr>
          </w:p>
        </w:tc>
        <w:tc>
          <w:tcPr>
            <w:tcW w:w="940" w:type="dxa"/>
            <w:vAlign w:val="bottom"/>
            <w:tcBorders>
              <w:bottom w:val="single" w:sz="8" w:color="auto"/>
            </w:tcBorders>
          </w:tcPr>
          <w:p>
            <w:pPr>
              <w:jc w:val="right"/>
              <w:ind w:right="399"/>
              <w:spacing w:after="0"/>
              <w:rPr>
                <w:sz w:val="20"/>
                <w:szCs w:val="20"/>
                <w:color w:val="auto"/>
              </w:rPr>
            </w:pPr>
            <w:r>
              <w:rPr>
                <w:rFonts w:ascii="Times New Roman" w:cs="Times New Roman" w:eastAsia="Times New Roman" w:hAnsi="Times New Roman"/>
                <w:sz w:val="20"/>
                <w:szCs w:val="20"/>
                <w:b w:val="1"/>
                <w:bCs w:val="1"/>
                <w:color w:val="auto"/>
              </w:rPr>
              <w:t>(%)</w:t>
            </w:r>
          </w:p>
        </w:tc>
      </w:tr>
      <w:tr>
        <w:trPr>
          <w:trHeight w:val="225"/>
        </w:trPr>
        <w:tc>
          <w:tcPr>
            <w:tcW w:w="47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980" w:type="dxa"/>
            <w:vAlign w:val="bottom"/>
            <w:gridSpan w:val="6"/>
          </w:tcPr>
          <w:p>
            <w:pPr>
              <w:jc w:val="center"/>
              <w:ind w:left="679"/>
              <w:spacing w:after="0" w:line="210" w:lineRule="exact"/>
              <w:rPr>
                <w:sz w:val="20"/>
                <w:szCs w:val="20"/>
                <w:color w:val="auto"/>
              </w:rPr>
            </w:pPr>
            <w:r>
              <w:rPr>
                <w:rFonts w:ascii="Times New Roman" w:cs="Times New Roman" w:eastAsia="Times New Roman" w:hAnsi="Times New Roman"/>
                <w:sz w:val="20"/>
                <w:szCs w:val="20"/>
                <w:b w:val="1"/>
                <w:bCs w:val="1"/>
                <w:color w:val="auto"/>
              </w:rPr>
              <w:t>(dollars in thousands)</w:t>
            </w:r>
          </w:p>
        </w:tc>
        <w:tc>
          <w:tcPr>
            <w:tcW w:w="9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940" w:type="dxa"/>
            <w:vAlign w:val="bottom"/>
          </w:tcPr>
          <w:p>
            <w:pPr>
              <w:spacing w:after="0"/>
              <w:rPr>
                <w:sz w:val="19"/>
                <w:szCs w:val="19"/>
                <w:color w:val="auto"/>
              </w:rPr>
            </w:pPr>
          </w:p>
        </w:tc>
      </w:tr>
      <w:tr>
        <w:trPr>
          <w:trHeight w:val="281"/>
        </w:trPr>
        <w:tc>
          <w:tcPr>
            <w:tcW w:w="4780" w:type="dxa"/>
            <w:vAlign w:val="bottom"/>
            <w:shd w:val="clear" w:color="auto" w:fill="DDDDDD"/>
          </w:tcPr>
          <w:p>
            <w:pPr>
              <w:ind w:left="40"/>
              <w:spacing w:after="0"/>
              <w:rPr>
                <w:sz w:val="20"/>
                <w:szCs w:val="20"/>
                <w:color w:val="auto"/>
              </w:rPr>
            </w:pPr>
            <w:r>
              <w:rPr>
                <w:rFonts w:ascii="Times New Roman" w:cs="Times New Roman" w:eastAsia="Times New Roman" w:hAnsi="Times New Roman"/>
                <w:sz w:val="20"/>
                <w:szCs w:val="20"/>
                <w:color w:val="auto"/>
              </w:rPr>
              <w:t>Net Revenues</w:t>
            </w:r>
          </w:p>
        </w:tc>
        <w:tc>
          <w:tcPr>
            <w:tcW w:w="200" w:type="dxa"/>
            <w:vAlign w:val="bottom"/>
            <w:shd w:val="clear" w:color="auto" w:fill="DDDDDD"/>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1140" w:type="dxa"/>
            <w:vAlign w:val="bottom"/>
            <w:shd w:val="clear" w:color="auto" w:fill="DDDDDD"/>
          </w:tcPr>
          <w:p>
            <w:pPr>
              <w:jc w:val="right"/>
              <w:spacing w:after="0"/>
              <w:rPr>
                <w:sz w:val="20"/>
                <w:szCs w:val="20"/>
                <w:color w:val="auto"/>
              </w:rPr>
            </w:pPr>
            <w:r>
              <w:rPr>
                <w:rFonts w:ascii="Times New Roman" w:cs="Times New Roman" w:eastAsia="Times New Roman" w:hAnsi="Times New Roman"/>
                <w:sz w:val="20"/>
                <w:szCs w:val="20"/>
                <w:color w:val="auto"/>
              </w:rPr>
              <w:t>187,993</w:t>
            </w:r>
          </w:p>
        </w:tc>
        <w:tc>
          <w:tcPr>
            <w:tcW w:w="80" w:type="dxa"/>
            <w:vAlign w:val="bottom"/>
            <w:shd w:val="clear" w:color="auto" w:fill="DDDDDD"/>
          </w:tcPr>
          <w:p>
            <w:pPr>
              <w:spacing w:after="0"/>
              <w:rPr>
                <w:sz w:val="24"/>
                <w:szCs w:val="24"/>
                <w:color w:val="auto"/>
              </w:rPr>
            </w:pPr>
          </w:p>
        </w:tc>
        <w:tc>
          <w:tcPr>
            <w:tcW w:w="300" w:type="dxa"/>
            <w:vAlign w:val="bottom"/>
            <w:shd w:val="clear" w:color="auto" w:fill="DDDDDD"/>
          </w:tcPr>
          <w:p>
            <w:pPr>
              <w:jc w:val="right"/>
              <w:ind w:right="39"/>
              <w:spacing w:after="0"/>
              <w:rPr>
                <w:sz w:val="20"/>
                <w:szCs w:val="20"/>
                <w:color w:val="auto"/>
              </w:rPr>
            </w:pPr>
            <w:r>
              <w:rPr>
                <w:rFonts w:ascii="Times New Roman" w:cs="Times New Roman" w:eastAsia="Times New Roman" w:hAnsi="Times New Roman"/>
                <w:sz w:val="20"/>
                <w:szCs w:val="20"/>
                <w:color w:val="auto"/>
              </w:rPr>
              <w:t>$</w:t>
            </w:r>
          </w:p>
        </w:tc>
        <w:tc>
          <w:tcPr>
            <w:tcW w:w="1040" w:type="dxa"/>
            <w:vAlign w:val="bottom"/>
            <w:shd w:val="clear" w:color="auto" w:fill="DDDDDD"/>
          </w:tcPr>
          <w:p>
            <w:pPr>
              <w:jc w:val="right"/>
              <w:spacing w:after="0"/>
              <w:rPr>
                <w:sz w:val="20"/>
                <w:szCs w:val="20"/>
                <w:color w:val="auto"/>
              </w:rPr>
            </w:pPr>
            <w:r>
              <w:rPr>
                <w:rFonts w:ascii="Times New Roman" w:cs="Times New Roman" w:eastAsia="Times New Roman" w:hAnsi="Times New Roman"/>
                <w:sz w:val="20"/>
                <w:szCs w:val="20"/>
                <w:color w:val="auto"/>
              </w:rPr>
              <w:t>215,531</w:t>
            </w:r>
          </w:p>
        </w:tc>
        <w:tc>
          <w:tcPr>
            <w:tcW w:w="40" w:type="dxa"/>
            <w:vAlign w:val="bottom"/>
            <w:shd w:val="clear" w:color="auto" w:fill="DDDDDD"/>
          </w:tcPr>
          <w:p>
            <w:pPr>
              <w:spacing w:after="0"/>
              <w:rPr>
                <w:sz w:val="24"/>
                <w:szCs w:val="24"/>
                <w:color w:val="auto"/>
              </w:rPr>
            </w:pPr>
          </w:p>
        </w:tc>
        <w:tc>
          <w:tcPr>
            <w:tcW w:w="380" w:type="dxa"/>
            <w:vAlign w:val="bottom"/>
            <w:shd w:val="clear" w:color="auto" w:fill="DDDDDD"/>
          </w:tcPr>
          <w:p>
            <w:pPr>
              <w:jc w:val="right"/>
              <w:ind w:right="99"/>
              <w:spacing w:after="0"/>
              <w:rPr>
                <w:sz w:val="20"/>
                <w:szCs w:val="20"/>
                <w:color w:val="auto"/>
              </w:rPr>
            </w:pPr>
            <w:r>
              <w:rPr>
                <w:rFonts w:ascii="Times New Roman" w:cs="Times New Roman" w:eastAsia="Times New Roman" w:hAnsi="Times New Roman"/>
                <w:sz w:val="20"/>
                <w:szCs w:val="20"/>
                <w:color w:val="auto"/>
              </w:rPr>
              <w:t>$</w:t>
            </w:r>
          </w:p>
        </w:tc>
        <w:tc>
          <w:tcPr>
            <w:tcW w:w="960" w:type="dxa"/>
            <w:vAlign w:val="bottom"/>
            <w:shd w:val="clear" w:color="auto" w:fill="DDDDDD"/>
          </w:tcPr>
          <w:p>
            <w:pPr>
              <w:jc w:val="right"/>
              <w:spacing w:after="0"/>
              <w:rPr>
                <w:sz w:val="20"/>
                <w:szCs w:val="20"/>
                <w:color w:val="auto"/>
              </w:rPr>
            </w:pPr>
            <w:r>
              <w:rPr>
                <w:rFonts w:ascii="Times New Roman" w:cs="Times New Roman" w:eastAsia="Times New Roman" w:hAnsi="Times New Roman"/>
                <w:sz w:val="20"/>
                <w:szCs w:val="20"/>
                <w:color w:val="auto"/>
              </w:rPr>
              <w:t>(27,538)</w:t>
            </w:r>
          </w:p>
        </w:tc>
        <w:tc>
          <w:tcPr>
            <w:tcW w:w="60" w:type="dxa"/>
            <w:vAlign w:val="bottom"/>
            <w:shd w:val="clear" w:color="auto" w:fill="DDDDDD"/>
          </w:tcPr>
          <w:p>
            <w:pPr>
              <w:spacing w:after="0"/>
              <w:rPr>
                <w:sz w:val="24"/>
                <w:szCs w:val="24"/>
                <w:color w:val="auto"/>
              </w:rPr>
            </w:pPr>
          </w:p>
        </w:tc>
        <w:tc>
          <w:tcPr>
            <w:tcW w:w="400" w:type="dxa"/>
            <w:vAlign w:val="bottom"/>
            <w:shd w:val="clear" w:color="auto" w:fill="DDDDDD"/>
          </w:tcPr>
          <w:p>
            <w:pPr>
              <w:spacing w:after="0"/>
              <w:rPr>
                <w:sz w:val="24"/>
                <w:szCs w:val="24"/>
                <w:color w:val="auto"/>
              </w:rPr>
            </w:pPr>
          </w:p>
        </w:tc>
        <w:tc>
          <w:tcPr>
            <w:tcW w:w="940" w:type="dxa"/>
            <w:vAlign w:val="bottom"/>
            <w:shd w:val="clear" w:color="auto" w:fill="DDDDDD"/>
          </w:tcPr>
          <w:p>
            <w:pPr>
              <w:jc w:val="right"/>
              <w:spacing w:after="0"/>
              <w:rPr>
                <w:sz w:val="20"/>
                <w:szCs w:val="20"/>
                <w:color w:val="auto"/>
              </w:rPr>
            </w:pPr>
            <w:r>
              <w:rPr>
                <w:rFonts w:ascii="Times New Roman" w:cs="Times New Roman" w:eastAsia="Times New Roman" w:hAnsi="Times New Roman"/>
                <w:sz w:val="20"/>
                <w:szCs w:val="20"/>
                <w:color w:val="auto"/>
              </w:rPr>
              <w:t>(13)%</w:t>
            </w:r>
          </w:p>
        </w:tc>
      </w:tr>
    </w:tbl>
    <w:p>
      <w:pPr>
        <w:spacing w:after="0" w:line="374" w:lineRule="exact"/>
        <w:rPr>
          <w:sz w:val="20"/>
          <w:szCs w:val="20"/>
          <w:color w:val="auto"/>
        </w:rPr>
      </w:pPr>
    </w:p>
    <w:p>
      <w:pPr>
        <w:jc w:val="both"/>
        <w:ind w:right="80"/>
        <w:spacing w:after="0" w:line="301" w:lineRule="auto"/>
        <w:rPr>
          <w:sz w:val="20"/>
          <w:szCs w:val="20"/>
          <w:color w:val="auto"/>
        </w:rPr>
      </w:pPr>
      <w:r>
        <w:rPr>
          <w:rFonts w:ascii="Times New Roman" w:cs="Times New Roman" w:eastAsia="Times New Roman" w:hAnsi="Times New Roman"/>
          <w:sz w:val="20"/>
          <w:szCs w:val="20"/>
          <w:color w:val="auto"/>
        </w:rPr>
        <w:t>Net revenues decreased by $27.5 million, or 13%, for the year ended December 31, 2023 compared to the same period in 2022. The decrease was primarily driven by a decrease in average monthly revenue per paying client primarily as a result of a decrease in revenue from our Featured Listings and WM Deal products of $23.1 million, Weedmaps for Business of $3.9 million and other WM Ad solutions of $0.5 million.</w:t>
      </w:r>
    </w:p>
    <w:p>
      <w:pPr>
        <w:spacing w:after="0" w:line="70" w:lineRule="exact"/>
        <w:rPr>
          <w:sz w:val="20"/>
          <w:szCs w:val="20"/>
          <w:color w:val="auto"/>
        </w:rPr>
      </w:pPr>
    </w:p>
    <w:p>
      <w:pPr>
        <w:jc w:val="both"/>
        <w:ind w:right="80"/>
        <w:spacing w:after="0" w:line="334" w:lineRule="auto"/>
        <w:rPr>
          <w:sz w:val="20"/>
          <w:szCs w:val="20"/>
          <w:color w:val="auto"/>
        </w:rPr>
      </w:pPr>
      <w:r>
        <w:rPr>
          <w:rFonts w:ascii="Times New Roman" w:cs="Times New Roman" w:eastAsia="Times New Roman" w:hAnsi="Times New Roman"/>
          <w:sz w:val="20"/>
          <w:szCs w:val="20"/>
          <w:color w:val="auto"/>
        </w:rPr>
        <w:t>For the year ended December 31, 2023, featured and deal listings, Weedmaps for Business and other ad solutions represented 67%, 25% and 8% of our total net revenues, respectively.</w:t>
      </w:r>
    </w:p>
    <w:p>
      <w:pPr>
        <w:spacing w:after="0" w:line="39"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Costs and Expenses</w:t>
      </w:r>
    </w:p>
    <w:p>
      <w:pPr>
        <w:spacing w:after="0" w:line="164" w:lineRule="exact"/>
        <w:rPr>
          <w:sz w:val="20"/>
          <w:szCs w:val="20"/>
          <w:color w:val="auto"/>
        </w:rPr>
      </w:pPr>
    </w:p>
    <w:p>
      <w:pPr>
        <w:jc w:val="both"/>
        <w:ind w:right="60"/>
        <w:spacing w:after="0" w:line="293" w:lineRule="auto"/>
        <w:rPr>
          <w:sz w:val="20"/>
          <w:szCs w:val="20"/>
          <w:color w:val="auto"/>
        </w:rPr>
      </w:pPr>
      <w:r>
        <w:rPr>
          <w:rFonts w:ascii="Times New Roman" w:cs="Times New Roman" w:eastAsia="Times New Roman" w:hAnsi="Times New Roman"/>
          <w:sz w:val="20"/>
          <w:szCs w:val="20"/>
          <w:color w:val="auto"/>
        </w:rPr>
        <w:t>During the year ended December 31, 2022, we approved plans to reduce our workforce as part of certain cost-reduction initiatives intended to reduce operating expenses and sharpen our focus on key growth priorities. The decreases in our sales and marketing expenses, product development expenses and general and administrative expenses are primarily driven by the reduction in employee headcount. As of December 31, 2023, we had 440 full-time employees and 19 temporary employees, including 196 in engineering, product and design, 181 in sales and marketing and 82 in general and administrative. As of December 31, 2022, we had 580 full-time employees and 3 temporary employees, including 224 in engineering, product and design, 245 in sales and marketing and 114 in general and administrative. Of these employees, 573 are located in the United States and 10 are located in Canada. The following table shows our total costs and expenses:</w:t>
      </w:r>
    </w:p>
    <w:p>
      <w:pPr>
        <w:spacing w:after="0" w:line="250" w:lineRule="exact"/>
        <w:rPr>
          <w:sz w:val="20"/>
          <w:szCs w:val="20"/>
          <w:color w:val="auto"/>
        </w:rPr>
      </w:pPr>
    </w:p>
    <w:tbl>
      <w:tblPr>
        <w:tblLayout w:type="fixed"/>
        <w:tblInd w:w="0" w:type="dxa"/>
        <w:tblCellMar>
          <w:top w:w="0" w:type="dxa"/>
          <w:left w:w="0" w:type="dxa"/>
          <w:bottom w:w="0" w:type="dxa"/>
          <w:right w:w="0" w:type="dxa"/>
        </w:tblCellMar>
      </w:tblPr>
      <w:tr>
        <w:trPr>
          <w:trHeight w:val="281"/>
        </w:trPr>
        <w:tc>
          <w:tcPr>
            <w:tcW w:w="47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2560" w:type="dxa"/>
            <w:vAlign w:val="bottom"/>
            <w:tcBorders>
              <w:bottom w:val="single" w:sz="8" w:color="auto"/>
            </w:tcBorders>
            <w:gridSpan w:val="5"/>
          </w:tcPr>
          <w:p>
            <w:pPr>
              <w:jc w:val="right"/>
              <w:ind w:right="139"/>
              <w:spacing w:after="0"/>
              <w:rPr>
                <w:sz w:val="20"/>
                <w:szCs w:val="20"/>
                <w:color w:val="auto"/>
              </w:rPr>
            </w:pPr>
            <w:r>
              <w:rPr>
                <w:rFonts w:ascii="Times New Roman" w:cs="Times New Roman" w:eastAsia="Times New Roman" w:hAnsi="Times New Roman"/>
                <w:sz w:val="20"/>
                <w:szCs w:val="20"/>
                <w:b w:val="1"/>
                <w:bCs w:val="1"/>
                <w:color w:val="auto"/>
                <w:w w:val="99"/>
              </w:rPr>
              <w:t>Years Ended December 31,</w:t>
            </w:r>
          </w:p>
        </w:tc>
        <w:tc>
          <w:tcPr>
            <w:tcW w:w="40" w:type="dxa"/>
            <w:vAlign w:val="bottom"/>
          </w:tcPr>
          <w:p>
            <w:pPr>
              <w:spacing w:after="0"/>
              <w:rPr>
                <w:sz w:val="24"/>
                <w:szCs w:val="24"/>
                <w:color w:val="auto"/>
              </w:rPr>
            </w:pPr>
          </w:p>
        </w:tc>
        <w:tc>
          <w:tcPr>
            <w:tcW w:w="380" w:type="dxa"/>
            <w:vAlign w:val="bottom"/>
            <w:tcBorders>
              <w:bottom w:val="single" w:sz="8" w:color="auto"/>
            </w:tcBorders>
          </w:tcPr>
          <w:p>
            <w:pPr>
              <w:spacing w:after="0"/>
              <w:rPr>
                <w:sz w:val="24"/>
                <w:szCs w:val="24"/>
                <w:color w:val="auto"/>
              </w:rPr>
            </w:pPr>
          </w:p>
        </w:tc>
        <w:tc>
          <w:tcPr>
            <w:tcW w:w="1420" w:type="dxa"/>
            <w:vAlign w:val="bottom"/>
            <w:tcBorders>
              <w:bottom w:val="single" w:sz="8" w:color="auto"/>
            </w:tcBorders>
            <w:gridSpan w:val="4"/>
          </w:tcPr>
          <w:p>
            <w:pPr>
              <w:ind w:left="660"/>
              <w:spacing w:after="0"/>
              <w:rPr>
                <w:sz w:val="20"/>
                <w:szCs w:val="20"/>
                <w:color w:val="auto"/>
              </w:rPr>
            </w:pPr>
            <w:r>
              <w:rPr>
                <w:rFonts w:ascii="Times New Roman" w:cs="Times New Roman" w:eastAsia="Times New Roman" w:hAnsi="Times New Roman"/>
                <w:sz w:val="20"/>
                <w:szCs w:val="20"/>
                <w:b w:val="1"/>
                <w:bCs w:val="1"/>
                <w:color w:val="auto"/>
              </w:rPr>
              <w:t>Change</w:t>
            </w:r>
          </w:p>
        </w:tc>
        <w:tc>
          <w:tcPr>
            <w:tcW w:w="940" w:type="dxa"/>
            <w:vAlign w:val="bottom"/>
            <w:tcBorders>
              <w:bottom w:val="single" w:sz="8" w:color="auto"/>
            </w:tcBorders>
          </w:tcPr>
          <w:p>
            <w:pPr>
              <w:spacing w:after="0"/>
              <w:rPr>
                <w:sz w:val="24"/>
                <w:szCs w:val="24"/>
                <w:color w:val="auto"/>
              </w:rPr>
            </w:pPr>
          </w:p>
        </w:tc>
      </w:tr>
      <w:tr>
        <w:trPr>
          <w:trHeight w:val="297"/>
        </w:trPr>
        <w:tc>
          <w:tcPr>
            <w:tcW w:w="47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1140" w:type="dxa"/>
            <w:vAlign w:val="bottom"/>
            <w:tcBorders>
              <w:bottom w:val="single" w:sz="8" w:color="auto"/>
            </w:tcBorders>
          </w:tcPr>
          <w:p>
            <w:pPr>
              <w:jc w:val="right"/>
              <w:ind w:right="359"/>
              <w:spacing w:after="0"/>
              <w:rPr>
                <w:sz w:val="20"/>
                <w:szCs w:val="20"/>
                <w:color w:val="auto"/>
              </w:rPr>
            </w:pPr>
            <w:r>
              <w:rPr>
                <w:rFonts w:ascii="Times New Roman" w:cs="Times New Roman" w:eastAsia="Times New Roman" w:hAnsi="Times New Roman"/>
                <w:sz w:val="20"/>
                <w:szCs w:val="20"/>
                <w:b w:val="1"/>
                <w:bCs w:val="1"/>
                <w:color w:val="auto"/>
              </w:rPr>
              <w:t>2023</w:t>
            </w: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1040" w:type="dxa"/>
            <w:vAlign w:val="bottom"/>
            <w:tcBorders>
              <w:bottom w:val="single" w:sz="8" w:color="auto"/>
            </w:tcBorders>
          </w:tcPr>
          <w:p>
            <w:pPr>
              <w:jc w:val="right"/>
              <w:ind w:right="379"/>
              <w:spacing w:after="0"/>
              <w:rPr>
                <w:sz w:val="20"/>
                <w:szCs w:val="20"/>
                <w:color w:val="auto"/>
              </w:rPr>
            </w:pPr>
            <w:r>
              <w:rPr>
                <w:rFonts w:ascii="Times New Roman" w:cs="Times New Roman" w:eastAsia="Times New Roman" w:hAnsi="Times New Roman"/>
                <w:sz w:val="20"/>
                <w:szCs w:val="20"/>
                <w:b w:val="1"/>
                <w:bCs w:val="1"/>
                <w:color w:val="auto"/>
              </w:rPr>
              <w:t>2022</w:t>
            </w:r>
          </w:p>
        </w:tc>
        <w:tc>
          <w:tcPr>
            <w:tcW w:w="40" w:type="dxa"/>
            <w:vAlign w:val="bottom"/>
          </w:tcPr>
          <w:p>
            <w:pPr>
              <w:spacing w:after="0"/>
              <w:rPr>
                <w:sz w:val="24"/>
                <w:szCs w:val="24"/>
                <w:color w:val="auto"/>
              </w:rPr>
            </w:pPr>
          </w:p>
        </w:tc>
        <w:tc>
          <w:tcPr>
            <w:tcW w:w="380" w:type="dxa"/>
            <w:vAlign w:val="bottom"/>
            <w:tcBorders>
              <w:bottom w:val="single" w:sz="8" w:color="auto"/>
            </w:tcBorders>
          </w:tcPr>
          <w:p>
            <w:pPr>
              <w:spacing w:after="0"/>
              <w:rPr>
                <w:sz w:val="24"/>
                <w:szCs w:val="24"/>
                <w:color w:val="auto"/>
              </w:rPr>
            </w:pPr>
          </w:p>
        </w:tc>
        <w:tc>
          <w:tcPr>
            <w:tcW w:w="960" w:type="dxa"/>
            <w:vAlign w:val="bottom"/>
            <w:tcBorders>
              <w:bottom w:val="single" w:sz="8" w:color="auto"/>
            </w:tcBorders>
          </w:tcPr>
          <w:p>
            <w:pPr>
              <w:jc w:val="right"/>
              <w:ind w:right="459"/>
              <w:spacing w:after="0"/>
              <w:rPr>
                <w:sz w:val="20"/>
                <w:szCs w:val="20"/>
                <w:color w:val="auto"/>
              </w:rPr>
            </w:pPr>
            <w:r>
              <w:rPr>
                <w:rFonts w:ascii="Times New Roman" w:cs="Times New Roman" w:eastAsia="Times New Roman" w:hAnsi="Times New Roman"/>
                <w:sz w:val="20"/>
                <w:szCs w:val="20"/>
                <w:b w:val="1"/>
                <w:bCs w:val="1"/>
                <w:color w:val="auto"/>
              </w:rPr>
              <w:t>($)</w:t>
            </w: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0" w:type="dxa"/>
            <w:vAlign w:val="bottom"/>
            <w:tcBorders>
              <w:bottom w:val="single" w:sz="8" w:color="auto"/>
            </w:tcBorders>
          </w:tcPr>
          <w:p>
            <w:pPr>
              <w:spacing w:after="0"/>
              <w:rPr>
                <w:sz w:val="24"/>
                <w:szCs w:val="24"/>
                <w:color w:val="auto"/>
              </w:rPr>
            </w:pPr>
          </w:p>
        </w:tc>
        <w:tc>
          <w:tcPr>
            <w:tcW w:w="940" w:type="dxa"/>
            <w:vAlign w:val="bottom"/>
            <w:tcBorders>
              <w:bottom w:val="single" w:sz="8" w:color="auto"/>
            </w:tcBorders>
          </w:tcPr>
          <w:p>
            <w:pPr>
              <w:jc w:val="right"/>
              <w:ind w:right="399"/>
              <w:spacing w:after="0"/>
              <w:rPr>
                <w:sz w:val="20"/>
                <w:szCs w:val="20"/>
                <w:color w:val="auto"/>
              </w:rPr>
            </w:pPr>
            <w:r>
              <w:rPr>
                <w:rFonts w:ascii="Times New Roman" w:cs="Times New Roman" w:eastAsia="Times New Roman" w:hAnsi="Times New Roman"/>
                <w:sz w:val="20"/>
                <w:szCs w:val="20"/>
                <w:b w:val="1"/>
                <w:bCs w:val="1"/>
                <w:color w:val="auto"/>
              </w:rPr>
              <w:t>(%)</w:t>
            </w:r>
          </w:p>
        </w:tc>
      </w:tr>
      <w:tr>
        <w:trPr>
          <w:trHeight w:val="221"/>
        </w:trPr>
        <w:tc>
          <w:tcPr>
            <w:tcW w:w="47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980" w:type="dxa"/>
            <w:vAlign w:val="bottom"/>
            <w:gridSpan w:val="7"/>
          </w:tcPr>
          <w:p>
            <w:pPr>
              <w:jc w:val="right"/>
              <w:ind w:right="59"/>
              <w:spacing w:after="0" w:line="204" w:lineRule="exact"/>
              <w:rPr>
                <w:sz w:val="20"/>
                <w:szCs w:val="20"/>
                <w:color w:val="auto"/>
              </w:rPr>
            </w:pPr>
            <w:r>
              <w:rPr>
                <w:rFonts w:ascii="Times New Roman" w:cs="Times New Roman" w:eastAsia="Times New Roman" w:hAnsi="Times New Roman"/>
                <w:sz w:val="20"/>
                <w:szCs w:val="20"/>
                <w:b w:val="1"/>
                <w:bCs w:val="1"/>
                <w:color w:val="auto"/>
              </w:rPr>
              <w:t>(dollars in thousands)</w:t>
            </w:r>
          </w:p>
        </w:tc>
        <w:tc>
          <w:tcPr>
            <w:tcW w:w="9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940" w:type="dxa"/>
            <w:vAlign w:val="bottom"/>
          </w:tcPr>
          <w:p>
            <w:pPr>
              <w:spacing w:after="0"/>
              <w:rPr>
                <w:sz w:val="19"/>
                <w:szCs w:val="19"/>
                <w:color w:val="auto"/>
              </w:rPr>
            </w:pPr>
          </w:p>
        </w:tc>
      </w:tr>
      <w:tr>
        <w:trPr>
          <w:trHeight w:val="288"/>
        </w:trPr>
        <w:tc>
          <w:tcPr>
            <w:tcW w:w="4780" w:type="dxa"/>
            <w:vAlign w:val="bottom"/>
            <w:gridSpan w:val="2"/>
            <w:shd w:val="clear" w:color="auto" w:fill="DDDDDD"/>
          </w:tcPr>
          <w:p>
            <w:pPr>
              <w:ind w:left="40"/>
              <w:spacing w:after="0"/>
              <w:rPr>
                <w:sz w:val="20"/>
                <w:szCs w:val="20"/>
                <w:color w:val="auto"/>
              </w:rPr>
            </w:pPr>
            <w:r>
              <w:rPr>
                <w:rFonts w:ascii="Times New Roman" w:cs="Times New Roman" w:eastAsia="Times New Roman" w:hAnsi="Times New Roman"/>
                <w:sz w:val="20"/>
                <w:szCs w:val="20"/>
                <w:color w:val="auto"/>
              </w:rPr>
              <w:t>Cost of revenues</w:t>
            </w:r>
          </w:p>
        </w:tc>
        <w:tc>
          <w:tcPr>
            <w:tcW w:w="200" w:type="dxa"/>
            <w:vAlign w:val="bottom"/>
            <w:shd w:val="clear" w:color="auto" w:fill="DDDDDD"/>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1140" w:type="dxa"/>
            <w:vAlign w:val="bottom"/>
            <w:shd w:val="clear" w:color="auto" w:fill="DDDDDD"/>
          </w:tcPr>
          <w:p>
            <w:pPr>
              <w:jc w:val="right"/>
              <w:spacing w:after="0"/>
              <w:rPr>
                <w:sz w:val="20"/>
                <w:szCs w:val="20"/>
                <w:color w:val="auto"/>
              </w:rPr>
            </w:pPr>
            <w:r>
              <w:rPr>
                <w:rFonts w:ascii="Times New Roman" w:cs="Times New Roman" w:eastAsia="Times New Roman" w:hAnsi="Times New Roman"/>
                <w:sz w:val="20"/>
                <w:szCs w:val="20"/>
                <w:color w:val="auto"/>
              </w:rPr>
              <w:t>12,527</w:t>
            </w:r>
          </w:p>
        </w:tc>
        <w:tc>
          <w:tcPr>
            <w:tcW w:w="60" w:type="dxa"/>
            <w:vAlign w:val="bottom"/>
            <w:shd w:val="clear" w:color="auto" w:fill="DDDDDD"/>
          </w:tcPr>
          <w:p>
            <w:pPr>
              <w:spacing w:after="0"/>
              <w:rPr>
                <w:sz w:val="24"/>
                <w:szCs w:val="24"/>
                <w:color w:val="auto"/>
              </w:rPr>
            </w:pPr>
          </w:p>
        </w:tc>
        <w:tc>
          <w:tcPr>
            <w:tcW w:w="20" w:type="dxa"/>
            <w:vAlign w:val="bottom"/>
            <w:shd w:val="clear" w:color="auto" w:fill="DDDDDD"/>
          </w:tcPr>
          <w:p>
            <w:pPr>
              <w:spacing w:after="0"/>
              <w:rPr>
                <w:sz w:val="24"/>
                <w:szCs w:val="24"/>
                <w:color w:val="auto"/>
              </w:rPr>
            </w:pPr>
          </w:p>
        </w:tc>
        <w:tc>
          <w:tcPr>
            <w:tcW w:w="300" w:type="dxa"/>
            <w:vAlign w:val="bottom"/>
            <w:shd w:val="clear" w:color="auto" w:fill="DDDDDD"/>
          </w:tcPr>
          <w:p>
            <w:pPr>
              <w:jc w:val="right"/>
              <w:ind w:right="39"/>
              <w:spacing w:after="0"/>
              <w:rPr>
                <w:sz w:val="20"/>
                <w:szCs w:val="20"/>
                <w:color w:val="auto"/>
              </w:rPr>
            </w:pPr>
            <w:r>
              <w:rPr>
                <w:rFonts w:ascii="Times New Roman" w:cs="Times New Roman" w:eastAsia="Times New Roman" w:hAnsi="Times New Roman"/>
                <w:sz w:val="20"/>
                <w:szCs w:val="20"/>
                <w:color w:val="auto"/>
              </w:rPr>
              <w:t>$</w:t>
            </w:r>
          </w:p>
        </w:tc>
        <w:tc>
          <w:tcPr>
            <w:tcW w:w="1040" w:type="dxa"/>
            <w:vAlign w:val="bottom"/>
            <w:shd w:val="clear" w:color="auto" w:fill="DDDDDD"/>
          </w:tcPr>
          <w:p>
            <w:pPr>
              <w:jc w:val="right"/>
              <w:spacing w:after="0"/>
              <w:rPr>
                <w:sz w:val="20"/>
                <w:szCs w:val="20"/>
                <w:color w:val="auto"/>
              </w:rPr>
            </w:pPr>
            <w:r>
              <w:rPr>
                <w:rFonts w:ascii="Times New Roman" w:cs="Times New Roman" w:eastAsia="Times New Roman" w:hAnsi="Times New Roman"/>
                <w:sz w:val="20"/>
                <w:szCs w:val="20"/>
                <w:color w:val="auto"/>
              </w:rPr>
              <w:t>15,407</w:t>
            </w:r>
          </w:p>
        </w:tc>
        <w:tc>
          <w:tcPr>
            <w:tcW w:w="40" w:type="dxa"/>
            <w:vAlign w:val="bottom"/>
            <w:shd w:val="clear" w:color="auto" w:fill="DDDDDD"/>
          </w:tcPr>
          <w:p>
            <w:pPr>
              <w:spacing w:after="0"/>
              <w:rPr>
                <w:sz w:val="24"/>
                <w:szCs w:val="24"/>
                <w:color w:val="auto"/>
              </w:rPr>
            </w:pPr>
          </w:p>
        </w:tc>
        <w:tc>
          <w:tcPr>
            <w:tcW w:w="380" w:type="dxa"/>
            <w:vAlign w:val="bottom"/>
            <w:shd w:val="clear" w:color="auto" w:fill="DDDDDD"/>
          </w:tcPr>
          <w:p>
            <w:pPr>
              <w:jc w:val="right"/>
              <w:ind w:right="99"/>
              <w:spacing w:after="0"/>
              <w:rPr>
                <w:sz w:val="20"/>
                <w:szCs w:val="20"/>
                <w:color w:val="auto"/>
              </w:rPr>
            </w:pPr>
            <w:r>
              <w:rPr>
                <w:rFonts w:ascii="Times New Roman" w:cs="Times New Roman" w:eastAsia="Times New Roman" w:hAnsi="Times New Roman"/>
                <w:sz w:val="20"/>
                <w:szCs w:val="20"/>
                <w:color w:val="auto"/>
              </w:rPr>
              <w:t>$</w:t>
            </w:r>
          </w:p>
        </w:tc>
        <w:tc>
          <w:tcPr>
            <w:tcW w:w="960" w:type="dxa"/>
            <w:vAlign w:val="bottom"/>
            <w:shd w:val="clear" w:color="auto" w:fill="DDDDDD"/>
          </w:tcPr>
          <w:p>
            <w:pPr>
              <w:jc w:val="right"/>
              <w:spacing w:after="0"/>
              <w:rPr>
                <w:sz w:val="20"/>
                <w:szCs w:val="20"/>
                <w:color w:val="auto"/>
              </w:rPr>
            </w:pPr>
            <w:r>
              <w:rPr>
                <w:rFonts w:ascii="Times New Roman" w:cs="Times New Roman" w:eastAsia="Times New Roman" w:hAnsi="Times New Roman"/>
                <w:sz w:val="20"/>
                <w:szCs w:val="20"/>
                <w:color w:val="auto"/>
              </w:rPr>
              <w:t>(2,880)</w:t>
            </w:r>
          </w:p>
        </w:tc>
        <w:tc>
          <w:tcPr>
            <w:tcW w:w="40" w:type="dxa"/>
            <w:vAlign w:val="bottom"/>
            <w:shd w:val="clear" w:color="auto" w:fill="DDDDDD"/>
          </w:tcPr>
          <w:p>
            <w:pPr>
              <w:spacing w:after="0"/>
              <w:rPr>
                <w:sz w:val="24"/>
                <w:szCs w:val="24"/>
                <w:color w:val="auto"/>
              </w:rPr>
            </w:pPr>
          </w:p>
        </w:tc>
        <w:tc>
          <w:tcPr>
            <w:tcW w:w="20" w:type="dxa"/>
            <w:vAlign w:val="bottom"/>
            <w:shd w:val="clear" w:color="auto" w:fill="DDDDDD"/>
          </w:tcPr>
          <w:p>
            <w:pPr>
              <w:spacing w:after="0"/>
              <w:rPr>
                <w:sz w:val="24"/>
                <w:szCs w:val="24"/>
                <w:color w:val="auto"/>
              </w:rPr>
            </w:pPr>
          </w:p>
        </w:tc>
        <w:tc>
          <w:tcPr>
            <w:tcW w:w="400" w:type="dxa"/>
            <w:vAlign w:val="bottom"/>
            <w:shd w:val="clear" w:color="auto" w:fill="DDDDDD"/>
          </w:tcPr>
          <w:p>
            <w:pPr>
              <w:spacing w:after="0"/>
              <w:rPr>
                <w:sz w:val="24"/>
                <w:szCs w:val="24"/>
                <w:color w:val="auto"/>
              </w:rPr>
            </w:pPr>
          </w:p>
        </w:tc>
        <w:tc>
          <w:tcPr>
            <w:tcW w:w="940" w:type="dxa"/>
            <w:vAlign w:val="bottom"/>
            <w:shd w:val="clear" w:color="auto" w:fill="DDDDDD"/>
          </w:tcPr>
          <w:p>
            <w:pPr>
              <w:jc w:val="right"/>
              <w:spacing w:after="0"/>
              <w:rPr>
                <w:sz w:val="20"/>
                <w:szCs w:val="20"/>
                <w:color w:val="auto"/>
              </w:rPr>
            </w:pPr>
            <w:r>
              <w:rPr>
                <w:rFonts w:ascii="Times New Roman" w:cs="Times New Roman" w:eastAsia="Times New Roman" w:hAnsi="Times New Roman"/>
                <w:sz w:val="20"/>
                <w:szCs w:val="20"/>
                <w:color w:val="auto"/>
              </w:rPr>
              <w:t>(19)%</w:t>
            </w:r>
          </w:p>
        </w:tc>
      </w:tr>
      <w:tr>
        <w:trPr>
          <w:trHeight w:val="288"/>
        </w:trPr>
        <w:tc>
          <w:tcPr>
            <w:tcW w:w="4780" w:type="dxa"/>
            <w:vAlign w:val="bottom"/>
            <w:gridSpan w:val="2"/>
          </w:tcPr>
          <w:p>
            <w:pPr>
              <w:ind w:left="40"/>
              <w:spacing w:after="0"/>
              <w:rPr>
                <w:sz w:val="20"/>
                <w:szCs w:val="20"/>
                <w:color w:val="auto"/>
              </w:rPr>
            </w:pPr>
            <w:r>
              <w:rPr>
                <w:rFonts w:ascii="Times New Roman" w:cs="Times New Roman" w:eastAsia="Times New Roman" w:hAnsi="Times New Roman"/>
                <w:sz w:val="20"/>
                <w:szCs w:val="20"/>
                <w:color w:val="auto"/>
              </w:rPr>
              <w:t>Sales and marketing</w:t>
            </w:r>
          </w:p>
        </w:tc>
        <w:tc>
          <w:tcPr>
            <w:tcW w:w="200" w:type="dxa"/>
            <w:vAlign w:val="bottom"/>
          </w:tcPr>
          <w:p>
            <w:pPr>
              <w:spacing w:after="0"/>
              <w:rPr>
                <w:sz w:val="24"/>
                <w:szCs w:val="24"/>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47,073</w:t>
            </w: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82,624</w:t>
            </w:r>
          </w:p>
        </w:tc>
        <w:tc>
          <w:tcPr>
            <w:tcW w:w="4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(35,551)</w:t>
            </w: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(43)%</w:t>
            </w:r>
          </w:p>
        </w:tc>
      </w:tr>
      <w:tr>
        <w:trPr>
          <w:trHeight w:val="281"/>
        </w:trPr>
        <w:tc>
          <w:tcPr>
            <w:tcW w:w="4780" w:type="dxa"/>
            <w:vAlign w:val="bottom"/>
            <w:gridSpan w:val="2"/>
            <w:shd w:val="clear" w:color="auto" w:fill="DDDDDD"/>
          </w:tcPr>
          <w:p>
            <w:pPr>
              <w:ind w:left="40"/>
              <w:spacing w:after="0"/>
              <w:rPr>
                <w:sz w:val="20"/>
                <w:szCs w:val="20"/>
                <w:color w:val="auto"/>
              </w:rPr>
            </w:pPr>
            <w:r>
              <w:rPr>
                <w:rFonts w:ascii="Times New Roman" w:cs="Times New Roman" w:eastAsia="Times New Roman" w:hAnsi="Times New Roman"/>
                <w:sz w:val="20"/>
                <w:szCs w:val="20"/>
                <w:color w:val="auto"/>
              </w:rPr>
              <w:t>Product development</w:t>
            </w:r>
          </w:p>
        </w:tc>
        <w:tc>
          <w:tcPr>
            <w:tcW w:w="200" w:type="dxa"/>
            <w:vAlign w:val="bottom"/>
            <w:shd w:val="clear" w:color="auto" w:fill="DDDDDD"/>
          </w:tcPr>
          <w:p>
            <w:pPr>
              <w:spacing w:after="0"/>
              <w:rPr>
                <w:sz w:val="24"/>
                <w:szCs w:val="24"/>
                <w:color w:val="auto"/>
              </w:rPr>
            </w:pPr>
          </w:p>
        </w:tc>
        <w:tc>
          <w:tcPr>
            <w:tcW w:w="1140" w:type="dxa"/>
            <w:vAlign w:val="bottom"/>
            <w:shd w:val="clear" w:color="auto" w:fill="DDDDDD"/>
          </w:tcPr>
          <w:p>
            <w:pPr>
              <w:jc w:val="right"/>
              <w:spacing w:after="0"/>
              <w:rPr>
                <w:sz w:val="20"/>
                <w:szCs w:val="20"/>
                <w:color w:val="auto"/>
              </w:rPr>
            </w:pPr>
            <w:r>
              <w:rPr>
                <w:rFonts w:ascii="Times New Roman" w:cs="Times New Roman" w:eastAsia="Times New Roman" w:hAnsi="Times New Roman"/>
                <w:sz w:val="20"/>
                <w:szCs w:val="20"/>
                <w:color w:val="auto"/>
              </w:rPr>
              <w:t>36,001</w:t>
            </w:r>
          </w:p>
        </w:tc>
        <w:tc>
          <w:tcPr>
            <w:tcW w:w="60" w:type="dxa"/>
            <w:vAlign w:val="bottom"/>
            <w:shd w:val="clear" w:color="auto" w:fill="DDDDDD"/>
          </w:tcPr>
          <w:p>
            <w:pPr>
              <w:spacing w:after="0"/>
              <w:rPr>
                <w:sz w:val="24"/>
                <w:szCs w:val="24"/>
                <w:color w:val="auto"/>
              </w:rPr>
            </w:pPr>
          </w:p>
        </w:tc>
        <w:tc>
          <w:tcPr>
            <w:tcW w:w="20" w:type="dxa"/>
            <w:vAlign w:val="bottom"/>
            <w:shd w:val="clear" w:color="auto" w:fill="DDDDDD"/>
          </w:tcPr>
          <w:p>
            <w:pPr>
              <w:spacing w:after="0"/>
              <w:rPr>
                <w:sz w:val="24"/>
                <w:szCs w:val="24"/>
                <w:color w:val="auto"/>
              </w:rPr>
            </w:pPr>
          </w:p>
        </w:tc>
        <w:tc>
          <w:tcPr>
            <w:tcW w:w="300" w:type="dxa"/>
            <w:vAlign w:val="bottom"/>
            <w:shd w:val="clear" w:color="auto" w:fill="DDDDDD"/>
          </w:tcPr>
          <w:p>
            <w:pPr>
              <w:spacing w:after="0"/>
              <w:rPr>
                <w:sz w:val="24"/>
                <w:szCs w:val="24"/>
                <w:color w:val="auto"/>
              </w:rPr>
            </w:pPr>
          </w:p>
        </w:tc>
        <w:tc>
          <w:tcPr>
            <w:tcW w:w="1040" w:type="dxa"/>
            <w:vAlign w:val="bottom"/>
            <w:shd w:val="clear" w:color="auto" w:fill="DDDDDD"/>
          </w:tcPr>
          <w:p>
            <w:pPr>
              <w:jc w:val="right"/>
              <w:spacing w:after="0"/>
              <w:rPr>
                <w:sz w:val="20"/>
                <w:szCs w:val="20"/>
                <w:color w:val="auto"/>
              </w:rPr>
            </w:pPr>
            <w:r>
              <w:rPr>
                <w:rFonts w:ascii="Times New Roman" w:cs="Times New Roman" w:eastAsia="Times New Roman" w:hAnsi="Times New Roman"/>
                <w:sz w:val="20"/>
                <w:szCs w:val="20"/>
                <w:color w:val="auto"/>
              </w:rPr>
              <w:t>50,520</w:t>
            </w:r>
          </w:p>
        </w:tc>
        <w:tc>
          <w:tcPr>
            <w:tcW w:w="40" w:type="dxa"/>
            <w:vAlign w:val="bottom"/>
            <w:shd w:val="clear" w:color="auto" w:fill="DDDDDD"/>
          </w:tcPr>
          <w:p>
            <w:pPr>
              <w:spacing w:after="0"/>
              <w:rPr>
                <w:sz w:val="24"/>
                <w:szCs w:val="24"/>
                <w:color w:val="auto"/>
              </w:rPr>
            </w:pPr>
          </w:p>
        </w:tc>
        <w:tc>
          <w:tcPr>
            <w:tcW w:w="380" w:type="dxa"/>
            <w:vAlign w:val="bottom"/>
            <w:shd w:val="clear" w:color="auto" w:fill="DDDDDD"/>
          </w:tcPr>
          <w:p>
            <w:pPr>
              <w:spacing w:after="0"/>
              <w:rPr>
                <w:sz w:val="24"/>
                <w:szCs w:val="24"/>
                <w:color w:val="auto"/>
              </w:rPr>
            </w:pPr>
          </w:p>
        </w:tc>
        <w:tc>
          <w:tcPr>
            <w:tcW w:w="960" w:type="dxa"/>
            <w:vAlign w:val="bottom"/>
            <w:shd w:val="clear" w:color="auto" w:fill="DDDDDD"/>
          </w:tcPr>
          <w:p>
            <w:pPr>
              <w:jc w:val="right"/>
              <w:spacing w:after="0"/>
              <w:rPr>
                <w:sz w:val="20"/>
                <w:szCs w:val="20"/>
                <w:color w:val="auto"/>
              </w:rPr>
            </w:pPr>
            <w:r>
              <w:rPr>
                <w:rFonts w:ascii="Times New Roman" w:cs="Times New Roman" w:eastAsia="Times New Roman" w:hAnsi="Times New Roman"/>
                <w:sz w:val="20"/>
                <w:szCs w:val="20"/>
                <w:color w:val="auto"/>
              </w:rPr>
              <w:t>(14,519)</w:t>
            </w:r>
          </w:p>
        </w:tc>
        <w:tc>
          <w:tcPr>
            <w:tcW w:w="40" w:type="dxa"/>
            <w:vAlign w:val="bottom"/>
            <w:shd w:val="clear" w:color="auto" w:fill="DDDDDD"/>
          </w:tcPr>
          <w:p>
            <w:pPr>
              <w:spacing w:after="0"/>
              <w:rPr>
                <w:sz w:val="24"/>
                <w:szCs w:val="24"/>
                <w:color w:val="auto"/>
              </w:rPr>
            </w:pPr>
          </w:p>
        </w:tc>
        <w:tc>
          <w:tcPr>
            <w:tcW w:w="20" w:type="dxa"/>
            <w:vAlign w:val="bottom"/>
            <w:shd w:val="clear" w:color="auto" w:fill="DDDDDD"/>
          </w:tcPr>
          <w:p>
            <w:pPr>
              <w:spacing w:after="0"/>
              <w:rPr>
                <w:sz w:val="24"/>
                <w:szCs w:val="24"/>
                <w:color w:val="auto"/>
              </w:rPr>
            </w:pPr>
          </w:p>
        </w:tc>
        <w:tc>
          <w:tcPr>
            <w:tcW w:w="400" w:type="dxa"/>
            <w:vAlign w:val="bottom"/>
            <w:shd w:val="clear" w:color="auto" w:fill="DDDDDD"/>
          </w:tcPr>
          <w:p>
            <w:pPr>
              <w:spacing w:after="0"/>
              <w:rPr>
                <w:sz w:val="24"/>
                <w:szCs w:val="24"/>
                <w:color w:val="auto"/>
              </w:rPr>
            </w:pPr>
          </w:p>
        </w:tc>
        <w:tc>
          <w:tcPr>
            <w:tcW w:w="940" w:type="dxa"/>
            <w:vAlign w:val="bottom"/>
            <w:shd w:val="clear" w:color="auto" w:fill="DDDDDD"/>
          </w:tcPr>
          <w:p>
            <w:pPr>
              <w:jc w:val="right"/>
              <w:spacing w:after="0"/>
              <w:rPr>
                <w:sz w:val="20"/>
                <w:szCs w:val="20"/>
                <w:color w:val="auto"/>
              </w:rPr>
            </w:pPr>
            <w:r>
              <w:rPr>
                <w:rFonts w:ascii="Times New Roman" w:cs="Times New Roman" w:eastAsia="Times New Roman" w:hAnsi="Times New Roman"/>
                <w:sz w:val="20"/>
                <w:szCs w:val="20"/>
                <w:color w:val="auto"/>
              </w:rPr>
              <w:t>(29)%</w:t>
            </w:r>
          </w:p>
        </w:tc>
      </w:tr>
      <w:tr>
        <w:trPr>
          <w:trHeight w:val="288"/>
        </w:trPr>
        <w:tc>
          <w:tcPr>
            <w:tcW w:w="4780" w:type="dxa"/>
            <w:vAlign w:val="bottom"/>
            <w:gridSpan w:val="2"/>
          </w:tcPr>
          <w:p>
            <w:pPr>
              <w:ind w:left="40"/>
              <w:spacing w:after="0"/>
              <w:rPr>
                <w:sz w:val="20"/>
                <w:szCs w:val="20"/>
                <w:color w:val="auto"/>
              </w:rPr>
            </w:pPr>
            <w:r>
              <w:rPr>
                <w:rFonts w:ascii="Times New Roman" w:cs="Times New Roman" w:eastAsia="Times New Roman" w:hAnsi="Times New Roman"/>
                <w:sz w:val="20"/>
                <w:szCs w:val="20"/>
                <w:color w:val="auto"/>
              </w:rPr>
              <w:t>General and administrative</w:t>
            </w:r>
          </w:p>
        </w:tc>
        <w:tc>
          <w:tcPr>
            <w:tcW w:w="200" w:type="dxa"/>
            <w:vAlign w:val="bottom"/>
          </w:tcPr>
          <w:p>
            <w:pPr>
              <w:spacing w:after="0"/>
              <w:rPr>
                <w:sz w:val="24"/>
                <w:szCs w:val="24"/>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74,313</w:t>
            </w: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120,787</w:t>
            </w:r>
          </w:p>
        </w:tc>
        <w:tc>
          <w:tcPr>
            <w:tcW w:w="4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(46,474)</w:t>
            </w: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(38)%</w:t>
            </w:r>
          </w:p>
        </w:tc>
      </w:tr>
      <w:tr>
        <w:trPr>
          <w:trHeight w:val="281"/>
        </w:trPr>
        <w:tc>
          <w:tcPr>
            <w:tcW w:w="4780" w:type="dxa"/>
            <w:vAlign w:val="bottom"/>
            <w:gridSpan w:val="2"/>
            <w:shd w:val="clear" w:color="auto" w:fill="DDDDDD"/>
          </w:tcPr>
          <w:p>
            <w:pPr>
              <w:ind w:left="40"/>
              <w:spacing w:after="0"/>
              <w:rPr>
                <w:sz w:val="20"/>
                <w:szCs w:val="20"/>
                <w:color w:val="auto"/>
              </w:rPr>
            </w:pPr>
            <w:r>
              <w:rPr>
                <w:rFonts w:ascii="Times New Roman" w:cs="Times New Roman" w:eastAsia="Times New Roman" w:hAnsi="Times New Roman"/>
                <w:sz w:val="20"/>
                <w:szCs w:val="20"/>
                <w:color w:val="auto"/>
              </w:rPr>
              <w:t>Depreciation and amortization</w:t>
            </w:r>
          </w:p>
        </w:tc>
        <w:tc>
          <w:tcPr>
            <w:tcW w:w="200" w:type="dxa"/>
            <w:vAlign w:val="bottom"/>
            <w:shd w:val="clear" w:color="auto" w:fill="DDDDDD"/>
          </w:tcPr>
          <w:p>
            <w:pPr>
              <w:spacing w:after="0"/>
              <w:rPr>
                <w:sz w:val="24"/>
                <w:szCs w:val="24"/>
                <w:color w:val="auto"/>
              </w:rPr>
            </w:pPr>
          </w:p>
        </w:tc>
        <w:tc>
          <w:tcPr>
            <w:tcW w:w="1140" w:type="dxa"/>
            <w:vAlign w:val="bottom"/>
            <w:shd w:val="clear" w:color="auto" w:fill="DDDDDD"/>
          </w:tcPr>
          <w:p>
            <w:pPr>
              <w:jc w:val="right"/>
              <w:spacing w:after="0"/>
              <w:rPr>
                <w:sz w:val="20"/>
                <w:szCs w:val="20"/>
                <w:color w:val="auto"/>
              </w:rPr>
            </w:pPr>
            <w:r>
              <w:rPr>
                <w:rFonts w:ascii="Times New Roman" w:cs="Times New Roman" w:eastAsia="Times New Roman" w:hAnsi="Times New Roman"/>
                <w:sz w:val="20"/>
                <w:szCs w:val="20"/>
                <w:color w:val="auto"/>
              </w:rPr>
              <w:t>12,133</w:t>
            </w:r>
          </w:p>
        </w:tc>
        <w:tc>
          <w:tcPr>
            <w:tcW w:w="60" w:type="dxa"/>
            <w:vAlign w:val="bottom"/>
            <w:shd w:val="clear" w:color="auto" w:fill="DDDDDD"/>
          </w:tcPr>
          <w:p>
            <w:pPr>
              <w:spacing w:after="0"/>
              <w:rPr>
                <w:sz w:val="24"/>
                <w:szCs w:val="24"/>
                <w:color w:val="auto"/>
              </w:rPr>
            </w:pPr>
          </w:p>
        </w:tc>
        <w:tc>
          <w:tcPr>
            <w:tcW w:w="20" w:type="dxa"/>
            <w:vAlign w:val="bottom"/>
            <w:shd w:val="clear" w:color="auto" w:fill="DDDDDD"/>
          </w:tcPr>
          <w:p>
            <w:pPr>
              <w:spacing w:after="0"/>
              <w:rPr>
                <w:sz w:val="24"/>
                <w:szCs w:val="24"/>
                <w:color w:val="auto"/>
              </w:rPr>
            </w:pPr>
          </w:p>
        </w:tc>
        <w:tc>
          <w:tcPr>
            <w:tcW w:w="300" w:type="dxa"/>
            <w:vAlign w:val="bottom"/>
            <w:shd w:val="clear" w:color="auto" w:fill="DDDDDD"/>
          </w:tcPr>
          <w:p>
            <w:pPr>
              <w:spacing w:after="0"/>
              <w:rPr>
                <w:sz w:val="24"/>
                <w:szCs w:val="24"/>
                <w:color w:val="auto"/>
              </w:rPr>
            </w:pPr>
          </w:p>
        </w:tc>
        <w:tc>
          <w:tcPr>
            <w:tcW w:w="1040" w:type="dxa"/>
            <w:vAlign w:val="bottom"/>
            <w:shd w:val="clear" w:color="auto" w:fill="DDDDDD"/>
          </w:tcPr>
          <w:p>
            <w:pPr>
              <w:jc w:val="right"/>
              <w:spacing w:after="0"/>
              <w:rPr>
                <w:sz w:val="20"/>
                <w:szCs w:val="20"/>
                <w:color w:val="auto"/>
              </w:rPr>
            </w:pPr>
            <w:r>
              <w:rPr>
                <w:rFonts w:ascii="Times New Roman" w:cs="Times New Roman" w:eastAsia="Times New Roman" w:hAnsi="Times New Roman"/>
                <w:sz w:val="20"/>
                <w:szCs w:val="20"/>
                <w:color w:val="auto"/>
              </w:rPr>
              <w:t>11,498</w:t>
            </w:r>
          </w:p>
        </w:tc>
        <w:tc>
          <w:tcPr>
            <w:tcW w:w="40" w:type="dxa"/>
            <w:vAlign w:val="bottom"/>
            <w:shd w:val="clear" w:color="auto" w:fill="DDDDDD"/>
          </w:tcPr>
          <w:p>
            <w:pPr>
              <w:spacing w:after="0"/>
              <w:rPr>
                <w:sz w:val="24"/>
                <w:szCs w:val="24"/>
                <w:color w:val="auto"/>
              </w:rPr>
            </w:pPr>
          </w:p>
        </w:tc>
        <w:tc>
          <w:tcPr>
            <w:tcW w:w="380" w:type="dxa"/>
            <w:vAlign w:val="bottom"/>
            <w:shd w:val="clear" w:color="auto" w:fill="DDDDDD"/>
          </w:tcPr>
          <w:p>
            <w:pPr>
              <w:spacing w:after="0"/>
              <w:rPr>
                <w:sz w:val="24"/>
                <w:szCs w:val="24"/>
                <w:color w:val="auto"/>
              </w:rPr>
            </w:pPr>
          </w:p>
        </w:tc>
        <w:tc>
          <w:tcPr>
            <w:tcW w:w="960" w:type="dxa"/>
            <w:vAlign w:val="bottom"/>
            <w:shd w:val="clear" w:color="auto" w:fill="DDDDDD"/>
          </w:tcPr>
          <w:p>
            <w:pPr>
              <w:jc w:val="right"/>
              <w:spacing w:after="0"/>
              <w:rPr>
                <w:sz w:val="20"/>
                <w:szCs w:val="20"/>
                <w:color w:val="auto"/>
              </w:rPr>
            </w:pPr>
            <w:r>
              <w:rPr>
                <w:rFonts w:ascii="Times New Roman" w:cs="Times New Roman" w:eastAsia="Times New Roman" w:hAnsi="Times New Roman"/>
                <w:sz w:val="20"/>
                <w:szCs w:val="20"/>
                <w:color w:val="auto"/>
              </w:rPr>
              <w:t>635</w:t>
            </w:r>
          </w:p>
        </w:tc>
        <w:tc>
          <w:tcPr>
            <w:tcW w:w="40" w:type="dxa"/>
            <w:vAlign w:val="bottom"/>
            <w:shd w:val="clear" w:color="auto" w:fill="DDDDDD"/>
          </w:tcPr>
          <w:p>
            <w:pPr>
              <w:spacing w:after="0"/>
              <w:rPr>
                <w:sz w:val="24"/>
                <w:szCs w:val="24"/>
                <w:color w:val="auto"/>
              </w:rPr>
            </w:pPr>
          </w:p>
        </w:tc>
        <w:tc>
          <w:tcPr>
            <w:tcW w:w="20" w:type="dxa"/>
            <w:vAlign w:val="bottom"/>
            <w:shd w:val="clear" w:color="auto" w:fill="DDDDDD"/>
          </w:tcPr>
          <w:p>
            <w:pPr>
              <w:spacing w:after="0"/>
              <w:rPr>
                <w:sz w:val="24"/>
                <w:szCs w:val="24"/>
                <w:color w:val="auto"/>
              </w:rPr>
            </w:pPr>
          </w:p>
        </w:tc>
        <w:tc>
          <w:tcPr>
            <w:tcW w:w="400" w:type="dxa"/>
            <w:vAlign w:val="bottom"/>
            <w:shd w:val="clear" w:color="auto" w:fill="DDDDDD"/>
          </w:tcPr>
          <w:p>
            <w:pPr>
              <w:spacing w:after="0"/>
              <w:rPr>
                <w:sz w:val="24"/>
                <w:szCs w:val="24"/>
                <w:color w:val="auto"/>
              </w:rPr>
            </w:pPr>
          </w:p>
        </w:tc>
        <w:tc>
          <w:tcPr>
            <w:tcW w:w="940" w:type="dxa"/>
            <w:vAlign w:val="bottom"/>
            <w:shd w:val="clear" w:color="auto" w:fill="DDDDDD"/>
          </w:tcPr>
          <w:p>
            <w:pPr>
              <w:jc w:val="right"/>
              <w:spacing w:after="0"/>
              <w:rPr>
                <w:sz w:val="20"/>
                <w:szCs w:val="20"/>
                <w:color w:val="auto"/>
              </w:rPr>
            </w:pPr>
            <w:r>
              <w:rPr>
                <w:rFonts w:ascii="Times New Roman" w:cs="Times New Roman" w:eastAsia="Times New Roman" w:hAnsi="Times New Roman"/>
                <w:sz w:val="20"/>
                <w:szCs w:val="20"/>
                <w:color w:val="auto"/>
              </w:rPr>
              <w:t>6 %</w:t>
            </w:r>
          </w:p>
        </w:tc>
      </w:tr>
      <w:tr>
        <w:trPr>
          <w:trHeight w:val="290"/>
        </w:trPr>
        <w:tc>
          <w:tcPr>
            <w:tcW w:w="4780" w:type="dxa"/>
            <w:vAlign w:val="bottom"/>
            <w:tcBorders>
              <w:bottom w:val="single" w:sz="8" w:color="DDDDDD"/>
            </w:tcBorders>
            <w:gridSpan w:val="2"/>
          </w:tcPr>
          <w:p>
            <w:pPr>
              <w:ind w:left="40"/>
              <w:spacing w:after="0"/>
              <w:rPr>
                <w:sz w:val="20"/>
                <w:szCs w:val="20"/>
                <w:color w:val="auto"/>
              </w:rPr>
            </w:pPr>
            <w:r>
              <w:rPr>
                <w:rFonts w:ascii="Times New Roman" w:cs="Times New Roman" w:eastAsia="Times New Roman" w:hAnsi="Times New Roman"/>
                <w:sz w:val="20"/>
                <w:szCs w:val="20"/>
                <w:color w:val="auto"/>
              </w:rPr>
              <w:t>Asset impairment charges</w:t>
            </w:r>
          </w:p>
        </w:tc>
        <w:tc>
          <w:tcPr>
            <w:tcW w:w="200" w:type="dxa"/>
            <w:vAlign w:val="bottom"/>
            <w:tcBorders>
              <w:bottom w:val="single" w:sz="8" w:color="auto"/>
            </w:tcBorders>
          </w:tcPr>
          <w:p>
            <w:pPr>
              <w:spacing w:after="0"/>
              <w:rPr>
                <w:sz w:val="24"/>
                <w:szCs w:val="24"/>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24,403</w:t>
            </w:r>
          </w:p>
        </w:tc>
        <w:tc>
          <w:tcPr>
            <w:tcW w:w="60" w:type="dxa"/>
            <w:vAlign w:val="bottom"/>
            <w:tcBorders>
              <w:bottom w:val="single" w:sz="8" w:color="DDDDDD"/>
            </w:tcBorders>
          </w:tcPr>
          <w:p>
            <w:pPr>
              <w:spacing w:after="0"/>
              <w:rPr>
                <w:sz w:val="24"/>
                <w:szCs w:val="24"/>
                <w:color w:val="auto"/>
              </w:rPr>
            </w:pPr>
          </w:p>
        </w:tc>
        <w:tc>
          <w:tcPr>
            <w:tcW w:w="20" w:type="dxa"/>
            <w:vAlign w:val="bottom"/>
            <w:tcBorders>
              <w:bottom w:val="single" w:sz="8" w:color="DDDDDD"/>
            </w:tcBorders>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4,317</w:t>
            </w:r>
          </w:p>
        </w:tc>
        <w:tc>
          <w:tcPr>
            <w:tcW w:w="40" w:type="dxa"/>
            <w:vAlign w:val="bottom"/>
          </w:tcPr>
          <w:p>
            <w:pPr>
              <w:spacing w:after="0"/>
              <w:rPr>
                <w:sz w:val="24"/>
                <w:szCs w:val="24"/>
                <w:color w:val="auto"/>
              </w:rPr>
            </w:pPr>
          </w:p>
        </w:tc>
        <w:tc>
          <w:tcPr>
            <w:tcW w:w="380" w:type="dxa"/>
            <w:vAlign w:val="bottom"/>
            <w:tcBorders>
              <w:bottom w:val="single" w:sz="8" w:color="auto"/>
            </w:tcBorders>
          </w:tcPr>
          <w:p>
            <w:pPr>
              <w:spacing w:after="0"/>
              <w:rPr>
                <w:sz w:val="24"/>
                <w:szCs w:val="24"/>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20,086</w:t>
            </w: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0" w:type="dxa"/>
            <w:vAlign w:val="bottom"/>
            <w:tcBorders>
              <w:bottom w:val="single" w:sz="8" w:color="auto"/>
            </w:tcBorders>
          </w:tcPr>
          <w:p>
            <w:pPr>
              <w:spacing w:after="0"/>
              <w:rPr>
                <w:sz w:val="24"/>
                <w:szCs w:val="24"/>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465 %</w:t>
            </w:r>
          </w:p>
        </w:tc>
      </w:tr>
      <w:tr>
        <w:trPr>
          <w:trHeight w:val="266"/>
        </w:trPr>
        <w:tc>
          <w:tcPr>
            <w:tcW w:w="4780" w:type="dxa"/>
            <w:vAlign w:val="bottom"/>
            <w:gridSpan w:val="2"/>
            <w:shd w:val="clear" w:color="auto" w:fill="DDDDDD"/>
          </w:tcPr>
          <w:p>
            <w:pPr>
              <w:ind w:left="160"/>
              <w:spacing w:after="0"/>
              <w:rPr>
                <w:sz w:val="20"/>
                <w:szCs w:val="20"/>
                <w:color w:val="auto"/>
              </w:rPr>
            </w:pPr>
            <w:r>
              <w:rPr>
                <w:rFonts w:ascii="Times New Roman" w:cs="Times New Roman" w:eastAsia="Times New Roman" w:hAnsi="Times New Roman"/>
                <w:sz w:val="20"/>
                <w:szCs w:val="20"/>
                <w:color w:val="auto"/>
              </w:rPr>
              <w:t>Total costs and expenses</w:t>
            </w:r>
          </w:p>
        </w:tc>
        <w:tc>
          <w:tcPr>
            <w:tcW w:w="200" w:type="dxa"/>
            <w:vAlign w:val="bottom"/>
            <w:shd w:val="clear" w:color="auto" w:fill="DDDDDD"/>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1140" w:type="dxa"/>
            <w:vAlign w:val="bottom"/>
            <w:shd w:val="clear" w:color="auto" w:fill="DDDDDD"/>
          </w:tcPr>
          <w:p>
            <w:pPr>
              <w:jc w:val="right"/>
              <w:spacing w:after="0"/>
              <w:rPr>
                <w:sz w:val="20"/>
                <w:szCs w:val="20"/>
                <w:color w:val="auto"/>
              </w:rPr>
            </w:pPr>
            <w:r>
              <w:rPr>
                <w:rFonts w:ascii="Times New Roman" w:cs="Times New Roman" w:eastAsia="Times New Roman" w:hAnsi="Times New Roman"/>
                <w:sz w:val="20"/>
                <w:szCs w:val="20"/>
                <w:color w:val="auto"/>
              </w:rPr>
              <w:t>206,450</w:t>
            </w:r>
          </w:p>
        </w:tc>
        <w:tc>
          <w:tcPr>
            <w:tcW w:w="380" w:type="dxa"/>
            <w:vAlign w:val="bottom"/>
            <w:gridSpan w:val="3"/>
            <w:shd w:val="clear" w:color="auto" w:fill="DDDDDD"/>
          </w:tcPr>
          <w:p>
            <w:pPr>
              <w:jc w:val="right"/>
              <w:ind w:right="39"/>
              <w:spacing w:after="0"/>
              <w:rPr>
                <w:sz w:val="20"/>
                <w:szCs w:val="20"/>
                <w:color w:val="auto"/>
              </w:rPr>
            </w:pPr>
            <w:r>
              <w:rPr>
                <w:rFonts w:ascii="Times New Roman" w:cs="Times New Roman" w:eastAsia="Times New Roman" w:hAnsi="Times New Roman"/>
                <w:sz w:val="20"/>
                <w:szCs w:val="20"/>
                <w:color w:val="auto"/>
              </w:rPr>
              <w:t>$</w:t>
            </w:r>
          </w:p>
        </w:tc>
        <w:tc>
          <w:tcPr>
            <w:tcW w:w="1040" w:type="dxa"/>
            <w:vAlign w:val="bottom"/>
            <w:shd w:val="clear" w:color="auto" w:fill="DDDDDD"/>
          </w:tcPr>
          <w:p>
            <w:pPr>
              <w:jc w:val="right"/>
              <w:spacing w:after="0"/>
              <w:rPr>
                <w:sz w:val="20"/>
                <w:szCs w:val="20"/>
                <w:color w:val="auto"/>
              </w:rPr>
            </w:pPr>
            <w:r>
              <w:rPr>
                <w:rFonts w:ascii="Times New Roman" w:cs="Times New Roman" w:eastAsia="Times New Roman" w:hAnsi="Times New Roman"/>
                <w:sz w:val="20"/>
                <w:szCs w:val="20"/>
                <w:color w:val="auto"/>
              </w:rPr>
              <w:t>285,153</w:t>
            </w:r>
          </w:p>
        </w:tc>
        <w:tc>
          <w:tcPr>
            <w:tcW w:w="420" w:type="dxa"/>
            <w:vAlign w:val="bottom"/>
            <w:gridSpan w:val="2"/>
            <w:shd w:val="clear" w:color="auto" w:fill="DDDDDD"/>
          </w:tcPr>
          <w:p>
            <w:pPr>
              <w:jc w:val="right"/>
              <w:ind w:right="99"/>
              <w:spacing w:after="0"/>
              <w:rPr>
                <w:sz w:val="20"/>
                <w:szCs w:val="20"/>
                <w:color w:val="auto"/>
              </w:rPr>
            </w:pPr>
            <w:r>
              <w:rPr>
                <w:rFonts w:ascii="Times New Roman" w:cs="Times New Roman" w:eastAsia="Times New Roman" w:hAnsi="Times New Roman"/>
                <w:sz w:val="20"/>
                <w:szCs w:val="20"/>
                <w:color w:val="auto"/>
              </w:rPr>
              <w:t>$</w:t>
            </w:r>
          </w:p>
        </w:tc>
        <w:tc>
          <w:tcPr>
            <w:tcW w:w="960" w:type="dxa"/>
            <w:vAlign w:val="bottom"/>
            <w:shd w:val="clear" w:color="auto" w:fill="DDDDDD"/>
          </w:tcPr>
          <w:p>
            <w:pPr>
              <w:jc w:val="right"/>
              <w:spacing w:after="0"/>
              <w:rPr>
                <w:sz w:val="20"/>
                <w:szCs w:val="20"/>
                <w:color w:val="auto"/>
              </w:rPr>
            </w:pPr>
            <w:r>
              <w:rPr>
                <w:rFonts w:ascii="Times New Roman" w:cs="Times New Roman" w:eastAsia="Times New Roman" w:hAnsi="Times New Roman"/>
                <w:sz w:val="20"/>
                <w:szCs w:val="20"/>
                <w:color w:val="auto"/>
              </w:rPr>
              <w:t>(78,703)</w:t>
            </w:r>
          </w:p>
        </w:tc>
        <w:tc>
          <w:tcPr>
            <w:tcW w:w="40" w:type="dxa"/>
            <w:vAlign w:val="bottom"/>
            <w:shd w:val="clear" w:color="auto" w:fill="DDDDDD"/>
          </w:tcPr>
          <w:p>
            <w:pPr>
              <w:spacing w:after="0"/>
              <w:rPr>
                <w:sz w:val="23"/>
                <w:szCs w:val="23"/>
                <w:color w:val="auto"/>
              </w:rPr>
            </w:pPr>
          </w:p>
        </w:tc>
        <w:tc>
          <w:tcPr>
            <w:tcW w:w="20" w:type="dxa"/>
            <w:vAlign w:val="bottom"/>
            <w:shd w:val="clear" w:color="auto" w:fill="DDDDDD"/>
          </w:tcPr>
          <w:p>
            <w:pPr>
              <w:spacing w:after="0"/>
              <w:rPr>
                <w:sz w:val="23"/>
                <w:szCs w:val="23"/>
                <w:color w:val="auto"/>
              </w:rPr>
            </w:pPr>
          </w:p>
        </w:tc>
        <w:tc>
          <w:tcPr>
            <w:tcW w:w="400" w:type="dxa"/>
            <w:vAlign w:val="bottom"/>
            <w:shd w:val="clear" w:color="auto" w:fill="DDDDDD"/>
          </w:tcPr>
          <w:p>
            <w:pPr>
              <w:spacing w:after="0"/>
              <w:rPr>
                <w:sz w:val="23"/>
                <w:szCs w:val="23"/>
                <w:color w:val="auto"/>
              </w:rPr>
            </w:pPr>
          </w:p>
        </w:tc>
        <w:tc>
          <w:tcPr>
            <w:tcW w:w="940" w:type="dxa"/>
            <w:vAlign w:val="bottom"/>
            <w:shd w:val="clear" w:color="auto" w:fill="DDDDDD"/>
          </w:tcPr>
          <w:p>
            <w:pPr>
              <w:jc w:val="right"/>
              <w:spacing w:after="0"/>
              <w:rPr>
                <w:sz w:val="20"/>
                <w:szCs w:val="20"/>
                <w:color w:val="auto"/>
              </w:rPr>
            </w:pPr>
            <w:r>
              <w:rPr>
                <w:rFonts w:ascii="Times New Roman" w:cs="Times New Roman" w:eastAsia="Times New Roman" w:hAnsi="Times New Roman"/>
                <w:sz w:val="20"/>
                <w:szCs w:val="20"/>
                <w:color w:val="auto"/>
              </w:rPr>
              <w:t>(28)%</w:t>
            </w:r>
          </w:p>
        </w:tc>
      </w:tr>
      <w:tr>
        <w:trPr>
          <w:trHeight w:val="20"/>
        </w:trPr>
        <w:tc>
          <w:tcPr>
            <w:tcW w:w="476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r>
      <w:tr>
        <w:trPr>
          <w:trHeight w:val="20"/>
        </w:trPr>
        <w:tc>
          <w:tcPr>
            <w:tcW w:w="476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4782820</wp:posOffset>
                </wp:positionH>
                <wp:positionV relativeFrom="paragraph">
                  <wp:posOffset>-219075</wp:posOffset>
                </wp:positionV>
                <wp:extent cx="36195" cy="13335"/>
                <wp:wrapNone/>
                <wp:docPr id="16" name="Shape 16"/>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36195" cy="13335"/>
                        </a:xfrm>
                        <a:prstGeom prst="rect">
                          <a:avLst/>
                        </a:prstGeom>
                        <a:solidFill>
                          <a:srgbClr val="DDDDDD"/>
                        </a:solidFill>
                      </wps:spPr>
                      <wps:bodyPr/>
                    </wps:wsp>
                  </a:graphicData>
                </a:graphic>
              </wp:anchor>
            </w:drawing>
          </mc:Choice>
          <mc:Fallback>
            <w:pict>
              <v:rect id="Shape 16" o:spid="_x0000_s1041" style="position:absolute;margin-left:376.6pt;margin-top:-17.2499pt;width:2.85pt;height:1.05pt;z-index:-251657728;visibility:visible;mso-wrap-style:square;mso-width-percent:0;mso-height-percent:0;mso-wrap-distance-left:0pt;mso-wrap-distance-top:0;mso-wrap-distance-right:0pt;mso-wrap-distance-bottom:0;mso-position-horizontal:absolute;mso-position-horizontal-relative:text;mso-position-vertical:absolute;mso-position-vertical-relative:text;mso-width-percent:0;mso-height-percent:0;mso-width-relative:page;mso-height-relative:page;v-text-anchor:top" o:allowincell="f" fillcolor="#DDDDDD" stroked="f"/>
            </w:pict>
          </mc:Fallback>
        </mc:AlternateContent>
        <mc:AlternateContent>
          <mc:Choice Requires="wps">
            <w:drawing>
              <wp:anchor simplePos="0" relativeHeight="251657728" behindDoc="1" locked="0" layoutInCell="0" allowOverlap="1">
                <wp:simplePos x="0" y="0"/>
                <wp:positionH relativeFrom="column">
                  <wp:posOffset>5664835</wp:posOffset>
                </wp:positionH>
                <wp:positionV relativeFrom="paragraph">
                  <wp:posOffset>-219075</wp:posOffset>
                </wp:positionV>
                <wp:extent cx="36830" cy="13335"/>
                <wp:wrapNone/>
                <wp:docPr id="17" name="Shape 17"/>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36830" cy="13335"/>
                        </a:xfrm>
                        <a:prstGeom prst="rect">
                          <a:avLst/>
                        </a:prstGeom>
                        <a:solidFill>
                          <a:srgbClr val="DDDDDD"/>
                        </a:solidFill>
                      </wps:spPr>
                      <wps:bodyPr/>
                    </wps:wsp>
                  </a:graphicData>
                </a:graphic>
              </wp:anchor>
            </w:drawing>
          </mc:Choice>
          <mc:Fallback>
            <w:pict>
              <v:rect id="Shape 17" o:spid="_x0000_s1042" style="position:absolute;margin-left:446.05pt;margin-top:-17.2499pt;width:2.9pt;height:1.05pt;z-index:-251657728;visibility:visible;mso-wrap-style:square;mso-width-percent:0;mso-height-percent:0;mso-wrap-distance-left:0pt;mso-wrap-distance-top:0;mso-wrap-distance-right:0pt;mso-wrap-distance-bottom:0;mso-position-horizontal:absolute;mso-position-horizontal-relative:text;mso-position-vertical:absolute;mso-position-vertical-relative:text;mso-width-percent:0;mso-height-percent:0;mso-width-relative:page;mso-height-relative:page;v-text-anchor:top" o:allowincell="f" fillcolor="#DDDDDD" stroked="f"/>
            </w:pict>
          </mc:Fallback>
        </mc:AlternateContent>
      </w:r>
    </w:p>
    <w:p>
      <w:pPr>
        <w:spacing w:after="0" w:line="84"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i w:val="1"/>
          <w:iCs w:val="1"/>
          <w:color w:val="auto"/>
        </w:rPr>
        <w:t>Cost of Revenues</w:t>
      </w:r>
    </w:p>
    <w:p>
      <w:pPr>
        <w:spacing w:after="0" w:line="162" w:lineRule="exact"/>
        <w:rPr>
          <w:sz w:val="20"/>
          <w:szCs w:val="20"/>
          <w:color w:val="auto"/>
        </w:rPr>
      </w:pPr>
    </w:p>
    <w:p>
      <w:pPr>
        <w:jc w:val="both"/>
        <w:ind w:right="60"/>
        <w:spacing w:after="0" w:line="306" w:lineRule="auto"/>
        <w:rPr>
          <w:sz w:val="20"/>
          <w:szCs w:val="20"/>
          <w:color w:val="auto"/>
        </w:rPr>
      </w:pPr>
      <w:r>
        <w:rPr>
          <w:rFonts w:ascii="Times New Roman" w:cs="Times New Roman" w:eastAsia="Times New Roman" w:hAnsi="Times New Roman"/>
          <w:sz w:val="20"/>
          <w:szCs w:val="20"/>
          <w:color w:val="auto"/>
        </w:rPr>
        <w:t>The decrease in cost of revenues in 2023 compared with 2022 was primarily related to a decrease of $3.7 million in cost of revenues associated with outside services expense for WM CRM, WM Screens and WM AdSuite which were sunset in December 2023, partially offset by an increase of $0.9 million for server costs.</w:t>
      </w:r>
    </w:p>
    <w:p>
      <w:pPr>
        <w:spacing w:after="0" w:line="67"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i w:val="1"/>
          <w:iCs w:val="1"/>
          <w:color w:val="auto"/>
        </w:rPr>
        <w:t>Sales and Marketing Expenses</w:t>
      </w:r>
    </w:p>
    <w:p>
      <w:pPr>
        <w:spacing w:after="0" w:line="169" w:lineRule="exact"/>
        <w:rPr>
          <w:sz w:val="20"/>
          <w:szCs w:val="20"/>
          <w:color w:val="auto"/>
        </w:rPr>
      </w:pPr>
    </w:p>
    <w:p>
      <w:pPr>
        <w:jc w:val="both"/>
        <w:ind w:right="60"/>
        <w:spacing w:after="0" w:line="316" w:lineRule="auto"/>
        <w:rPr>
          <w:sz w:val="20"/>
          <w:szCs w:val="20"/>
          <w:color w:val="auto"/>
        </w:rPr>
      </w:pPr>
      <w:r>
        <w:rPr>
          <w:rFonts w:ascii="Times New Roman" w:cs="Times New Roman" w:eastAsia="Times New Roman" w:hAnsi="Times New Roman"/>
          <w:sz w:val="19"/>
          <w:szCs w:val="19"/>
          <w:color w:val="auto"/>
        </w:rPr>
        <w:t>The decrease in sales and marketing expenses was primarily related to a decrease in personnel-related costs of $27.0 million, a decrease in outside service of $5.7 million, a decrease in web advertising expense of $2.3 million, a decrease in travel expense of $0.4 million, a decrease in print and products expense of $0.4 million and a decrease in events expense of $0.4 million, partially offset by an increase in branding and advertising expense of $0.4 million. The decrease in personnel-related costs of $27.0 million were primarily due to decreased headcount of approximately 26% in 2023 compared to prior year and includes decrease in salaries</w:t>
      </w:r>
    </w:p>
    <w:p>
      <w:pPr>
        <w:spacing w:after="0" w:line="232" w:lineRule="exact"/>
        <w:rPr>
          <w:sz w:val="20"/>
          <w:szCs w:val="20"/>
          <w:color w:val="auto"/>
        </w:rPr>
      </w:pPr>
    </w:p>
    <w:p>
      <w:pPr>
        <w:jc w:val="center"/>
        <w:ind w:right="80"/>
        <w:spacing w:after="0"/>
        <w:rPr>
          <w:sz w:val="20"/>
          <w:szCs w:val="20"/>
          <w:color w:val="auto"/>
        </w:rPr>
      </w:pPr>
      <w:r>
        <w:rPr>
          <w:rFonts w:ascii="Times New Roman" w:cs="Times New Roman" w:eastAsia="Times New Roman" w:hAnsi="Times New Roman"/>
          <w:sz w:val="20"/>
          <w:szCs w:val="20"/>
          <w:color w:val="auto"/>
        </w:rPr>
        <w:t>64</w:t>
      </w:r>
    </w:p>
    <w:p>
      <w:pPr>
        <w:sectPr>
          <w:pgSz w:w="12240" w:h="15840" w:orient="portrait"/>
          <w:cols w:equalWidth="0" w:num="1">
            <w:col w:w="10320"/>
          </w:cols>
          <w:pgMar w:left="1000" w:top="886" w:right="920" w:bottom="222" w:gutter="0" w:footer="0" w:header="0"/>
        </w:sectPr>
      </w:pPr>
    </w:p>
    <w:bookmarkStart w:id="68" w:name="page69"/>
    <w:bookmarkEnd w:id="68"/>
    <w:p>
      <w:pPr>
        <w:jc w:val="both"/>
        <w:ind w:right="80"/>
        <w:spacing w:after="0" w:line="326" w:lineRule="auto"/>
        <w:rPr>
          <w:sz w:val="20"/>
          <w:szCs w:val="20"/>
          <w:color w:val="auto"/>
        </w:rPr>
      </w:pPr>
      <w:r>
        <w:rPr>
          <w:rFonts w:ascii="Times New Roman" w:cs="Times New Roman" w:eastAsia="Times New Roman" w:hAnsi="Times New Roman"/>
          <w:sz w:val="20"/>
          <w:szCs w:val="20"/>
          <w:color w:val="auto"/>
        </w:rPr>
        <w:t>and wages of $12.1 million, bonus expense of $5.5 million, stock-based compensation expense of $3.7 million and payroll tax expense of $0.7 million and a decrease in transaction related bonuses of $4.9 million.</w:t>
      </w:r>
    </w:p>
    <w:p>
      <w:pPr>
        <w:spacing w:after="0" w:line="5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i w:val="1"/>
          <w:iCs w:val="1"/>
          <w:color w:val="auto"/>
        </w:rPr>
        <w:t>Product Development Expenses</w:t>
      </w:r>
    </w:p>
    <w:p>
      <w:pPr>
        <w:spacing w:after="0" w:line="155" w:lineRule="exact"/>
        <w:rPr>
          <w:sz w:val="20"/>
          <w:szCs w:val="20"/>
          <w:color w:val="auto"/>
        </w:rPr>
      </w:pPr>
    </w:p>
    <w:p>
      <w:pPr>
        <w:jc w:val="both"/>
        <w:ind w:right="60"/>
        <w:spacing w:after="0" w:line="299" w:lineRule="auto"/>
        <w:rPr>
          <w:sz w:val="20"/>
          <w:szCs w:val="20"/>
          <w:color w:val="auto"/>
        </w:rPr>
      </w:pPr>
      <w:r>
        <w:rPr>
          <w:rFonts w:ascii="Times New Roman" w:cs="Times New Roman" w:eastAsia="Times New Roman" w:hAnsi="Times New Roman"/>
          <w:sz w:val="20"/>
          <w:szCs w:val="20"/>
          <w:color w:val="auto"/>
        </w:rPr>
        <w:t>The decrease in product development expenses was primarily due to decreases in personnel-related costs of $11.7 million, outside services expense of $2.6 million and travel expense of $0.1 million. The decrease in personnel-related costs was primarily due to a decline in headcount of approximately 13% in 2023 compared to prior year and includes decreases in salaries and wages of $6.4 million, bonus expense of $3.8 million, stock-based compensation expense of $1.1 million and payroll tax expense of $0.4 million.</w:t>
      </w:r>
    </w:p>
    <w:p>
      <w:pPr>
        <w:spacing w:after="0" w:line="7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i w:val="1"/>
          <w:iCs w:val="1"/>
          <w:color w:val="auto"/>
        </w:rPr>
        <w:t>General and Administrative Expenses</w:t>
      </w:r>
    </w:p>
    <w:p>
      <w:pPr>
        <w:spacing w:after="0" w:line="162" w:lineRule="exact"/>
        <w:rPr>
          <w:sz w:val="20"/>
          <w:szCs w:val="20"/>
          <w:color w:val="auto"/>
        </w:rPr>
      </w:pPr>
    </w:p>
    <w:p>
      <w:pPr>
        <w:jc w:val="both"/>
        <w:ind w:right="60"/>
        <w:spacing w:after="0" w:line="295" w:lineRule="auto"/>
        <w:rPr>
          <w:sz w:val="20"/>
          <w:szCs w:val="20"/>
          <w:color w:val="auto"/>
        </w:rPr>
      </w:pPr>
      <w:r>
        <w:rPr>
          <w:rFonts w:ascii="Times New Roman" w:cs="Times New Roman" w:eastAsia="Times New Roman" w:hAnsi="Times New Roman"/>
          <w:sz w:val="20"/>
          <w:szCs w:val="20"/>
          <w:color w:val="auto"/>
        </w:rPr>
        <w:t>The decrease in general and administrative expenses was primarily due to decreases in provision for credit losses of $15.7 million, severance expense of $5.8 million, stock-based compensation expense of $5.3 million, salaries and wages of $5.2 million, insurance costs of $5.1 million, professional fees of $3.1 million, software expense of $1.9 million, employee benefits expense of $1.9 million, facilities expense of $0.6 million, bonus expense of $0.6 million, outside service expense of $0.6 million, donation expense of $0.5 million and payroll tax expense of $0.5 million. The decrease in compensation expense were due to decreased headcount of approximately 28% in 2023 compared to the prior year.</w:t>
      </w:r>
    </w:p>
    <w:p>
      <w:pPr>
        <w:spacing w:after="0" w:line="79"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i w:val="1"/>
          <w:iCs w:val="1"/>
          <w:color w:val="auto"/>
        </w:rPr>
        <w:t>Depreciation and Amortization</w:t>
      </w:r>
    </w:p>
    <w:p>
      <w:pPr>
        <w:spacing w:after="0" w:line="162" w:lineRule="exact"/>
        <w:rPr>
          <w:sz w:val="20"/>
          <w:szCs w:val="20"/>
          <w:color w:val="auto"/>
        </w:rPr>
      </w:pPr>
    </w:p>
    <w:p>
      <w:pPr>
        <w:ind w:right="200"/>
        <w:spacing w:after="0" w:line="334" w:lineRule="auto"/>
        <w:rPr>
          <w:sz w:val="20"/>
          <w:szCs w:val="20"/>
          <w:color w:val="auto"/>
        </w:rPr>
      </w:pPr>
      <w:r>
        <w:rPr>
          <w:rFonts w:ascii="Times New Roman" w:cs="Times New Roman" w:eastAsia="Times New Roman" w:hAnsi="Times New Roman"/>
          <w:sz w:val="20"/>
          <w:szCs w:val="20"/>
          <w:color w:val="auto"/>
        </w:rPr>
        <w:t>The increase in depreciation and amortization expense was primarily due to an increase in capitalized software amortization of $2.2 million, partially offset by a decrease in depreciation expense related to other assets of $1.6 million.</w:t>
      </w:r>
    </w:p>
    <w:p>
      <w:pPr>
        <w:spacing w:after="0" w:line="41"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i w:val="1"/>
          <w:iCs w:val="1"/>
          <w:color w:val="auto"/>
        </w:rPr>
        <w:t>Asset Impairment Charges</w:t>
      </w:r>
    </w:p>
    <w:p>
      <w:pPr>
        <w:spacing w:after="0" w:line="162" w:lineRule="exact"/>
        <w:rPr>
          <w:sz w:val="20"/>
          <w:szCs w:val="20"/>
          <w:color w:val="auto"/>
        </w:rPr>
      </w:pPr>
    </w:p>
    <w:p>
      <w:pPr>
        <w:jc w:val="both"/>
        <w:ind w:right="60"/>
        <w:spacing w:after="0" w:line="329" w:lineRule="auto"/>
        <w:rPr>
          <w:sz w:val="20"/>
          <w:szCs w:val="20"/>
          <w:color w:val="auto"/>
        </w:rPr>
      </w:pPr>
      <w:r>
        <w:rPr>
          <w:rFonts w:ascii="Times New Roman" w:cs="Times New Roman" w:eastAsia="Times New Roman" w:hAnsi="Times New Roman"/>
          <w:sz w:val="18"/>
          <w:szCs w:val="18"/>
          <w:color w:val="auto"/>
        </w:rPr>
        <w:t xml:space="preserve">The increase in asset impairment charges was primarily due to $10.9 million in impairment of operating lease ROU asset and $1.3 million in impairment of leasehold improvement associated with our second headquarter space in Los Angeles, California, $8.7 million in impairment of intangible assets, capitalized software and property and equipment associated with the sunset of certain product offerings in December 2023 and $3.5 million related to the impairment of an equity investment. See Note 2, </w:t>
      </w:r>
      <w:r>
        <w:rPr>
          <w:rFonts w:ascii="PMingLiU" w:cs="PMingLiU" w:eastAsia="PMingLiU" w:hAnsi="PMingLiU"/>
          <w:sz w:val="18"/>
          <w:szCs w:val="18"/>
          <w:color w:val="auto"/>
        </w:rPr>
        <w:t xml:space="preserve"> ³6XPPDU\RI6LJQLILFDQW$FFRXQWLQJ3ROLFLHV´DQG1RWH³/HDVHV´WRRXU</w:t>
      </w:r>
      <w:r>
        <w:rPr>
          <w:rFonts w:ascii="Times New Roman" w:cs="Times New Roman" w:eastAsia="Times New Roman" w:hAnsi="Times New Roman"/>
          <w:sz w:val="18"/>
          <w:szCs w:val="18"/>
          <w:color w:val="auto"/>
        </w:rPr>
        <w:t>consolidated financial statements for further discuss.</w:t>
      </w:r>
    </w:p>
    <w:p>
      <w:pPr>
        <w:spacing w:after="0" w:line="48" w:lineRule="exact"/>
        <w:rPr>
          <w:sz w:val="20"/>
          <w:szCs w:val="20"/>
          <w:color w:val="auto"/>
        </w:rPr>
      </w:pPr>
    </w:p>
    <w:tbl>
      <w:tblPr>
        <w:tblLayout w:type="fixed"/>
        <w:tblInd w:w="0" w:type="dxa"/>
        <w:tblCellMar>
          <w:top w:w="0" w:type="dxa"/>
          <w:left w:w="0" w:type="dxa"/>
          <w:bottom w:w="0" w:type="dxa"/>
          <w:right w:w="0" w:type="dxa"/>
        </w:tblCellMar>
      </w:tblPr>
      <w:tr>
        <w:trPr>
          <w:trHeight w:val="268"/>
        </w:trPr>
        <w:tc>
          <w:tcPr>
            <w:tcW w:w="4800" w:type="dxa"/>
            <w:vAlign w:val="bottom"/>
            <w:gridSpan w:val="2"/>
          </w:tcPr>
          <w:p>
            <w:pPr>
              <w:spacing w:after="0"/>
              <w:rPr>
                <w:sz w:val="20"/>
                <w:szCs w:val="20"/>
                <w:color w:val="auto"/>
              </w:rPr>
            </w:pPr>
            <w:r>
              <w:rPr>
                <w:rFonts w:ascii="Times New Roman" w:cs="Times New Roman" w:eastAsia="Times New Roman" w:hAnsi="Times New Roman"/>
                <w:sz w:val="20"/>
                <w:szCs w:val="20"/>
                <w:b w:val="1"/>
                <w:bCs w:val="1"/>
                <w:i w:val="1"/>
                <w:iCs w:val="1"/>
                <w:color w:val="auto"/>
              </w:rPr>
              <w:t>Other Income (Expense), net</w:t>
            </w:r>
          </w:p>
        </w:tc>
        <w:tc>
          <w:tcPr>
            <w:tcW w:w="180" w:type="dxa"/>
            <w:vAlign w:val="bottom"/>
          </w:tcPr>
          <w:p>
            <w:pPr>
              <w:spacing w:after="0"/>
              <w:rPr>
                <w:sz w:val="23"/>
                <w:szCs w:val="23"/>
                <w:color w:val="auto"/>
              </w:rPr>
            </w:pPr>
          </w:p>
        </w:tc>
        <w:tc>
          <w:tcPr>
            <w:tcW w:w="114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102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380" w:type="dxa"/>
            <w:vAlign w:val="bottom"/>
          </w:tcPr>
          <w:p>
            <w:pPr>
              <w:spacing w:after="0"/>
              <w:rPr>
                <w:sz w:val="23"/>
                <w:szCs w:val="23"/>
                <w:color w:val="auto"/>
              </w:rPr>
            </w:pPr>
          </w:p>
        </w:tc>
        <w:tc>
          <w:tcPr>
            <w:tcW w:w="96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400" w:type="dxa"/>
            <w:vAlign w:val="bottom"/>
          </w:tcPr>
          <w:p>
            <w:pPr>
              <w:spacing w:after="0"/>
              <w:rPr>
                <w:sz w:val="23"/>
                <w:szCs w:val="23"/>
                <w:color w:val="auto"/>
              </w:rPr>
            </w:pPr>
          </w:p>
        </w:tc>
        <w:tc>
          <w:tcPr>
            <w:tcW w:w="940" w:type="dxa"/>
            <w:vAlign w:val="bottom"/>
          </w:tcPr>
          <w:p>
            <w:pPr>
              <w:spacing w:after="0"/>
              <w:rPr>
                <w:sz w:val="23"/>
                <w:szCs w:val="23"/>
                <w:color w:val="auto"/>
              </w:rPr>
            </w:pPr>
          </w:p>
        </w:tc>
      </w:tr>
      <w:tr>
        <w:trPr>
          <w:trHeight w:val="398"/>
        </w:trPr>
        <w:tc>
          <w:tcPr>
            <w:tcW w:w="47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2540" w:type="dxa"/>
            <w:vAlign w:val="bottom"/>
            <w:tcBorders>
              <w:bottom w:val="single" w:sz="8" w:color="auto"/>
            </w:tcBorders>
            <w:gridSpan w:val="4"/>
          </w:tcPr>
          <w:p>
            <w:pPr>
              <w:jc w:val="right"/>
              <w:ind w:right="119"/>
              <w:spacing w:after="0"/>
              <w:rPr>
                <w:sz w:val="20"/>
                <w:szCs w:val="20"/>
                <w:color w:val="auto"/>
              </w:rPr>
            </w:pPr>
            <w:r>
              <w:rPr>
                <w:rFonts w:ascii="Times New Roman" w:cs="Times New Roman" w:eastAsia="Times New Roman" w:hAnsi="Times New Roman"/>
                <w:sz w:val="20"/>
                <w:szCs w:val="20"/>
                <w:b w:val="1"/>
                <w:bCs w:val="1"/>
                <w:color w:val="auto"/>
                <w:w w:val="99"/>
              </w:rPr>
              <w:t>Years Ended December 31,</w:t>
            </w: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80" w:type="dxa"/>
            <w:vAlign w:val="bottom"/>
            <w:tcBorders>
              <w:bottom w:val="single" w:sz="8" w:color="auto"/>
            </w:tcBorders>
          </w:tcPr>
          <w:p>
            <w:pPr>
              <w:spacing w:after="0"/>
              <w:rPr>
                <w:sz w:val="24"/>
                <w:szCs w:val="24"/>
                <w:color w:val="auto"/>
              </w:rPr>
            </w:pPr>
          </w:p>
        </w:tc>
        <w:tc>
          <w:tcPr>
            <w:tcW w:w="1420" w:type="dxa"/>
            <w:vAlign w:val="bottom"/>
            <w:tcBorders>
              <w:bottom w:val="single" w:sz="8" w:color="auto"/>
            </w:tcBorders>
            <w:gridSpan w:val="4"/>
          </w:tcPr>
          <w:p>
            <w:pPr>
              <w:ind w:left="660"/>
              <w:spacing w:after="0"/>
              <w:rPr>
                <w:sz w:val="20"/>
                <w:szCs w:val="20"/>
                <w:color w:val="auto"/>
              </w:rPr>
            </w:pPr>
            <w:r>
              <w:rPr>
                <w:rFonts w:ascii="Times New Roman" w:cs="Times New Roman" w:eastAsia="Times New Roman" w:hAnsi="Times New Roman"/>
                <w:sz w:val="20"/>
                <w:szCs w:val="20"/>
                <w:b w:val="1"/>
                <w:bCs w:val="1"/>
                <w:color w:val="auto"/>
              </w:rPr>
              <w:t>Change</w:t>
            </w:r>
          </w:p>
        </w:tc>
        <w:tc>
          <w:tcPr>
            <w:tcW w:w="940" w:type="dxa"/>
            <w:vAlign w:val="bottom"/>
            <w:tcBorders>
              <w:bottom w:val="single" w:sz="8" w:color="auto"/>
            </w:tcBorders>
          </w:tcPr>
          <w:p>
            <w:pPr>
              <w:spacing w:after="0"/>
              <w:rPr>
                <w:sz w:val="24"/>
                <w:szCs w:val="24"/>
                <w:color w:val="auto"/>
              </w:rPr>
            </w:pPr>
          </w:p>
        </w:tc>
      </w:tr>
      <w:tr>
        <w:trPr>
          <w:trHeight w:val="297"/>
        </w:trPr>
        <w:tc>
          <w:tcPr>
            <w:tcW w:w="47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1140" w:type="dxa"/>
            <w:vAlign w:val="bottom"/>
            <w:tcBorders>
              <w:bottom w:val="single" w:sz="8" w:color="auto"/>
            </w:tcBorders>
          </w:tcPr>
          <w:p>
            <w:pPr>
              <w:jc w:val="right"/>
              <w:ind w:right="359"/>
              <w:spacing w:after="0"/>
              <w:rPr>
                <w:sz w:val="20"/>
                <w:szCs w:val="20"/>
                <w:color w:val="auto"/>
              </w:rPr>
            </w:pPr>
            <w:r>
              <w:rPr>
                <w:rFonts w:ascii="Times New Roman" w:cs="Times New Roman" w:eastAsia="Times New Roman" w:hAnsi="Times New Roman"/>
                <w:sz w:val="20"/>
                <w:szCs w:val="20"/>
                <w:b w:val="1"/>
                <w:bCs w:val="1"/>
                <w:color w:val="auto"/>
              </w:rPr>
              <w:t>2023</w:t>
            </w:r>
          </w:p>
        </w:tc>
        <w:tc>
          <w:tcPr>
            <w:tcW w:w="60" w:type="dxa"/>
            <w:vAlign w:val="bottom"/>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1020" w:type="dxa"/>
            <w:vAlign w:val="bottom"/>
            <w:tcBorders>
              <w:bottom w:val="single" w:sz="8" w:color="auto"/>
            </w:tcBorders>
          </w:tcPr>
          <w:p>
            <w:pPr>
              <w:jc w:val="right"/>
              <w:ind w:right="359"/>
              <w:spacing w:after="0"/>
              <w:rPr>
                <w:sz w:val="20"/>
                <w:szCs w:val="20"/>
                <w:color w:val="auto"/>
              </w:rPr>
            </w:pPr>
            <w:r>
              <w:rPr>
                <w:rFonts w:ascii="Times New Roman" w:cs="Times New Roman" w:eastAsia="Times New Roman" w:hAnsi="Times New Roman"/>
                <w:sz w:val="20"/>
                <w:szCs w:val="20"/>
                <w:b w:val="1"/>
                <w:bCs w:val="1"/>
                <w:color w:val="auto"/>
              </w:rPr>
              <w:t>2022</w:t>
            </w: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80" w:type="dxa"/>
            <w:vAlign w:val="bottom"/>
            <w:tcBorders>
              <w:bottom w:val="single" w:sz="8" w:color="auto"/>
            </w:tcBorders>
          </w:tcPr>
          <w:p>
            <w:pPr>
              <w:spacing w:after="0"/>
              <w:rPr>
                <w:sz w:val="24"/>
                <w:szCs w:val="24"/>
                <w:color w:val="auto"/>
              </w:rPr>
            </w:pPr>
          </w:p>
        </w:tc>
        <w:tc>
          <w:tcPr>
            <w:tcW w:w="960" w:type="dxa"/>
            <w:vAlign w:val="bottom"/>
            <w:tcBorders>
              <w:bottom w:val="single" w:sz="8" w:color="auto"/>
            </w:tcBorders>
          </w:tcPr>
          <w:p>
            <w:pPr>
              <w:jc w:val="right"/>
              <w:ind w:right="459"/>
              <w:spacing w:after="0"/>
              <w:rPr>
                <w:sz w:val="20"/>
                <w:szCs w:val="20"/>
                <w:color w:val="auto"/>
              </w:rPr>
            </w:pPr>
            <w:r>
              <w:rPr>
                <w:rFonts w:ascii="Times New Roman" w:cs="Times New Roman" w:eastAsia="Times New Roman" w:hAnsi="Times New Roman"/>
                <w:sz w:val="20"/>
                <w:szCs w:val="20"/>
                <w:b w:val="1"/>
                <w:bCs w:val="1"/>
                <w:color w:val="auto"/>
              </w:rPr>
              <w:t>($)</w:t>
            </w: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0" w:type="dxa"/>
            <w:vAlign w:val="bottom"/>
            <w:tcBorders>
              <w:bottom w:val="single" w:sz="8" w:color="auto"/>
            </w:tcBorders>
          </w:tcPr>
          <w:p>
            <w:pPr>
              <w:spacing w:after="0"/>
              <w:rPr>
                <w:sz w:val="24"/>
                <w:szCs w:val="24"/>
                <w:color w:val="auto"/>
              </w:rPr>
            </w:pPr>
          </w:p>
        </w:tc>
        <w:tc>
          <w:tcPr>
            <w:tcW w:w="940" w:type="dxa"/>
            <w:vAlign w:val="bottom"/>
            <w:tcBorders>
              <w:bottom w:val="single" w:sz="8" w:color="auto"/>
            </w:tcBorders>
          </w:tcPr>
          <w:p>
            <w:pPr>
              <w:jc w:val="right"/>
              <w:ind w:right="419"/>
              <w:spacing w:after="0"/>
              <w:rPr>
                <w:sz w:val="20"/>
                <w:szCs w:val="20"/>
                <w:color w:val="auto"/>
              </w:rPr>
            </w:pPr>
            <w:r>
              <w:rPr>
                <w:rFonts w:ascii="Times New Roman" w:cs="Times New Roman" w:eastAsia="Times New Roman" w:hAnsi="Times New Roman"/>
                <w:sz w:val="20"/>
                <w:szCs w:val="20"/>
                <w:b w:val="1"/>
                <w:bCs w:val="1"/>
                <w:color w:val="auto"/>
              </w:rPr>
              <w:t>(%)</w:t>
            </w:r>
          </w:p>
        </w:tc>
      </w:tr>
      <w:tr>
        <w:trPr>
          <w:trHeight w:val="221"/>
        </w:trPr>
        <w:tc>
          <w:tcPr>
            <w:tcW w:w="47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2980" w:type="dxa"/>
            <w:vAlign w:val="bottom"/>
            <w:gridSpan w:val="7"/>
          </w:tcPr>
          <w:p>
            <w:pPr>
              <w:jc w:val="right"/>
              <w:ind w:right="59"/>
              <w:spacing w:after="0" w:line="204" w:lineRule="exact"/>
              <w:rPr>
                <w:sz w:val="20"/>
                <w:szCs w:val="20"/>
                <w:color w:val="auto"/>
              </w:rPr>
            </w:pPr>
            <w:r>
              <w:rPr>
                <w:rFonts w:ascii="Times New Roman" w:cs="Times New Roman" w:eastAsia="Times New Roman" w:hAnsi="Times New Roman"/>
                <w:sz w:val="20"/>
                <w:szCs w:val="20"/>
                <w:b w:val="1"/>
                <w:bCs w:val="1"/>
                <w:color w:val="auto"/>
              </w:rPr>
              <w:t>(dollars in thousands)</w:t>
            </w:r>
          </w:p>
        </w:tc>
        <w:tc>
          <w:tcPr>
            <w:tcW w:w="9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940" w:type="dxa"/>
            <w:vAlign w:val="bottom"/>
          </w:tcPr>
          <w:p>
            <w:pPr>
              <w:spacing w:after="0"/>
              <w:rPr>
                <w:sz w:val="19"/>
                <w:szCs w:val="19"/>
                <w:color w:val="auto"/>
              </w:rPr>
            </w:pPr>
          </w:p>
        </w:tc>
      </w:tr>
      <w:tr>
        <w:trPr>
          <w:trHeight w:val="288"/>
        </w:trPr>
        <w:tc>
          <w:tcPr>
            <w:tcW w:w="4800" w:type="dxa"/>
            <w:vAlign w:val="bottom"/>
            <w:gridSpan w:val="2"/>
            <w:shd w:val="clear" w:color="auto" w:fill="DDDDDD"/>
          </w:tcPr>
          <w:p>
            <w:pPr>
              <w:ind w:left="40"/>
              <w:spacing w:after="0"/>
              <w:rPr>
                <w:sz w:val="20"/>
                <w:szCs w:val="20"/>
                <w:color w:val="auto"/>
              </w:rPr>
            </w:pPr>
            <w:r>
              <w:rPr>
                <w:rFonts w:ascii="Times New Roman" w:cs="Times New Roman" w:eastAsia="Times New Roman" w:hAnsi="Times New Roman"/>
                <w:sz w:val="20"/>
                <w:szCs w:val="20"/>
                <w:color w:val="auto"/>
              </w:rPr>
              <w:t>Change in fair value of warrant liability</w:t>
            </w:r>
          </w:p>
        </w:tc>
        <w:tc>
          <w:tcPr>
            <w:tcW w:w="180" w:type="dxa"/>
            <w:vAlign w:val="bottom"/>
            <w:shd w:val="clear" w:color="auto" w:fill="DDDDDD"/>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1140" w:type="dxa"/>
            <w:vAlign w:val="bottom"/>
            <w:shd w:val="clear" w:color="auto" w:fill="DDDDDD"/>
          </w:tcPr>
          <w:p>
            <w:pPr>
              <w:jc w:val="right"/>
              <w:spacing w:after="0"/>
              <w:rPr>
                <w:sz w:val="20"/>
                <w:szCs w:val="20"/>
                <w:color w:val="auto"/>
              </w:rPr>
            </w:pPr>
            <w:r>
              <w:rPr>
                <w:rFonts w:ascii="Times New Roman" w:cs="Times New Roman" w:eastAsia="Times New Roman" w:hAnsi="Times New Roman"/>
                <w:sz w:val="20"/>
                <w:szCs w:val="20"/>
                <w:color w:val="auto"/>
              </w:rPr>
              <w:t>1,505</w:t>
            </w:r>
          </w:p>
        </w:tc>
        <w:tc>
          <w:tcPr>
            <w:tcW w:w="60" w:type="dxa"/>
            <w:vAlign w:val="bottom"/>
            <w:shd w:val="clear" w:color="auto" w:fill="DDDDDD"/>
          </w:tcPr>
          <w:p>
            <w:pPr>
              <w:spacing w:after="0"/>
              <w:rPr>
                <w:sz w:val="24"/>
                <w:szCs w:val="24"/>
                <w:color w:val="auto"/>
              </w:rPr>
            </w:pPr>
          </w:p>
        </w:tc>
        <w:tc>
          <w:tcPr>
            <w:tcW w:w="320" w:type="dxa"/>
            <w:vAlign w:val="bottom"/>
            <w:shd w:val="clear" w:color="auto" w:fill="DDDDDD"/>
          </w:tcPr>
          <w:p>
            <w:pPr>
              <w:jc w:val="right"/>
              <w:ind w:right="59"/>
              <w:spacing w:after="0"/>
              <w:rPr>
                <w:sz w:val="20"/>
                <w:szCs w:val="20"/>
                <w:color w:val="auto"/>
              </w:rPr>
            </w:pPr>
            <w:r>
              <w:rPr>
                <w:rFonts w:ascii="Times New Roman" w:cs="Times New Roman" w:eastAsia="Times New Roman" w:hAnsi="Times New Roman"/>
                <w:sz w:val="20"/>
                <w:szCs w:val="20"/>
                <w:color w:val="auto"/>
              </w:rPr>
              <w:t>$</w:t>
            </w:r>
          </w:p>
        </w:tc>
        <w:tc>
          <w:tcPr>
            <w:tcW w:w="1020" w:type="dxa"/>
            <w:vAlign w:val="bottom"/>
            <w:shd w:val="clear" w:color="auto" w:fill="DDDDDD"/>
          </w:tcPr>
          <w:p>
            <w:pPr>
              <w:jc w:val="right"/>
              <w:spacing w:after="0"/>
              <w:rPr>
                <w:sz w:val="20"/>
                <w:szCs w:val="20"/>
                <w:color w:val="auto"/>
              </w:rPr>
            </w:pPr>
            <w:r>
              <w:rPr>
                <w:rFonts w:ascii="Times New Roman" w:cs="Times New Roman" w:eastAsia="Times New Roman" w:hAnsi="Times New Roman"/>
                <w:sz w:val="20"/>
                <w:szCs w:val="20"/>
                <w:color w:val="auto"/>
              </w:rPr>
              <w:t>25,370</w:t>
            </w:r>
          </w:p>
        </w:tc>
        <w:tc>
          <w:tcPr>
            <w:tcW w:w="40" w:type="dxa"/>
            <w:vAlign w:val="bottom"/>
            <w:shd w:val="clear" w:color="auto" w:fill="DDDDDD"/>
          </w:tcPr>
          <w:p>
            <w:pPr>
              <w:spacing w:after="0"/>
              <w:rPr>
                <w:sz w:val="24"/>
                <w:szCs w:val="24"/>
                <w:color w:val="auto"/>
              </w:rPr>
            </w:pPr>
          </w:p>
        </w:tc>
        <w:tc>
          <w:tcPr>
            <w:tcW w:w="20" w:type="dxa"/>
            <w:vAlign w:val="bottom"/>
            <w:shd w:val="clear" w:color="auto" w:fill="DDDDDD"/>
          </w:tcPr>
          <w:p>
            <w:pPr>
              <w:spacing w:after="0"/>
              <w:rPr>
                <w:sz w:val="24"/>
                <w:szCs w:val="24"/>
                <w:color w:val="auto"/>
              </w:rPr>
            </w:pPr>
          </w:p>
        </w:tc>
        <w:tc>
          <w:tcPr>
            <w:tcW w:w="380" w:type="dxa"/>
            <w:vAlign w:val="bottom"/>
            <w:shd w:val="clear" w:color="auto" w:fill="DDDDDD"/>
          </w:tcPr>
          <w:p>
            <w:pPr>
              <w:jc w:val="right"/>
              <w:ind w:right="119"/>
              <w:spacing w:after="0"/>
              <w:rPr>
                <w:sz w:val="20"/>
                <w:szCs w:val="20"/>
                <w:color w:val="auto"/>
              </w:rPr>
            </w:pPr>
            <w:r>
              <w:rPr>
                <w:rFonts w:ascii="Times New Roman" w:cs="Times New Roman" w:eastAsia="Times New Roman" w:hAnsi="Times New Roman"/>
                <w:sz w:val="20"/>
                <w:szCs w:val="20"/>
                <w:color w:val="auto"/>
              </w:rPr>
              <w:t>$</w:t>
            </w:r>
          </w:p>
        </w:tc>
        <w:tc>
          <w:tcPr>
            <w:tcW w:w="960" w:type="dxa"/>
            <w:vAlign w:val="bottom"/>
            <w:shd w:val="clear" w:color="auto" w:fill="DDDDDD"/>
          </w:tcPr>
          <w:p>
            <w:pPr>
              <w:jc w:val="right"/>
              <w:spacing w:after="0"/>
              <w:rPr>
                <w:sz w:val="20"/>
                <w:szCs w:val="20"/>
                <w:color w:val="auto"/>
              </w:rPr>
            </w:pPr>
            <w:r>
              <w:rPr>
                <w:rFonts w:ascii="Times New Roman" w:cs="Times New Roman" w:eastAsia="Times New Roman" w:hAnsi="Times New Roman"/>
                <w:sz w:val="20"/>
                <w:szCs w:val="20"/>
                <w:color w:val="auto"/>
              </w:rPr>
              <w:t>(23,865)</w:t>
            </w:r>
          </w:p>
        </w:tc>
        <w:tc>
          <w:tcPr>
            <w:tcW w:w="40" w:type="dxa"/>
            <w:vAlign w:val="bottom"/>
            <w:shd w:val="clear" w:color="auto" w:fill="DDDDDD"/>
          </w:tcPr>
          <w:p>
            <w:pPr>
              <w:spacing w:after="0"/>
              <w:rPr>
                <w:sz w:val="24"/>
                <w:szCs w:val="24"/>
                <w:color w:val="auto"/>
              </w:rPr>
            </w:pPr>
          </w:p>
        </w:tc>
        <w:tc>
          <w:tcPr>
            <w:tcW w:w="20" w:type="dxa"/>
            <w:vAlign w:val="bottom"/>
            <w:shd w:val="clear" w:color="auto" w:fill="DDDDDD"/>
          </w:tcPr>
          <w:p>
            <w:pPr>
              <w:spacing w:after="0"/>
              <w:rPr>
                <w:sz w:val="24"/>
                <w:szCs w:val="24"/>
                <w:color w:val="auto"/>
              </w:rPr>
            </w:pPr>
          </w:p>
        </w:tc>
        <w:tc>
          <w:tcPr>
            <w:tcW w:w="400" w:type="dxa"/>
            <w:vAlign w:val="bottom"/>
            <w:shd w:val="clear" w:color="auto" w:fill="DDDDDD"/>
          </w:tcPr>
          <w:p>
            <w:pPr>
              <w:spacing w:after="0"/>
              <w:rPr>
                <w:sz w:val="24"/>
                <w:szCs w:val="24"/>
                <w:color w:val="auto"/>
              </w:rPr>
            </w:pPr>
          </w:p>
        </w:tc>
        <w:tc>
          <w:tcPr>
            <w:tcW w:w="940" w:type="dxa"/>
            <w:vAlign w:val="bottom"/>
            <w:shd w:val="clear" w:color="auto" w:fill="DDDDDD"/>
          </w:tcPr>
          <w:p>
            <w:pPr>
              <w:jc w:val="right"/>
              <w:spacing w:after="0"/>
              <w:rPr>
                <w:sz w:val="20"/>
                <w:szCs w:val="20"/>
                <w:color w:val="auto"/>
              </w:rPr>
            </w:pPr>
            <w:r>
              <w:rPr>
                <w:rFonts w:ascii="Times New Roman" w:cs="Times New Roman" w:eastAsia="Times New Roman" w:hAnsi="Times New Roman"/>
                <w:sz w:val="20"/>
                <w:szCs w:val="20"/>
                <w:color w:val="auto"/>
              </w:rPr>
              <w:t>(94)%</w:t>
            </w:r>
          </w:p>
        </w:tc>
      </w:tr>
      <w:tr>
        <w:trPr>
          <w:trHeight w:val="288"/>
        </w:trPr>
        <w:tc>
          <w:tcPr>
            <w:tcW w:w="4800" w:type="dxa"/>
            <w:vAlign w:val="bottom"/>
            <w:gridSpan w:val="2"/>
          </w:tcPr>
          <w:p>
            <w:pPr>
              <w:ind w:left="40"/>
              <w:spacing w:after="0"/>
              <w:rPr>
                <w:sz w:val="20"/>
                <w:szCs w:val="20"/>
                <w:color w:val="auto"/>
              </w:rPr>
            </w:pPr>
            <w:r>
              <w:rPr>
                <w:rFonts w:ascii="Times New Roman" w:cs="Times New Roman" w:eastAsia="Times New Roman" w:hAnsi="Times New Roman"/>
                <w:sz w:val="20"/>
                <w:szCs w:val="20"/>
                <w:color w:val="auto"/>
              </w:rPr>
              <w:t>Change in tax receivable agreement liability</w:t>
            </w:r>
          </w:p>
        </w:tc>
        <w:tc>
          <w:tcPr>
            <w:tcW w:w="180" w:type="dxa"/>
            <w:vAlign w:val="bottom"/>
          </w:tcPr>
          <w:p>
            <w:pPr>
              <w:spacing w:after="0"/>
              <w:rPr>
                <w:sz w:val="24"/>
                <w:szCs w:val="24"/>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(1,256)</w:t>
            </w:r>
          </w:p>
        </w:tc>
        <w:tc>
          <w:tcPr>
            <w:tcW w:w="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142,352</w:t>
            </w: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(143,608)</w:t>
            </w: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(101)%</w:t>
            </w:r>
          </w:p>
        </w:tc>
      </w:tr>
      <w:tr>
        <w:trPr>
          <w:trHeight w:val="281"/>
        </w:trPr>
        <w:tc>
          <w:tcPr>
            <w:tcW w:w="4800" w:type="dxa"/>
            <w:vAlign w:val="bottom"/>
            <w:gridSpan w:val="2"/>
            <w:shd w:val="clear" w:color="auto" w:fill="DDDDDD"/>
          </w:tcPr>
          <w:p>
            <w:pPr>
              <w:ind w:left="40"/>
              <w:spacing w:after="0"/>
              <w:rPr>
                <w:sz w:val="20"/>
                <w:szCs w:val="20"/>
                <w:color w:val="auto"/>
              </w:rPr>
            </w:pPr>
            <w:r>
              <w:rPr>
                <w:rFonts w:ascii="Times New Roman" w:cs="Times New Roman" w:eastAsia="Times New Roman" w:hAnsi="Times New Roman"/>
                <w:sz w:val="20"/>
                <w:szCs w:val="20"/>
                <w:color w:val="auto"/>
              </w:rPr>
              <w:t>Other income (expense)</w:t>
            </w:r>
          </w:p>
        </w:tc>
        <w:tc>
          <w:tcPr>
            <w:tcW w:w="180" w:type="dxa"/>
            <w:vAlign w:val="bottom"/>
            <w:tcBorders>
              <w:bottom w:val="single" w:sz="8" w:color="auto"/>
            </w:tcBorders>
            <w:shd w:val="clear" w:color="auto" w:fill="DDDDDD"/>
          </w:tcPr>
          <w:p>
            <w:pPr>
              <w:spacing w:after="0"/>
              <w:rPr>
                <w:sz w:val="24"/>
                <w:szCs w:val="24"/>
                <w:color w:val="auto"/>
              </w:rPr>
            </w:pPr>
          </w:p>
        </w:tc>
        <w:tc>
          <w:tcPr>
            <w:tcW w:w="1140" w:type="dxa"/>
            <w:vAlign w:val="bottom"/>
            <w:tcBorders>
              <w:bottom w:val="single" w:sz="8" w:color="auto"/>
            </w:tcBorders>
            <w:shd w:val="clear" w:color="auto" w:fill="DDDDDD"/>
          </w:tcPr>
          <w:p>
            <w:pPr>
              <w:jc w:val="right"/>
              <w:spacing w:after="0"/>
              <w:rPr>
                <w:sz w:val="20"/>
                <w:szCs w:val="20"/>
                <w:color w:val="auto"/>
              </w:rPr>
            </w:pPr>
            <w:r>
              <w:rPr>
                <w:rFonts w:ascii="Times New Roman" w:cs="Times New Roman" w:eastAsia="Times New Roman" w:hAnsi="Times New Roman"/>
                <w:sz w:val="20"/>
                <w:szCs w:val="20"/>
                <w:color w:val="auto"/>
              </w:rPr>
              <w:t>2,574</w:t>
            </w:r>
          </w:p>
        </w:tc>
        <w:tc>
          <w:tcPr>
            <w:tcW w:w="60" w:type="dxa"/>
            <w:vAlign w:val="bottom"/>
            <w:shd w:val="clear" w:color="auto" w:fill="DDDDDD"/>
          </w:tcPr>
          <w:p>
            <w:pPr>
              <w:spacing w:after="0"/>
              <w:rPr>
                <w:sz w:val="24"/>
                <w:szCs w:val="24"/>
                <w:color w:val="auto"/>
              </w:rPr>
            </w:pPr>
          </w:p>
        </w:tc>
        <w:tc>
          <w:tcPr>
            <w:tcW w:w="320" w:type="dxa"/>
            <w:vAlign w:val="bottom"/>
            <w:tcBorders>
              <w:bottom w:val="single" w:sz="8" w:color="auto"/>
            </w:tcBorders>
            <w:shd w:val="clear" w:color="auto" w:fill="DDDDDD"/>
          </w:tcPr>
          <w:p>
            <w:pPr>
              <w:spacing w:after="0"/>
              <w:rPr>
                <w:sz w:val="24"/>
                <w:szCs w:val="24"/>
                <w:color w:val="auto"/>
              </w:rPr>
            </w:pPr>
          </w:p>
        </w:tc>
        <w:tc>
          <w:tcPr>
            <w:tcW w:w="1020" w:type="dxa"/>
            <w:vAlign w:val="bottom"/>
            <w:tcBorders>
              <w:bottom w:val="single" w:sz="8" w:color="auto"/>
            </w:tcBorders>
            <w:shd w:val="clear" w:color="auto" w:fill="DDDDDD"/>
          </w:tcPr>
          <w:p>
            <w:pPr>
              <w:jc w:val="right"/>
              <w:spacing w:after="0"/>
              <w:rPr>
                <w:sz w:val="20"/>
                <w:szCs w:val="20"/>
                <w:color w:val="auto"/>
              </w:rPr>
            </w:pPr>
            <w:r>
              <w:rPr>
                <w:rFonts w:ascii="Times New Roman" w:cs="Times New Roman" w:eastAsia="Times New Roman" w:hAnsi="Times New Roman"/>
                <w:sz w:val="20"/>
                <w:szCs w:val="20"/>
                <w:color w:val="auto"/>
              </w:rPr>
              <w:t>(1,674)</w:t>
            </w:r>
          </w:p>
        </w:tc>
        <w:tc>
          <w:tcPr>
            <w:tcW w:w="40" w:type="dxa"/>
            <w:vAlign w:val="bottom"/>
            <w:shd w:val="clear" w:color="auto" w:fill="DDDDDD"/>
          </w:tcPr>
          <w:p>
            <w:pPr>
              <w:spacing w:after="0"/>
              <w:rPr>
                <w:sz w:val="24"/>
                <w:szCs w:val="24"/>
                <w:color w:val="auto"/>
              </w:rPr>
            </w:pPr>
          </w:p>
        </w:tc>
        <w:tc>
          <w:tcPr>
            <w:tcW w:w="20" w:type="dxa"/>
            <w:vAlign w:val="bottom"/>
            <w:shd w:val="clear" w:color="auto" w:fill="DDDDDD"/>
          </w:tcPr>
          <w:p>
            <w:pPr>
              <w:spacing w:after="0"/>
              <w:rPr>
                <w:sz w:val="24"/>
                <w:szCs w:val="24"/>
                <w:color w:val="auto"/>
              </w:rPr>
            </w:pPr>
          </w:p>
        </w:tc>
        <w:tc>
          <w:tcPr>
            <w:tcW w:w="380" w:type="dxa"/>
            <w:vAlign w:val="bottom"/>
            <w:tcBorders>
              <w:bottom w:val="single" w:sz="8" w:color="auto"/>
            </w:tcBorders>
            <w:shd w:val="clear" w:color="auto" w:fill="DDDDDD"/>
          </w:tcPr>
          <w:p>
            <w:pPr>
              <w:spacing w:after="0"/>
              <w:rPr>
                <w:sz w:val="24"/>
                <w:szCs w:val="24"/>
                <w:color w:val="auto"/>
              </w:rPr>
            </w:pPr>
          </w:p>
        </w:tc>
        <w:tc>
          <w:tcPr>
            <w:tcW w:w="960" w:type="dxa"/>
            <w:vAlign w:val="bottom"/>
            <w:tcBorders>
              <w:bottom w:val="single" w:sz="8" w:color="auto"/>
            </w:tcBorders>
            <w:shd w:val="clear" w:color="auto" w:fill="DDDDDD"/>
          </w:tcPr>
          <w:p>
            <w:pPr>
              <w:jc w:val="right"/>
              <w:spacing w:after="0"/>
              <w:rPr>
                <w:sz w:val="20"/>
                <w:szCs w:val="20"/>
                <w:color w:val="auto"/>
              </w:rPr>
            </w:pPr>
            <w:r>
              <w:rPr>
                <w:rFonts w:ascii="Times New Roman" w:cs="Times New Roman" w:eastAsia="Times New Roman" w:hAnsi="Times New Roman"/>
                <w:sz w:val="20"/>
                <w:szCs w:val="20"/>
                <w:color w:val="auto"/>
              </w:rPr>
              <w:t>4,248</w:t>
            </w:r>
          </w:p>
        </w:tc>
        <w:tc>
          <w:tcPr>
            <w:tcW w:w="40" w:type="dxa"/>
            <w:vAlign w:val="bottom"/>
            <w:shd w:val="clear" w:color="auto" w:fill="DDDDDD"/>
          </w:tcPr>
          <w:p>
            <w:pPr>
              <w:spacing w:after="0"/>
              <w:rPr>
                <w:sz w:val="24"/>
                <w:szCs w:val="24"/>
                <w:color w:val="auto"/>
              </w:rPr>
            </w:pPr>
          </w:p>
        </w:tc>
        <w:tc>
          <w:tcPr>
            <w:tcW w:w="20" w:type="dxa"/>
            <w:vAlign w:val="bottom"/>
            <w:shd w:val="clear" w:color="auto" w:fill="DDDDDD"/>
          </w:tcPr>
          <w:p>
            <w:pPr>
              <w:spacing w:after="0"/>
              <w:rPr>
                <w:sz w:val="24"/>
                <w:szCs w:val="24"/>
                <w:color w:val="auto"/>
              </w:rPr>
            </w:pPr>
          </w:p>
        </w:tc>
        <w:tc>
          <w:tcPr>
            <w:tcW w:w="400" w:type="dxa"/>
            <w:vAlign w:val="bottom"/>
            <w:tcBorders>
              <w:bottom w:val="single" w:sz="8" w:color="auto"/>
            </w:tcBorders>
            <w:shd w:val="clear" w:color="auto" w:fill="DDDDDD"/>
          </w:tcPr>
          <w:p>
            <w:pPr>
              <w:spacing w:after="0"/>
              <w:rPr>
                <w:sz w:val="24"/>
                <w:szCs w:val="24"/>
                <w:color w:val="auto"/>
              </w:rPr>
            </w:pPr>
          </w:p>
        </w:tc>
        <w:tc>
          <w:tcPr>
            <w:tcW w:w="940" w:type="dxa"/>
            <w:vAlign w:val="bottom"/>
            <w:tcBorders>
              <w:bottom w:val="single" w:sz="8" w:color="auto"/>
            </w:tcBorders>
            <w:shd w:val="clear" w:color="auto" w:fill="DDDDDD"/>
          </w:tcPr>
          <w:p>
            <w:pPr>
              <w:jc w:val="right"/>
              <w:spacing w:after="0"/>
              <w:rPr>
                <w:sz w:val="20"/>
                <w:szCs w:val="20"/>
                <w:color w:val="auto"/>
              </w:rPr>
            </w:pPr>
            <w:r>
              <w:rPr>
                <w:rFonts w:ascii="Times New Roman" w:cs="Times New Roman" w:eastAsia="Times New Roman" w:hAnsi="Times New Roman"/>
                <w:sz w:val="20"/>
                <w:szCs w:val="20"/>
                <w:color w:val="auto"/>
              </w:rPr>
              <w:t>(254)%</w:t>
            </w:r>
          </w:p>
        </w:tc>
      </w:tr>
      <w:tr>
        <w:trPr>
          <w:trHeight w:val="282"/>
        </w:trPr>
        <w:tc>
          <w:tcPr>
            <w:tcW w:w="4800" w:type="dxa"/>
            <w:vAlign w:val="bottom"/>
            <w:gridSpan w:val="2"/>
          </w:tcPr>
          <w:p>
            <w:pPr>
              <w:ind w:left="160"/>
              <w:spacing w:after="0"/>
              <w:rPr>
                <w:sz w:val="20"/>
                <w:szCs w:val="20"/>
                <w:color w:val="auto"/>
              </w:rPr>
            </w:pPr>
            <w:r>
              <w:rPr>
                <w:rFonts w:ascii="Times New Roman" w:cs="Times New Roman" w:eastAsia="Times New Roman" w:hAnsi="Times New Roman"/>
                <w:sz w:val="20"/>
                <w:szCs w:val="20"/>
                <w:color w:val="auto"/>
              </w:rPr>
              <w:t>Other income (expense), net</w:t>
            </w:r>
          </w:p>
        </w:tc>
        <w:tc>
          <w:tcPr>
            <w:tcW w:w="1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2,823</w:t>
            </w:r>
          </w:p>
        </w:tc>
        <w:tc>
          <w:tcPr>
            <w:tcW w:w="380" w:type="dxa"/>
            <w:vAlign w:val="bottom"/>
            <w:gridSpan w:val="2"/>
          </w:tcPr>
          <w:p>
            <w:pPr>
              <w:jc w:val="right"/>
              <w:ind w:right="59"/>
              <w:spacing w:after="0"/>
              <w:rPr>
                <w:sz w:val="20"/>
                <w:szCs w:val="20"/>
                <w:color w:val="auto"/>
              </w:rPr>
            </w:pPr>
            <w:r>
              <w:rPr>
                <w:rFonts w:ascii="Times New Roman" w:cs="Times New Roman" w:eastAsia="Times New Roman" w:hAnsi="Times New Roman"/>
                <w:sz w:val="20"/>
                <w:szCs w:val="20"/>
                <w:color w:val="auto"/>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166,048</w:t>
            </w:r>
          </w:p>
        </w:tc>
        <w:tc>
          <w:tcPr>
            <w:tcW w:w="440" w:type="dxa"/>
            <w:vAlign w:val="bottom"/>
            <w:gridSpan w:val="3"/>
          </w:tcPr>
          <w:p>
            <w:pPr>
              <w:jc w:val="right"/>
              <w:ind w:right="119"/>
              <w:spacing w:after="0"/>
              <w:rPr>
                <w:sz w:val="20"/>
                <w:szCs w:val="20"/>
                <w:color w:val="auto"/>
              </w:rPr>
            </w:pPr>
            <w:r>
              <w:rPr>
                <w:rFonts w:ascii="Times New Roman" w:cs="Times New Roman" w:eastAsia="Times New Roman" w:hAnsi="Times New Roman"/>
                <w:sz w:val="20"/>
                <w:szCs w:val="20"/>
                <w:color w:val="auto"/>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(163,225)</w:t>
            </w: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(98)%</w:t>
            </w:r>
          </w:p>
        </w:tc>
      </w:tr>
      <w:tr>
        <w:trPr>
          <w:trHeight w:val="20"/>
        </w:trPr>
        <w:tc>
          <w:tcPr>
            <w:tcW w:w="4780" w:type="dxa"/>
            <w:vAlign w:val="bottom"/>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r>
    </w:tbl>
    <w:p>
      <w:pPr>
        <w:spacing w:after="0" w:line="100" w:lineRule="exact"/>
        <w:rPr>
          <w:sz w:val="20"/>
          <w:szCs w:val="20"/>
          <w:color w:val="auto"/>
        </w:rPr>
      </w:pPr>
    </w:p>
    <w:p>
      <w:pPr>
        <w:jc w:val="both"/>
        <w:ind w:right="60"/>
        <w:spacing w:after="0" w:line="297" w:lineRule="auto"/>
        <w:rPr>
          <w:sz w:val="20"/>
          <w:szCs w:val="20"/>
          <w:color w:val="auto"/>
        </w:rPr>
      </w:pPr>
      <w:r>
        <w:rPr>
          <w:rFonts w:ascii="Times New Roman" w:cs="Times New Roman" w:eastAsia="Times New Roman" w:hAnsi="Times New Roman"/>
          <w:sz w:val="20"/>
          <w:szCs w:val="20"/>
          <w:color w:val="auto"/>
        </w:rPr>
        <w:t>Other income (expense), net decreased by $163.2 million for the year ended December 31, 2023 compared to the same period in 2022. The decrease was primarily due to changes in TRA liability of $143.6 million and comparatively favorable changes in fair value of warrant liability of $23.9 million partially offset by an increase of $4.2 million related to a non-cash gain of $3.7 million associated with the discharge of a holdback obligation related to a prior acquisition and a decrease in political contribution expense of $0.5 million.</w:t>
      </w:r>
    </w:p>
    <w:p>
      <w:pPr>
        <w:spacing w:after="0" w:line="76" w:lineRule="exact"/>
        <w:rPr>
          <w:sz w:val="20"/>
          <w:szCs w:val="20"/>
          <w:color w:val="auto"/>
        </w:rPr>
      </w:pPr>
    </w:p>
    <w:tbl>
      <w:tblPr>
        <w:tblLayout w:type="fixed"/>
        <w:tblInd w:w="0" w:type="dxa"/>
        <w:tblCellMar>
          <w:top w:w="0" w:type="dxa"/>
          <w:left w:w="0" w:type="dxa"/>
          <w:bottom w:w="0" w:type="dxa"/>
          <w:right w:w="0" w:type="dxa"/>
        </w:tblCellMar>
      </w:tblPr>
      <w:tr>
        <w:trPr>
          <w:trHeight w:val="268"/>
        </w:trPr>
        <w:tc>
          <w:tcPr>
            <w:tcW w:w="4780" w:type="dxa"/>
            <w:vAlign w:val="bottom"/>
          </w:tcPr>
          <w:p>
            <w:pPr>
              <w:spacing w:after="0"/>
              <w:rPr>
                <w:sz w:val="20"/>
                <w:szCs w:val="20"/>
                <w:color w:val="auto"/>
              </w:rPr>
            </w:pPr>
            <w:r>
              <w:rPr>
                <w:rFonts w:ascii="Times New Roman" w:cs="Times New Roman" w:eastAsia="Times New Roman" w:hAnsi="Times New Roman"/>
                <w:sz w:val="20"/>
                <w:szCs w:val="20"/>
                <w:b w:val="1"/>
                <w:bCs w:val="1"/>
                <w:i w:val="1"/>
                <w:iCs w:val="1"/>
                <w:color w:val="auto"/>
              </w:rPr>
              <w:t>Provision for (Benefit from) Income Taxes</w:t>
            </w:r>
          </w:p>
        </w:tc>
        <w:tc>
          <w:tcPr>
            <w:tcW w:w="960" w:type="dxa"/>
            <w:vAlign w:val="bottom"/>
          </w:tcPr>
          <w:p>
            <w:pPr>
              <w:spacing w:after="0"/>
              <w:rPr>
                <w:sz w:val="23"/>
                <w:szCs w:val="23"/>
                <w:color w:val="auto"/>
              </w:rPr>
            </w:pPr>
          </w:p>
        </w:tc>
        <w:tc>
          <w:tcPr>
            <w:tcW w:w="38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104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380" w:type="dxa"/>
            <w:vAlign w:val="bottom"/>
          </w:tcPr>
          <w:p>
            <w:pPr>
              <w:spacing w:after="0"/>
              <w:rPr>
                <w:sz w:val="23"/>
                <w:szCs w:val="23"/>
                <w:color w:val="auto"/>
              </w:rPr>
            </w:pPr>
          </w:p>
        </w:tc>
        <w:tc>
          <w:tcPr>
            <w:tcW w:w="96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400" w:type="dxa"/>
            <w:vAlign w:val="bottom"/>
          </w:tcPr>
          <w:p>
            <w:pPr>
              <w:spacing w:after="0"/>
              <w:rPr>
                <w:sz w:val="23"/>
                <w:szCs w:val="23"/>
                <w:color w:val="auto"/>
              </w:rPr>
            </w:pPr>
          </w:p>
        </w:tc>
        <w:tc>
          <w:tcPr>
            <w:tcW w:w="940" w:type="dxa"/>
            <w:vAlign w:val="bottom"/>
          </w:tcPr>
          <w:p>
            <w:pPr>
              <w:spacing w:after="0"/>
              <w:rPr>
                <w:sz w:val="23"/>
                <w:szCs w:val="23"/>
                <w:color w:val="auto"/>
              </w:rPr>
            </w:pPr>
          </w:p>
        </w:tc>
      </w:tr>
      <w:tr>
        <w:trPr>
          <w:trHeight w:val="460"/>
        </w:trPr>
        <w:tc>
          <w:tcPr>
            <w:tcW w:w="4780" w:type="dxa"/>
            <w:vAlign w:val="bottom"/>
          </w:tcPr>
          <w:p>
            <w:pPr>
              <w:spacing w:after="0"/>
              <w:rPr>
                <w:sz w:val="24"/>
                <w:szCs w:val="24"/>
                <w:color w:val="auto"/>
              </w:rPr>
            </w:pPr>
          </w:p>
        </w:tc>
        <w:tc>
          <w:tcPr>
            <w:tcW w:w="2760" w:type="dxa"/>
            <w:vAlign w:val="bottom"/>
            <w:tcBorders>
              <w:bottom w:val="single" w:sz="8" w:color="auto"/>
            </w:tcBorders>
            <w:gridSpan w:val="5"/>
          </w:tcPr>
          <w:p>
            <w:pPr>
              <w:ind w:left="240"/>
              <w:spacing w:after="0"/>
              <w:rPr>
                <w:sz w:val="20"/>
                <w:szCs w:val="20"/>
                <w:color w:val="auto"/>
              </w:rPr>
            </w:pPr>
            <w:r>
              <w:rPr>
                <w:rFonts w:ascii="Times New Roman" w:cs="Times New Roman" w:eastAsia="Times New Roman" w:hAnsi="Times New Roman"/>
                <w:sz w:val="20"/>
                <w:szCs w:val="20"/>
                <w:b w:val="1"/>
                <w:bCs w:val="1"/>
                <w:color w:val="auto"/>
              </w:rPr>
              <w:t>Years Ended December 31,</w:t>
            </w:r>
          </w:p>
        </w:tc>
        <w:tc>
          <w:tcPr>
            <w:tcW w:w="40" w:type="dxa"/>
            <w:vAlign w:val="bottom"/>
          </w:tcPr>
          <w:p>
            <w:pPr>
              <w:spacing w:after="0"/>
              <w:rPr>
                <w:sz w:val="24"/>
                <w:szCs w:val="24"/>
                <w:color w:val="auto"/>
              </w:rPr>
            </w:pPr>
          </w:p>
        </w:tc>
        <w:tc>
          <w:tcPr>
            <w:tcW w:w="380" w:type="dxa"/>
            <w:vAlign w:val="bottom"/>
            <w:tcBorders>
              <w:bottom w:val="single" w:sz="8" w:color="auto"/>
            </w:tcBorders>
          </w:tcPr>
          <w:p>
            <w:pPr>
              <w:spacing w:after="0"/>
              <w:rPr>
                <w:sz w:val="24"/>
                <w:szCs w:val="24"/>
                <w:color w:val="auto"/>
              </w:rPr>
            </w:pPr>
          </w:p>
        </w:tc>
        <w:tc>
          <w:tcPr>
            <w:tcW w:w="1420" w:type="dxa"/>
            <w:vAlign w:val="bottom"/>
            <w:tcBorders>
              <w:bottom w:val="single" w:sz="8" w:color="auto"/>
            </w:tcBorders>
            <w:gridSpan w:val="3"/>
          </w:tcPr>
          <w:p>
            <w:pPr>
              <w:ind w:left="660"/>
              <w:spacing w:after="0"/>
              <w:rPr>
                <w:sz w:val="20"/>
                <w:szCs w:val="20"/>
                <w:color w:val="auto"/>
              </w:rPr>
            </w:pPr>
            <w:r>
              <w:rPr>
                <w:rFonts w:ascii="Times New Roman" w:cs="Times New Roman" w:eastAsia="Times New Roman" w:hAnsi="Times New Roman"/>
                <w:sz w:val="20"/>
                <w:szCs w:val="20"/>
                <w:b w:val="1"/>
                <w:bCs w:val="1"/>
                <w:color w:val="auto"/>
              </w:rPr>
              <w:t>Change</w:t>
            </w:r>
          </w:p>
        </w:tc>
        <w:tc>
          <w:tcPr>
            <w:tcW w:w="940" w:type="dxa"/>
            <w:vAlign w:val="bottom"/>
            <w:tcBorders>
              <w:bottom w:val="single" w:sz="8" w:color="auto"/>
            </w:tcBorders>
          </w:tcPr>
          <w:p>
            <w:pPr>
              <w:spacing w:after="0"/>
              <w:rPr>
                <w:sz w:val="24"/>
                <w:szCs w:val="24"/>
                <w:color w:val="auto"/>
              </w:rPr>
            </w:pPr>
          </w:p>
        </w:tc>
      </w:tr>
      <w:tr>
        <w:trPr>
          <w:trHeight w:val="299"/>
        </w:trPr>
        <w:tc>
          <w:tcPr>
            <w:tcW w:w="4780" w:type="dxa"/>
            <w:vAlign w:val="bottom"/>
          </w:tcPr>
          <w:p>
            <w:pPr>
              <w:spacing w:after="0"/>
              <w:rPr>
                <w:sz w:val="24"/>
                <w:szCs w:val="24"/>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b w:val="1"/>
                <w:bCs w:val="1"/>
                <w:color w:val="auto"/>
              </w:rPr>
              <w:t>2023</w:t>
            </w:r>
          </w:p>
        </w:tc>
        <w:tc>
          <w:tcPr>
            <w:tcW w:w="380" w:type="dxa"/>
            <w:vAlign w:val="bottom"/>
            <w:tcBorders>
              <w:bottom w:val="single" w:sz="8" w:color="auto"/>
            </w:tcBorders>
          </w:tcPr>
          <w:p>
            <w:pPr>
              <w:spacing w:after="0"/>
              <w:rPr>
                <w:sz w:val="24"/>
                <w:szCs w:val="24"/>
                <w:color w:val="auto"/>
              </w:rPr>
            </w:pPr>
          </w:p>
        </w:tc>
        <w:tc>
          <w:tcPr>
            <w:tcW w:w="80" w:type="dxa"/>
            <w:vAlign w:val="bottom"/>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1040" w:type="dxa"/>
            <w:vAlign w:val="bottom"/>
            <w:tcBorders>
              <w:bottom w:val="single" w:sz="8" w:color="auto"/>
            </w:tcBorders>
          </w:tcPr>
          <w:p>
            <w:pPr>
              <w:jc w:val="right"/>
              <w:ind w:right="379"/>
              <w:spacing w:after="0"/>
              <w:rPr>
                <w:sz w:val="20"/>
                <w:szCs w:val="20"/>
                <w:color w:val="auto"/>
              </w:rPr>
            </w:pPr>
            <w:r>
              <w:rPr>
                <w:rFonts w:ascii="Times New Roman" w:cs="Times New Roman" w:eastAsia="Times New Roman" w:hAnsi="Times New Roman"/>
                <w:sz w:val="20"/>
                <w:szCs w:val="20"/>
                <w:b w:val="1"/>
                <w:bCs w:val="1"/>
                <w:color w:val="auto"/>
              </w:rPr>
              <w:t>2022</w:t>
            </w:r>
          </w:p>
        </w:tc>
        <w:tc>
          <w:tcPr>
            <w:tcW w:w="40" w:type="dxa"/>
            <w:vAlign w:val="bottom"/>
          </w:tcPr>
          <w:p>
            <w:pPr>
              <w:spacing w:after="0"/>
              <w:rPr>
                <w:sz w:val="24"/>
                <w:szCs w:val="24"/>
                <w:color w:val="auto"/>
              </w:rPr>
            </w:pPr>
          </w:p>
        </w:tc>
        <w:tc>
          <w:tcPr>
            <w:tcW w:w="380" w:type="dxa"/>
            <w:vAlign w:val="bottom"/>
            <w:tcBorders>
              <w:bottom w:val="single" w:sz="8" w:color="auto"/>
            </w:tcBorders>
          </w:tcPr>
          <w:p>
            <w:pPr>
              <w:spacing w:after="0"/>
              <w:rPr>
                <w:sz w:val="24"/>
                <w:szCs w:val="24"/>
                <w:color w:val="auto"/>
              </w:rPr>
            </w:pPr>
          </w:p>
        </w:tc>
        <w:tc>
          <w:tcPr>
            <w:tcW w:w="960" w:type="dxa"/>
            <w:vAlign w:val="bottom"/>
            <w:tcBorders>
              <w:bottom w:val="single" w:sz="8" w:color="auto"/>
            </w:tcBorders>
          </w:tcPr>
          <w:p>
            <w:pPr>
              <w:ind w:left="180"/>
              <w:spacing w:after="0"/>
              <w:rPr>
                <w:sz w:val="20"/>
                <w:szCs w:val="20"/>
                <w:color w:val="auto"/>
              </w:rPr>
            </w:pPr>
            <w:r>
              <w:rPr>
                <w:rFonts w:ascii="Times New Roman" w:cs="Times New Roman" w:eastAsia="Times New Roman" w:hAnsi="Times New Roman"/>
                <w:sz w:val="20"/>
                <w:szCs w:val="20"/>
                <w:b w:val="1"/>
                <w:bCs w:val="1"/>
                <w:color w:val="auto"/>
              </w:rPr>
              <w:t>($)</w:t>
            </w:r>
          </w:p>
        </w:tc>
        <w:tc>
          <w:tcPr>
            <w:tcW w:w="60" w:type="dxa"/>
            <w:vAlign w:val="bottom"/>
          </w:tcPr>
          <w:p>
            <w:pPr>
              <w:spacing w:after="0"/>
              <w:rPr>
                <w:sz w:val="24"/>
                <w:szCs w:val="24"/>
                <w:color w:val="auto"/>
              </w:rPr>
            </w:pPr>
          </w:p>
        </w:tc>
        <w:tc>
          <w:tcPr>
            <w:tcW w:w="400" w:type="dxa"/>
            <w:vAlign w:val="bottom"/>
            <w:tcBorders>
              <w:bottom w:val="single" w:sz="8" w:color="auto"/>
            </w:tcBorders>
          </w:tcPr>
          <w:p>
            <w:pPr>
              <w:spacing w:after="0"/>
              <w:rPr>
                <w:sz w:val="24"/>
                <w:szCs w:val="24"/>
                <w:color w:val="auto"/>
              </w:rPr>
            </w:pPr>
          </w:p>
        </w:tc>
        <w:tc>
          <w:tcPr>
            <w:tcW w:w="940" w:type="dxa"/>
            <w:vAlign w:val="bottom"/>
            <w:tcBorders>
              <w:bottom w:val="single" w:sz="8" w:color="auto"/>
            </w:tcBorders>
          </w:tcPr>
          <w:p>
            <w:pPr>
              <w:jc w:val="right"/>
              <w:ind w:right="399"/>
              <w:spacing w:after="0"/>
              <w:rPr>
                <w:sz w:val="20"/>
                <w:szCs w:val="20"/>
                <w:color w:val="auto"/>
              </w:rPr>
            </w:pPr>
            <w:r>
              <w:rPr>
                <w:rFonts w:ascii="Times New Roman" w:cs="Times New Roman" w:eastAsia="Times New Roman" w:hAnsi="Times New Roman"/>
                <w:sz w:val="20"/>
                <w:szCs w:val="20"/>
                <w:b w:val="1"/>
                <w:bCs w:val="1"/>
                <w:color w:val="auto"/>
              </w:rPr>
              <w:t>(%)</w:t>
            </w:r>
          </w:p>
        </w:tc>
      </w:tr>
      <w:tr>
        <w:trPr>
          <w:trHeight w:val="221"/>
        </w:trPr>
        <w:tc>
          <w:tcPr>
            <w:tcW w:w="478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2220" w:type="dxa"/>
            <w:vAlign w:val="bottom"/>
            <w:gridSpan w:val="6"/>
          </w:tcPr>
          <w:p>
            <w:pPr>
              <w:jc w:val="center"/>
              <w:spacing w:after="0" w:line="204" w:lineRule="exact"/>
              <w:rPr>
                <w:sz w:val="20"/>
                <w:szCs w:val="20"/>
                <w:color w:val="auto"/>
              </w:rPr>
            </w:pPr>
            <w:r>
              <w:rPr>
                <w:rFonts w:ascii="Times New Roman" w:cs="Times New Roman" w:eastAsia="Times New Roman" w:hAnsi="Times New Roman"/>
                <w:sz w:val="20"/>
                <w:szCs w:val="20"/>
                <w:b w:val="1"/>
                <w:bCs w:val="1"/>
                <w:color w:val="auto"/>
              </w:rPr>
              <w:t>(dollars in thousands)</w:t>
            </w:r>
          </w:p>
        </w:tc>
        <w:tc>
          <w:tcPr>
            <w:tcW w:w="9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940" w:type="dxa"/>
            <w:vAlign w:val="bottom"/>
          </w:tcPr>
          <w:p>
            <w:pPr>
              <w:spacing w:after="0"/>
              <w:rPr>
                <w:sz w:val="19"/>
                <w:szCs w:val="19"/>
                <w:color w:val="auto"/>
              </w:rPr>
            </w:pPr>
          </w:p>
        </w:tc>
      </w:tr>
      <w:tr>
        <w:trPr>
          <w:trHeight w:val="281"/>
        </w:trPr>
        <w:tc>
          <w:tcPr>
            <w:tcW w:w="4780" w:type="dxa"/>
            <w:vAlign w:val="bottom"/>
            <w:shd w:val="clear" w:color="auto" w:fill="DDDDDD"/>
          </w:tcPr>
          <w:p>
            <w:pPr>
              <w:ind w:left="40"/>
              <w:spacing w:after="0"/>
              <w:rPr>
                <w:sz w:val="20"/>
                <w:szCs w:val="20"/>
                <w:color w:val="auto"/>
              </w:rPr>
            </w:pPr>
            <w:r>
              <w:rPr>
                <w:rFonts w:ascii="Times New Roman" w:cs="Times New Roman" w:eastAsia="Times New Roman" w:hAnsi="Times New Roman"/>
                <w:sz w:val="20"/>
                <w:szCs w:val="20"/>
                <w:color w:val="auto"/>
              </w:rPr>
              <w:t>Provision for (benefit from) income taxes</w:t>
            </w:r>
          </w:p>
        </w:tc>
        <w:tc>
          <w:tcPr>
            <w:tcW w:w="960" w:type="dxa"/>
            <w:vAlign w:val="bottom"/>
            <w:shd w:val="clear" w:color="auto" w:fill="DDDDDD"/>
          </w:tcPr>
          <w:p>
            <w:pPr>
              <w:jc w:val="right"/>
              <w:ind w:right="699"/>
              <w:spacing w:after="0"/>
              <w:rPr>
                <w:sz w:val="20"/>
                <w:szCs w:val="20"/>
                <w:color w:val="auto"/>
              </w:rPr>
            </w:pPr>
            <w:r>
              <w:rPr>
                <w:rFonts w:ascii="Times New Roman" w:cs="Times New Roman" w:eastAsia="Times New Roman" w:hAnsi="Times New Roman"/>
                <w:sz w:val="20"/>
                <w:szCs w:val="20"/>
                <w:color w:val="auto"/>
              </w:rPr>
              <w:t>$</w:t>
            </w:r>
          </w:p>
        </w:tc>
        <w:tc>
          <w:tcPr>
            <w:tcW w:w="380" w:type="dxa"/>
            <w:vAlign w:val="bottom"/>
            <w:shd w:val="clear" w:color="auto" w:fill="DDDDDD"/>
          </w:tcPr>
          <w:p>
            <w:pPr>
              <w:jc w:val="right"/>
              <w:spacing w:after="0"/>
              <w:rPr>
                <w:sz w:val="20"/>
                <w:szCs w:val="20"/>
                <w:color w:val="auto"/>
              </w:rPr>
            </w:pPr>
            <w:r>
              <w:rPr>
                <w:rFonts w:ascii="Times New Roman" w:cs="Times New Roman" w:eastAsia="Times New Roman" w:hAnsi="Times New Roman"/>
                <w:sz w:val="20"/>
                <w:szCs w:val="20"/>
                <w:color w:val="auto"/>
              </w:rPr>
              <w:t>93</w:t>
            </w:r>
          </w:p>
        </w:tc>
        <w:tc>
          <w:tcPr>
            <w:tcW w:w="380" w:type="dxa"/>
            <w:vAlign w:val="bottom"/>
            <w:gridSpan w:val="2"/>
            <w:shd w:val="clear" w:color="auto" w:fill="DDDDDD"/>
          </w:tcPr>
          <w:p>
            <w:pPr>
              <w:jc w:val="right"/>
              <w:ind w:right="140"/>
              <w:spacing w:after="0"/>
              <w:rPr>
                <w:sz w:val="20"/>
                <w:szCs w:val="20"/>
                <w:color w:val="auto"/>
              </w:rPr>
            </w:pPr>
            <w:r>
              <w:rPr>
                <w:rFonts w:ascii="Times New Roman" w:cs="Times New Roman" w:eastAsia="Times New Roman" w:hAnsi="Times New Roman"/>
                <w:sz w:val="20"/>
                <w:szCs w:val="20"/>
                <w:color w:val="auto"/>
              </w:rPr>
              <w:t>$</w:t>
            </w:r>
          </w:p>
        </w:tc>
        <w:tc>
          <w:tcPr>
            <w:tcW w:w="1040" w:type="dxa"/>
            <w:vAlign w:val="bottom"/>
            <w:shd w:val="clear" w:color="auto" w:fill="DDDDDD"/>
          </w:tcPr>
          <w:p>
            <w:pPr>
              <w:jc w:val="right"/>
              <w:spacing w:after="0"/>
              <w:rPr>
                <w:sz w:val="20"/>
                <w:szCs w:val="20"/>
                <w:color w:val="auto"/>
              </w:rPr>
            </w:pPr>
            <w:r>
              <w:rPr>
                <w:rFonts w:ascii="Times New Roman" w:cs="Times New Roman" w:eastAsia="Times New Roman" w:hAnsi="Times New Roman"/>
                <w:sz w:val="20"/>
                <w:szCs w:val="20"/>
                <w:color w:val="auto"/>
              </w:rPr>
              <w:t>179,077</w:t>
            </w:r>
          </w:p>
        </w:tc>
        <w:tc>
          <w:tcPr>
            <w:tcW w:w="40" w:type="dxa"/>
            <w:vAlign w:val="bottom"/>
            <w:shd w:val="clear" w:color="auto" w:fill="DDDDDD"/>
          </w:tcPr>
          <w:p>
            <w:pPr>
              <w:spacing w:after="0"/>
              <w:rPr>
                <w:sz w:val="24"/>
                <w:szCs w:val="24"/>
                <w:color w:val="auto"/>
              </w:rPr>
            </w:pPr>
          </w:p>
        </w:tc>
        <w:tc>
          <w:tcPr>
            <w:tcW w:w="380" w:type="dxa"/>
            <w:vAlign w:val="bottom"/>
            <w:shd w:val="clear" w:color="auto" w:fill="DDDDDD"/>
          </w:tcPr>
          <w:p>
            <w:pPr>
              <w:jc w:val="right"/>
              <w:ind w:right="99"/>
              <w:spacing w:after="0"/>
              <w:rPr>
                <w:sz w:val="20"/>
                <w:szCs w:val="20"/>
                <w:color w:val="auto"/>
              </w:rPr>
            </w:pPr>
            <w:r>
              <w:rPr>
                <w:rFonts w:ascii="Times New Roman" w:cs="Times New Roman" w:eastAsia="Times New Roman" w:hAnsi="Times New Roman"/>
                <w:sz w:val="20"/>
                <w:szCs w:val="20"/>
                <w:color w:val="auto"/>
              </w:rPr>
              <w:t>$</w:t>
            </w:r>
          </w:p>
        </w:tc>
        <w:tc>
          <w:tcPr>
            <w:tcW w:w="960" w:type="dxa"/>
            <w:vAlign w:val="bottom"/>
            <w:shd w:val="clear" w:color="auto" w:fill="DDDDDD"/>
          </w:tcPr>
          <w:p>
            <w:pPr>
              <w:ind w:left="160"/>
              <w:spacing w:after="0"/>
              <w:rPr>
                <w:sz w:val="20"/>
                <w:szCs w:val="20"/>
                <w:color w:val="auto"/>
              </w:rPr>
            </w:pPr>
            <w:r>
              <w:rPr>
                <w:rFonts w:ascii="Times New Roman" w:cs="Times New Roman" w:eastAsia="Times New Roman" w:hAnsi="Times New Roman"/>
                <w:sz w:val="20"/>
                <w:szCs w:val="20"/>
                <w:color w:val="auto"/>
                <w:w w:val="99"/>
              </w:rPr>
              <w:t>(178,984)</w:t>
            </w:r>
          </w:p>
        </w:tc>
        <w:tc>
          <w:tcPr>
            <w:tcW w:w="60" w:type="dxa"/>
            <w:vAlign w:val="bottom"/>
            <w:shd w:val="clear" w:color="auto" w:fill="DDDDDD"/>
          </w:tcPr>
          <w:p>
            <w:pPr>
              <w:spacing w:after="0"/>
              <w:rPr>
                <w:sz w:val="24"/>
                <w:szCs w:val="24"/>
                <w:color w:val="auto"/>
              </w:rPr>
            </w:pPr>
          </w:p>
        </w:tc>
        <w:tc>
          <w:tcPr>
            <w:tcW w:w="400" w:type="dxa"/>
            <w:vAlign w:val="bottom"/>
            <w:shd w:val="clear" w:color="auto" w:fill="DDDDDD"/>
          </w:tcPr>
          <w:p>
            <w:pPr>
              <w:spacing w:after="0"/>
              <w:rPr>
                <w:sz w:val="24"/>
                <w:szCs w:val="24"/>
                <w:color w:val="auto"/>
              </w:rPr>
            </w:pPr>
          </w:p>
        </w:tc>
        <w:tc>
          <w:tcPr>
            <w:tcW w:w="940" w:type="dxa"/>
            <w:vAlign w:val="bottom"/>
            <w:shd w:val="clear" w:color="auto" w:fill="DDDDDD"/>
          </w:tcPr>
          <w:p>
            <w:pPr>
              <w:jc w:val="right"/>
              <w:spacing w:after="0"/>
              <w:rPr>
                <w:sz w:val="20"/>
                <w:szCs w:val="20"/>
                <w:color w:val="auto"/>
              </w:rPr>
            </w:pPr>
            <w:r>
              <w:rPr>
                <w:rFonts w:ascii="Times New Roman" w:cs="Times New Roman" w:eastAsia="Times New Roman" w:hAnsi="Times New Roman"/>
                <w:sz w:val="20"/>
                <w:szCs w:val="20"/>
                <w:color w:val="auto"/>
              </w:rPr>
              <w:t>(100)%</w:t>
            </w:r>
          </w:p>
        </w:tc>
      </w:tr>
      <w:tr>
        <w:trPr>
          <w:trHeight w:val="910"/>
        </w:trPr>
        <w:tc>
          <w:tcPr>
            <w:tcW w:w="4780" w:type="dxa"/>
            <w:vAlign w:val="bottom"/>
          </w:tcPr>
          <w:p>
            <w:pPr>
              <w:spacing w:after="0"/>
              <w:rPr>
                <w:sz w:val="24"/>
                <w:szCs w:val="24"/>
                <w:color w:val="auto"/>
              </w:rPr>
            </w:pPr>
          </w:p>
        </w:tc>
        <w:tc>
          <w:tcPr>
            <w:tcW w:w="960" w:type="dxa"/>
            <w:vAlign w:val="bottom"/>
          </w:tcPr>
          <w:p>
            <w:pPr>
              <w:ind w:left="240"/>
              <w:spacing w:after="0"/>
              <w:rPr>
                <w:sz w:val="20"/>
                <w:szCs w:val="20"/>
                <w:color w:val="auto"/>
              </w:rPr>
            </w:pPr>
            <w:r>
              <w:rPr>
                <w:rFonts w:ascii="Times New Roman" w:cs="Times New Roman" w:eastAsia="Times New Roman" w:hAnsi="Times New Roman"/>
                <w:sz w:val="20"/>
                <w:szCs w:val="20"/>
                <w:color w:val="auto"/>
              </w:rPr>
              <w:t>65</w:t>
            </w:r>
          </w:p>
        </w:tc>
        <w:tc>
          <w:tcPr>
            <w:tcW w:w="3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940" w:type="dxa"/>
            <w:vAlign w:val="bottom"/>
          </w:tcPr>
          <w:p>
            <w:pPr>
              <w:spacing w:after="0"/>
              <w:rPr>
                <w:sz w:val="24"/>
                <w:szCs w:val="24"/>
                <w:color w:val="auto"/>
              </w:rPr>
            </w:pPr>
          </w:p>
        </w:tc>
      </w:tr>
    </w:tbl>
    <w:p>
      <w:pPr>
        <w:sectPr>
          <w:pgSz w:w="12240" w:h="15840" w:orient="portrait"/>
          <w:cols w:equalWidth="0" w:num="1">
            <w:col w:w="10320"/>
          </w:cols>
          <w:pgMar w:left="1000" w:top="884" w:right="920" w:bottom="182" w:gutter="0" w:footer="0" w:header="0"/>
        </w:sectPr>
      </w:pPr>
    </w:p>
    <w:bookmarkStart w:id="69" w:name="page70"/>
    <w:bookmarkEnd w:id="69"/>
    <w:p>
      <w:pPr>
        <w:jc w:val="both"/>
        <w:spacing w:after="0" w:line="309" w:lineRule="auto"/>
        <w:rPr>
          <w:sz w:val="20"/>
          <w:szCs w:val="20"/>
          <w:color w:val="auto"/>
        </w:rPr>
      </w:pPr>
      <w:r>
        <w:rPr>
          <w:rFonts w:ascii="Times New Roman" w:cs="Times New Roman" w:eastAsia="Times New Roman" w:hAnsi="Times New Roman"/>
          <w:sz w:val="20"/>
          <w:szCs w:val="20"/>
          <w:color w:val="auto"/>
        </w:rPr>
        <w:t>Provision for income taxes decreased by $179.0 million for the year ended December 31, 2023 compared to the same period in 2022. The decrease was primarily due to a full valuation allowance that was recorded against our deferred tax assets during the year ended December 31, 2022. See Note 16, “Income Taxes,” to our consolidated financial statements included herein.</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Non-GAAP Financial Measures</w:t>
      </w:r>
    </w:p>
    <w:p>
      <w:pPr>
        <w:spacing w:after="0" w:line="168"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i w:val="1"/>
          <w:iCs w:val="1"/>
          <w:color w:val="auto"/>
        </w:rPr>
        <w:t>Net Income (Loss) to EBITDA and Adjusted EBITDA</w:t>
      </w:r>
    </w:p>
    <w:p>
      <w:pPr>
        <w:spacing w:after="0" w:line="162" w:lineRule="exact"/>
        <w:rPr>
          <w:sz w:val="20"/>
          <w:szCs w:val="20"/>
          <w:color w:val="auto"/>
        </w:rPr>
      </w:pPr>
    </w:p>
    <w:p>
      <w:pPr>
        <w:jc w:val="both"/>
        <w:ind w:right="20"/>
        <w:spacing w:after="0" w:line="334" w:lineRule="auto"/>
        <w:rPr>
          <w:sz w:val="20"/>
          <w:szCs w:val="20"/>
          <w:color w:val="auto"/>
        </w:rPr>
      </w:pPr>
      <w:r>
        <w:rPr>
          <w:rFonts w:ascii="Times New Roman" w:cs="Times New Roman" w:eastAsia="Times New Roman" w:hAnsi="Times New Roman"/>
          <w:sz w:val="20"/>
          <w:szCs w:val="20"/>
          <w:color w:val="auto"/>
        </w:rPr>
        <w:t>Our financial statements, including net income (loss), are prepared in accordance with GAAP. For more information regarding the components within our net income (loss), see “Components of Our Results of Operations” above.</w:t>
      </w:r>
    </w:p>
    <w:p>
      <w:pPr>
        <w:spacing w:after="0" w:line="37" w:lineRule="exact"/>
        <w:rPr>
          <w:sz w:val="20"/>
          <w:szCs w:val="20"/>
          <w:color w:val="auto"/>
        </w:rPr>
      </w:pPr>
    </w:p>
    <w:p>
      <w:pPr>
        <w:jc w:val="both"/>
        <w:spacing w:after="0" w:line="294" w:lineRule="auto"/>
        <w:rPr>
          <w:sz w:val="20"/>
          <w:szCs w:val="20"/>
          <w:color w:val="auto"/>
        </w:rPr>
      </w:pPr>
      <w:r>
        <w:rPr>
          <w:rFonts w:ascii="Times New Roman" w:cs="Times New Roman" w:eastAsia="Times New Roman" w:hAnsi="Times New Roman"/>
          <w:sz w:val="20"/>
          <w:szCs w:val="20"/>
          <w:color w:val="auto"/>
        </w:rPr>
        <w:t>Net loss for the year ended December 31, 2023 was $15.7 million compared to a net loss of $82.7 million for the year ended December 31, 2022. The decrease in net loss of $66.9 million was primarily due to a decrease in revenue of $27.5 million, a decrease in comparatively favorable change in fair value of warrant liability of $23.9 million, a decrease in income from the change in tax receivables agreement liability of $143.6 million resulting from the remeasurement of the TRA liability, a decrease in total costs and expenses of $78.7 million, a decrease in provision from income taxes of $179.0 million resulting from the full valuation recorded against our deferred tax assets during the year ended December 31, 2022 and an increase in other expense of $4.2 million.</w:t>
      </w:r>
    </w:p>
    <w:p>
      <w:pPr>
        <w:spacing w:after="0" w:line="80" w:lineRule="exact"/>
        <w:rPr>
          <w:sz w:val="20"/>
          <w:szCs w:val="20"/>
          <w:color w:val="auto"/>
        </w:rPr>
      </w:pPr>
    </w:p>
    <w:p>
      <w:pPr>
        <w:jc w:val="both"/>
        <w:ind w:right="20"/>
        <w:spacing w:after="0" w:line="294" w:lineRule="auto"/>
        <w:rPr>
          <w:sz w:val="20"/>
          <w:szCs w:val="20"/>
          <w:color w:val="auto"/>
        </w:rPr>
      </w:pPr>
      <w:r>
        <w:rPr>
          <w:rFonts w:ascii="Times New Roman" w:cs="Times New Roman" w:eastAsia="Times New Roman" w:hAnsi="Times New Roman"/>
          <w:sz w:val="20"/>
          <w:szCs w:val="20"/>
          <w:color w:val="auto"/>
        </w:rPr>
        <w:t>To provide investors with additional information regarding our financial results, we have disclosed EBITDA and Adjusted EBITDA, both of which are non-GAAP financial measures that we calculate as net income (loss) before interest, taxes and depreciation and amortization expense in the case of EBITDA and further adjusted to exclude stock-based compensation, change in fair value of warrant liability, transaction related bonus, legal settlements and other legal costs, discharge of holdback obligation related to prior acquisition, reduction in force, asset impairment charges, transaction costs, change in TRA liability and other non-cash, unusual and/or infrequent costs in the case of Adjusted EBITDA. Below we have provided a reconciliation of net loss (the most directly comparable GAAP financial measure) to EBITDA; and from EBITDA to Adjusted EBITDA.</w:t>
      </w:r>
    </w:p>
    <w:p>
      <w:pPr>
        <w:spacing w:after="0" w:line="80" w:lineRule="exact"/>
        <w:rPr>
          <w:sz w:val="20"/>
          <w:szCs w:val="20"/>
          <w:color w:val="auto"/>
        </w:rPr>
      </w:pPr>
    </w:p>
    <w:p>
      <w:pPr>
        <w:jc w:val="both"/>
        <w:spacing w:after="0" w:line="301" w:lineRule="auto"/>
        <w:rPr>
          <w:sz w:val="20"/>
          <w:szCs w:val="20"/>
          <w:color w:val="auto"/>
        </w:rPr>
      </w:pPr>
      <w:r>
        <w:rPr>
          <w:rFonts w:ascii="Times New Roman" w:cs="Times New Roman" w:eastAsia="Times New Roman" w:hAnsi="Times New Roman"/>
          <w:sz w:val="20"/>
          <w:szCs w:val="20"/>
          <w:color w:val="auto"/>
        </w:rPr>
        <w:t>We present EBITDA and Adjusted EBITDA because these metrics are a key measure used by our management to evaluate our operating performance, generate future operating plans and make strategic decisions regarding the allocation of investment capacity. Accordingly, we believe that EBITDA and Adjusted EBITDA provide useful information to investors and others in understanding and evaluating our operating results in the same manner as our management.</w:t>
      </w:r>
    </w:p>
    <w:p>
      <w:pPr>
        <w:spacing w:after="0" w:line="70" w:lineRule="exact"/>
        <w:rPr>
          <w:sz w:val="20"/>
          <w:szCs w:val="20"/>
          <w:color w:val="auto"/>
        </w:rPr>
      </w:pPr>
    </w:p>
    <w:p>
      <w:pPr>
        <w:jc w:val="both"/>
        <w:spacing w:after="0" w:line="306" w:lineRule="auto"/>
        <w:rPr>
          <w:sz w:val="20"/>
          <w:szCs w:val="20"/>
          <w:color w:val="auto"/>
        </w:rPr>
      </w:pPr>
      <w:r>
        <w:rPr>
          <w:rFonts w:ascii="Times New Roman" w:cs="Times New Roman" w:eastAsia="Times New Roman" w:hAnsi="Times New Roman"/>
          <w:sz w:val="20"/>
          <w:szCs w:val="20"/>
          <w:color w:val="auto"/>
        </w:rPr>
        <w:t>Each of EBITDA and Adjusted EBITDA has limitations as an analytical tool, and you should not consider any of these non-GAAP financial measures in isolation or as a substitute for analysis of our results as reported under GAAP. Some of these limitations are as follows:</w:t>
      </w:r>
    </w:p>
    <w:p>
      <w:pPr>
        <w:spacing w:after="0" w:line="71" w:lineRule="exact"/>
        <w:rPr>
          <w:sz w:val="20"/>
          <w:szCs w:val="20"/>
          <w:color w:val="auto"/>
        </w:rPr>
      </w:pPr>
    </w:p>
    <w:p>
      <w:pPr>
        <w:jc w:val="both"/>
        <w:ind w:left="720" w:right="20" w:hanging="366"/>
        <w:spacing w:after="0" w:line="306" w:lineRule="auto"/>
        <w:tabs>
          <w:tab w:leader="none" w:pos="720" w:val="left"/>
        </w:tabs>
        <w:numPr>
          <w:ilvl w:val="0"/>
          <w:numId w:val="3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although depreciation and amortization are non-cash charges, the assets being depreciated and amortized may have to be replaced in the future, and EBITDA and Adjusted EBITDA do not reflect cash capital expenditure requirements for such replacements or for new capital expenditure requirements;</w:t>
      </w:r>
    </w:p>
    <w:p>
      <w:pPr>
        <w:spacing w:after="0" w:line="5" w:lineRule="exact"/>
        <w:rPr>
          <w:rFonts w:ascii="Times New Roman" w:cs="Times New Roman" w:eastAsia="Times New Roman" w:hAnsi="Times New Roman"/>
          <w:sz w:val="20"/>
          <w:szCs w:val="20"/>
          <w:color w:val="auto"/>
        </w:rPr>
      </w:pPr>
    </w:p>
    <w:p>
      <w:pPr>
        <w:ind w:left="720" w:hanging="366"/>
        <w:spacing w:after="0"/>
        <w:tabs>
          <w:tab w:leader="none" w:pos="720" w:val="left"/>
        </w:tabs>
        <w:numPr>
          <w:ilvl w:val="0"/>
          <w:numId w:val="3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EBITDA and Adjusted EBITDA do not reflect changes in, or cash requirements for, our working capital needs; and</w:t>
      </w:r>
    </w:p>
    <w:p>
      <w:pPr>
        <w:spacing w:after="0" w:line="108" w:lineRule="exact"/>
        <w:rPr>
          <w:rFonts w:ascii="Times New Roman" w:cs="Times New Roman" w:eastAsia="Times New Roman" w:hAnsi="Times New Roman"/>
          <w:sz w:val="20"/>
          <w:szCs w:val="20"/>
          <w:color w:val="auto"/>
        </w:rPr>
      </w:pPr>
    </w:p>
    <w:p>
      <w:pPr>
        <w:ind w:left="720" w:hanging="366"/>
        <w:spacing w:after="0"/>
        <w:tabs>
          <w:tab w:leader="none" w:pos="720" w:val="left"/>
        </w:tabs>
        <w:numPr>
          <w:ilvl w:val="0"/>
          <w:numId w:val="3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EBITDA and Adjusted EBITDA do not reflect tax payments that may represent a reduction in cash available to us.</w:t>
      </w:r>
    </w:p>
    <w:p>
      <w:pPr>
        <w:spacing w:after="0" w:line="166" w:lineRule="exact"/>
        <w:rPr>
          <w:sz w:val="20"/>
          <w:szCs w:val="20"/>
          <w:color w:val="auto"/>
        </w:rPr>
      </w:pPr>
    </w:p>
    <w:p>
      <w:pPr>
        <w:ind w:right="20"/>
        <w:spacing w:after="0" w:line="326" w:lineRule="auto"/>
        <w:rPr>
          <w:sz w:val="20"/>
          <w:szCs w:val="20"/>
          <w:color w:val="auto"/>
        </w:rPr>
      </w:pPr>
      <w:r>
        <w:rPr>
          <w:rFonts w:ascii="Times New Roman" w:cs="Times New Roman" w:eastAsia="Times New Roman" w:hAnsi="Times New Roman"/>
          <w:sz w:val="20"/>
          <w:szCs w:val="20"/>
          <w:color w:val="auto"/>
        </w:rPr>
        <w:t>Because of these limitations, you should consider EBITDA and Adjusted EBITDA alongside other financial performance measures, including net loss and our other GAAP results.</w:t>
      </w:r>
    </w:p>
    <w:p>
      <w:pPr>
        <w:spacing w:after="0" w:line="45"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A reconciliation of net loss to non-GAAP EBITDA and Adjusted EBITDA is as follows:</w:t>
      </w:r>
    </w:p>
    <w:p>
      <w:pPr>
        <w:spacing w:after="0" w:line="92" w:lineRule="exact"/>
        <w:rPr>
          <w:sz w:val="20"/>
          <w:szCs w:val="20"/>
          <w:color w:val="auto"/>
        </w:rPr>
      </w:pPr>
    </w:p>
    <w:tbl>
      <w:tblPr>
        <w:tblLayout w:type="fixed"/>
        <w:tblInd w:w="0" w:type="dxa"/>
        <w:tblCellMar>
          <w:top w:w="0" w:type="dxa"/>
          <w:left w:w="0" w:type="dxa"/>
          <w:bottom w:w="0" w:type="dxa"/>
          <w:right w:w="0" w:type="dxa"/>
        </w:tblCellMar>
      </w:tblPr>
      <w:tr>
        <w:trPr>
          <w:trHeight w:val="255"/>
        </w:trPr>
        <w:tc>
          <w:tcPr>
            <w:tcW w:w="498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420" w:type="dxa"/>
            <w:vAlign w:val="bottom"/>
            <w:tcBorders>
              <w:bottom w:val="single" w:sz="8" w:color="auto"/>
            </w:tcBorders>
          </w:tcPr>
          <w:p>
            <w:pPr>
              <w:spacing w:after="0"/>
              <w:rPr>
                <w:sz w:val="22"/>
                <w:szCs w:val="22"/>
                <w:color w:val="auto"/>
              </w:rPr>
            </w:pPr>
          </w:p>
        </w:tc>
        <w:tc>
          <w:tcPr>
            <w:tcW w:w="3540" w:type="dxa"/>
            <w:vAlign w:val="bottom"/>
            <w:tcBorders>
              <w:bottom w:val="single" w:sz="8" w:color="auto"/>
            </w:tcBorders>
            <w:gridSpan w:val="8"/>
          </w:tcPr>
          <w:p>
            <w:pPr>
              <w:jc w:val="center"/>
              <w:ind w:left="739"/>
              <w:spacing w:after="0"/>
              <w:rPr>
                <w:sz w:val="20"/>
                <w:szCs w:val="20"/>
                <w:color w:val="auto"/>
              </w:rPr>
            </w:pPr>
            <w:r>
              <w:rPr>
                <w:rFonts w:ascii="Times New Roman" w:cs="Times New Roman" w:eastAsia="Times New Roman" w:hAnsi="Times New Roman"/>
                <w:sz w:val="20"/>
                <w:szCs w:val="20"/>
                <w:b w:val="1"/>
                <w:bCs w:val="1"/>
                <w:color w:val="auto"/>
                <w:w w:val="99"/>
              </w:rPr>
              <w:t>Years Ended December 31,</w:t>
            </w:r>
          </w:p>
        </w:tc>
        <w:tc>
          <w:tcPr>
            <w:tcW w:w="1260" w:type="dxa"/>
            <w:vAlign w:val="bottom"/>
            <w:tcBorders>
              <w:bottom w:val="single" w:sz="8" w:color="auto"/>
            </w:tcBorders>
          </w:tcPr>
          <w:p>
            <w:pPr>
              <w:spacing w:after="0"/>
              <w:rPr>
                <w:sz w:val="22"/>
                <w:szCs w:val="22"/>
                <w:color w:val="auto"/>
              </w:rPr>
            </w:pPr>
          </w:p>
        </w:tc>
      </w:tr>
      <w:tr>
        <w:trPr>
          <w:trHeight w:val="268"/>
        </w:trPr>
        <w:tc>
          <w:tcPr>
            <w:tcW w:w="498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420" w:type="dxa"/>
            <w:vAlign w:val="bottom"/>
            <w:tcBorders>
              <w:bottom w:val="single" w:sz="8" w:color="auto"/>
            </w:tcBorders>
          </w:tcPr>
          <w:p>
            <w:pPr>
              <w:spacing w:after="0"/>
              <w:rPr>
                <w:sz w:val="23"/>
                <w:szCs w:val="23"/>
                <w:color w:val="auto"/>
              </w:rPr>
            </w:pPr>
          </w:p>
        </w:tc>
        <w:tc>
          <w:tcPr>
            <w:tcW w:w="1280" w:type="dxa"/>
            <w:vAlign w:val="bottom"/>
            <w:tcBorders>
              <w:bottom w:val="single" w:sz="8" w:color="auto"/>
            </w:tcBorders>
          </w:tcPr>
          <w:p>
            <w:pPr>
              <w:jc w:val="right"/>
              <w:ind w:right="559"/>
              <w:spacing w:after="0"/>
              <w:rPr>
                <w:sz w:val="20"/>
                <w:szCs w:val="20"/>
                <w:color w:val="auto"/>
              </w:rPr>
            </w:pPr>
            <w:r>
              <w:rPr>
                <w:rFonts w:ascii="Times New Roman" w:cs="Times New Roman" w:eastAsia="Times New Roman" w:hAnsi="Times New Roman"/>
                <w:sz w:val="20"/>
                <w:szCs w:val="20"/>
                <w:b w:val="1"/>
                <w:bCs w:val="1"/>
                <w:color w:val="auto"/>
              </w:rPr>
              <w:t>2023</w:t>
            </w:r>
          </w:p>
        </w:tc>
        <w:tc>
          <w:tcPr>
            <w:tcW w:w="6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80" w:type="dxa"/>
            <w:vAlign w:val="bottom"/>
            <w:tcBorders>
              <w:bottom w:val="single" w:sz="8" w:color="auto"/>
            </w:tcBorders>
          </w:tcPr>
          <w:p>
            <w:pPr>
              <w:spacing w:after="0"/>
              <w:rPr>
                <w:sz w:val="23"/>
                <w:szCs w:val="23"/>
                <w:color w:val="auto"/>
              </w:rPr>
            </w:pPr>
          </w:p>
        </w:tc>
        <w:tc>
          <w:tcPr>
            <w:tcW w:w="1500" w:type="dxa"/>
            <w:vAlign w:val="bottom"/>
            <w:tcBorders>
              <w:bottom w:val="single" w:sz="8" w:color="auto"/>
            </w:tcBorders>
          </w:tcPr>
          <w:p>
            <w:pPr>
              <w:jc w:val="center"/>
              <w:ind w:right="79"/>
              <w:spacing w:after="0"/>
              <w:rPr>
                <w:sz w:val="20"/>
                <w:szCs w:val="20"/>
                <w:color w:val="auto"/>
              </w:rPr>
            </w:pPr>
            <w:r>
              <w:rPr>
                <w:rFonts w:ascii="Times New Roman" w:cs="Times New Roman" w:eastAsia="Times New Roman" w:hAnsi="Times New Roman"/>
                <w:sz w:val="20"/>
                <w:szCs w:val="20"/>
                <w:b w:val="1"/>
                <w:bCs w:val="1"/>
                <w:color w:val="auto"/>
                <w:w w:val="99"/>
              </w:rPr>
              <w:t>2022</w:t>
            </w:r>
          </w:p>
        </w:tc>
        <w:tc>
          <w:tcPr>
            <w:tcW w:w="4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440" w:type="dxa"/>
            <w:vAlign w:val="bottom"/>
            <w:tcBorders>
              <w:bottom w:val="single" w:sz="8" w:color="auto"/>
            </w:tcBorders>
          </w:tcPr>
          <w:p>
            <w:pPr>
              <w:spacing w:after="0"/>
              <w:rPr>
                <w:sz w:val="23"/>
                <w:szCs w:val="23"/>
                <w:color w:val="auto"/>
              </w:rPr>
            </w:pPr>
          </w:p>
        </w:tc>
        <w:tc>
          <w:tcPr>
            <w:tcW w:w="1260" w:type="dxa"/>
            <w:vAlign w:val="bottom"/>
            <w:tcBorders>
              <w:bottom w:val="single" w:sz="8" w:color="auto"/>
            </w:tcBorders>
          </w:tcPr>
          <w:p>
            <w:pPr>
              <w:jc w:val="right"/>
              <w:ind w:right="559"/>
              <w:spacing w:after="0"/>
              <w:rPr>
                <w:sz w:val="20"/>
                <w:szCs w:val="20"/>
                <w:color w:val="auto"/>
              </w:rPr>
            </w:pPr>
            <w:r>
              <w:rPr>
                <w:rFonts w:ascii="Times New Roman" w:cs="Times New Roman" w:eastAsia="Times New Roman" w:hAnsi="Times New Roman"/>
                <w:sz w:val="20"/>
                <w:szCs w:val="20"/>
                <w:b w:val="1"/>
                <w:bCs w:val="1"/>
                <w:color w:val="auto"/>
              </w:rPr>
              <w:t>2021</w:t>
            </w:r>
          </w:p>
        </w:tc>
      </w:tr>
      <w:tr>
        <w:trPr>
          <w:trHeight w:val="218"/>
        </w:trPr>
        <w:tc>
          <w:tcPr>
            <w:tcW w:w="49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500" w:type="dxa"/>
            <w:vAlign w:val="bottom"/>
          </w:tcPr>
          <w:p>
            <w:pPr>
              <w:jc w:val="center"/>
              <w:ind w:right="99"/>
              <w:spacing w:after="0" w:line="218" w:lineRule="exact"/>
              <w:rPr>
                <w:sz w:val="20"/>
                <w:szCs w:val="20"/>
                <w:color w:val="auto"/>
              </w:rPr>
            </w:pPr>
            <w:r>
              <w:rPr>
                <w:rFonts w:ascii="Times New Roman" w:cs="Times New Roman" w:eastAsia="Times New Roman" w:hAnsi="Times New Roman"/>
                <w:sz w:val="20"/>
                <w:szCs w:val="20"/>
                <w:b w:val="1"/>
                <w:bCs w:val="1"/>
                <w:color w:val="auto"/>
              </w:rPr>
              <w:t>(in thousands)</w:t>
            </w:r>
          </w:p>
        </w:tc>
        <w:tc>
          <w:tcPr>
            <w:tcW w:w="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260" w:type="dxa"/>
            <w:vAlign w:val="bottom"/>
          </w:tcPr>
          <w:p>
            <w:pPr>
              <w:spacing w:after="0"/>
              <w:rPr>
                <w:sz w:val="18"/>
                <w:szCs w:val="18"/>
                <w:color w:val="auto"/>
              </w:rPr>
            </w:pPr>
          </w:p>
        </w:tc>
      </w:tr>
      <w:tr>
        <w:trPr>
          <w:trHeight w:val="288"/>
        </w:trPr>
        <w:tc>
          <w:tcPr>
            <w:tcW w:w="4980" w:type="dxa"/>
            <w:vAlign w:val="bottom"/>
            <w:shd w:val="clear" w:color="auto" w:fill="DDDDDD"/>
          </w:tcPr>
          <w:p>
            <w:pPr>
              <w:ind w:left="40"/>
              <w:spacing w:after="0"/>
              <w:rPr>
                <w:sz w:val="20"/>
                <w:szCs w:val="20"/>
                <w:color w:val="auto"/>
              </w:rPr>
            </w:pPr>
            <w:r>
              <w:rPr>
                <w:rFonts w:ascii="Times New Roman" w:cs="Times New Roman" w:eastAsia="Times New Roman" w:hAnsi="Times New Roman"/>
                <w:sz w:val="20"/>
                <w:szCs w:val="20"/>
                <w:color w:val="auto"/>
              </w:rPr>
              <w:t>Net income (loss)</w:t>
            </w:r>
          </w:p>
        </w:tc>
        <w:tc>
          <w:tcPr>
            <w:tcW w:w="40" w:type="dxa"/>
            <w:vAlign w:val="bottom"/>
            <w:shd w:val="clear" w:color="auto" w:fill="DDDDDD"/>
          </w:tcPr>
          <w:p>
            <w:pPr>
              <w:spacing w:after="0"/>
              <w:rPr>
                <w:sz w:val="24"/>
                <w:szCs w:val="24"/>
                <w:color w:val="auto"/>
              </w:rPr>
            </w:pPr>
          </w:p>
        </w:tc>
        <w:tc>
          <w:tcPr>
            <w:tcW w:w="20" w:type="dxa"/>
            <w:vAlign w:val="bottom"/>
            <w:shd w:val="clear" w:color="auto" w:fill="DDDDDD"/>
          </w:tcPr>
          <w:p>
            <w:pPr>
              <w:spacing w:after="0"/>
              <w:rPr>
                <w:sz w:val="24"/>
                <w:szCs w:val="24"/>
                <w:color w:val="auto"/>
              </w:rPr>
            </w:pPr>
          </w:p>
        </w:tc>
        <w:tc>
          <w:tcPr>
            <w:tcW w:w="420" w:type="dxa"/>
            <w:vAlign w:val="bottom"/>
            <w:shd w:val="clear" w:color="auto" w:fill="DDDDDD"/>
          </w:tcPr>
          <w:p>
            <w:pPr>
              <w:jc w:val="right"/>
              <w:ind w:right="159"/>
              <w:spacing w:after="0"/>
              <w:rPr>
                <w:sz w:val="20"/>
                <w:szCs w:val="20"/>
                <w:color w:val="auto"/>
              </w:rPr>
            </w:pPr>
            <w:r>
              <w:rPr>
                <w:rFonts w:ascii="Times New Roman" w:cs="Times New Roman" w:eastAsia="Times New Roman" w:hAnsi="Times New Roman"/>
                <w:sz w:val="20"/>
                <w:szCs w:val="20"/>
                <w:color w:val="auto"/>
              </w:rPr>
              <w:t>$</w:t>
            </w:r>
          </w:p>
        </w:tc>
        <w:tc>
          <w:tcPr>
            <w:tcW w:w="1280" w:type="dxa"/>
            <w:vAlign w:val="bottom"/>
            <w:shd w:val="clear" w:color="auto" w:fill="DDDDDD"/>
          </w:tcPr>
          <w:p>
            <w:pPr>
              <w:jc w:val="right"/>
              <w:spacing w:after="0"/>
              <w:rPr>
                <w:sz w:val="20"/>
                <w:szCs w:val="20"/>
                <w:color w:val="auto"/>
              </w:rPr>
            </w:pPr>
            <w:r>
              <w:rPr>
                <w:rFonts w:ascii="Times New Roman" w:cs="Times New Roman" w:eastAsia="Times New Roman" w:hAnsi="Times New Roman"/>
                <w:sz w:val="20"/>
                <w:szCs w:val="20"/>
                <w:color w:val="auto"/>
              </w:rPr>
              <w:t>(15,727)</w:t>
            </w:r>
          </w:p>
        </w:tc>
        <w:tc>
          <w:tcPr>
            <w:tcW w:w="60" w:type="dxa"/>
            <w:vAlign w:val="bottom"/>
            <w:shd w:val="clear" w:color="auto" w:fill="DDDDDD"/>
          </w:tcPr>
          <w:p>
            <w:pPr>
              <w:spacing w:after="0"/>
              <w:rPr>
                <w:sz w:val="24"/>
                <w:szCs w:val="24"/>
                <w:color w:val="auto"/>
              </w:rPr>
            </w:pPr>
          </w:p>
        </w:tc>
        <w:tc>
          <w:tcPr>
            <w:tcW w:w="20" w:type="dxa"/>
            <w:vAlign w:val="bottom"/>
            <w:shd w:val="clear" w:color="auto" w:fill="DDDDDD"/>
          </w:tcPr>
          <w:p>
            <w:pPr>
              <w:spacing w:after="0"/>
              <w:rPr>
                <w:sz w:val="24"/>
                <w:szCs w:val="24"/>
                <w:color w:val="auto"/>
              </w:rPr>
            </w:pPr>
          </w:p>
        </w:tc>
        <w:tc>
          <w:tcPr>
            <w:tcW w:w="180" w:type="dxa"/>
            <w:vAlign w:val="bottom"/>
            <w:shd w:val="clear" w:color="auto" w:fill="DDDDDD"/>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1500" w:type="dxa"/>
            <w:vAlign w:val="bottom"/>
            <w:shd w:val="clear" w:color="auto" w:fill="DDDDDD"/>
          </w:tcPr>
          <w:p>
            <w:pPr>
              <w:jc w:val="right"/>
              <w:spacing w:after="0"/>
              <w:rPr>
                <w:sz w:val="20"/>
                <w:szCs w:val="20"/>
                <w:color w:val="auto"/>
              </w:rPr>
            </w:pPr>
            <w:r>
              <w:rPr>
                <w:rFonts w:ascii="Times New Roman" w:cs="Times New Roman" w:eastAsia="Times New Roman" w:hAnsi="Times New Roman"/>
                <w:sz w:val="20"/>
                <w:szCs w:val="20"/>
                <w:color w:val="auto"/>
              </w:rPr>
              <w:t>(82,651)</w:t>
            </w:r>
          </w:p>
        </w:tc>
        <w:tc>
          <w:tcPr>
            <w:tcW w:w="40" w:type="dxa"/>
            <w:vAlign w:val="bottom"/>
            <w:shd w:val="clear" w:color="auto" w:fill="DDDDDD"/>
          </w:tcPr>
          <w:p>
            <w:pPr>
              <w:spacing w:after="0"/>
              <w:rPr>
                <w:sz w:val="24"/>
                <w:szCs w:val="24"/>
                <w:color w:val="auto"/>
              </w:rPr>
            </w:pPr>
          </w:p>
        </w:tc>
        <w:tc>
          <w:tcPr>
            <w:tcW w:w="20" w:type="dxa"/>
            <w:vAlign w:val="bottom"/>
            <w:shd w:val="clear" w:color="auto" w:fill="DDDDDD"/>
          </w:tcPr>
          <w:p>
            <w:pPr>
              <w:spacing w:after="0"/>
              <w:rPr>
                <w:sz w:val="24"/>
                <w:szCs w:val="24"/>
                <w:color w:val="auto"/>
              </w:rPr>
            </w:pPr>
          </w:p>
        </w:tc>
        <w:tc>
          <w:tcPr>
            <w:tcW w:w="440" w:type="dxa"/>
            <w:vAlign w:val="bottom"/>
            <w:shd w:val="clear" w:color="auto" w:fill="DDDDDD"/>
          </w:tcPr>
          <w:p>
            <w:pPr>
              <w:jc w:val="right"/>
              <w:ind w:right="179"/>
              <w:spacing w:after="0"/>
              <w:rPr>
                <w:sz w:val="20"/>
                <w:szCs w:val="20"/>
                <w:color w:val="auto"/>
              </w:rPr>
            </w:pPr>
            <w:r>
              <w:rPr>
                <w:rFonts w:ascii="Times New Roman" w:cs="Times New Roman" w:eastAsia="Times New Roman" w:hAnsi="Times New Roman"/>
                <w:sz w:val="20"/>
                <w:szCs w:val="20"/>
                <w:color w:val="auto"/>
              </w:rPr>
              <w:t>$</w:t>
            </w:r>
          </w:p>
        </w:tc>
        <w:tc>
          <w:tcPr>
            <w:tcW w:w="1260" w:type="dxa"/>
            <w:vAlign w:val="bottom"/>
            <w:shd w:val="clear" w:color="auto" w:fill="DDDDDD"/>
          </w:tcPr>
          <w:p>
            <w:pPr>
              <w:jc w:val="right"/>
              <w:spacing w:after="0"/>
              <w:rPr>
                <w:sz w:val="20"/>
                <w:szCs w:val="20"/>
                <w:color w:val="auto"/>
              </w:rPr>
            </w:pPr>
            <w:r>
              <w:rPr>
                <w:rFonts w:ascii="Times New Roman" w:cs="Times New Roman" w:eastAsia="Times New Roman" w:hAnsi="Times New Roman"/>
                <w:sz w:val="20"/>
                <w:szCs w:val="20"/>
                <w:color w:val="auto"/>
              </w:rPr>
              <w:t>152,218</w:t>
            </w:r>
          </w:p>
        </w:tc>
      </w:tr>
      <w:tr>
        <w:trPr>
          <w:trHeight w:val="288"/>
        </w:trPr>
        <w:tc>
          <w:tcPr>
            <w:tcW w:w="4980" w:type="dxa"/>
            <w:vAlign w:val="bottom"/>
          </w:tcPr>
          <w:p>
            <w:pPr>
              <w:ind w:left="220"/>
              <w:spacing w:after="0"/>
              <w:rPr>
                <w:sz w:val="20"/>
                <w:szCs w:val="20"/>
                <w:color w:val="auto"/>
              </w:rPr>
            </w:pPr>
            <w:r>
              <w:rPr>
                <w:rFonts w:ascii="Times New Roman" w:cs="Times New Roman" w:eastAsia="Times New Roman" w:hAnsi="Times New Roman"/>
                <w:sz w:val="20"/>
                <w:szCs w:val="20"/>
                <w:color w:val="auto"/>
              </w:rPr>
              <w:t>Provision for (benefit from) income taxes</w:t>
            </w: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93</w:t>
            </w: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5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179,077</w:t>
            </w: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(601)</w:t>
            </w:r>
          </w:p>
        </w:tc>
      </w:tr>
      <w:tr>
        <w:trPr>
          <w:trHeight w:val="281"/>
        </w:trPr>
        <w:tc>
          <w:tcPr>
            <w:tcW w:w="4980" w:type="dxa"/>
            <w:vAlign w:val="bottom"/>
            <w:shd w:val="clear" w:color="auto" w:fill="DDDDDD"/>
          </w:tcPr>
          <w:p>
            <w:pPr>
              <w:ind w:left="220"/>
              <w:spacing w:after="0"/>
              <w:rPr>
                <w:sz w:val="20"/>
                <w:szCs w:val="20"/>
                <w:color w:val="auto"/>
              </w:rPr>
            </w:pPr>
            <w:r>
              <w:rPr>
                <w:rFonts w:ascii="Times New Roman" w:cs="Times New Roman" w:eastAsia="Times New Roman" w:hAnsi="Times New Roman"/>
                <w:sz w:val="20"/>
                <w:szCs w:val="20"/>
                <w:color w:val="auto"/>
              </w:rPr>
              <w:t>Depreciation and amortization expenses</w:t>
            </w:r>
          </w:p>
        </w:tc>
        <w:tc>
          <w:tcPr>
            <w:tcW w:w="40" w:type="dxa"/>
            <w:vAlign w:val="bottom"/>
            <w:shd w:val="clear" w:color="auto" w:fill="DDDDDD"/>
          </w:tcPr>
          <w:p>
            <w:pPr>
              <w:spacing w:after="0"/>
              <w:rPr>
                <w:sz w:val="24"/>
                <w:szCs w:val="24"/>
                <w:color w:val="auto"/>
              </w:rPr>
            </w:pPr>
          </w:p>
        </w:tc>
        <w:tc>
          <w:tcPr>
            <w:tcW w:w="20" w:type="dxa"/>
            <w:vAlign w:val="bottom"/>
            <w:shd w:val="clear" w:color="auto" w:fill="DDDDDD"/>
          </w:tcPr>
          <w:p>
            <w:pPr>
              <w:spacing w:after="0"/>
              <w:rPr>
                <w:sz w:val="24"/>
                <w:szCs w:val="24"/>
                <w:color w:val="auto"/>
              </w:rPr>
            </w:pPr>
          </w:p>
        </w:tc>
        <w:tc>
          <w:tcPr>
            <w:tcW w:w="420" w:type="dxa"/>
            <w:vAlign w:val="bottom"/>
            <w:shd w:val="clear" w:color="auto" w:fill="DDDDDD"/>
          </w:tcPr>
          <w:p>
            <w:pPr>
              <w:spacing w:after="0"/>
              <w:rPr>
                <w:sz w:val="24"/>
                <w:szCs w:val="24"/>
                <w:color w:val="auto"/>
              </w:rPr>
            </w:pPr>
          </w:p>
        </w:tc>
        <w:tc>
          <w:tcPr>
            <w:tcW w:w="1280" w:type="dxa"/>
            <w:vAlign w:val="bottom"/>
            <w:shd w:val="clear" w:color="auto" w:fill="DDDDDD"/>
          </w:tcPr>
          <w:p>
            <w:pPr>
              <w:jc w:val="right"/>
              <w:spacing w:after="0"/>
              <w:rPr>
                <w:sz w:val="20"/>
                <w:szCs w:val="20"/>
                <w:color w:val="auto"/>
              </w:rPr>
            </w:pPr>
            <w:r>
              <w:rPr>
                <w:rFonts w:ascii="Times New Roman" w:cs="Times New Roman" w:eastAsia="Times New Roman" w:hAnsi="Times New Roman"/>
                <w:sz w:val="20"/>
                <w:szCs w:val="20"/>
                <w:color w:val="auto"/>
              </w:rPr>
              <w:t>12,133</w:t>
            </w:r>
          </w:p>
        </w:tc>
        <w:tc>
          <w:tcPr>
            <w:tcW w:w="60" w:type="dxa"/>
            <w:vAlign w:val="bottom"/>
            <w:shd w:val="clear" w:color="auto" w:fill="DDDDDD"/>
          </w:tcPr>
          <w:p>
            <w:pPr>
              <w:spacing w:after="0"/>
              <w:rPr>
                <w:sz w:val="24"/>
                <w:szCs w:val="24"/>
                <w:color w:val="auto"/>
              </w:rPr>
            </w:pPr>
          </w:p>
        </w:tc>
        <w:tc>
          <w:tcPr>
            <w:tcW w:w="20" w:type="dxa"/>
            <w:vAlign w:val="bottom"/>
            <w:shd w:val="clear" w:color="auto" w:fill="DDDDDD"/>
          </w:tcPr>
          <w:p>
            <w:pPr>
              <w:spacing w:after="0"/>
              <w:rPr>
                <w:sz w:val="24"/>
                <w:szCs w:val="24"/>
                <w:color w:val="auto"/>
              </w:rPr>
            </w:pPr>
          </w:p>
        </w:tc>
        <w:tc>
          <w:tcPr>
            <w:tcW w:w="180" w:type="dxa"/>
            <w:vAlign w:val="bottom"/>
            <w:shd w:val="clear" w:color="auto" w:fill="DDDDDD"/>
          </w:tcPr>
          <w:p>
            <w:pPr>
              <w:spacing w:after="0"/>
              <w:rPr>
                <w:sz w:val="24"/>
                <w:szCs w:val="24"/>
                <w:color w:val="auto"/>
              </w:rPr>
            </w:pPr>
          </w:p>
        </w:tc>
        <w:tc>
          <w:tcPr>
            <w:tcW w:w="1500" w:type="dxa"/>
            <w:vAlign w:val="bottom"/>
            <w:shd w:val="clear" w:color="auto" w:fill="DDDDDD"/>
          </w:tcPr>
          <w:p>
            <w:pPr>
              <w:jc w:val="right"/>
              <w:spacing w:after="0"/>
              <w:rPr>
                <w:sz w:val="20"/>
                <w:szCs w:val="20"/>
                <w:color w:val="auto"/>
              </w:rPr>
            </w:pPr>
            <w:r>
              <w:rPr>
                <w:rFonts w:ascii="Times New Roman" w:cs="Times New Roman" w:eastAsia="Times New Roman" w:hAnsi="Times New Roman"/>
                <w:sz w:val="20"/>
                <w:szCs w:val="20"/>
                <w:color w:val="auto"/>
              </w:rPr>
              <w:t>11,498</w:t>
            </w:r>
          </w:p>
        </w:tc>
        <w:tc>
          <w:tcPr>
            <w:tcW w:w="40" w:type="dxa"/>
            <w:vAlign w:val="bottom"/>
            <w:shd w:val="clear" w:color="auto" w:fill="DDDDDD"/>
          </w:tcPr>
          <w:p>
            <w:pPr>
              <w:spacing w:after="0"/>
              <w:rPr>
                <w:sz w:val="24"/>
                <w:szCs w:val="24"/>
                <w:color w:val="auto"/>
              </w:rPr>
            </w:pPr>
          </w:p>
        </w:tc>
        <w:tc>
          <w:tcPr>
            <w:tcW w:w="20" w:type="dxa"/>
            <w:vAlign w:val="bottom"/>
            <w:shd w:val="clear" w:color="auto" w:fill="DDDDDD"/>
          </w:tcPr>
          <w:p>
            <w:pPr>
              <w:spacing w:after="0"/>
              <w:rPr>
                <w:sz w:val="24"/>
                <w:szCs w:val="24"/>
                <w:color w:val="auto"/>
              </w:rPr>
            </w:pPr>
          </w:p>
        </w:tc>
        <w:tc>
          <w:tcPr>
            <w:tcW w:w="440" w:type="dxa"/>
            <w:vAlign w:val="bottom"/>
            <w:shd w:val="clear" w:color="auto" w:fill="DDDDDD"/>
          </w:tcPr>
          <w:p>
            <w:pPr>
              <w:spacing w:after="0"/>
              <w:rPr>
                <w:sz w:val="24"/>
                <w:szCs w:val="24"/>
                <w:color w:val="auto"/>
              </w:rPr>
            </w:pPr>
          </w:p>
        </w:tc>
        <w:tc>
          <w:tcPr>
            <w:tcW w:w="1260" w:type="dxa"/>
            <w:vAlign w:val="bottom"/>
            <w:shd w:val="clear" w:color="auto" w:fill="DDDDDD"/>
          </w:tcPr>
          <w:p>
            <w:pPr>
              <w:jc w:val="right"/>
              <w:spacing w:after="0"/>
              <w:rPr>
                <w:sz w:val="20"/>
                <w:szCs w:val="20"/>
                <w:color w:val="auto"/>
              </w:rPr>
            </w:pPr>
            <w:r>
              <w:rPr>
                <w:rFonts w:ascii="Times New Roman" w:cs="Times New Roman" w:eastAsia="Times New Roman" w:hAnsi="Times New Roman"/>
                <w:sz w:val="20"/>
                <w:szCs w:val="20"/>
                <w:color w:val="auto"/>
              </w:rPr>
              <w:t>4,425</w:t>
            </w:r>
          </w:p>
        </w:tc>
      </w:tr>
      <w:tr>
        <w:trPr>
          <w:trHeight w:val="288"/>
        </w:trPr>
        <w:tc>
          <w:tcPr>
            <w:tcW w:w="4980" w:type="dxa"/>
            <w:vAlign w:val="bottom"/>
          </w:tcPr>
          <w:p>
            <w:pPr>
              <w:ind w:left="220"/>
              <w:spacing w:after="0"/>
              <w:rPr>
                <w:sz w:val="20"/>
                <w:szCs w:val="20"/>
                <w:color w:val="auto"/>
              </w:rPr>
            </w:pPr>
            <w:r>
              <w:rPr>
                <w:rFonts w:ascii="Times New Roman" w:cs="Times New Roman" w:eastAsia="Times New Roman" w:hAnsi="Times New Roman"/>
                <w:sz w:val="20"/>
                <w:szCs w:val="20"/>
                <w:color w:val="auto"/>
              </w:rPr>
              <w:t>Interest income</w:t>
            </w:r>
          </w:p>
        </w:tc>
        <w:tc>
          <w:tcPr>
            <w:tcW w:w="40" w:type="dxa"/>
            <w:vAlign w:val="bottom"/>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420" w:type="dxa"/>
            <w:vAlign w:val="bottom"/>
            <w:tcBorders>
              <w:bottom w:val="single" w:sz="8" w:color="auto"/>
            </w:tcBorders>
          </w:tcPr>
          <w:p>
            <w:pPr>
              <w:spacing w:after="0"/>
              <w:rPr>
                <w:sz w:val="24"/>
                <w:szCs w:val="24"/>
                <w:color w:val="auto"/>
              </w:rPr>
            </w:pP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(33)</w:t>
            </w:r>
          </w:p>
        </w:tc>
        <w:tc>
          <w:tcPr>
            <w:tcW w:w="60" w:type="dxa"/>
            <w:vAlign w:val="bottom"/>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15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40" w:type="dxa"/>
            <w:vAlign w:val="bottom"/>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440" w:type="dxa"/>
            <w:vAlign w:val="bottom"/>
            <w:tcBorders>
              <w:bottom w:val="single" w:sz="8" w:color="auto"/>
            </w:tcBorders>
          </w:tcPr>
          <w:p>
            <w:pPr>
              <w:spacing w:after="0"/>
              <w:rPr>
                <w:sz w:val="24"/>
                <w:szCs w:val="24"/>
                <w:color w:val="auto"/>
              </w:rPr>
            </w:pP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w:t>
            </w:r>
          </w:p>
        </w:tc>
      </w:tr>
      <w:tr>
        <w:trPr>
          <w:trHeight w:val="839"/>
        </w:trPr>
        <w:tc>
          <w:tcPr>
            <w:tcW w:w="4980" w:type="dxa"/>
            <w:vAlign w:val="bottom"/>
          </w:tcPr>
          <w:p>
            <w:pPr>
              <w:spacing w:after="0"/>
              <w:rPr>
                <w:sz w:val="24"/>
                <w:szCs w:val="24"/>
                <w:color w:val="auto"/>
              </w:rPr>
            </w:pPr>
          </w:p>
        </w:tc>
        <w:tc>
          <w:tcPr>
            <w:tcW w:w="480" w:type="dxa"/>
            <w:vAlign w:val="bottom"/>
            <w:gridSpan w:val="3"/>
          </w:tcPr>
          <w:p>
            <w:pPr>
              <w:jc w:val="right"/>
              <w:ind w:right="139"/>
              <w:spacing w:after="0"/>
              <w:rPr>
                <w:sz w:val="20"/>
                <w:szCs w:val="20"/>
                <w:color w:val="auto"/>
              </w:rPr>
            </w:pPr>
            <w:r>
              <w:rPr>
                <w:rFonts w:ascii="Times New Roman" w:cs="Times New Roman" w:eastAsia="Times New Roman" w:hAnsi="Times New Roman"/>
                <w:sz w:val="20"/>
                <w:szCs w:val="20"/>
                <w:color w:val="auto"/>
              </w:rPr>
              <w:t>66</w:t>
            </w:r>
          </w:p>
        </w:tc>
        <w:tc>
          <w:tcPr>
            <w:tcW w:w="12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5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260" w:type="dxa"/>
            <w:vAlign w:val="bottom"/>
          </w:tcPr>
          <w:p>
            <w:pPr>
              <w:spacing w:after="0"/>
              <w:rPr>
                <w:sz w:val="24"/>
                <w:szCs w:val="24"/>
                <w:color w:val="auto"/>
              </w:rPr>
            </w:pPr>
          </w:p>
        </w:tc>
      </w:tr>
    </w:tbl>
    <w:p>
      <w:pPr>
        <w:sectPr>
          <w:pgSz w:w="12240" w:h="15840" w:orient="portrait"/>
          <w:cols w:equalWidth="0" w:num="1">
            <w:col w:w="10260"/>
          </w:cols>
          <w:pgMar w:left="1000" w:top="884" w:right="980" w:bottom="182" w:gutter="0" w:footer="0" w:header="0"/>
        </w:sectPr>
      </w:pPr>
    </w:p>
    <w:bookmarkStart w:id="70" w:name="page71"/>
    <w:bookmarkEnd w:id="70"/>
    <w:p>
      <w:pPr>
        <w:spacing w:after="0" w:line="1"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page">
                  <wp:posOffset>6035040</wp:posOffset>
                </wp:positionH>
                <wp:positionV relativeFrom="page">
                  <wp:posOffset>575945</wp:posOffset>
                </wp:positionV>
                <wp:extent cx="36195" cy="13335"/>
                <wp:wrapNone/>
                <wp:docPr id="18" name="Shape 18"/>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36195" cy="13335"/>
                        </a:xfrm>
                        <a:prstGeom prst="rect">
                          <a:avLst/>
                        </a:prstGeom>
                        <a:solidFill>
                          <a:srgbClr val="DDDDDD"/>
                        </a:solidFill>
                      </wps:spPr>
                      <wps:bodyPr/>
                    </wps:wsp>
                  </a:graphicData>
                </a:graphic>
              </wp:anchor>
            </w:drawing>
          </mc:Choice>
          <mc:Fallback>
            <w:pict>
              <v:rect id="Shape 18" o:spid="_x0000_s1043" style="position:absolute;margin-left:475.2pt;margin-top:45.35pt;width:2.85pt;height:1.05pt;z-index:-251657728;visibility:visible;mso-wrap-style:square;mso-width-percent:0;mso-height-percent:0;mso-wrap-distance-left:0pt;mso-wrap-distance-top:0;mso-wrap-distance-right:0pt;mso-wrap-distance-bottom:0;mso-position-horizontal:absolute;mso-position-horizontal-relative:page;mso-position-vertical:absolute;mso-position-vertical-relative:page;mso-width-percent:0;mso-height-percent:0;mso-width-relative:page;mso-height-relative:page;v-text-anchor:top" o:allowincell="f" fillcolor="#DDDDDD" stroked="f">
                <w10:wrap anchorx="page" anchory="page"/>
              </v:rect>
            </w:pict>
          </mc:Fallback>
        </mc:AlternateContent>
      </w:r>
    </w:p>
    <w:tbl>
      <w:tblPr>
        <w:tblLayout w:type="fixed"/>
        <w:tblInd w:w="0" w:type="dxa"/>
        <w:tblCellMar>
          <w:top w:w="0" w:type="dxa"/>
          <w:left w:w="0" w:type="dxa"/>
          <w:bottom w:w="0" w:type="dxa"/>
          <w:right w:w="0" w:type="dxa"/>
        </w:tblCellMar>
      </w:tblPr>
      <w:tr>
        <w:trPr>
          <w:trHeight w:val="288"/>
        </w:trPr>
        <w:tc>
          <w:tcPr>
            <w:tcW w:w="5040" w:type="dxa"/>
            <w:vAlign w:val="bottom"/>
            <w:tcBorders>
              <w:top w:val="single" w:sz="8" w:color="DDDDDD"/>
            </w:tcBorders>
            <w:gridSpan w:val="2"/>
            <w:shd w:val="clear" w:color="auto" w:fill="DDDDDD"/>
          </w:tcPr>
          <w:p>
            <w:pPr>
              <w:ind w:left="40"/>
              <w:spacing w:after="0"/>
              <w:rPr>
                <w:sz w:val="20"/>
                <w:szCs w:val="20"/>
                <w:color w:val="auto"/>
              </w:rPr>
            </w:pPr>
            <w:r>
              <w:rPr>
                <w:rFonts w:ascii="Times New Roman" w:cs="Times New Roman" w:eastAsia="Times New Roman" w:hAnsi="Times New Roman"/>
                <w:sz w:val="20"/>
                <w:szCs w:val="20"/>
                <w:color w:val="auto"/>
              </w:rPr>
              <w:t>EBITDA</w:t>
            </w:r>
          </w:p>
        </w:tc>
        <w:tc>
          <w:tcPr>
            <w:tcW w:w="600" w:type="dxa"/>
            <w:vAlign w:val="bottom"/>
            <w:tcBorders>
              <w:top w:val="single" w:sz="8" w:color="auto"/>
            </w:tcBorders>
            <w:shd w:val="clear" w:color="auto" w:fill="DDDDDD"/>
          </w:tcPr>
          <w:p>
            <w:pPr>
              <w:spacing w:after="0"/>
              <w:rPr>
                <w:sz w:val="24"/>
                <w:szCs w:val="24"/>
                <w:color w:val="auto"/>
              </w:rPr>
            </w:pPr>
          </w:p>
        </w:tc>
        <w:tc>
          <w:tcPr>
            <w:tcW w:w="1100" w:type="dxa"/>
            <w:vAlign w:val="bottom"/>
            <w:tcBorders>
              <w:top w:val="single" w:sz="8" w:color="auto"/>
            </w:tcBorders>
            <w:shd w:val="clear" w:color="auto" w:fill="DDDDDD"/>
          </w:tcPr>
          <w:p>
            <w:pPr>
              <w:jc w:val="right"/>
              <w:spacing w:after="0"/>
              <w:rPr>
                <w:sz w:val="20"/>
                <w:szCs w:val="20"/>
                <w:color w:val="auto"/>
              </w:rPr>
            </w:pPr>
            <w:r>
              <w:rPr>
                <w:rFonts w:ascii="Times New Roman" w:cs="Times New Roman" w:eastAsia="Times New Roman" w:hAnsi="Times New Roman"/>
                <w:sz w:val="20"/>
                <w:szCs w:val="20"/>
                <w:color w:val="auto"/>
              </w:rPr>
              <w:t>(3,534)</w:t>
            </w:r>
          </w:p>
        </w:tc>
        <w:tc>
          <w:tcPr>
            <w:tcW w:w="60" w:type="dxa"/>
            <w:vAlign w:val="bottom"/>
            <w:tcBorders>
              <w:top w:val="single" w:sz="8" w:color="DDDDDD"/>
            </w:tcBorders>
            <w:shd w:val="clear" w:color="auto" w:fill="DDDDDD"/>
          </w:tcPr>
          <w:p>
            <w:pPr>
              <w:spacing w:after="0"/>
              <w:rPr>
                <w:sz w:val="24"/>
                <w:szCs w:val="24"/>
                <w:color w:val="auto"/>
              </w:rPr>
            </w:pPr>
          </w:p>
        </w:tc>
        <w:tc>
          <w:tcPr>
            <w:tcW w:w="20" w:type="dxa"/>
            <w:vAlign w:val="bottom"/>
            <w:tcBorders>
              <w:top w:val="single" w:sz="8" w:color="DDDDDD"/>
            </w:tcBorders>
            <w:shd w:val="clear" w:color="auto" w:fill="DDDDDD"/>
          </w:tcPr>
          <w:p>
            <w:pPr>
              <w:spacing w:after="0"/>
              <w:rPr>
                <w:sz w:val="24"/>
                <w:szCs w:val="24"/>
                <w:color w:val="auto"/>
              </w:rPr>
            </w:pPr>
          </w:p>
        </w:tc>
        <w:tc>
          <w:tcPr>
            <w:tcW w:w="520" w:type="dxa"/>
            <w:vAlign w:val="bottom"/>
            <w:tcBorders>
              <w:top w:val="single" w:sz="8" w:color="auto"/>
            </w:tcBorders>
            <w:shd w:val="clear" w:color="auto" w:fill="DDDDDD"/>
          </w:tcPr>
          <w:p>
            <w:pPr>
              <w:spacing w:after="0"/>
              <w:rPr>
                <w:sz w:val="24"/>
                <w:szCs w:val="24"/>
                <w:color w:val="auto"/>
              </w:rPr>
            </w:pPr>
          </w:p>
        </w:tc>
        <w:tc>
          <w:tcPr>
            <w:tcW w:w="1160" w:type="dxa"/>
            <w:vAlign w:val="bottom"/>
            <w:tcBorders>
              <w:top w:val="single" w:sz="8" w:color="auto"/>
            </w:tcBorders>
            <w:shd w:val="clear" w:color="auto" w:fill="DDDDDD"/>
          </w:tcPr>
          <w:p>
            <w:pPr>
              <w:jc w:val="right"/>
              <w:spacing w:after="0"/>
              <w:rPr>
                <w:sz w:val="20"/>
                <w:szCs w:val="20"/>
                <w:color w:val="auto"/>
              </w:rPr>
            </w:pPr>
            <w:r>
              <w:rPr>
                <w:rFonts w:ascii="Times New Roman" w:cs="Times New Roman" w:eastAsia="Times New Roman" w:hAnsi="Times New Roman"/>
                <w:sz w:val="20"/>
                <w:szCs w:val="20"/>
                <w:color w:val="auto"/>
              </w:rPr>
              <w:t>107,924</w:t>
            </w:r>
          </w:p>
        </w:tc>
        <w:tc>
          <w:tcPr>
            <w:tcW w:w="40" w:type="dxa"/>
            <w:vAlign w:val="bottom"/>
            <w:shd w:val="clear" w:color="auto" w:fill="DDDDDD"/>
          </w:tcPr>
          <w:p>
            <w:pPr>
              <w:spacing w:after="0"/>
              <w:rPr>
                <w:sz w:val="24"/>
                <w:szCs w:val="24"/>
                <w:color w:val="auto"/>
              </w:rPr>
            </w:pPr>
          </w:p>
        </w:tc>
        <w:tc>
          <w:tcPr>
            <w:tcW w:w="20" w:type="dxa"/>
            <w:vAlign w:val="bottom"/>
            <w:shd w:val="clear" w:color="auto" w:fill="DDDDDD"/>
          </w:tcPr>
          <w:p>
            <w:pPr>
              <w:spacing w:after="0"/>
              <w:rPr>
                <w:sz w:val="24"/>
                <w:szCs w:val="24"/>
                <w:color w:val="auto"/>
              </w:rPr>
            </w:pPr>
          </w:p>
        </w:tc>
        <w:tc>
          <w:tcPr>
            <w:tcW w:w="520" w:type="dxa"/>
            <w:vAlign w:val="bottom"/>
            <w:tcBorders>
              <w:top w:val="single" w:sz="8" w:color="auto"/>
            </w:tcBorders>
            <w:shd w:val="clear" w:color="auto" w:fill="DDDDDD"/>
          </w:tcPr>
          <w:p>
            <w:pPr>
              <w:spacing w:after="0"/>
              <w:rPr>
                <w:sz w:val="24"/>
                <w:szCs w:val="24"/>
                <w:color w:val="auto"/>
              </w:rPr>
            </w:pPr>
          </w:p>
        </w:tc>
        <w:tc>
          <w:tcPr>
            <w:tcW w:w="1180" w:type="dxa"/>
            <w:vAlign w:val="bottom"/>
            <w:tcBorders>
              <w:top w:val="single" w:sz="8" w:color="auto"/>
            </w:tcBorders>
            <w:shd w:val="clear" w:color="auto" w:fill="DDDDDD"/>
          </w:tcPr>
          <w:p>
            <w:pPr>
              <w:jc w:val="right"/>
              <w:spacing w:after="0"/>
              <w:rPr>
                <w:sz w:val="20"/>
                <w:szCs w:val="20"/>
                <w:color w:val="auto"/>
              </w:rPr>
            </w:pPr>
            <w:r>
              <w:rPr>
                <w:rFonts w:ascii="Times New Roman" w:cs="Times New Roman" w:eastAsia="Times New Roman" w:hAnsi="Times New Roman"/>
                <w:sz w:val="20"/>
                <w:szCs w:val="20"/>
                <w:color w:val="auto"/>
              </w:rPr>
              <w:t>156,042</w:t>
            </w:r>
          </w:p>
        </w:tc>
        <w:tc>
          <w:tcPr>
            <w:tcW w:w="0" w:type="dxa"/>
            <w:vAlign w:val="bottom"/>
          </w:tcPr>
          <w:p>
            <w:pPr>
              <w:spacing w:after="0"/>
              <w:rPr>
                <w:sz w:val="1"/>
                <w:szCs w:val="1"/>
                <w:color w:val="auto"/>
              </w:rPr>
            </w:pPr>
          </w:p>
        </w:tc>
      </w:tr>
      <w:tr>
        <w:trPr>
          <w:trHeight w:val="281"/>
        </w:trPr>
        <w:tc>
          <w:tcPr>
            <w:tcW w:w="5040" w:type="dxa"/>
            <w:vAlign w:val="bottom"/>
            <w:gridSpan w:val="2"/>
          </w:tcPr>
          <w:p>
            <w:pPr>
              <w:ind w:left="220"/>
              <w:spacing w:after="0"/>
              <w:rPr>
                <w:sz w:val="20"/>
                <w:szCs w:val="20"/>
                <w:color w:val="auto"/>
              </w:rPr>
            </w:pPr>
            <w:r>
              <w:rPr>
                <w:rFonts w:ascii="Times New Roman" w:cs="Times New Roman" w:eastAsia="Times New Roman" w:hAnsi="Times New Roman"/>
                <w:sz w:val="20"/>
                <w:szCs w:val="20"/>
                <w:color w:val="auto"/>
              </w:rPr>
              <w:t>Stock-based compensation</w:t>
            </w:r>
          </w:p>
        </w:tc>
        <w:tc>
          <w:tcPr>
            <w:tcW w:w="600" w:type="dxa"/>
            <w:vAlign w:val="bottom"/>
          </w:tcPr>
          <w:p>
            <w:pPr>
              <w:spacing w:after="0"/>
              <w:rPr>
                <w:sz w:val="24"/>
                <w:szCs w:val="24"/>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13,515</w:t>
            </w: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23,493</w:t>
            </w: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29,324</w:t>
            </w:r>
          </w:p>
        </w:tc>
        <w:tc>
          <w:tcPr>
            <w:tcW w:w="0" w:type="dxa"/>
            <w:vAlign w:val="bottom"/>
          </w:tcPr>
          <w:p>
            <w:pPr>
              <w:spacing w:after="0"/>
              <w:rPr>
                <w:sz w:val="1"/>
                <w:szCs w:val="1"/>
                <w:color w:val="auto"/>
              </w:rPr>
            </w:pPr>
          </w:p>
        </w:tc>
      </w:tr>
      <w:tr>
        <w:trPr>
          <w:trHeight w:val="288"/>
        </w:trPr>
        <w:tc>
          <w:tcPr>
            <w:tcW w:w="5040" w:type="dxa"/>
            <w:vAlign w:val="bottom"/>
            <w:gridSpan w:val="2"/>
            <w:shd w:val="clear" w:color="auto" w:fill="DDDDDD"/>
          </w:tcPr>
          <w:p>
            <w:pPr>
              <w:ind w:left="220"/>
              <w:spacing w:after="0"/>
              <w:rPr>
                <w:sz w:val="20"/>
                <w:szCs w:val="20"/>
                <w:color w:val="auto"/>
              </w:rPr>
            </w:pPr>
            <w:r>
              <w:rPr>
                <w:rFonts w:ascii="Times New Roman" w:cs="Times New Roman" w:eastAsia="Times New Roman" w:hAnsi="Times New Roman"/>
                <w:sz w:val="20"/>
                <w:szCs w:val="20"/>
                <w:color w:val="auto"/>
              </w:rPr>
              <w:t>Change in fair value of warrant liability</w:t>
            </w:r>
          </w:p>
        </w:tc>
        <w:tc>
          <w:tcPr>
            <w:tcW w:w="600" w:type="dxa"/>
            <w:vAlign w:val="bottom"/>
            <w:shd w:val="clear" w:color="auto" w:fill="DDDDDD"/>
          </w:tcPr>
          <w:p>
            <w:pPr>
              <w:spacing w:after="0"/>
              <w:rPr>
                <w:sz w:val="24"/>
                <w:szCs w:val="24"/>
                <w:color w:val="auto"/>
              </w:rPr>
            </w:pPr>
          </w:p>
        </w:tc>
        <w:tc>
          <w:tcPr>
            <w:tcW w:w="1100" w:type="dxa"/>
            <w:vAlign w:val="bottom"/>
            <w:shd w:val="clear" w:color="auto" w:fill="DDDDDD"/>
          </w:tcPr>
          <w:p>
            <w:pPr>
              <w:jc w:val="right"/>
              <w:spacing w:after="0"/>
              <w:rPr>
                <w:sz w:val="20"/>
                <w:szCs w:val="20"/>
                <w:color w:val="auto"/>
              </w:rPr>
            </w:pPr>
            <w:r>
              <w:rPr>
                <w:rFonts w:ascii="Times New Roman" w:cs="Times New Roman" w:eastAsia="Times New Roman" w:hAnsi="Times New Roman"/>
                <w:sz w:val="20"/>
                <w:szCs w:val="20"/>
                <w:color w:val="auto"/>
              </w:rPr>
              <w:t>(1,505)</w:t>
            </w:r>
          </w:p>
        </w:tc>
        <w:tc>
          <w:tcPr>
            <w:tcW w:w="60" w:type="dxa"/>
            <w:vAlign w:val="bottom"/>
            <w:shd w:val="clear" w:color="auto" w:fill="DDDDDD"/>
          </w:tcPr>
          <w:p>
            <w:pPr>
              <w:spacing w:after="0"/>
              <w:rPr>
                <w:sz w:val="24"/>
                <w:szCs w:val="24"/>
                <w:color w:val="auto"/>
              </w:rPr>
            </w:pPr>
          </w:p>
        </w:tc>
        <w:tc>
          <w:tcPr>
            <w:tcW w:w="20" w:type="dxa"/>
            <w:vAlign w:val="bottom"/>
            <w:shd w:val="clear" w:color="auto" w:fill="DDDDDD"/>
          </w:tcPr>
          <w:p>
            <w:pPr>
              <w:spacing w:after="0"/>
              <w:rPr>
                <w:sz w:val="24"/>
                <w:szCs w:val="24"/>
                <w:color w:val="auto"/>
              </w:rPr>
            </w:pPr>
          </w:p>
        </w:tc>
        <w:tc>
          <w:tcPr>
            <w:tcW w:w="520" w:type="dxa"/>
            <w:vAlign w:val="bottom"/>
            <w:shd w:val="clear" w:color="auto" w:fill="DDDDDD"/>
          </w:tcPr>
          <w:p>
            <w:pPr>
              <w:spacing w:after="0"/>
              <w:rPr>
                <w:sz w:val="24"/>
                <w:szCs w:val="24"/>
                <w:color w:val="auto"/>
              </w:rPr>
            </w:pPr>
          </w:p>
        </w:tc>
        <w:tc>
          <w:tcPr>
            <w:tcW w:w="1160" w:type="dxa"/>
            <w:vAlign w:val="bottom"/>
            <w:shd w:val="clear" w:color="auto" w:fill="DDDDDD"/>
          </w:tcPr>
          <w:p>
            <w:pPr>
              <w:jc w:val="right"/>
              <w:spacing w:after="0"/>
              <w:rPr>
                <w:sz w:val="20"/>
                <w:szCs w:val="20"/>
                <w:color w:val="auto"/>
              </w:rPr>
            </w:pPr>
            <w:r>
              <w:rPr>
                <w:rFonts w:ascii="Times New Roman" w:cs="Times New Roman" w:eastAsia="Times New Roman" w:hAnsi="Times New Roman"/>
                <w:sz w:val="20"/>
                <w:szCs w:val="20"/>
                <w:color w:val="auto"/>
              </w:rPr>
              <w:t>(25,370)</w:t>
            </w:r>
          </w:p>
        </w:tc>
        <w:tc>
          <w:tcPr>
            <w:tcW w:w="40" w:type="dxa"/>
            <w:vAlign w:val="bottom"/>
            <w:shd w:val="clear" w:color="auto" w:fill="DDDDDD"/>
          </w:tcPr>
          <w:p>
            <w:pPr>
              <w:spacing w:after="0"/>
              <w:rPr>
                <w:sz w:val="24"/>
                <w:szCs w:val="24"/>
                <w:color w:val="auto"/>
              </w:rPr>
            </w:pPr>
          </w:p>
        </w:tc>
        <w:tc>
          <w:tcPr>
            <w:tcW w:w="20" w:type="dxa"/>
            <w:vAlign w:val="bottom"/>
            <w:shd w:val="clear" w:color="auto" w:fill="DDDDDD"/>
          </w:tcPr>
          <w:p>
            <w:pPr>
              <w:spacing w:after="0"/>
              <w:rPr>
                <w:sz w:val="24"/>
                <w:szCs w:val="24"/>
                <w:color w:val="auto"/>
              </w:rPr>
            </w:pPr>
          </w:p>
        </w:tc>
        <w:tc>
          <w:tcPr>
            <w:tcW w:w="520" w:type="dxa"/>
            <w:vAlign w:val="bottom"/>
            <w:shd w:val="clear" w:color="auto" w:fill="DDDDDD"/>
          </w:tcPr>
          <w:p>
            <w:pPr>
              <w:spacing w:after="0"/>
              <w:rPr>
                <w:sz w:val="24"/>
                <w:szCs w:val="24"/>
                <w:color w:val="auto"/>
              </w:rPr>
            </w:pPr>
          </w:p>
        </w:tc>
        <w:tc>
          <w:tcPr>
            <w:tcW w:w="1180" w:type="dxa"/>
            <w:vAlign w:val="bottom"/>
            <w:shd w:val="clear" w:color="auto" w:fill="DDDDDD"/>
          </w:tcPr>
          <w:p>
            <w:pPr>
              <w:jc w:val="right"/>
              <w:spacing w:after="0"/>
              <w:rPr>
                <w:sz w:val="20"/>
                <w:szCs w:val="20"/>
                <w:color w:val="auto"/>
              </w:rPr>
            </w:pPr>
            <w:r>
              <w:rPr>
                <w:rFonts w:ascii="Times New Roman" w:cs="Times New Roman" w:eastAsia="Times New Roman" w:hAnsi="Times New Roman"/>
                <w:sz w:val="20"/>
                <w:szCs w:val="20"/>
                <w:color w:val="auto"/>
              </w:rPr>
              <w:t>(166,518)</w:t>
            </w:r>
          </w:p>
        </w:tc>
        <w:tc>
          <w:tcPr>
            <w:tcW w:w="0" w:type="dxa"/>
            <w:vAlign w:val="bottom"/>
          </w:tcPr>
          <w:p>
            <w:pPr>
              <w:spacing w:after="0"/>
              <w:rPr>
                <w:sz w:val="1"/>
                <w:szCs w:val="1"/>
                <w:color w:val="auto"/>
              </w:rPr>
            </w:pPr>
          </w:p>
        </w:tc>
      </w:tr>
      <w:tr>
        <w:trPr>
          <w:trHeight w:val="281"/>
        </w:trPr>
        <w:tc>
          <w:tcPr>
            <w:tcW w:w="5040" w:type="dxa"/>
            <w:vAlign w:val="bottom"/>
            <w:gridSpan w:val="2"/>
          </w:tcPr>
          <w:p>
            <w:pPr>
              <w:ind w:left="220"/>
              <w:spacing w:after="0"/>
              <w:rPr>
                <w:sz w:val="20"/>
                <w:szCs w:val="20"/>
                <w:color w:val="auto"/>
              </w:rPr>
            </w:pPr>
            <w:r>
              <w:rPr>
                <w:rFonts w:ascii="Times New Roman" w:cs="Times New Roman" w:eastAsia="Times New Roman" w:hAnsi="Times New Roman"/>
                <w:sz w:val="20"/>
                <w:szCs w:val="20"/>
                <w:color w:val="auto"/>
              </w:rPr>
              <w:t>Warrant transaction costs</w:t>
            </w:r>
          </w:p>
        </w:tc>
        <w:tc>
          <w:tcPr>
            <w:tcW w:w="600" w:type="dxa"/>
            <w:vAlign w:val="bottom"/>
          </w:tcPr>
          <w:p>
            <w:pPr>
              <w:spacing w:after="0"/>
              <w:rPr>
                <w:sz w:val="24"/>
                <w:szCs w:val="24"/>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5,547</w:t>
            </w:r>
          </w:p>
        </w:tc>
        <w:tc>
          <w:tcPr>
            <w:tcW w:w="0" w:type="dxa"/>
            <w:vAlign w:val="bottom"/>
          </w:tcPr>
          <w:p>
            <w:pPr>
              <w:spacing w:after="0"/>
              <w:rPr>
                <w:sz w:val="1"/>
                <w:szCs w:val="1"/>
                <w:color w:val="auto"/>
              </w:rPr>
            </w:pPr>
          </w:p>
        </w:tc>
      </w:tr>
      <w:tr>
        <w:trPr>
          <w:trHeight w:val="288"/>
        </w:trPr>
        <w:tc>
          <w:tcPr>
            <w:tcW w:w="5020" w:type="dxa"/>
            <w:vAlign w:val="bottom"/>
            <w:shd w:val="clear" w:color="auto" w:fill="DDDDDD"/>
          </w:tcPr>
          <w:p>
            <w:pPr>
              <w:ind w:left="220"/>
              <w:spacing w:after="0"/>
              <w:rPr>
                <w:sz w:val="20"/>
                <w:szCs w:val="20"/>
                <w:color w:val="auto"/>
              </w:rPr>
            </w:pPr>
            <w:r>
              <w:rPr>
                <w:rFonts w:ascii="Times New Roman" w:cs="Times New Roman" w:eastAsia="Times New Roman" w:hAnsi="Times New Roman"/>
                <w:sz w:val="20"/>
                <w:szCs w:val="20"/>
                <w:color w:val="auto"/>
              </w:rPr>
              <w:t>Asset impairment charges</w:t>
            </w:r>
          </w:p>
        </w:tc>
        <w:tc>
          <w:tcPr>
            <w:tcW w:w="20" w:type="dxa"/>
            <w:vAlign w:val="bottom"/>
            <w:shd w:val="clear" w:color="auto" w:fill="DDDDDD"/>
          </w:tcPr>
          <w:p>
            <w:pPr>
              <w:spacing w:after="0"/>
              <w:rPr>
                <w:sz w:val="24"/>
                <w:szCs w:val="24"/>
                <w:color w:val="auto"/>
              </w:rPr>
            </w:pPr>
          </w:p>
        </w:tc>
        <w:tc>
          <w:tcPr>
            <w:tcW w:w="600" w:type="dxa"/>
            <w:vAlign w:val="bottom"/>
            <w:shd w:val="clear" w:color="auto" w:fill="DDDDDD"/>
          </w:tcPr>
          <w:p>
            <w:pPr>
              <w:spacing w:after="0"/>
              <w:rPr>
                <w:sz w:val="24"/>
                <w:szCs w:val="24"/>
                <w:color w:val="auto"/>
              </w:rPr>
            </w:pPr>
          </w:p>
        </w:tc>
        <w:tc>
          <w:tcPr>
            <w:tcW w:w="1100" w:type="dxa"/>
            <w:vAlign w:val="bottom"/>
            <w:shd w:val="clear" w:color="auto" w:fill="DDDDDD"/>
          </w:tcPr>
          <w:p>
            <w:pPr>
              <w:jc w:val="right"/>
              <w:spacing w:after="0"/>
              <w:rPr>
                <w:sz w:val="20"/>
                <w:szCs w:val="20"/>
                <w:color w:val="auto"/>
              </w:rPr>
            </w:pPr>
            <w:r>
              <w:rPr>
                <w:rFonts w:ascii="Times New Roman" w:cs="Times New Roman" w:eastAsia="Times New Roman" w:hAnsi="Times New Roman"/>
                <w:sz w:val="20"/>
                <w:szCs w:val="20"/>
                <w:color w:val="auto"/>
              </w:rPr>
              <w:t>24,403</w:t>
            </w:r>
          </w:p>
        </w:tc>
        <w:tc>
          <w:tcPr>
            <w:tcW w:w="60" w:type="dxa"/>
            <w:vAlign w:val="bottom"/>
            <w:shd w:val="clear" w:color="auto" w:fill="DDDDDD"/>
          </w:tcPr>
          <w:p>
            <w:pPr>
              <w:spacing w:after="0"/>
              <w:rPr>
                <w:sz w:val="24"/>
                <w:szCs w:val="24"/>
                <w:color w:val="auto"/>
              </w:rPr>
            </w:pPr>
          </w:p>
        </w:tc>
        <w:tc>
          <w:tcPr>
            <w:tcW w:w="20" w:type="dxa"/>
            <w:vAlign w:val="bottom"/>
            <w:shd w:val="clear" w:color="auto" w:fill="DDDDDD"/>
          </w:tcPr>
          <w:p>
            <w:pPr>
              <w:spacing w:after="0"/>
              <w:rPr>
                <w:sz w:val="24"/>
                <w:szCs w:val="24"/>
                <w:color w:val="auto"/>
              </w:rPr>
            </w:pPr>
          </w:p>
        </w:tc>
        <w:tc>
          <w:tcPr>
            <w:tcW w:w="520" w:type="dxa"/>
            <w:vAlign w:val="bottom"/>
            <w:shd w:val="clear" w:color="auto" w:fill="DDDDDD"/>
          </w:tcPr>
          <w:p>
            <w:pPr>
              <w:spacing w:after="0"/>
              <w:rPr>
                <w:sz w:val="24"/>
                <w:szCs w:val="24"/>
                <w:color w:val="auto"/>
              </w:rPr>
            </w:pPr>
          </w:p>
        </w:tc>
        <w:tc>
          <w:tcPr>
            <w:tcW w:w="1160" w:type="dxa"/>
            <w:vAlign w:val="bottom"/>
            <w:shd w:val="clear" w:color="auto" w:fill="DDDDDD"/>
          </w:tcPr>
          <w:p>
            <w:pPr>
              <w:jc w:val="right"/>
              <w:spacing w:after="0"/>
              <w:rPr>
                <w:sz w:val="20"/>
                <w:szCs w:val="20"/>
                <w:color w:val="auto"/>
              </w:rPr>
            </w:pPr>
            <w:r>
              <w:rPr>
                <w:rFonts w:ascii="Times New Roman" w:cs="Times New Roman" w:eastAsia="Times New Roman" w:hAnsi="Times New Roman"/>
                <w:sz w:val="20"/>
                <w:szCs w:val="20"/>
                <w:color w:val="auto"/>
              </w:rPr>
              <w:t>4,317</w:t>
            </w:r>
          </w:p>
        </w:tc>
        <w:tc>
          <w:tcPr>
            <w:tcW w:w="40" w:type="dxa"/>
            <w:vAlign w:val="bottom"/>
            <w:shd w:val="clear" w:color="auto" w:fill="DDDDDD"/>
          </w:tcPr>
          <w:p>
            <w:pPr>
              <w:spacing w:after="0"/>
              <w:rPr>
                <w:sz w:val="24"/>
                <w:szCs w:val="24"/>
                <w:color w:val="auto"/>
              </w:rPr>
            </w:pPr>
          </w:p>
        </w:tc>
        <w:tc>
          <w:tcPr>
            <w:tcW w:w="20" w:type="dxa"/>
            <w:vAlign w:val="bottom"/>
            <w:shd w:val="clear" w:color="auto" w:fill="DDDDDD"/>
          </w:tcPr>
          <w:p>
            <w:pPr>
              <w:spacing w:after="0"/>
              <w:rPr>
                <w:sz w:val="24"/>
                <w:szCs w:val="24"/>
                <w:color w:val="auto"/>
              </w:rPr>
            </w:pPr>
          </w:p>
        </w:tc>
        <w:tc>
          <w:tcPr>
            <w:tcW w:w="520" w:type="dxa"/>
            <w:vAlign w:val="bottom"/>
            <w:shd w:val="clear" w:color="auto" w:fill="DDDDDD"/>
          </w:tcPr>
          <w:p>
            <w:pPr>
              <w:spacing w:after="0"/>
              <w:rPr>
                <w:sz w:val="24"/>
                <w:szCs w:val="24"/>
                <w:color w:val="auto"/>
              </w:rPr>
            </w:pPr>
          </w:p>
        </w:tc>
        <w:tc>
          <w:tcPr>
            <w:tcW w:w="1180" w:type="dxa"/>
            <w:vAlign w:val="bottom"/>
            <w:shd w:val="clear" w:color="auto" w:fill="DDDDDD"/>
          </w:tcPr>
          <w:p>
            <w:pPr>
              <w:jc w:val="right"/>
              <w:spacing w:after="0"/>
              <w:rPr>
                <w:sz w:val="20"/>
                <w:szCs w:val="20"/>
                <w:color w:val="auto"/>
              </w:rPr>
            </w:pPr>
            <w:r>
              <w:rPr>
                <w:rFonts w:ascii="Times New Roman" w:cs="Times New Roman" w:eastAsia="Times New Roman" w:hAnsi="Times New Roman"/>
                <w:sz w:val="20"/>
                <w:szCs w:val="20"/>
                <w:color w:val="auto"/>
              </w:rPr>
              <w:t>2,372</w:t>
            </w:r>
          </w:p>
        </w:tc>
        <w:tc>
          <w:tcPr>
            <w:tcW w:w="0" w:type="dxa"/>
            <w:vAlign w:val="bottom"/>
          </w:tcPr>
          <w:p>
            <w:pPr>
              <w:spacing w:after="0"/>
              <w:rPr>
                <w:sz w:val="1"/>
                <w:szCs w:val="1"/>
                <w:color w:val="auto"/>
              </w:rPr>
            </w:pPr>
          </w:p>
        </w:tc>
      </w:tr>
      <w:tr>
        <w:trPr>
          <w:trHeight w:val="281"/>
        </w:trPr>
        <w:tc>
          <w:tcPr>
            <w:tcW w:w="5040" w:type="dxa"/>
            <w:vAlign w:val="bottom"/>
            <w:gridSpan w:val="2"/>
          </w:tcPr>
          <w:p>
            <w:pPr>
              <w:ind w:left="220"/>
              <w:spacing w:after="0"/>
              <w:rPr>
                <w:sz w:val="20"/>
                <w:szCs w:val="20"/>
                <w:color w:val="auto"/>
              </w:rPr>
            </w:pPr>
            <w:r>
              <w:rPr>
                <w:rFonts w:ascii="Times New Roman" w:cs="Times New Roman" w:eastAsia="Times New Roman" w:hAnsi="Times New Roman"/>
                <w:sz w:val="20"/>
                <w:szCs w:val="20"/>
                <w:color w:val="auto"/>
              </w:rPr>
              <w:t>Transaction related bonus expense</w:t>
            </w:r>
          </w:p>
        </w:tc>
        <w:tc>
          <w:tcPr>
            <w:tcW w:w="600" w:type="dxa"/>
            <w:vAlign w:val="bottom"/>
          </w:tcPr>
          <w:p>
            <w:pPr>
              <w:spacing w:after="0"/>
              <w:rPr>
                <w:sz w:val="24"/>
                <w:szCs w:val="24"/>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3,089</w:t>
            </w: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10,119</w:t>
            </w: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2,200</w:t>
            </w:r>
          </w:p>
        </w:tc>
        <w:tc>
          <w:tcPr>
            <w:tcW w:w="0" w:type="dxa"/>
            <w:vAlign w:val="bottom"/>
          </w:tcPr>
          <w:p>
            <w:pPr>
              <w:spacing w:after="0"/>
              <w:rPr>
                <w:sz w:val="1"/>
                <w:szCs w:val="1"/>
                <w:color w:val="auto"/>
              </w:rPr>
            </w:pPr>
          </w:p>
        </w:tc>
      </w:tr>
      <w:tr>
        <w:trPr>
          <w:trHeight w:val="288"/>
        </w:trPr>
        <w:tc>
          <w:tcPr>
            <w:tcW w:w="5020" w:type="dxa"/>
            <w:vAlign w:val="bottom"/>
            <w:shd w:val="clear" w:color="auto" w:fill="DDDDDD"/>
          </w:tcPr>
          <w:p>
            <w:pPr>
              <w:ind w:left="220"/>
              <w:spacing w:after="0"/>
              <w:rPr>
                <w:sz w:val="20"/>
                <w:szCs w:val="20"/>
                <w:color w:val="auto"/>
              </w:rPr>
            </w:pPr>
            <w:r>
              <w:rPr>
                <w:rFonts w:ascii="Times New Roman" w:cs="Times New Roman" w:eastAsia="Times New Roman" w:hAnsi="Times New Roman"/>
                <w:sz w:val="20"/>
                <w:szCs w:val="20"/>
                <w:color w:val="auto"/>
              </w:rPr>
              <w:t>Transaction costs</w:t>
            </w:r>
          </w:p>
        </w:tc>
        <w:tc>
          <w:tcPr>
            <w:tcW w:w="20" w:type="dxa"/>
            <w:vAlign w:val="bottom"/>
            <w:shd w:val="clear" w:color="auto" w:fill="DDDDDD"/>
          </w:tcPr>
          <w:p>
            <w:pPr>
              <w:spacing w:after="0"/>
              <w:rPr>
                <w:sz w:val="24"/>
                <w:szCs w:val="24"/>
                <w:color w:val="auto"/>
              </w:rPr>
            </w:pPr>
          </w:p>
        </w:tc>
        <w:tc>
          <w:tcPr>
            <w:tcW w:w="600" w:type="dxa"/>
            <w:vAlign w:val="bottom"/>
            <w:shd w:val="clear" w:color="auto" w:fill="DDDDDD"/>
          </w:tcPr>
          <w:p>
            <w:pPr>
              <w:spacing w:after="0"/>
              <w:rPr>
                <w:sz w:val="24"/>
                <w:szCs w:val="24"/>
                <w:color w:val="auto"/>
              </w:rPr>
            </w:pPr>
          </w:p>
        </w:tc>
        <w:tc>
          <w:tcPr>
            <w:tcW w:w="1100" w:type="dxa"/>
            <w:vAlign w:val="bottom"/>
            <w:shd w:val="clear" w:color="auto" w:fill="DDDDDD"/>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60" w:type="dxa"/>
            <w:vAlign w:val="bottom"/>
            <w:shd w:val="clear" w:color="auto" w:fill="DDDDDD"/>
          </w:tcPr>
          <w:p>
            <w:pPr>
              <w:spacing w:after="0"/>
              <w:rPr>
                <w:sz w:val="24"/>
                <w:szCs w:val="24"/>
                <w:color w:val="auto"/>
              </w:rPr>
            </w:pPr>
          </w:p>
        </w:tc>
        <w:tc>
          <w:tcPr>
            <w:tcW w:w="20" w:type="dxa"/>
            <w:vAlign w:val="bottom"/>
            <w:shd w:val="clear" w:color="auto" w:fill="DDDDDD"/>
          </w:tcPr>
          <w:p>
            <w:pPr>
              <w:spacing w:after="0"/>
              <w:rPr>
                <w:sz w:val="24"/>
                <w:szCs w:val="24"/>
                <w:color w:val="auto"/>
              </w:rPr>
            </w:pPr>
          </w:p>
        </w:tc>
        <w:tc>
          <w:tcPr>
            <w:tcW w:w="520" w:type="dxa"/>
            <w:vAlign w:val="bottom"/>
            <w:shd w:val="clear" w:color="auto" w:fill="DDDDDD"/>
          </w:tcPr>
          <w:p>
            <w:pPr>
              <w:spacing w:after="0"/>
              <w:rPr>
                <w:sz w:val="24"/>
                <w:szCs w:val="24"/>
                <w:color w:val="auto"/>
              </w:rPr>
            </w:pPr>
          </w:p>
        </w:tc>
        <w:tc>
          <w:tcPr>
            <w:tcW w:w="1160" w:type="dxa"/>
            <w:vAlign w:val="bottom"/>
            <w:shd w:val="clear" w:color="auto" w:fill="DDDDDD"/>
          </w:tcPr>
          <w:p>
            <w:pPr>
              <w:jc w:val="right"/>
              <w:spacing w:after="0"/>
              <w:rPr>
                <w:sz w:val="20"/>
                <w:szCs w:val="20"/>
                <w:color w:val="auto"/>
              </w:rPr>
            </w:pPr>
            <w:r>
              <w:rPr>
                <w:rFonts w:ascii="Times New Roman" w:cs="Times New Roman" w:eastAsia="Times New Roman" w:hAnsi="Times New Roman"/>
                <w:sz w:val="20"/>
                <w:szCs w:val="20"/>
                <w:color w:val="auto"/>
              </w:rPr>
              <w:t>251</w:t>
            </w:r>
          </w:p>
        </w:tc>
        <w:tc>
          <w:tcPr>
            <w:tcW w:w="40" w:type="dxa"/>
            <w:vAlign w:val="bottom"/>
            <w:shd w:val="clear" w:color="auto" w:fill="DDDDDD"/>
          </w:tcPr>
          <w:p>
            <w:pPr>
              <w:spacing w:after="0"/>
              <w:rPr>
                <w:sz w:val="24"/>
                <w:szCs w:val="24"/>
                <w:color w:val="auto"/>
              </w:rPr>
            </w:pPr>
          </w:p>
        </w:tc>
        <w:tc>
          <w:tcPr>
            <w:tcW w:w="20" w:type="dxa"/>
            <w:vAlign w:val="bottom"/>
            <w:shd w:val="clear" w:color="auto" w:fill="DDDDDD"/>
          </w:tcPr>
          <w:p>
            <w:pPr>
              <w:spacing w:after="0"/>
              <w:rPr>
                <w:sz w:val="24"/>
                <w:szCs w:val="24"/>
                <w:color w:val="auto"/>
              </w:rPr>
            </w:pPr>
          </w:p>
        </w:tc>
        <w:tc>
          <w:tcPr>
            <w:tcW w:w="520" w:type="dxa"/>
            <w:vAlign w:val="bottom"/>
            <w:shd w:val="clear" w:color="auto" w:fill="DDDDDD"/>
          </w:tcPr>
          <w:p>
            <w:pPr>
              <w:spacing w:after="0"/>
              <w:rPr>
                <w:sz w:val="24"/>
                <w:szCs w:val="24"/>
                <w:color w:val="auto"/>
              </w:rPr>
            </w:pPr>
          </w:p>
        </w:tc>
        <w:tc>
          <w:tcPr>
            <w:tcW w:w="1180" w:type="dxa"/>
            <w:vAlign w:val="bottom"/>
            <w:shd w:val="clear" w:color="auto" w:fill="DDDDDD"/>
          </w:tcPr>
          <w:p>
            <w:pPr>
              <w:jc w:val="right"/>
              <w:spacing w:after="0"/>
              <w:rPr>
                <w:sz w:val="20"/>
                <w:szCs w:val="20"/>
                <w:color w:val="auto"/>
              </w:rPr>
            </w:pPr>
            <w:r>
              <w:rPr>
                <w:rFonts w:ascii="Times New Roman" w:cs="Times New Roman" w:eastAsia="Times New Roman" w:hAnsi="Times New Roman"/>
                <w:sz w:val="20"/>
                <w:szCs w:val="20"/>
                <w:color w:val="auto"/>
              </w:rPr>
              <w:t>2,583</w:t>
            </w:r>
          </w:p>
        </w:tc>
        <w:tc>
          <w:tcPr>
            <w:tcW w:w="0" w:type="dxa"/>
            <w:vAlign w:val="bottom"/>
          </w:tcPr>
          <w:p>
            <w:pPr>
              <w:spacing w:after="0"/>
              <w:rPr>
                <w:sz w:val="1"/>
                <w:szCs w:val="1"/>
                <w:color w:val="auto"/>
              </w:rPr>
            </w:pPr>
          </w:p>
        </w:tc>
      </w:tr>
      <w:tr>
        <w:trPr>
          <w:trHeight w:val="288"/>
        </w:trPr>
        <w:tc>
          <w:tcPr>
            <w:tcW w:w="5040" w:type="dxa"/>
            <w:vAlign w:val="bottom"/>
            <w:gridSpan w:val="2"/>
          </w:tcPr>
          <w:p>
            <w:pPr>
              <w:ind w:left="220"/>
              <w:spacing w:after="0"/>
              <w:rPr>
                <w:sz w:val="20"/>
                <w:szCs w:val="20"/>
                <w:color w:val="auto"/>
              </w:rPr>
            </w:pPr>
            <w:r>
              <w:rPr>
                <w:rFonts w:ascii="Times New Roman" w:cs="Times New Roman" w:eastAsia="Times New Roman" w:hAnsi="Times New Roman"/>
                <w:sz w:val="20"/>
                <w:szCs w:val="20"/>
                <w:color w:val="auto"/>
              </w:rPr>
              <w:t>Legal settlements and other legal costs</w:t>
            </w:r>
          </w:p>
        </w:tc>
        <w:tc>
          <w:tcPr>
            <w:tcW w:w="600" w:type="dxa"/>
            <w:vAlign w:val="bottom"/>
          </w:tcPr>
          <w:p>
            <w:pPr>
              <w:spacing w:after="0"/>
              <w:rPr>
                <w:sz w:val="24"/>
                <w:szCs w:val="24"/>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3,194</w:t>
            </w: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3,909</w:t>
            </w: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148</w:t>
            </w:r>
          </w:p>
        </w:tc>
        <w:tc>
          <w:tcPr>
            <w:tcW w:w="0" w:type="dxa"/>
            <w:vAlign w:val="bottom"/>
          </w:tcPr>
          <w:p>
            <w:pPr>
              <w:spacing w:after="0"/>
              <w:rPr>
                <w:sz w:val="1"/>
                <w:szCs w:val="1"/>
                <w:color w:val="auto"/>
              </w:rPr>
            </w:pPr>
          </w:p>
        </w:tc>
      </w:tr>
      <w:tr>
        <w:trPr>
          <w:trHeight w:val="258"/>
        </w:trPr>
        <w:tc>
          <w:tcPr>
            <w:tcW w:w="5040" w:type="dxa"/>
            <w:vAlign w:val="bottom"/>
            <w:gridSpan w:val="2"/>
            <w:shd w:val="clear" w:color="auto" w:fill="DDDDDD"/>
          </w:tcPr>
          <w:p>
            <w:pPr>
              <w:ind w:left="220"/>
              <w:spacing w:after="0"/>
              <w:rPr>
                <w:sz w:val="20"/>
                <w:szCs w:val="20"/>
                <w:color w:val="auto"/>
              </w:rPr>
            </w:pPr>
            <w:r>
              <w:rPr>
                <w:rFonts w:ascii="Times New Roman" w:cs="Times New Roman" w:eastAsia="Times New Roman" w:hAnsi="Times New Roman"/>
                <w:sz w:val="20"/>
                <w:szCs w:val="20"/>
                <w:color w:val="auto"/>
              </w:rPr>
              <w:t>Discharge of holdback obligation related to prior</w:t>
            </w:r>
          </w:p>
        </w:tc>
        <w:tc>
          <w:tcPr>
            <w:tcW w:w="600" w:type="dxa"/>
            <w:vAlign w:val="bottom"/>
            <w:shd w:val="clear" w:color="auto" w:fill="DDDDDD"/>
          </w:tcPr>
          <w:p>
            <w:pPr>
              <w:spacing w:after="0"/>
              <w:rPr>
                <w:sz w:val="22"/>
                <w:szCs w:val="22"/>
                <w:color w:val="auto"/>
              </w:rPr>
            </w:pPr>
          </w:p>
        </w:tc>
        <w:tc>
          <w:tcPr>
            <w:tcW w:w="1100" w:type="dxa"/>
            <w:vAlign w:val="bottom"/>
            <w:vMerge w:val="restart"/>
            <w:shd w:val="clear" w:color="auto" w:fill="DDDDDD"/>
          </w:tcPr>
          <w:p>
            <w:pPr>
              <w:jc w:val="right"/>
              <w:spacing w:after="0"/>
              <w:rPr>
                <w:sz w:val="20"/>
                <w:szCs w:val="20"/>
                <w:color w:val="auto"/>
              </w:rPr>
            </w:pPr>
            <w:r>
              <w:rPr>
                <w:rFonts w:ascii="Times New Roman" w:cs="Times New Roman" w:eastAsia="Times New Roman" w:hAnsi="Times New Roman"/>
                <w:sz w:val="20"/>
                <w:szCs w:val="20"/>
                <w:color w:val="auto"/>
              </w:rPr>
              <w:t>(3,705)</w:t>
            </w:r>
          </w:p>
        </w:tc>
        <w:tc>
          <w:tcPr>
            <w:tcW w:w="60" w:type="dxa"/>
            <w:vAlign w:val="bottom"/>
            <w:shd w:val="clear" w:color="auto" w:fill="DDDDDD"/>
          </w:tcPr>
          <w:p>
            <w:pPr>
              <w:spacing w:after="0"/>
              <w:rPr>
                <w:sz w:val="22"/>
                <w:szCs w:val="22"/>
                <w:color w:val="auto"/>
              </w:rPr>
            </w:pPr>
          </w:p>
        </w:tc>
        <w:tc>
          <w:tcPr>
            <w:tcW w:w="20" w:type="dxa"/>
            <w:vAlign w:val="bottom"/>
            <w:shd w:val="clear" w:color="auto" w:fill="DDDDDD"/>
          </w:tcPr>
          <w:p>
            <w:pPr>
              <w:spacing w:after="0"/>
              <w:rPr>
                <w:sz w:val="22"/>
                <w:szCs w:val="22"/>
                <w:color w:val="auto"/>
              </w:rPr>
            </w:pPr>
          </w:p>
        </w:tc>
        <w:tc>
          <w:tcPr>
            <w:tcW w:w="520" w:type="dxa"/>
            <w:vAlign w:val="bottom"/>
            <w:shd w:val="clear" w:color="auto" w:fill="DDDDDD"/>
          </w:tcPr>
          <w:p>
            <w:pPr>
              <w:spacing w:after="0"/>
              <w:rPr>
                <w:sz w:val="22"/>
                <w:szCs w:val="22"/>
                <w:color w:val="auto"/>
              </w:rPr>
            </w:pPr>
          </w:p>
        </w:tc>
        <w:tc>
          <w:tcPr>
            <w:tcW w:w="1160" w:type="dxa"/>
            <w:vAlign w:val="bottom"/>
            <w:vMerge w:val="restart"/>
            <w:shd w:val="clear" w:color="auto" w:fill="DDDDDD"/>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40" w:type="dxa"/>
            <w:vAlign w:val="bottom"/>
            <w:shd w:val="clear" w:color="auto" w:fill="DDDDDD"/>
          </w:tcPr>
          <w:p>
            <w:pPr>
              <w:spacing w:after="0"/>
              <w:rPr>
                <w:sz w:val="22"/>
                <w:szCs w:val="22"/>
                <w:color w:val="auto"/>
              </w:rPr>
            </w:pPr>
          </w:p>
        </w:tc>
        <w:tc>
          <w:tcPr>
            <w:tcW w:w="20" w:type="dxa"/>
            <w:vAlign w:val="bottom"/>
            <w:shd w:val="clear" w:color="auto" w:fill="DDDDDD"/>
          </w:tcPr>
          <w:p>
            <w:pPr>
              <w:spacing w:after="0"/>
              <w:rPr>
                <w:sz w:val="22"/>
                <w:szCs w:val="22"/>
                <w:color w:val="auto"/>
              </w:rPr>
            </w:pPr>
          </w:p>
        </w:tc>
        <w:tc>
          <w:tcPr>
            <w:tcW w:w="520" w:type="dxa"/>
            <w:vAlign w:val="bottom"/>
            <w:shd w:val="clear" w:color="auto" w:fill="DDDDDD"/>
          </w:tcPr>
          <w:p>
            <w:pPr>
              <w:spacing w:after="0"/>
              <w:rPr>
                <w:sz w:val="22"/>
                <w:szCs w:val="22"/>
                <w:color w:val="auto"/>
              </w:rPr>
            </w:pPr>
          </w:p>
        </w:tc>
        <w:tc>
          <w:tcPr>
            <w:tcW w:w="1180" w:type="dxa"/>
            <w:vAlign w:val="bottom"/>
            <w:vMerge w:val="restart"/>
            <w:shd w:val="clear" w:color="auto" w:fill="DDDDDD"/>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0" w:type="dxa"/>
            <w:vAlign w:val="bottom"/>
          </w:tcPr>
          <w:p>
            <w:pPr>
              <w:spacing w:after="0"/>
              <w:rPr>
                <w:sz w:val="1"/>
                <w:szCs w:val="1"/>
                <w:color w:val="auto"/>
              </w:rPr>
            </w:pPr>
          </w:p>
        </w:tc>
      </w:tr>
      <w:tr>
        <w:trPr>
          <w:trHeight w:val="202"/>
        </w:trPr>
        <w:tc>
          <w:tcPr>
            <w:tcW w:w="5040" w:type="dxa"/>
            <w:vAlign w:val="bottom"/>
            <w:gridSpan w:val="2"/>
            <w:shd w:val="clear" w:color="auto" w:fill="DDDDDD"/>
          </w:tcPr>
          <w:p>
            <w:pPr>
              <w:ind w:left="220"/>
              <w:spacing w:after="0" w:line="183" w:lineRule="exact"/>
              <w:rPr>
                <w:sz w:val="20"/>
                <w:szCs w:val="20"/>
                <w:color w:val="auto"/>
              </w:rPr>
            </w:pPr>
            <w:r>
              <w:rPr>
                <w:rFonts w:ascii="Times New Roman" w:cs="Times New Roman" w:eastAsia="Times New Roman" w:hAnsi="Times New Roman"/>
                <w:sz w:val="20"/>
                <w:szCs w:val="20"/>
                <w:color w:val="auto"/>
              </w:rPr>
              <w:t>acquisition</w:t>
            </w:r>
          </w:p>
        </w:tc>
        <w:tc>
          <w:tcPr>
            <w:tcW w:w="600" w:type="dxa"/>
            <w:vAlign w:val="bottom"/>
            <w:shd w:val="clear" w:color="auto" w:fill="DDDDDD"/>
          </w:tcPr>
          <w:p>
            <w:pPr>
              <w:spacing w:after="0"/>
              <w:rPr>
                <w:sz w:val="17"/>
                <w:szCs w:val="17"/>
                <w:color w:val="auto"/>
              </w:rPr>
            </w:pPr>
          </w:p>
        </w:tc>
        <w:tc>
          <w:tcPr>
            <w:tcW w:w="1100" w:type="dxa"/>
            <w:vAlign w:val="bottom"/>
            <w:vMerge w:val="continue"/>
            <w:shd w:val="clear" w:color="auto" w:fill="DDDDDD"/>
          </w:tcPr>
          <w:p>
            <w:pPr>
              <w:spacing w:after="0"/>
              <w:rPr>
                <w:sz w:val="17"/>
                <w:szCs w:val="17"/>
                <w:color w:val="auto"/>
              </w:rPr>
            </w:pPr>
          </w:p>
        </w:tc>
        <w:tc>
          <w:tcPr>
            <w:tcW w:w="60" w:type="dxa"/>
            <w:vAlign w:val="bottom"/>
            <w:shd w:val="clear" w:color="auto" w:fill="DDDDDD"/>
          </w:tcPr>
          <w:p>
            <w:pPr>
              <w:spacing w:after="0"/>
              <w:rPr>
                <w:sz w:val="17"/>
                <w:szCs w:val="17"/>
                <w:color w:val="auto"/>
              </w:rPr>
            </w:pPr>
          </w:p>
        </w:tc>
        <w:tc>
          <w:tcPr>
            <w:tcW w:w="20" w:type="dxa"/>
            <w:vAlign w:val="bottom"/>
            <w:shd w:val="clear" w:color="auto" w:fill="DDDDDD"/>
          </w:tcPr>
          <w:p>
            <w:pPr>
              <w:spacing w:after="0"/>
              <w:rPr>
                <w:sz w:val="17"/>
                <w:szCs w:val="17"/>
                <w:color w:val="auto"/>
              </w:rPr>
            </w:pPr>
          </w:p>
        </w:tc>
        <w:tc>
          <w:tcPr>
            <w:tcW w:w="520" w:type="dxa"/>
            <w:vAlign w:val="bottom"/>
            <w:shd w:val="clear" w:color="auto" w:fill="DDDDDD"/>
          </w:tcPr>
          <w:p>
            <w:pPr>
              <w:spacing w:after="0"/>
              <w:rPr>
                <w:sz w:val="17"/>
                <w:szCs w:val="17"/>
                <w:color w:val="auto"/>
              </w:rPr>
            </w:pPr>
          </w:p>
        </w:tc>
        <w:tc>
          <w:tcPr>
            <w:tcW w:w="1160" w:type="dxa"/>
            <w:vAlign w:val="bottom"/>
            <w:vMerge w:val="continue"/>
            <w:shd w:val="clear" w:color="auto" w:fill="DDDDDD"/>
          </w:tcPr>
          <w:p>
            <w:pPr>
              <w:spacing w:after="0"/>
              <w:rPr>
                <w:sz w:val="17"/>
                <w:szCs w:val="17"/>
                <w:color w:val="auto"/>
              </w:rPr>
            </w:pPr>
          </w:p>
        </w:tc>
        <w:tc>
          <w:tcPr>
            <w:tcW w:w="40" w:type="dxa"/>
            <w:vAlign w:val="bottom"/>
            <w:shd w:val="clear" w:color="auto" w:fill="DDDDDD"/>
          </w:tcPr>
          <w:p>
            <w:pPr>
              <w:spacing w:after="0"/>
              <w:rPr>
                <w:sz w:val="17"/>
                <w:szCs w:val="17"/>
                <w:color w:val="auto"/>
              </w:rPr>
            </w:pPr>
          </w:p>
        </w:tc>
        <w:tc>
          <w:tcPr>
            <w:tcW w:w="20" w:type="dxa"/>
            <w:vAlign w:val="bottom"/>
            <w:shd w:val="clear" w:color="auto" w:fill="DDDDDD"/>
          </w:tcPr>
          <w:p>
            <w:pPr>
              <w:spacing w:after="0"/>
              <w:rPr>
                <w:sz w:val="17"/>
                <w:szCs w:val="17"/>
                <w:color w:val="auto"/>
              </w:rPr>
            </w:pPr>
          </w:p>
        </w:tc>
        <w:tc>
          <w:tcPr>
            <w:tcW w:w="520" w:type="dxa"/>
            <w:vAlign w:val="bottom"/>
            <w:shd w:val="clear" w:color="auto" w:fill="DDDDDD"/>
          </w:tcPr>
          <w:p>
            <w:pPr>
              <w:spacing w:after="0"/>
              <w:rPr>
                <w:sz w:val="17"/>
                <w:szCs w:val="17"/>
                <w:color w:val="auto"/>
              </w:rPr>
            </w:pPr>
          </w:p>
        </w:tc>
        <w:tc>
          <w:tcPr>
            <w:tcW w:w="1180" w:type="dxa"/>
            <w:vAlign w:val="bottom"/>
            <w:vMerge w:val="continue"/>
            <w:shd w:val="clear" w:color="auto" w:fill="DDDDDD"/>
          </w:tcPr>
          <w:p>
            <w:pPr>
              <w:spacing w:after="0"/>
              <w:rPr>
                <w:sz w:val="17"/>
                <w:szCs w:val="17"/>
                <w:color w:val="auto"/>
              </w:rPr>
            </w:pPr>
          </w:p>
        </w:tc>
        <w:tc>
          <w:tcPr>
            <w:tcW w:w="0" w:type="dxa"/>
            <w:vAlign w:val="bottom"/>
          </w:tcPr>
          <w:p>
            <w:pPr>
              <w:spacing w:after="0"/>
              <w:rPr>
                <w:sz w:val="1"/>
                <w:szCs w:val="1"/>
                <w:color w:val="auto"/>
              </w:rPr>
            </w:pPr>
          </w:p>
        </w:tc>
      </w:tr>
      <w:tr>
        <w:trPr>
          <w:trHeight w:val="288"/>
        </w:trPr>
        <w:tc>
          <w:tcPr>
            <w:tcW w:w="5040" w:type="dxa"/>
            <w:vAlign w:val="bottom"/>
            <w:gridSpan w:val="2"/>
          </w:tcPr>
          <w:p>
            <w:pPr>
              <w:ind w:left="220"/>
              <w:spacing w:after="0"/>
              <w:rPr>
                <w:sz w:val="20"/>
                <w:szCs w:val="20"/>
                <w:color w:val="auto"/>
              </w:rPr>
            </w:pPr>
            <w:r>
              <w:rPr>
                <w:rFonts w:ascii="Times New Roman" w:cs="Times New Roman" w:eastAsia="Times New Roman" w:hAnsi="Times New Roman"/>
                <w:sz w:val="20"/>
                <w:szCs w:val="20"/>
                <w:color w:val="auto"/>
              </w:rPr>
              <w:t>Change in tax receivable agreement liability</w:t>
            </w:r>
          </w:p>
        </w:tc>
        <w:tc>
          <w:tcPr>
            <w:tcW w:w="600" w:type="dxa"/>
            <w:vAlign w:val="bottom"/>
          </w:tcPr>
          <w:p>
            <w:pPr>
              <w:spacing w:after="0"/>
              <w:rPr>
                <w:sz w:val="24"/>
                <w:szCs w:val="24"/>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1,256</w:t>
            </w: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(142,352)</w:t>
            </w: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0" w:type="dxa"/>
            <w:vAlign w:val="bottom"/>
          </w:tcPr>
          <w:p>
            <w:pPr>
              <w:spacing w:after="0"/>
              <w:rPr>
                <w:sz w:val="1"/>
                <w:szCs w:val="1"/>
                <w:color w:val="auto"/>
              </w:rPr>
            </w:pPr>
          </w:p>
        </w:tc>
      </w:tr>
      <w:tr>
        <w:trPr>
          <w:trHeight w:val="281"/>
        </w:trPr>
        <w:tc>
          <w:tcPr>
            <w:tcW w:w="5040" w:type="dxa"/>
            <w:vAlign w:val="bottom"/>
            <w:gridSpan w:val="2"/>
            <w:shd w:val="clear" w:color="auto" w:fill="DDDDDD"/>
          </w:tcPr>
          <w:p>
            <w:pPr>
              <w:ind w:left="220"/>
              <w:spacing w:after="0"/>
              <w:rPr>
                <w:sz w:val="20"/>
                <w:szCs w:val="20"/>
                <w:color w:val="auto"/>
              </w:rPr>
            </w:pPr>
            <w:r>
              <w:rPr>
                <w:rFonts w:ascii="Times New Roman" w:cs="Times New Roman" w:eastAsia="Times New Roman" w:hAnsi="Times New Roman"/>
                <w:sz w:val="20"/>
                <w:szCs w:val="20"/>
                <w:color w:val="auto"/>
              </w:rPr>
              <w:t>Reduction in force (recovery) expense</w:t>
            </w:r>
          </w:p>
        </w:tc>
        <w:tc>
          <w:tcPr>
            <w:tcW w:w="600" w:type="dxa"/>
            <w:vAlign w:val="bottom"/>
            <w:tcBorders>
              <w:bottom w:val="single" w:sz="8" w:color="auto"/>
            </w:tcBorders>
            <w:shd w:val="clear" w:color="auto" w:fill="DDDDDD"/>
          </w:tcPr>
          <w:p>
            <w:pPr>
              <w:spacing w:after="0"/>
              <w:rPr>
                <w:sz w:val="24"/>
                <w:szCs w:val="24"/>
                <w:color w:val="auto"/>
              </w:rPr>
            </w:pPr>
          </w:p>
        </w:tc>
        <w:tc>
          <w:tcPr>
            <w:tcW w:w="1100" w:type="dxa"/>
            <w:vAlign w:val="bottom"/>
            <w:tcBorders>
              <w:bottom w:val="single" w:sz="8" w:color="auto"/>
            </w:tcBorders>
            <w:shd w:val="clear" w:color="auto" w:fill="DDDDDD"/>
          </w:tcPr>
          <w:p>
            <w:pPr>
              <w:jc w:val="right"/>
              <w:spacing w:after="0"/>
              <w:rPr>
                <w:sz w:val="20"/>
                <w:szCs w:val="20"/>
                <w:color w:val="auto"/>
              </w:rPr>
            </w:pPr>
            <w:r>
              <w:rPr>
                <w:rFonts w:ascii="Times New Roman" w:cs="Times New Roman" w:eastAsia="Times New Roman" w:hAnsi="Times New Roman"/>
                <w:sz w:val="20"/>
                <w:szCs w:val="20"/>
                <w:color w:val="auto"/>
              </w:rPr>
              <w:t>194</w:t>
            </w:r>
          </w:p>
        </w:tc>
        <w:tc>
          <w:tcPr>
            <w:tcW w:w="60" w:type="dxa"/>
            <w:vAlign w:val="bottom"/>
            <w:shd w:val="clear" w:color="auto" w:fill="DDDDDD"/>
          </w:tcPr>
          <w:p>
            <w:pPr>
              <w:spacing w:after="0"/>
              <w:rPr>
                <w:sz w:val="24"/>
                <w:szCs w:val="24"/>
                <w:color w:val="auto"/>
              </w:rPr>
            </w:pPr>
          </w:p>
        </w:tc>
        <w:tc>
          <w:tcPr>
            <w:tcW w:w="20" w:type="dxa"/>
            <w:vAlign w:val="bottom"/>
            <w:shd w:val="clear" w:color="auto" w:fill="DDDDDD"/>
          </w:tcPr>
          <w:p>
            <w:pPr>
              <w:spacing w:after="0"/>
              <w:rPr>
                <w:sz w:val="24"/>
                <w:szCs w:val="24"/>
                <w:color w:val="auto"/>
              </w:rPr>
            </w:pPr>
          </w:p>
        </w:tc>
        <w:tc>
          <w:tcPr>
            <w:tcW w:w="520" w:type="dxa"/>
            <w:vAlign w:val="bottom"/>
            <w:tcBorders>
              <w:bottom w:val="single" w:sz="8" w:color="auto"/>
            </w:tcBorders>
            <w:shd w:val="clear" w:color="auto" w:fill="DDDDDD"/>
          </w:tcPr>
          <w:p>
            <w:pPr>
              <w:spacing w:after="0"/>
              <w:rPr>
                <w:sz w:val="24"/>
                <w:szCs w:val="24"/>
                <w:color w:val="auto"/>
              </w:rPr>
            </w:pPr>
          </w:p>
        </w:tc>
        <w:tc>
          <w:tcPr>
            <w:tcW w:w="1160" w:type="dxa"/>
            <w:vAlign w:val="bottom"/>
            <w:tcBorders>
              <w:bottom w:val="single" w:sz="8" w:color="auto"/>
            </w:tcBorders>
            <w:shd w:val="clear" w:color="auto" w:fill="DDDDDD"/>
          </w:tcPr>
          <w:p>
            <w:pPr>
              <w:jc w:val="right"/>
              <w:spacing w:after="0"/>
              <w:rPr>
                <w:sz w:val="20"/>
                <w:szCs w:val="20"/>
                <w:color w:val="auto"/>
              </w:rPr>
            </w:pPr>
            <w:r>
              <w:rPr>
                <w:rFonts w:ascii="Times New Roman" w:cs="Times New Roman" w:eastAsia="Times New Roman" w:hAnsi="Times New Roman"/>
                <w:sz w:val="20"/>
                <w:szCs w:val="20"/>
                <w:color w:val="auto"/>
              </w:rPr>
              <w:t>8,076</w:t>
            </w:r>
          </w:p>
        </w:tc>
        <w:tc>
          <w:tcPr>
            <w:tcW w:w="40" w:type="dxa"/>
            <w:vAlign w:val="bottom"/>
            <w:shd w:val="clear" w:color="auto" w:fill="DDDDDD"/>
          </w:tcPr>
          <w:p>
            <w:pPr>
              <w:spacing w:after="0"/>
              <w:rPr>
                <w:sz w:val="24"/>
                <w:szCs w:val="24"/>
                <w:color w:val="auto"/>
              </w:rPr>
            </w:pPr>
          </w:p>
        </w:tc>
        <w:tc>
          <w:tcPr>
            <w:tcW w:w="20" w:type="dxa"/>
            <w:vAlign w:val="bottom"/>
            <w:shd w:val="clear" w:color="auto" w:fill="DDDDDD"/>
          </w:tcPr>
          <w:p>
            <w:pPr>
              <w:spacing w:after="0"/>
              <w:rPr>
                <w:sz w:val="24"/>
                <w:szCs w:val="24"/>
                <w:color w:val="auto"/>
              </w:rPr>
            </w:pPr>
          </w:p>
        </w:tc>
        <w:tc>
          <w:tcPr>
            <w:tcW w:w="520" w:type="dxa"/>
            <w:vAlign w:val="bottom"/>
            <w:tcBorders>
              <w:bottom w:val="single" w:sz="8" w:color="auto"/>
            </w:tcBorders>
            <w:shd w:val="clear" w:color="auto" w:fill="DDDDDD"/>
          </w:tcPr>
          <w:p>
            <w:pPr>
              <w:spacing w:after="0"/>
              <w:rPr>
                <w:sz w:val="24"/>
                <w:szCs w:val="24"/>
                <w:color w:val="auto"/>
              </w:rPr>
            </w:pPr>
          </w:p>
        </w:tc>
        <w:tc>
          <w:tcPr>
            <w:tcW w:w="1180" w:type="dxa"/>
            <w:vAlign w:val="bottom"/>
            <w:tcBorders>
              <w:bottom w:val="single" w:sz="8" w:color="auto"/>
            </w:tcBorders>
            <w:shd w:val="clear" w:color="auto" w:fill="DDDDDD"/>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0" w:type="dxa"/>
            <w:vAlign w:val="bottom"/>
          </w:tcPr>
          <w:p>
            <w:pPr>
              <w:spacing w:after="0"/>
              <w:rPr>
                <w:sz w:val="1"/>
                <w:szCs w:val="1"/>
                <w:color w:val="auto"/>
              </w:rPr>
            </w:pPr>
          </w:p>
        </w:tc>
      </w:tr>
      <w:tr>
        <w:trPr>
          <w:trHeight w:val="282"/>
        </w:trPr>
        <w:tc>
          <w:tcPr>
            <w:tcW w:w="5040" w:type="dxa"/>
            <w:vAlign w:val="bottom"/>
            <w:gridSpan w:val="2"/>
          </w:tcPr>
          <w:p>
            <w:pPr>
              <w:ind w:left="40"/>
              <w:spacing w:after="0"/>
              <w:rPr>
                <w:sz w:val="20"/>
                <w:szCs w:val="20"/>
                <w:color w:val="auto"/>
              </w:rPr>
            </w:pPr>
            <w:r>
              <w:rPr>
                <w:rFonts w:ascii="Times New Roman" w:cs="Times New Roman" w:eastAsia="Times New Roman" w:hAnsi="Times New Roman"/>
                <w:sz w:val="20"/>
                <w:szCs w:val="20"/>
                <w:color w:val="auto"/>
              </w:rPr>
              <w:t>Adjusted EBITDA</w:t>
            </w:r>
          </w:p>
        </w:tc>
        <w:tc>
          <w:tcPr>
            <w:tcW w:w="600" w:type="dxa"/>
            <w:vAlign w:val="bottom"/>
          </w:tcPr>
          <w:p>
            <w:pPr>
              <w:jc w:val="right"/>
              <w:ind w:right="339"/>
              <w:spacing w:after="0"/>
              <w:rPr>
                <w:sz w:val="20"/>
                <w:szCs w:val="20"/>
                <w:color w:val="auto"/>
              </w:rPr>
            </w:pPr>
            <w:r>
              <w:rPr>
                <w:rFonts w:ascii="Times New Roman" w:cs="Times New Roman" w:eastAsia="Times New Roman" w:hAnsi="Times New Roman"/>
                <w:sz w:val="20"/>
                <w:szCs w:val="20"/>
                <w:color w:val="auto"/>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36,907</w:t>
            </w:r>
          </w:p>
        </w:tc>
        <w:tc>
          <w:tcPr>
            <w:tcW w:w="600" w:type="dxa"/>
            <w:vAlign w:val="bottom"/>
            <w:gridSpan w:val="3"/>
          </w:tcPr>
          <w:p>
            <w:pPr>
              <w:jc w:val="right"/>
              <w:ind w:right="360"/>
              <w:spacing w:after="0"/>
              <w:rPr>
                <w:sz w:val="20"/>
                <w:szCs w:val="20"/>
                <w:color w:val="auto"/>
              </w:rPr>
            </w:pPr>
            <w:r>
              <w:rPr>
                <w:rFonts w:ascii="Times New Roman" w:cs="Times New Roman" w:eastAsia="Times New Roman" w:hAnsi="Times New Roman"/>
                <w:sz w:val="20"/>
                <w:szCs w:val="20"/>
                <w:color w:val="auto"/>
              </w:rPr>
              <w:t>$</w:t>
            </w:r>
          </w:p>
        </w:tc>
        <w:tc>
          <w:tcPr>
            <w:tcW w:w="11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(9,633)</w:t>
            </w:r>
          </w:p>
        </w:tc>
        <w:tc>
          <w:tcPr>
            <w:tcW w:w="580" w:type="dxa"/>
            <w:vAlign w:val="bottom"/>
            <w:gridSpan w:val="3"/>
          </w:tcPr>
          <w:p>
            <w:pPr>
              <w:jc w:val="right"/>
              <w:ind w:right="360"/>
              <w:spacing w:after="0"/>
              <w:rPr>
                <w:sz w:val="20"/>
                <w:szCs w:val="20"/>
                <w:color w:val="auto"/>
              </w:rPr>
            </w:pPr>
            <w:r>
              <w:rPr>
                <w:rFonts w:ascii="Times New Roman" w:cs="Times New Roman" w:eastAsia="Times New Roman" w:hAnsi="Times New Roman"/>
                <w:sz w:val="20"/>
                <w:szCs w:val="20"/>
                <w:color w:val="auto"/>
              </w:rPr>
              <w:t>$</w:t>
            </w:r>
          </w:p>
        </w:tc>
        <w:tc>
          <w:tcPr>
            <w:tcW w:w="11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31,698</w:t>
            </w:r>
          </w:p>
        </w:tc>
        <w:tc>
          <w:tcPr>
            <w:tcW w:w="0" w:type="dxa"/>
            <w:vAlign w:val="bottom"/>
          </w:tcPr>
          <w:p>
            <w:pPr>
              <w:spacing w:after="0"/>
              <w:rPr>
                <w:sz w:val="1"/>
                <w:szCs w:val="1"/>
                <w:color w:val="auto"/>
              </w:rPr>
            </w:pPr>
          </w:p>
        </w:tc>
      </w:tr>
      <w:tr>
        <w:trPr>
          <w:trHeight w:val="20"/>
        </w:trPr>
        <w:tc>
          <w:tcPr>
            <w:tcW w:w="5020" w:type="dxa"/>
            <w:vAlign w:val="bottom"/>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31"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Seasonality</w:t>
      </w:r>
    </w:p>
    <w:p>
      <w:pPr>
        <w:spacing w:after="0" w:line="164" w:lineRule="exact"/>
        <w:rPr>
          <w:sz w:val="20"/>
          <w:szCs w:val="20"/>
          <w:color w:val="auto"/>
        </w:rPr>
      </w:pPr>
    </w:p>
    <w:p>
      <w:pPr>
        <w:jc w:val="both"/>
        <w:ind w:right="20"/>
        <w:spacing w:after="0" w:line="283" w:lineRule="auto"/>
        <w:rPr>
          <w:sz w:val="20"/>
          <w:szCs w:val="20"/>
          <w:color w:val="auto"/>
        </w:rPr>
      </w:pPr>
      <w:r>
        <w:rPr>
          <w:rFonts w:ascii="Times New Roman" w:cs="Times New Roman" w:eastAsia="Times New Roman" w:hAnsi="Times New Roman"/>
          <w:sz w:val="20"/>
          <w:szCs w:val="20"/>
          <w:color w:val="auto"/>
        </w:rPr>
        <w:t>The cannabis industry has certain industry holidays that in recent years have resulted in increased purchases by cannabis consumers. Such “holidays” include, but are not limited to 420, July 10</w:t>
      </w:r>
      <w:r>
        <w:rPr>
          <w:rFonts w:ascii="Times New Roman" w:cs="Times New Roman" w:eastAsia="Times New Roman" w:hAnsi="Times New Roman"/>
          <w:sz w:val="25"/>
          <w:szCs w:val="25"/>
          <w:color w:val="auto"/>
          <w:vertAlign w:val="superscript"/>
        </w:rPr>
        <w:t>th</w:t>
      </w:r>
      <w:r>
        <w:rPr>
          <w:rFonts w:ascii="Times New Roman" w:cs="Times New Roman" w:eastAsia="Times New Roman" w:hAnsi="Times New Roman"/>
          <w:sz w:val="20"/>
          <w:szCs w:val="20"/>
          <w:color w:val="auto"/>
        </w:rPr>
        <w:t xml:space="preserve"> and the Wednesday before Thanksgiving (“Green Wednesday”). Likewise, our clients will typically increase spend heading into these events. We also typically invest in marketing spend around these holidays which can create some seasonality in our sales and market expenses from quarter to quarter. While seasonality has not had a significant impact on our results in the past, our clients may experience seasonality in their businesses which in turn can impact the revenue generated from them. Our business may become more seasonal in the future and historical patterns in our business may not be a reliable indicator of future performance.</w:t>
      </w:r>
    </w:p>
    <w:p>
      <w:pPr>
        <w:spacing w:after="0" w:line="21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Liquidity and Capital Resources</w:t>
      </w:r>
    </w:p>
    <w:p>
      <w:pPr>
        <w:spacing w:after="0" w:line="157"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The following tables show our cash, accounts receivable and working capital as of the dates indicated:</w:t>
      </w:r>
    </w:p>
    <w:p>
      <w:pPr>
        <w:spacing w:after="0" w:line="203"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6800" w:type="dxa"/>
            <w:vAlign w:val="bottom"/>
          </w:tcPr>
          <w:p>
            <w:pPr>
              <w:spacing w:after="0"/>
              <w:rPr>
                <w:sz w:val="19"/>
                <w:szCs w:val="19"/>
                <w:color w:val="auto"/>
              </w:rPr>
            </w:pPr>
          </w:p>
        </w:tc>
        <w:tc>
          <w:tcPr>
            <w:tcW w:w="400" w:type="dxa"/>
            <w:vAlign w:val="bottom"/>
            <w:tcBorders>
              <w:bottom w:val="single" w:sz="8" w:color="auto"/>
            </w:tcBorders>
          </w:tcPr>
          <w:p>
            <w:pPr>
              <w:spacing w:after="0"/>
              <w:rPr>
                <w:sz w:val="19"/>
                <w:szCs w:val="19"/>
                <w:color w:val="auto"/>
              </w:rPr>
            </w:pPr>
          </w:p>
        </w:tc>
        <w:tc>
          <w:tcPr>
            <w:tcW w:w="3060" w:type="dxa"/>
            <w:vAlign w:val="bottom"/>
            <w:tcBorders>
              <w:bottom w:val="single" w:sz="8" w:color="auto"/>
            </w:tcBorders>
            <w:gridSpan w:val="4"/>
          </w:tcPr>
          <w:p>
            <w:pPr>
              <w:jc w:val="center"/>
              <w:ind w:right="319"/>
              <w:spacing w:after="0"/>
              <w:rPr>
                <w:sz w:val="20"/>
                <w:szCs w:val="20"/>
                <w:color w:val="auto"/>
              </w:rPr>
            </w:pPr>
            <w:r>
              <w:rPr>
                <w:rFonts w:ascii="Times New Roman" w:cs="Times New Roman" w:eastAsia="Times New Roman" w:hAnsi="Times New Roman"/>
                <w:sz w:val="20"/>
                <w:szCs w:val="20"/>
                <w:b w:val="1"/>
                <w:bCs w:val="1"/>
                <w:color w:val="auto"/>
                <w:w w:val="99"/>
              </w:rPr>
              <w:t>As of December 31,</w:t>
            </w:r>
          </w:p>
        </w:tc>
      </w:tr>
      <w:tr>
        <w:trPr>
          <w:trHeight w:val="218"/>
        </w:trPr>
        <w:tc>
          <w:tcPr>
            <w:tcW w:w="6800" w:type="dxa"/>
            <w:vAlign w:val="bottom"/>
          </w:tcPr>
          <w:p>
            <w:pPr>
              <w:spacing w:after="0"/>
              <w:rPr>
                <w:sz w:val="18"/>
                <w:szCs w:val="18"/>
                <w:color w:val="auto"/>
              </w:rPr>
            </w:pPr>
          </w:p>
        </w:tc>
        <w:tc>
          <w:tcPr>
            <w:tcW w:w="400" w:type="dxa"/>
            <w:vAlign w:val="bottom"/>
            <w:tcBorders>
              <w:bottom w:val="single" w:sz="8" w:color="auto"/>
            </w:tcBorders>
          </w:tcPr>
          <w:p>
            <w:pPr>
              <w:spacing w:after="0"/>
              <w:rPr>
                <w:sz w:val="18"/>
                <w:szCs w:val="18"/>
                <w:color w:val="auto"/>
              </w:rPr>
            </w:pPr>
          </w:p>
        </w:tc>
        <w:tc>
          <w:tcPr>
            <w:tcW w:w="1300" w:type="dxa"/>
            <w:vAlign w:val="bottom"/>
            <w:tcBorders>
              <w:bottom w:val="single" w:sz="8" w:color="auto"/>
            </w:tcBorders>
          </w:tcPr>
          <w:p>
            <w:pPr>
              <w:jc w:val="right"/>
              <w:ind w:right="559"/>
              <w:spacing w:after="0" w:line="204" w:lineRule="exact"/>
              <w:rPr>
                <w:sz w:val="20"/>
                <w:szCs w:val="20"/>
                <w:color w:val="auto"/>
              </w:rPr>
            </w:pPr>
            <w:r>
              <w:rPr>
                <w:rFonts w:ascii="Times New Roman" w:cs="Times New Roman" w:eastAsia="Times New Roman" w:hAnsi="Times New Roman"/>
                <w:sz w:val="20"/>
                <w:szCs w:val="20"/>
                <w:b w:val="1"/>
                <w:bCs w:val="1"/>
                <w:color w:val="auto"/>
              </w:rPr>
              <w:t>2023</w:t>
            </w:r>
          </w:p>
        </w:tc>
        <w:tc>
          <w:tcPr>
            <w:tcW w:w="60" w:type="dxa"/>
            <w:vAlign w:val="bottom"/>
          </w:tcPr>
          <w:p>
            <w:pPr>
              <w:spacing w:after="0"/>
              <w:rPr>
                <w:sz w:val="18"/>
                <w:szCs w:val="18"/>
                <w:color w:val="auto"/>
              </w:rPr>
            </w:pPr>
          </w:p>
        </w:tc>
        <w:tc>
          <w:tcPr>
            <w:tcW w:w="62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jc w:val="right"/>
              <w:ind w:right="559"/>
              <w:spacing w:after="0" w:line="204" w:lineRule="exact"/>
              <w:rPr>
                <w:sz w:val="20"/>
                <w:szCs w:val="20"/>
                <w:color w:val="auto"/>
              </w:rPr>
            </w:pPr>
            <w:r>
              <w:rPr>
                <w:rFonts w:ascii="Times New Roman" w:cs="Times New Roman" w:eastAsia="Times New Roman" w:hAnsi="Times New Roman"/>
                <w:sz w:val="20"/>
                <w:szCs w:val="20"/>
                <w:b w:val="1"/>
                <w:bCs w:val="1"/>
                <w:color w:val="auto"/>
                <w:w w:val="99"/>
              </w:rPr>
              <w:t>2022</w:t>
            </w:r>
          </w:p>
        </w:tc>
      </w:tr>
      <w:tr>
        <w:trPr>
          <w:trHeight w:val="218"/>
        </w:trPr>
        <w:tc>
          <w:tcPr>
            <w:tcW w:w="68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980" w:type="dxa"/>
            <w:vAlign w:val="bottom"/>
            <w:gridSpan w:val="3"/>
          </w:tcPr>
          <w:p>
            <w:pPr>
              <w:jc w:val="center"/>
              <w:ind w:left="579"/>
              <w:spacing w:after="0" w:line="204" w:lineRule="exact"/>
              <w:rPr>
                <w:sz w:val="20"/>
                <w:szCs w:val="20"/>
                <w:color w:val="auto"/>
              </w:rPr>
            </w:pPr>
            <w:r>
              <w:rPr>
                <w:rFonts w:ascii="Times New Roman" w:cs="Times New Roman" w:eastAsia="Times New Roman" w:hAnsi="Times New Roman"/>
                <w:sz w:val="20"/>
                <w:szCs w:val="20"/>
                <w:b w:val="1"/>
                <w:bCs w:val="1"/>
                <w:color w:val="auto"/>
              </w:rPr>
              <w:t>(in thousands)</w:t>
            </w:r>
          </w:p>
        </w:tc>
        <w:tc>
          <w:tcPr>
            <w:tcW w:w="1080" w:type="dxa"/>
            <w:vAlign w:val="bottom"/>
          </w:tcPr>
          <w:p>
            <w:pPr>
              <w:spacing w:after="0"/>
              <w:rPr>
                <w:sz w:val="18"/>
                <w:szCs w:val="18"/>
                <w:color w:val="auto"/>
              </w:rPr>
            </w:pPr>
          </w:p>
        </w:tc>
      </w:tr>
      <w:tr>
        <w:trPr>
          <w:trHeight w:val="288"/>
        </w:trPr>
        <w:tc>
          <w:tcPr>
            <w:tcW w:w="6800" w:type="dxa"/>
            <w:vAlign w:val="bottom"/>
            <w:shd w:val="clear" w:color="auto" w:fill="DDDDDD"/>
          </w:tcPr>
          <w:p>
            <w:pPr>
              <w:ind w:left="40"/>
              <w:spacing w:after="0"/>
              <w:rPr>
                <w:sz w:val="20"/>
                <w:szCs w:val="20"/>
                <w:color w:val="auto"/>
              </w:rPr>
            </w:pPr>
            <w:r>
              <w:rPr>
                <w:rFonts w:ascii="Times New Roman" w:cs="Times New Roman" w:eastAsia="Times New Roman" w:hAnsi="Times New Roman"/>
                <w:sz w:val="20"/>
                <w:szCs w:val="20"/>
                <w:color w:val="auto"/>
              </w:rPr>
              <w:t>Cash</w:t>
            </w:r>
          </w:p>
        </w:tc>
        <w:tc>
          <w:tcPr>
            <w:tcW w:w="400" w:type="dxa"/>
            <w:vAlign w:val="bottom"/>
            <w:shd w:val="clear" w:color="auto" w:fill="DDDDDD"/>
          </w:tcPr>
          <w:p>
            <w:pPr>
              <w:jc w:val="right"/>
              <w:ind w:right="139"/>
              <w:spacing w:after="0"/>
              <w:rPr>
                <w:sz w:val="20"/>
                <w:szCs w:val="20"/>
                <w:color w:val="auto"/>
              </w:rPr>
            </w:pPr>
            <w:r>
              <w:rPr>
                <w:rFonts w:ascii="Times New Roman" w:cs="Times New Roman" w:eastAsia="Times New Roman" w:hAnsi="Times New Roman"/>
                <w:sz w:val="20"/>
                <w:szCs w:val="20"/>
                <w:color w:val="auto"/>
              </w:rPr>
              <w:t>$</w:t>
            </w:r>
          </w:p>
        </w:tc>
        <w:tc>
          <w:tcPr>
            <w:tcW w:w="1300" w:type="dxa"/>
            <w:vAlign w:val="bottom"/>
            <w:shd w:val="clear" w:color="auto" w:fill="DDDDDD"/>
          </w:tcPr>
          <w:p>
            <w:pPr>
              <w:ind w:left="680"/>
              <w:spacing w:after="0"/>
              <w:rPr>
                <w:sz w:val="20"/>
                <w:szCs w:val="20"/>
                <w:color w:val="auto"/>
              </w:rPr>
            </w:pPr>
            <w:r>
              <w:rPr>
                <w:rFonts w:ascii="Times New Roman" w:cs="Times New Roman" w:eastAsia="Times New Roman" w:hAnsi="Times New Roman"/>
                <w:sz w:val="20"/>
                <w:szCs w:val="20"/>
                <w:color w:val="auto"/>
              </w:rPr>
              <w:t>34,350</w:t>
            </w:r>
          </w:p>
        </w:tc>
        <w:tc>
          <w:tcPr>
            <w:tcW w:w="60" w:type="dxa"/>
            <w:vAlign w:val="bottom"/>
            <w:shd w:val="clear" w:color="auto" w:fill="DDDDDD"/>
          </w:tcPr>
          <w:p>
            <w:pPr>
              <w:spacing w:after="0"/>
              <w:rPr>
                <w:sz w:val="24"/>
                <w:szCs w:val="24"/>
                <w:color w:val="auto"/>
              </w:rPr>
            </w:pPr>
          </w:p>
        </w:tc>
        <w:tc>
          <w:tcPr>
            <w:tcW w:w="620" w:type="dxa"/>
            <w:vAlign w:val="bottom"/>
            <w:shd w:val="clear" w:color="auto" w:fill="DDDDDD"/>
          </w:tcPr>
          <w:p>
            <w:pPr>
              <w:jc w:val="right"/>
              <w:ind w:right="359"/>
              <w:spacing w:after="0"/>
              <w:rPr>
                <w:sz w:val="20"/>
                <w:szCs w:val="20"/>
                <w:color w:val="auto"/>
              </w:rPr>
            </w:pPr>
            <w:r>
              <w:rPr>
                <w:rFonts w:ascii="Times New Roman" w:cs="Times New Roman" w:eastAsia="Times New Roman" w:hAnsi="Times New Roman"/>
                <w:sz w:val="20"/>
                <w:szCs w:val="20"/>
                <w:color w:val="auto"/>
              </w:rPr>
              <w:t>$</w:t>
            </w:r>
          </w:p>
        </w:tc>
        <w:tc>
          <w:tcPr>
            <w:tcW w:w="1080" w:type="dxa"/>
            <w:vAlign w:val="bottom"/>
            <w:shd w:val="clear" w:color="auto" w:fill="DDDDDD"/>
          </w:tcPr>
          <w:p>
            <w:pPr>
              <w:jc w:val="right"/>
              <w:spacing w:after="0"/>
              <w:rPr>
                <w:sz w:val="20"/>
                <w:szCs w:val="20"/>
                <w:color w:val="auto"/>
              </w:rPr>
            </w:pPr>
            <w:r>
              <w:rPr>
                <w:rFonts w:ascii="Times New Roman" w:cs="Times New Roman" w:eastAsia="Times New Roman" w:hAnsi="Times New Roman"/>
                <w:sz w:val="20"/>
                <w:szCs w:val="20"/>
                <w:color w:val="auto"/>
              </w:rPr>
              <w:t>28,583</w:t>
            </w:r>
          </w:p>
        </w:tc>
      </w:tr>
      <w:tr>
        <w:trPr>
          <w:trHeight w:val="288"/>
        </w:trPr>
        <w:tc>
          <w:tcPr>
            <w:tcW w:w="6800" w:type="dxa"/>
            <w:vAlign w:val="bottom"/>
          </w:tcPr>
          <w:p>
            <w:pPr>
              <w:ind w:left="40"/>
              <w:spacing w:after="0"/>
              <w:rPr>
                <w:sz w:val="20"/>
                <w:szCs w:val="20"/>
                <w:color w:val="auto"/>
              </w:rPr>
            </w:pPr>
            <w:r>
              <w:rPr>
                <w:rFonts w:ascii="Times New Roman" w:cs="Times New Roman" w:eastAsia="Times New Roman" w:hAnsi="Times New Roman"/>
                <w:sz w:val="20"/>
                <w:szCs w:val="20"/>
                <w:color w:val="auto"/>
              </w:rPr>
              <w:t>Accounts receivable, net</w:t>
            </w:r>
          </w:p>
        </w:tc>
        <w:tc>
          <w:tcPr>
            <w:tcW w:w="400" w:type="dxa"/>
            <w:vAlign w:val="bottom"/>
          </w:tcPr>
          <w:p>
            <w:pPr>
              <w:jc w:val="right"/>
              <w:ind w:right="139"/>
              <w:spacing w:after="0"/>
              <w:rPr>
                <w:sz w:val="20"/>
                <w:szCs w:val="20"/>
                <w:color w:val="auto"/>
              </w:rPr>
            </w:pPr>
            <w:r>
              <w:rPr>
                <w:rFonts w:ascii="Times New Roman" w:cs="Times New Roman" w:eastAsia="Times New Roman" w:hAnsi="Times New Roman"/>
                <w:sz w:val="20"/>
                <w:szCs w:val="20"/>
                <w:color w:val="auto"/>
              </w:rPr>
              <w:t>$</w:t>
            </w:r>
          </w:p>
        </w:tc>
        <w:tc>
          <w:tcPr>
            <w:tcW w:w="1300" w:type="dxa"/>
            <w:vAlign w:val="bottom"/>
          </w:tcPr>
          <w:p>
            <w:pPr>
              <w:ind w:left="680"/>
              <w:spacing w:after="0"/>
              <w:rPr>
                <w:sz w:val="20"/>
                <w:szCs w:val="20"/>
                <w:color w:val="auto"/>
              </w:rPr>
            </w:pPr>
            <w:r>
              <w:rPr>
                <w:rFonts w:ascii="Times New Roman" w:cs="Times New Roman" w:eastAsia="Times New Roman" w:hAnsi="Times New Roman"/>
                <w:sz w:val="20"/>
                <w:szCs w:val="20"/>
                <w:color w:val="auto"/>
              </w:rPr>
              <w:t>11,158</w:t>
            </w:r>
          </w:p>
        </w:tc>
        <w:tc>
          <w:tcPr>
            <w:tcW w:w="680" w:type="dxa"/>
            <w:vAlign w:val="bottom"/>
            <w:gridSpan w:val="2"/>
          </w:tcPr>
          <w:p>
            <w:pPr>
              <w:jc w:val="right"/>
              <w:ind w:right="359"/>
              <w:spacing w:after="0"/>
              <w:rPr>
                <w:sz w:val="20"/>
                <w:szCs w:val="20"/>
                <w:color w:val="auto"/>
              </w:rPr>
            </w:pPr>
            <w:r>
              <w:rPr>
                <w:rFonts w:ascii="Times New Roman" w:cs="Times New Roman" w:eastAsia="Times New Roman" w:hAnsi="Times New Roman"/>
                <w:sz w:val="20"/>
                <w:szCs w:val="20"/>
                <w:color w:val="auto"/>
              </w:rPr>
              <w:t>$</w:t>
            </w:r>
          </w:p>
        </w:tc>
        <w:tc>
          <w:tcPr>
            <w:tcW w:w="10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17,438</w:t>
            </w:r>
          </w:p>
        </w:tc>
      </w:tr>
      <w:tr>
        <w:trPr>
          <w:trHeight w:val="281"/>
        </w:trPr>
        <w:tc>
          <w:tcPr>
            <w:tcW w:w="6800" w:type="dxa"/>
            <w:vAlign w:val="bottom"/>
            <w:shd w:val="clear" w:color="auto" w:fill="DDDDDD"/>
          </w:tcPr>
          <w:p>
            <w:pPr>
              <w:ind w:left="40"/>
              <w:spacing w:after="0"/>
              <w:rPr>
                <w:sz w:val="20"/>
                <w:szCs w:val="20"/>
                <w:color w:val="auto"/>
              </w:rPr>
            </w:pPr>
            <w:r>
              <w:rPr>
                <w:rFonts w:ascii="Times New Roman" w:cs="Times New Roman" w:eastAsia="Times New Roman" w:hAnsi="Times New Roman"/>
                <w:sz w:val="20"/>
                <w:szCs w:val="20"/>
                <w:color w:val="auto"/>
              </w:rPr>
              <w:t>Working capital</w:t>
            </w:r>
          </w:p>
        </w:tc>
        <w:tc>
          <w:tcPr>
            <w:tcW w:w="400" w:type="dxa"/>
            <w:vAlign w:val="bottom"/>
            <w:shd w:val="clear" w:color="auto" w:fill="DDDDDD"/>
          </w:tcPr>
          <w:p>
            <w:pPr>
              <w:jc w:val="right"/>
              <w:ind w:right="139"/>
              <w:spacing w:after="0"/>
              <w:rPr>
                <w:sz w:val="20"/>
                <w:szCs w:val="20"/>
                <w:color w:val="auto"/>
              </w:rPr>
            </w:pPr>
            <w:r>
              <w:rPr>
                <w:rFonts w:ascii="Times New Roman" w:cs="Times New Roman" w:eastAsia="Times New Roman" w:hAnsi="Times New Roman"/>
                <w:sz w:val="20"/>
                <w:szCs w:val="20"/>
                <w:color w:val="auto"/>
              </w:rPr>
              <w:t>$</w:t>
            </w:r>
          </w:p>
        </w:tc>
        <w:tc>
          <w:tcPr>
            <w:tcW w:w="1300" w:type="dxa"/>
            <w:vAlign w:val="bottom"/>
            <w:shd w:val="clear" w:color="auto" w:fill="DDDDDD"/>
          </w:tcPr>
          <w:p>
            <w:pPr>
              <w:ind w:left="680"/>
              <w:spacing w:after="0"/>
              <w:rPr>
                <w:sz w:val="20"/>
                <w:szCs w:val="20"/>
                <w:color w:val="auto"/>
              </w:rPr>
            </w:pPr>
            <w:r>
              <w:rPr>
                <w:rFonts w:ascii="Times New Roman" w:cs="Times New Roman" w:eastAsia="Times New Roman" w:hAnsi="Times New Roman"/>
                <w:sz w:val="20"/>
                <w:szCs w:val="20"/>
                <w:color w:val="auto"/>
              </w:rPr>
              <w:t>17,771</w:t>
            </w:r>
          </w:p>
        </w:tc>
        <w:tc>
          <w:tcPr>
            <w:tcW w:w="60" w:type="dxa"/>
            <w:vAlign w:val="bottom"/>
            <w:shd w:val="clear" w:color="auto" w:fill="DDDDDD"/>
          </w:tcPr>
          <w:p>
            <w:pPr>
              <w:spacing w:after="0"/>
              <w:rPr>
                <w:sz w:val="24"/>
                <w:szCs w:val="24"/>
                <w:color w:val="auto"/>
              </w:rPr>
            </w:pPr>
          </w:p>
        </w:tc>
        <w:tc>
          <w:tcPr>
            <w:tcW w:w="620" w:type="dxa"/>
            <w:vAlign w:val="bottom"/>
            <w:shd w:val="clear" w:color="auto" w:fill="DDDDDD"/>
          </w:tcPr>
          <w:p>
            <w:pPr>
              <w:jc w:val="right"/>
              <w:ind w:right="359"/>
              <w:spacing w:after="0"/>
              <w:rPr>
                <w:sz w:val="20"/>
                <w:szCs w:val="20"/>
                <w:color w:val="auto"/>
              </w:rPr>
            </w:pPr>
            <w:r>
              <w:rPr>
                <w:rFonts w:ascii="Times New Roman" w:cs="Times New Roman" w:eastAsia="Times New Roman" w:hAnsi="Times New Roman"/>
                <w:sz w:val="20"/>
                <w:szCs w:val="20"/>
                <w:color w:val="auto"/>
              </w:rPr>
              <w:t>$</w:t>
            </w:r>
          </w:p>
        </w:tc>
        <w:tc>
          <w:tcPr>
            <w:tcW w:w="1080" w:type="dxa"/>
            <w:vAlign w:val="bottom"/>
            <w:shd w:val="clear" w:color="auto" w:fill="DDDDDD"/>
          </w:tcPr>
          <w:p>
            <w:pPr>
              <w:jc w:val="right"/>
              <w:spacing w:after="0"/>
              <w:rPr>
                <w:sz w:val="20"/>
                <w:szCs w:val="20"/>
                <w:color w:val="auto"/>
              </w:rPr>
            </w:pPr>
            <w:r>
              <w:rPr>
                <w:rFonts w:ascii="Times New Roman" w:cs="Times New Roman" w:eastAsia="Times New Roman" w:hAnsi="Times New Roman"/>
                <w:sz w:val="20"/>
                <w:szCs w:val="20"/>
                <w:color w:val="auto"/>
              </w:rPr>
              <w:t>8,660</w:t>
            </w:r>
          </w:p>
        </w:tc>
      </w:tr>
    </w:tbl>
    <w:p>
      <w:pPr>
        <w:spacing w:after="0" w:line="100" w:lineRule="exact"/>
        <w:rPr>
          <w:sz w:val="20"/>
          <w:szCs w:val="20"/>
          <w:color w:val="auto"/>
        </w:rPr>
      </w:pPr>
    </w:p>
    <w:p>
      <w:pPr>
        <w:jc w:val="both"/>
        <w:ind w:right="20"/>
        <w:spacing w:after="0" w:line="309" w:lineRule="auto"/>
        <w:rPr>
          <w:sz w:val="20"/>
          <w:szCs w:val="20"/>
          <w:color w:val="auto"/>
        </w:rPr>
      </w:pPr>
      <w:r>
        <w:rPr>
          <w:rFonts w:ascii="Times New Roman" w:cs="Times New Roman" w:eastAsia="Times New Roman" w:hAnsi="Times New Roman"/>
          <w:sz w:val="19"/>
          <w:szCs w:val="19"/>
          <w:color w:val="auto"/>
        </w:rPr>
        <w:t>As of December 31, 2023 and December 31, 2022, we had cash of $34.4 million and $28.6 million, respectively. Our funds are being used for funding our current operations and potential strategic acquisitions in the future. We also intend to increase our capital expenditures to support the organic growth in our business and operations. We expect to fund our liquidity requirements from cash and working capital on hand at December 31, 2023, as well as from cash provided by operating activities. We believe that our existing cash and cash generated from operations will be sufficient to meet our anticipated cash needs for at least the next 12 months. However, our liquidity assumptions may prove to be incorrect, and we could exhaust our available financial resources sooner than we currently expect. We may seek to raise additional funds at any time through equity, equity-linked or debt financing arrangements. Our future capital requirements and the adequacy of available funds will depend on many factors. We may not be able to secure additional financing to meet our operating requirements on acceptable terms, or at all.</w:t>
      </w:r>
    </w:p>
    <w:p>
      <w:pPr>
        <w:spacing w:after="0" w:line="69"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Sources of Liquidity</w:t>
      </w:r>
    </w:p>
    <w:p>
      <w:pPr>
        <w:spacing w:after="0" w:line="164"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We primarily finance our operations and capital expenditures through cash flows generated by operations.</w:t>
      </w:r>
    </w:p>
    <w:p>
      <w:pPr>
        <w:spacing w:after="0" w:line="166" w:lineRule="exact"/>
        <w:rPr>
          <w:sz w:val="20"/>
          <w:szCs w:val="20"/>
          <w:color w:val="auto"/>
        </w:rPr>
      </w:pPr>
    </w:p>
    <w:p>
      <w:pPr>
        <w:jc w:val="both"/>
        <w:spacing w:after="0" w:line="321" w:lineRule="auto"/>
        <w:rPr>
          <w:sz w:val="20"/>
          <w:szCs w:val="20"/>
          <w:color w:val="auto"/>
        </w:rPr>
      </w:pPr>
      <w:r>
        <w:rPr>
          <w:rFonts w:ascii="Times New Roman" w:cs="Times New Roman" w:eastAsia="Times New Roman" w:hAnsi="Times New Roman"/>
          <w:sz w:val="19"/>
          <w:szCs w:val="19"/>
          <w:color w:val="auto"/>
        </w:rPr>
        <w:t>To the extent existing cash and investments and cash from operations are not sufficient to fund future activities, we may need to raise additional funds. We may seek to raise additional funds through equity, equity-linked or debt financings. If we raise additional funds through the incurrence of indebtedness, such indebtedness may have rights that are senior to holders of our equity securities and could contain covenants that restrict operations. Any additional equity financing may be dilutive to stockholders.</w:t>
      </w:r>
    </w:p>
    <w:p>
      <w:pPr>
        <w:spacing w:after="0" w:line="200" w:lineRule="exact"/>
        <w:rPr>
          <w:sz w:val="20"/>
          <w:szCs w:val="20"/>
          <w:color w:val="auto"/>
        </w:rPr>
      </w:pPr>
    </w:p>
    <w:p>
      <w:pPr>
        <w:spacing w:after="0" w:line="316"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20"/>
          <w:szCs w:val="20"/>
          <w:color w:val="auto"/>
        </w:rPr>
        <w:t>67</w:t>
      </w:r>
    </w:p>
    <w:p>
      <w:pPr>
        <w:sectPr>
          <w:pgSz w:w="12240" w:h="15840" w:orient="portrait"/>
          <w:cols w:equalWidth="0" w:num="1">
            <w:col w:w="10260"/>
          </w:cols>
          <w:pgMar w:left="1000" w:top="887" w:right="980" w:bottom="222" w:gutter="0" w:footer="0" w:header="0"/>
        </w:sectPr>
      </w:pPr>
    </w:p>
    <w:bookmarkStart w:id="71" w:name="page72"/>
    <w:bookmarkEnd w:id="71"/>
    <w:p>
      <w:pPr>
        <w:jc w:val="both"/>
        <w:spacing w:after="0" w:line="326" w:lineRule="auto"/>
        <w:rPr>
          <w:sz w:val="20"/>
          <w:szCs w:val="20"/>
          <w:color w:val="auto"/>
        </w:rPr>
      </w:pPr>
      <w:r>
        <w:rPr>
          <w:rFonts w:ascii="Times New Roman" w:cs="Times New Roman" w:eastAsia="Times New Roman" w:hAnsi="Times New Roman"/>
          <w:sz w:val="20"/>
          <w:szCs w:val="20"/>
          <w:color w:val="auto"/>
        </w:rPr>
        <w:t>We may enter into investment or acquisition transactions in the future, which could require us to seek additional equity financing, incur indebtedness, or use cash resources.</w:t>
      </w:r>
    </w:p>
    <w:p>
      <w:pPr>
        <w:spacing w:after="0" w:line="47" w:lineRule="exact"/>
        <w:rPr>
          <w:sz w:val="20"/>
          <w:szCs w:val="20"/>
          <w:color w:val="auto"/>
        </w:rPr>
      </w:pPr>
    </w:p>
    <w:tbl>
      <w:tblPr>
        <w:tblLayout w:type="fixed"/>
        <w:tblInd w:w="0" w:type="dxa"/>
        <w:tblCellMar>
          <w:top w:w="0" w:type="dxa"/>
          <w:left w:w="0" w:type="dxa"/>
          <w:bottom w:w="0" w:type="dxa"/>
          <w:right w:w="0" w:type="dxa"/>
        </w:tblCellMar>
      </w:tblPr>
      <w:tr>
        <w:trPr>
          <w:trHeight w:val="268"/>
        </w:trPr>
        <w:tc>
          <w:tcPr>
            <w:tcW w:w="5040" w:type="dxa"/>
            <w:vAlign w:val="bottom"/>
          </w:tcPr>
          <w:p>
            <w:pPr>
              <w:spacing w:after="0"/>
              <w:rPr>
                <w:sz w:val="20"/>
                <w:szCs w:val="20"/>
                <w:color w:val="auto"/>
              </w:rPr>
            </w:pPr>
            <w:r>
              <w:rPr>
                <w:rFonts w:ascii="Times New Roman" w:cs="Times New Roman" w:eastAsia="Times New Roman" w:hAnsi="Times New Roman"/>
                <w:sz w:val="20"/>
                <w:szCs w:val="20"/>
                <w:b w:val="1"/>
                <w:bCs w:val="1"/>
                <w:i w:val="1"/>
                <w:iCs w:val="1"/>
                <w:color w:val="auto"/>
              </w:rPr>
              <w:t>Cash Flows</w:t>
            </w:r>
          </w:p>
        </w:tc>
        <w:tc>
          <w:tcPr>
            <w:tcW w:w="420" w:type="dxa"/>
            <w:vAlign w:val="bottom"/>
          </w:tcPr>
          <w:p>
            <w:pPr>
              <w:spacing w:after="0"/>
              <w:rPr>
                <w:sz w:val="23"/>
                <w:szCs w:val="23"/>
                <w:color w:val="auto"/>
              </w:rPr>
            </w:pPr>
          </w:p>
        </w:tc>
        <w:tc>
          <w:tcPr>
            <w:tcW w:w="128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150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440" w:type="dxa"/>
            <w:vAlign w:val="bottom"/>
          </w:tcPr>
          <w:p>
            <w:pPr>
              <w:spacing w:after="0"/>
              <w:rPr>
                <w:sz w:val="23"/>
                <w:szCs w:val="23"/>
                <w:color w:val="auto"/>
              </w:rPr>
            </w:pPr>
          </w:p>
        </w:tc>
        <w:tc>
          <w:tcPr>
            <w:tcW w:w="1260" w:type="dxa"/>
            <w:vAlign w:val="bottom"/>
          </w:tcPr>
          <w:p>
            <w:pPr>
              <w:spacing w:after="0"/>
              <w:rPr>
                <w:sz w:val="23"/>
                <w:szCs w:val="23"/>
                <w:color w:val="auto"/>
              </w:rPr>
            </w:pPr>
          </w:p>
        </w:tc>
      </w:tr>
      <w:tr>
        <w:trPr>
          <w:trHeight w:val="437"/>
        </w:trPr>
        <w:tc>
          <w:tcPr>
            <w:tcW w:w="5040" w:type="dxa"/>
            <w:vAlign w:val="bottom"/>
          </w:tcPr>
          <w:p>
            <w:pPr>
              <w:spacing w:after="0"/>
              <w:rPr>
                <w:sz w:val="24"/>
                <w:szCs w:val="24"/>
                <w:color w:val="auto"/>
              </w:rPr>
            </w:pPr>
          </w:p>
        </w:tc>
        <w:tc>
          <w:tcPr>
            <w:tcW w:w="420" w:type="dxa"/>
            <w:vAlign w:val="bottom"/>
            <w:tcBorders>
              <w:bottom w:val="single" w:sz="8" w:color="auto"/>
            </w:tcBorders>
          </w:tcPr>
          <w:p>
            <w:pPr>
              <w:spacing w:after="0"/>
              <w:rPr>
                <w:sz w:val="24"/>
                <w:szCs w:val="24"/>
                <w:color w:val="auto"/>
              </w:rPr>
            </w:pPr>
          </w:p>
        </w:tc>
        <w:tc>
          <w:tcPr>
            <w:tcW w:w="3540" w:type="dxa"/>
            <w:vAlign w:val="bottom"/>
            <w:tcBorders>
              <w:bottom w:val="single" w:sz="8" w:color="auto"/>
            </w:tcBorders>
            <w:gridSpan w:val="6"/>
          </w:tcPr>
          <w:p>
            <w:pPr>
              <w:jc w:val="center"/>
              <w:ind w:left="739"/>
              <w:spacing w:after="0"/>
              <w:rPr>
                <w:sz w:val="20"/>
                <w:szCs w:val="20"/>
                <w:color w:val="auto"/>
              </w:rPr>
            </w:pPr>
            <w:r>
              <w:rPr>
                <w:rFonts w:ascii="Times New Roman" w:cs="Times New Roman" w:eastAsia="Times New Roman" w:hAnsi="Times New Roman"/>
                <w:sz w:val="20"/>
                <w:szCs w:val="20"/>
                <w:b w:val="1"/>
                <w:bCs w:val="1"/>
                <w:color w:val="auto"/>
                <w:w w:val="99"/>
              </w:rPr>
              <w:t>Years Ended December 31,</w:t>
            </w:r>
          </w:p>
        </w:tc>
        <w:tc>
          <w:tcPr>
            <w:tcW w:w="1260" w:type="dxa"/>
            <w:vAlign w:val="bottom"/>
            <w:tcBorders>
              <w:bottom w:val="single" w:sz="8" w:color="auto"/>
            </w:tcBorders>
          </w:tcPr>
          <w:p>
            <w:pPr>
              <w:spacing w:after="0"/>
              <w:rPr>
                <w:sz w:val="24"/>
                <w:szCs w:val="24"/>
                <w:color w:val="auto"/>
              </w:rPr>
            </w:pPr>
          </w:p>
        </w:tc>
      </w:tr>
      <w:tr>
        <w:trPr>
          <w:trHeight w:val="261"/>
        </w:trPr>
        <w:tc>
          <w:tcPr>
            <w:tcW w:w="5040" w:type="dxa"/>
            <w:vAlign w:val="bottom"/>
          </w:tcPr>
          <w:p>
            <w:pPr>
              <w:spacing w:after="0"/>
              <w:rPr>
                <w:sz w:val="22"/>
                <w:szCs w:val="22"/>
                <w:color w:val="auto"/>
              </w:rPr>
            </w:pPr>
          </w:p>
        </w:tc>
        <w:tc>
          <w:tcPr>
            <w:tcW w:w="420" w:type="dxa"/>
            <w:vAlign w:val="bottom"/>
            <w:tcBorders>
              <w:bottom w:val="single" w:sz="8" w:color="auto"/>
            </w:tcBorders>
          </w:tcPr>
          <w:p>
            <w:pPr>
              <w:spacing w:after="0"/>
              <w:rPr>
                <w:sz w:val="22"/>
                <w:szCs w:val="22"/>
                <w:color w:val="auto"/>
              </w:rPr>
            </w:pPr>
          </w:p>
        </w:tc>
        <w:tc>
          <w:tcPr>
            <w:tcW w:w="1280" w:type="dxa"/>
            <w:vAlign w:val="bottom"/>
            <w:tcBorders>
              <w:bottom w:val="single" w:sz="8" w:color="auto"/>
            </w:tcBorders>
          </w:tcPr>
          <w:p>
            <w:pPr>
              <w:jc w:val="right"/>
              <w:ind w:right="539"/>
              <w:spacing w:after="0"/>
              <w:rPr>
                <w:sz w:val="20"/>
                <w:szCs w:val="20"/>
                <w:color w:val="auto"/>
              </w:rPr>
            </w:pPr>
            <w:r>
              <w:rPr>
                <w:rFonts w:ascii="Times New Roman" w:cs="Times New Roman" w:eastAsia="Times New Roman" w:hAnsi="Times New Roman"/>
                <w:sz w:val="20"/>
                <w:szCs w:val="20"/>
                <w:b w:val="1"/>
                <w:bCs w:val="1"/>
                <w:color w:val="auto"/>
              </w:rPr>
              <w:t>2023</w:t>
            </w:r>
          </w:p>
        </w:tc>
        <w:tc>
          <w:tcPr>
            <w:tcW w:w="60" w:type="dxa"/>
            <w:vAlign w:val="bottom"/>
          </w:tcPr>
          <w:p>
            <w:pPr>
              <w:spacing w:after="0"/>
              <w:rPr>
                <w:sz w:val="22"/>
                <w:szCs w:val="22"/>
                <w:color w:val="auto"/>
              </w:rPr>
            </w:pPr>
          </w:p>
        </w:tc>
        <w:tc>
          <w:tcPr>
            <w:tcW w:w="200" w:type="dxa"/>
            <w:vAlign w:val="bottom"/>
            <w:tcBorders>
              <w:bottom w:val="single" w:sz="8" w:color="auto"/>
            </w:tcBorders>
          </w:tcPr>
          <w:p>
            <w:pPr>
              <w:spacing w:after="0"/>
              <w:rPr>
                <w:sz w:val="22"/>
                <w:szCs w:val="22"/>
                <w:color w:val="auto"/>
              </w:rPr>
            </w:pPr>
          </w:p>
        </w:tc>
        <w:tc>
          <w:tcPr>
            <w:tcW w:w="1500" w:type="dxa"/>
            <w:vAlign w:val="bottom"/>
            <w:tcBorders>
              <w:bottom w:val="single" w:sz="8" w:color="auto"/>
            </w:tcBorders>
          </w:tcPr>
          <w:p>
            <w:pPr>
              <w:jc w:val="center"/>
              <w:ind w:right="119"/>
              <w:spacing w:after="0"/>
              <w:rPr>
                <w:sz w:val="20"/>
                <w:szCs w:val="20"/>
                <w:color w:val="auto"/>
              </w:rPr>
            </w:pPr>
            <w:r>
              <w:rPr>
                <w:rFonts w:ascii="Times New Roman" w:cs="Times New Roman" w:eastAsia="Times New Roman" w:hAnsi="Times New Roman"/>
                <w:sz w:val="20"/>
                <w:szCs w:val="20"/>
                <w:b w:val="1"/>
                <w:bCs w:val="1"/>
                <w:color w:val="auto"/>
                <w:w w:val="99"/>
              </w:rPr>
              <w:t>2022</w:t>
            </w:r>
          </w:p>
        </w:tc>
        <w:tc>
          <w:tcPr>
            <w:tcW w:w="60" w:type="dxa"/>
            <w:vAlign w:val="bottom"/>
          </w:tcPr>
          <w:p>
            <w:pPr>
              <w:spacing w:after="0"/>
              <w:rPr>
                <w:sz w:val="22"/>
                <w:szCs w:val="22"/>
                <w:color w:val="auto"/>
              </w:rPr>
            </w:pPr>
          </w:p>
        </w:tc>
        <w:tc>
          <w:tcPr>
            <w:tcW w:w="440" w:type="dxa"/>
            <w:vAlign w:val="bottom"/>
            <w:tcBorders>
              <w:bottom w:val="single" w:sz="8" w:color="auto"/>
            </w:tcBorders>
          </w:tcPr>
          <w:p>
            <w:pPr>
              <w:spacing w:after="0"/>
              <w:rPr>
                <w:sz w:val="22"/>
                <w:szCs w:val="22"/>
                <w:color w:val="auto"/>
              </w:rPr>
            </w:pPr>
          </w:p>
        </w:tc>
        <w:tc>
          <w:tcPr>
            <w:tcW w:w="1260" w:type="dxa"/>
            <w:vAlign w:val="bottom"/>
            <w:tcBorders>
              <w:bottom w:val="single" w:sz="8" w:color="auto"/>
            </w:tcBorders>
          </w:tcPr>
          <w:p>
            <w:pPr>
              <w:jc w:val="right"/>
              <w:ind w:right="559"/>
              <w:spacing w:after="0"/>
              <w:rPr>
                <w:sz w:val="20"/>
                <w:szCs w:val="20"/>
                <w:color w:val="auto"/>
              </w:rPr>
            </w:pPr>
            <w:r>
              <w:rPr>
                <w:rFonts w:ascii="Times New Roman" w:cs="Times New Roman" w:eastAsia="Times New Roman" w:hAnsi="Times New Roman"/>
                <w:sz w:val="20"/>
                <w:szCs w:val="20"/>
                <w:b w:val="1"/>
                <w:bCs w:val="1"/>
                <w:color w:val="auto"/>
              </w:rPr>
              <w:t>2021</w:t>
            </w:r>
          </w:p>
        </w:tc>
      </w:tr>
      <w:tr>
        <w:trPr>
          <w:trHeight w:val="225"/>
        </w:trPr>
        <w:tc>
          <w:tcPr>
            <w:tcW w:w="504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28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500" w:type="dxa"/>
            <w:vAlign w:val="bottom"/>
          </w:tcPr>
          <w:p>
            <w:pPr>
              <w:jc w:val="center"/>
              <w:ind w:right="99"/>
              <w:spacing w:after="0" w:line="210" w:lineRule="exact"/>
              <w:rPr>
                <w:sz w:val="20"/>
                <w:szCs w:val="20"/>
                <w:color w:val="auto"/>
              </w:rPr>
            </w:pPr>
            <w:r>
              <w:rPr>
                <w:rFonts w:ascii="Times New Roman" w:cs="Times New Roman" w:eastAsia="Times New Roman" w:hAnsi="Times New Roman"/>
                <w:sz w:val="20"/>
                <w:szCs w:val="20"/>
                <w:b w:val="1"/>
                <w:bCs w:val="1"/>
                <w:color w:val="auto"/>
              </w:rPr>
              <w:t>(in thousands)</w:t>
            </w:r>
          </w:p>
        </w:tc>
        <w:tc>
          <w:tcPr>
            <w:tcW w:w="6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260" w:type="dxa"/>
            <w:vAlign w:val="bottom"/>
          </w:tcPr>
          <w:p>
            <w:pPr>
              <w:spacing w:after="0"/>
              <w:rPr>
                <w:sz w:val="19"/>
                <w:szCs w:val="19"/>
                <w:color w:val="auto"/>
              </w:rPr>
            </w:pPr>
          </w:p>
        </w:tc>
      </w:tr>
      <w:tr>
        <w:trPr>
          <w:trHeight w:val="281"/>
        </w:trPr>
        <w:tc>
          <w:tcPr>
            <w:tcW w:w="5040" w:type="dxa"/>
            <w:vAlign w:val="bottom"/>
            <w:shd w:val="clear" w:color="auto" w:fill="DDDDDD"/>
          </w:tcPr>
          <w:p>
            <w:pPr>
              <w:ind w:left="40"/>
              <w:spacing w:after="0"/>
              <w:rPr>
                <w:sz w:val="20"/>
                <w:szCs w:val="20"/>
                <w:color w:val="auto"/>
              </w:rPr>
            </w:pPr>
            <w:r>
              <w:rPr>
                <w:rFonts w:ascii="Times New Roman" w:cs="Times New Roman" w:eastAsia="Times New Roman" w:hAnsi="Times New Roman"/>
                <w:sz w:val="20"/>
                <w:szCs w:val="20"/>
                <w:color w:val="auto"/>
              </w:rPr>
              <w:t>Net cash provided by (used in) operating activities</w:t>
            </w:r>
          </w:p>
        </w:tc>
        <w:tc>
          <w:tcPr>
            <w:tcW w:w="420" w:type="dxa"/>
            <w:vAlign w:val="bottom"/>
            <w:shd w:val="clear" w:color="auto" w:fill="DDDDDD"/>
          </w:tcPr>
          <w:p>
            <w:pPr>
              <w:jc w:val="right"/>
              <w:ind w:right="159"/>
              <w:spacing w:after="0"/>
              <w:rPr>
                <w:sz w:val="20"/>
                <w:szCs w:val="20"/>
                <w:color w:val="auto"/>
              </w:rPr>
            </w:pPr>
            <w:r>
              <w:rPr>
                <w:rFonts w:ascii="Times New Roman" w:cs="Times New Roman" w:eastAsia="Times New Roman" w:hAnsi="Times New Roman"/>
                <w:sz w:val="20"/>
                <w:szCs w:val="20"/>
                <w:color w:val="auto"/>
              </w:rPr>
              <w:t>$</w:t>
            </w:r>
          </w:p>
        </w:tc>
        <w:tc>
          <w:tcPr>
            <w:tcW w:w="1280" w:type="dxa"/>
            <w:vAlign w:val="bottom"/>
            <w:shd w:val="clear" w:color="auto" w:fill="DDDDDD"/>
          </w:tcPr>
          <w:p>
            <w:pPr>
              <w:jc w:val="right"/>
              <w:spacing w:after="0"/>
              <w:rPr>
                <w:sz w:val="20"/>
                <w:szCs w:val="20"/>
                <w:color w:val="auto"/>
              </w:rPr>
            </w:pPr>
            <w:r>
              <w:rPr>
                <w:rFonts w:ascii="Times New Roman" w:cs="Times New Roman" w:eastAsia="Times New Roman" w:hAnsi="Times New Roman"/>
                <w:sz w:val="20"/>
                <w:szCs w:val="20"/>
                <w:color w:val="auto"/>
              </w:rPr>
              <w:t>22,928</w:t>
            </w:r>
          </w:p>
        </w:tc>
        <w:tc>
          <w:tcPr>
            <w:tcW w:w="60" w:type="dxa"/>
            <w:vAlign w:val="bottom"/>
            <w:shd w:val="clear" w:color="auto" w:fill="DDDDDD"/>
          </w:tcPr>
          <w:p>
            <w:pPr>
              <w:spacing w:after="0"/>
              <w:rPr>
                <w:sz w:val="24"/>
                <w:szCs w:val="24"/>
                <w:color w:val="auto"/>
              </w:rPr>
            </w:pPr>
          </w:p>
        </w:tc>
        <w:tc>
          <w:tcPr>
            <w:tcW w:w="200" w:type="dxa"/>
            <w:vAlign w:val="bottom"/>
            <w:shd w:val="clear" w:color="auto" w:fill="DDDDDD"/>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1500" w:type="dxa"/>
            <w:vAlign w:val="bottom"/>
            <w:shd w:val="clear" w:color="auto" w:fill="DDDDDD"/>
          </w:tcPr>
          <w:p>
            <w:pPr>
              <w:jc w:val="right"/>
              <w:spacing w:after="0"/>
              <w:rPr>
                <w:sz w:val="20"/>
                <w:szCs w:val="20"/>
                <w:color w:val="auto"/>
              </w:rPr>
            </w:pPr>
            <w:r>
              <w:rPr>
                <w:rFonts w:ascii="Times New Roman" w:cs="Times New Roman" w:eastAsia="Times New Roman" w:hAnsi="Times New Roman"/>
                <w:sz w:val="20"/>
                <w:szCs w:val="20"/>
                <w:color w:val="auto"/>
              </w:rPr>
              <w:t>(11,621)</w:t>
            </w:r>
          </w:p>
        </w:tc>
        <w:tc>
          <w:tcPr>
            <w:tcW w:w="60" w:type="dxa"/>
            <w:vAlign w:val="bottom"/>
            <w:shd w:val="clear" w:color="auto" w:fill="DDDDDD"/>
          </w:tcPr>
          <w:p>
            <w:pPr>
              <w:spacing w:after="0"/>
              <w:rPr>
                <w:sz w:val="24"/>
                <w:szCs w:val="24"/>
                <w:color w:val="auto"/>
              </w:rPr>
            </w:pPr>
          </w:p>
        </w:tc>
        <w:tc>
          <w:tcPr>
            <w:tcW w:w="440" w:type="dxa"/>
            <w:vAlign w:val="bottom"/>
            <w:shd w:val="clear" w:color="auto" w:fill="DDDDDD"/>
          </w:tcPr>
          <w:p>
            <w:pPr>
              <w:jc w:val="right"/>
              <w:ind w:right="179"/>
              <w:spacing w:after="0"/>
              <w:rPr>
                <w:sz w:val="20"/>
                <w:szCs w:val="20"/>
                <w:color w:val="auto"/>
              </w:rPr>
            </w:pPr>
            <w:r>
              <w:rPr>
                <w:rFonts w:ascii="Times New Roman" w:cs="Times New Roman" w:eastAsia="Times New Roman" w:hAnsi="Times New Roman"/>
                <w:sz w:val="20"/>
                <w:szCs w:val="20"/>
                <w:color w:val="auto"/>
              </w:rPr>
              <w:t>$</w:t>
            </w:r>
          </w:p>
        </w:tc>
        <w:tc>
          <w:tcPr>
            <w:tcW w:w="1260" w:type="dxa"/>
            <w:vAlign w:val="bottom"/>
            <w:shd w:val="clear" w:color="auto" w:fill="DDDDDD"/>
          </w:tcPr>
          <w:p>
            <w:pPr>
              <w:jc w:val="center"/>
              <w:ind w:left="439"/>
              <w:spacing w:after="0"/>
              <w:rPr>
                <w:sz w:val="20"/>
                <w:szCs w:val="20"/>
                <w:color w:val="auto"/>
              </w:rPr>
            </w:pPr>
            <w:r>
              <w:rPr>
                <w:rFonts w:ascii="Times New Roman" w:cs="Times New Roman" w:eastAsia="Times New Roman" w:hAnsi="Times New Roman"/>
                <w:sz w:val="20"/>
                <w:szCs w:val="20"/>
                <w:color w:val="auto"/>
              </w:rPr>
              <w:t>30,190</w:t>
            </w:r>
          </w:p>
        </w:tc>
      </w:tr>
      <w:tr>
        <w:trPr>
          <w:trHeight w:val="288"/>
        </w:trPr>
        <w:tc>
          <w:tcPr>
            <w:tcW w:w="5040" w:type="dxa"/>
            <w:vAlign w:val="bottom"/>
          </w:tcPr>
          <w:p>
            <w:pPr>
              <w:ind w:left="40"/>
              <w:spacing w:after="0"/>
              <w:rPr>
                <w:sz w:val="20"/>
                <w:szCs w:val="20"/>
                <w:color w:val="auto"/>
              </w:rPr>
            </w:pPr>
            <w:r>
              <w:rPr>
                <w:rFonts w:ascii="Times New Roman" w:cs="Times New Roman" w:eastAsia="Times New Roman" w:hAnsi="Times New Roman"/>
                <w:sz w:val="20"/>
                <w:szCs w:val="20"/>
                <w:color w:val="auto"/>
              </w:rPr>
              <w:t>Net cash used in investing activities</w:t>
            </w:r>
          </w:p>
        </w:tc>
        <w:tc>
          <w:tcPr>
            <w:tcW w:w="420" w:type="dxa"/>
            <w:vAlign w:val="bottom"/>
          </w:tcPr>
          <w:p>
            <w:pPr>
              <w:jc w:val="right"/>
              <w:ind w:right="139"/>
              <w:spacing w:after="0"/>
              <w:rPr>
                <w:sz w:val="20"/>
                <w:szCs w:val="20"/>
                <w:color w:val="auto"/>
              </w:rPr>
            </w:pPr>
            <w:r>
              <w:rPr>
                <w:rFonts w:ascii="Times New Roman" w:cs="Times New Roman" w:eastAsia="Times New Roman" w:hAnsi="Times New Roman"/>
                <w:sz w:val="20"/>
                <w:szCs w:val="20"/>
                <w:color w:val="auto"/>
              </w:rPr>
              <w:t>$</w:t>
            </w:r>
          </w:p>
        </w:tc>
        <w:tc>
          <w:tcPr>
            <w:tcW w:w="12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(11,871)</w:t>
            </w:r>
          </w:p>
        </w:tc>
        <w:tc>
          <w:tcPr>
            <w:tcW w:w="26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15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(17,768)</w:t>
            </w:r>
          </w:p>
        </w:tc>
        <w:tc>
          <w:tcPr>
            <w:tcW w:w="500" w:type="dxa"/>
            <w:vAlign w:val="bottom"/>
            <w:gridSpan w:val="2"/>
          </w:tcPr>
          <w:p>
            <w:pPr>
              <w:jc w:val="right"/>
              <w:ind w:right="179"/>
              <w:spacing w:after="0"/>
              <w:rPr>
                <w:sz w:val="20"/>
                <w:szCs w:val="20"/>
                <w:color w:val="auto"/>
              </w:rPr>
            </w:pPr>
            <w:r>
              <w:rPr>
                <w:rFonts w:ascii="Times New Roman" w:cs="Times New Roman" w:eastAsia="Times New Roman" w:hAnsi="Times New Roman"/>
                <w:sz w:val="20"/>
                <w:szCs w:val="20"/>
                <w:color w:val="auto"/>
              </w:rPr>
              <w:t>$</w:t>
            </w:r>
          </w:p>
        </w:tc>
        <w:tc>
          <w:tcPr>
            <w:tcW w:w="1260" w:type="dxa"/>
            <w:vAlign w:val="bottom"/>
          </w:tcPr>
          <w:p>
            <w:pPr>
              <w:jc w:val="center"/>
              <w:ind w:left="439"/>
              <w:spacing w:after="0"/>
              <w:rPr>
                <w:sz w:val="20"/>
                <w:szCs w:val="20"/>
                <w:color w:val="auto"/>
              </w:rPr>
            </w:pPr>
            <w:r>
              <w:rPr>
                <w:rFonts w:ascii="Times New Roman" w:cs="Times New Roman" w:eastAsia="Times New Roman" w:hAnsi="Times New Roman"/>
                <w:sz w:val="20"/>
                <w:szCs w:val="20"/>
                <w:color w:val="auto"/>
                <w:w w:val="99"/>
              </w:rPr>
              <w:t>(30,435)</w:t>
            </w:r>
          </w:p>
        </w:tc>
      </w:tr>
      <w:tr>
        <w:trPr>
          <w:trHeight w:val="288"/>
        </w:trPr>
        <w:tc>
          <w:tcPr>
            <w:tcW w:w="5040" w:type="dxa"/>
            <w:vAlign w:val="bottom"/>
            <w:shd w:val="clear" w:color="auto" w:fill="DDDDDD"/>
          </w:tcPr>
          <w:p>
            <w:pPr>
              <w:ind w:left="40"/>
              <w:spacing w:after="0"/>
              <w:rPr>
                <w:sz w:val="20"/>
                <w:szCs w:val="20"/>
                <w:color w:val="auto"/>
              </w:rPr>
            </w:pPr>
            <w:r>
              <w:rPr>
                <w:rFonts w:ascii="Times New Roman" w:cs="Times New Roman" w:eastAsia="Times New Roman" w:hAnsi="Times New Roman"/>
                <w:sz w:val="20"/>
                <w:szCs w:val="20"/>
                <w:color w:val="auto"/>
              </w:rPr>
              <w:t>Net cash provided by (used in) financing activities</w:t>
            </w:r>
          </w:p>
        </w:tc>
        <w:tc>
          <w:tcPr>
            <w:tcW w:w="420" w:type="dxa"/>
            <w:vAlign w:val="bottom"/>
            <w:shd w:val="clear" w:color="auto" w:fill="DDDDDD"/>
          </w:tcPr>
          <w:p>
            <w:pPr>
              <w:jc w:val="right"/>
              <w:ind w:right="139"/>
              <w:spacing w:after="0"/>
              <w:rPr>
                <w:sz w:val="20"/>
                <w:szCs w:val="20"/>
                <w:color w:val="auto"/>
              </w:rPr>
            </w:pPr>
            <w:r>
              <w:rPr>
                <w:rFonts w:ascii="Times New Roman" w:cs="Times New Roman" w:eastAsia="Times New Roman" w:hAnsi="Times New Roman"/>
                <w:sz w:val="20"/>
                <w:szCs w:val="20"/>
                <w:color w:val="auto"/>
              </w:rPr>
              <w:t>$</w:t>
            </w:r>
          </w:p>
        </w:tc>
        <w:tc>
          <w:tcPr>
            <w:tcW w:w="1280" w:type="dxa"/>
            <w:vAlign w:val="bottom"/>
            <w:shd w:val="clear" w:color="auto" w:fill="DDDDDD"/>
          </w:tcPr>
          <w:p>
            <w:pPr>
              <w:jc w:val="right"/>
              <w:spacing w:after="0"/>
              <w:rPr>
                <w:sz w:val="20"/>
                <w:szCs w:val="20"/>
                <w:color w:val="auto"/>
              </w:rPr>
            </w:pPr>
            <w:r>
              <w:rPr>
                <w:rFonts w:ascii="Times New Roman" w:cs="Times New Roman" w:eastAsia="Times New Roman" w:hAnsi="Times New Roman"/>
                <w:sz w:val="20"/>
                <w:szCs w:val="20"/>
                <w:color w:val="auto"/>
              </w:rPr>
              <w:t>(5,290)</w:t>
            </w:r>
          </w:p>
        </w:tc>
        <w:tc>
          <w:tcPr>
            <w:tcW w:w="60" w:type="dxa"/>
            <w:vAlign w:val="bottom"/>
            <w:shd w:val="clear" w:color="auto" w:fill="DDDDDD"/>
          </w:tcPr>
          <w:p>
            <w:pPr>
              <w:spacing w:after="0"/>
              <w:rPr>
                <w:sz w:val="24"/>
                <w:szCs w:val="24"/>
                <w:color w:val="auto"/>
              </w:rPr>
            </w:pPr>
          </w:p>
        </w:tc>
        <w:tc>
          <w:tcPr>
            <w:tcW w:w="200" w:type="dxa"/>
            <w:vAlign w:val="bottom"/>
            <w:shd w:val="clear" w:color="auto" w:fill="DDDDDD"/>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1500" w:type="dxa"/>
            <w:vAlign w:val="bottom"/>
            <w:shd w:val="clear" w:color="auto" w:fill="DDDDDD"/>
          </w:tcPr>
          <w:p>
            <w:pPr>
              <w:jc w:val="right"/>
              <w:spacing w:after="0"/>
              <w:rPr>
                <w:sz w:val="20"/>
                <w:szCs w:val="20"/>
                <w:color w:val="auto"/>
              </w:rPr>
            </w:pPr>
            <w:r>
              <w:rPr>
                <w:rFonts w:ascii="Times New Roman" w:cs="Times New Roman" w:eastAsia="Times New Roman" w:hAnsi="Times New Roman"/>
                <w:sz w:val="20"/>
                <w:szCs w:val="20"/>
                <w:color w:val="auto"/>
              </w:rPr>
              <w:t>(9,805)</w:t>
            </w:r>
          </w:p>
        </w:tc>
        <w:tc>
          <w:tcPr>
            <w:tcW w:w="60" w:type="dxa"/>
            <w:vAlign w:val="bottom"/>
            <w:shd w:val="clear" w:color="auto" w:fill="DDDDDD"/>
          </w:tcPr>
          <w:p>
            <w:pPr>
              <w:spacing w:after="0"/>
              <w:rPr>
                <w:sz w:val="24"/>
                <w:szCs w:val="24"/>
                <w:color w:val="auto"/>
              </w:rPr>
            </w:pPr>
          </w:p>
        </w:tc>
        <w:tc>
          <w:tcPr>
            <w:tcW w:w="440" w:type="dxa"/>
            <w:vAlign w:val="bottom"/>
            <w:shd w:val="clear" w:color="auto" w:fill="DDDDDD"/>
          </w:tcPr>
          <w:p>
            <w:pPr>
              <w:jc w:val="right"/>
              <w:ind w:right="179"/>
              <w:spacing w:after="0"/>
              <w:rPr>
                <w:sz w:val="20"/>
                <w:szCs w:val="20"/>
                <w:color w:val="auto"/>
              </w:rPr>
            </w:pPr>
            <w:r>
              <w:rPr>
                <w:rFonts w:ascii="Times New Roman" w:cs="Times New Roman" w:eastAsia="Times New Roman" w:hAnsi="Times New Roman"/>
                <w:sz w:val="20"/>
                <w:szCs w:val="20"/>
                <w:color w:val="auto"/>
              </w:rPr>
              <w:t>$</w:t>
            </w:r>
          </w:p>
        </w:tc>
        <w:tc>
          <w:tcPr>
            <w:tcW w:w="1260" w:type="dxa"/>
            <w:vAlign w:val="bottom"/>
            <w:shd w:val="clear" w:color="auto" w:fill="DDDDDD"/>
          </w:tcPr>
          <w:p>
            <w:pPr>
              <w:jc w:val="center"/>
              <w:ind w:left="439"/>
              <w:spacing w:after="0"/>
              <w:rPr>
                <w:sz w:val="20"/>
                <w:szCs w:val="20"/>
                <w:color w:val="auto"/>
              </w:rPr>
            </w:pPr>
            <w:r>
              <w:rPr>
                <w:rFonts w:ascii="Times New Roman" w:cs="Times New Roman" w:eastAsia="Times New Roman" w:hAnsi="Times New Roman"/>
                <w:sz w:val="20"/>
                <w:szCs w:val="20"/>
                <w:color w:val="auto"/>
              </w:rPr>
              <w:t>48,103</w:t>
            </w:r>
          </w:p>
        </w:tc>
      </w:tr>
    </w:tbl>
    <w:p>
      <w:pPr>
        <w:spacing w:after="0" w:line="104"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i w:val="1"/>
          <w:iCs w:val="1"/>
          <w:color w:val="auto"/>
        </w:rPr>
        <w:t>Net Cash Provided by (Used In) Operating Activities</w:t>
      </w:r>
    </w:p>
    <w:p>
      <w:pPr>
        <w:spacing w:after="0" w:line="155" w:lineRule="exact"/>
        <w:rPr>
          <w:sz w:val="20"/>
          <w:szCs w:val="20"/>
          <w:color w:val="auto"/>
        </w:rPr>
      </w:pPr>
    </w:p>
    <w:p>
      <w:pPr>
        <w:jc w:val="both"/>
        <w:spacing w:after="0" w:line="309" w:lineRule="auto"/>
        <w:rPr>
          <w:sz w:val="20"/>
          <w:szCs w:val="20"/>
          <w:color w:val="auto"/>
        </w:rPr>
      </w:pPr>
      <w:r>
        <w:rPr>
          <w:rFonts w:ascii="Times New Roman" w:cs="Times New Roman" w:eastAsia="Times New Roman" w:hAnsi="Times New Roman"/>
          <w:sz w:val="20"/>
          <w:szCs w:val="20"/>
          <w:color w:val="auto"/>
        </w:rPr>
        <w:t>Cash from operating activities consists primarily of net income (loss) adjusted for certain non-cash items, including depreciation, amortization and asset impairments, change in fair value of warrant liability, change in TRA liability, stock-based compensation, deferred taxes, impairment loss, provision for doubtful accounts and the effect of changes in working capital.</w:t>
      </w:r>
    </w:p>
    <w:p>
      <w:pPr>
        <w:spacing w:after="0" w:line="62" w:lineRule="exact"/>
        <w:rPr>
          <w:sz w:val="20"/>
          <w:szCs w:val="20"/>
          <w:color w:val="auto"/>
        </w:rPr>
      </w:pPr>
    </w:p>
    <w:p>
      <w:pPr>
        <w:jc w:val="both"/>
        <w:spacing w:after="0" w:line="301" w:lineRule="auto"/>
        <w:rPr>
          <w:sz w:val="20"/>
          <w:szCs w:val="20"/>
          <w:color w:val="auto"/>
        </w:rPr>
      </w:pPr>
      <w:r>
        <w:rPr>
          <w:rFonts w:ascii="Times New Roman" w:cs="Times New Roman" w:eastAsia="Times New Roman" w:hAnsi="Times New Roman"/>
          <w:sz w:val="20"/>
          <w:szCs w:val="20"/>
          <w:color w:val="auto"/>
        </w:rPr>
        <w:t>Net cash provided by operating activities is also impacted by the effects of changes in operating assets and liabilities such as: accounts receivable which is impacted by the timing of customer billings and related collections from our customers; accounts payable and accrued expenses due to timing of payments; accrued personnel costs which are impacted by employee performance targets and the timing of payments related to employee bonus incentives.</w:t>
      </w:r>
    </w:p>
    <w:p>
      <w:pPr>
        <w:spacing w:after="0" w:line="70" w:lineRule="exact"/>
        <w:rPr>
          <w:sz w:val="20"/>
          <w:szCs w:val="20"/>
          <w:color w:val="auto"/>
        </w:rPr>
      </w:pPr>
    </w:p>
    <w:p>
      <w:pPr>
        <w:jc w:val="both"/>
        <w:spacing w:after="0" w:line="291" w:lineRule="auto"/>
        <w:rPr>
          <w:sz w:val="20"/>
          <w:szCs w:val="20"/>
          <w:color w:val="auto"/>
        </w:rPr>
      </w:pPr>
      <w:r>
        <w:rPr>
          <w:rFonts w:ascii="Times New Roman" w:cs="Times New Roman" w:eastAsia="Times New Roman" w:hAnsi="Times New Roman"/>
          <w:sz w:val="20"/>
          <w:szCs w:val="20"/>
          <w:color w:val="auto"/>
        </w:rPr>
        <w:t>Net cash provided by operating activities for the year ended December 31, 2023 was $22.9 million, which resulted from net loss of $15.7 million, non-cash items of $52.8 million, consisting of asset impairment charges of $24.4 million, stock-based compensation expense of $13.5 million, depreciation and amortization of $12.1 million, amortization of right of use lease assets of $4.9 million, provision for credit losses of $1.8 million, TRA remeasurement of $1.3 million, partially offset by a gain from the discharge of a holdback obligation related to a prior acquisition of $3.7 million, and the change in fair value of warrant liability of $1.5 million. The increase in net cash provided by operating activities was also impacted by net cash outflows of $14.2 million from changes in operating assets and liabilities. The net cash outflows from changes in operating assets and liabilities were primarily due to a decrease in accounts payable and accrued expenses of $15.3 million, a decrease in operating lease liabilities of $6.3 million and a decrease in deferred revenue of $0.3 million, partially offset by a decrease in accounts receivable of $4.5 million and a decrease in prepaid expenses and other assets of $3.3 million. The changes in operating assets and liabilities are mostly due to fluctuations in timing of cash receipts and payments.</w:t>
      </w:r>
    </w:p>
    <w:p>
      <w:pPr>
        <w:spacing w:after="0" w:line="86" w:lineRule="exact"/>
        <w:rPr>
          <w:sz w:val="20"/>
          <w:szCs w:val="20"/>
          <w:color w:val="auto"/>
        </w:rPr>
      </w:pPr>
    </w:p>
    <w:p>
      <w:pPr>
        <w:jc w:val="both"/>
        <w:spacing w:after="0" w:line="292" w:lineRule="auto"/>
        <w:rPr>
          <w:sz w:val="20"/>
          <w:szCs w:val="20"/>
          <w:color w:val="auto"/>
        </w:rPr>
      </w:pPr>
      <w:r>
        <w:rPr>
          <w:rFonts w:ascii="Times New Roman" w:cs="Times New Roman" w:eastAsia="Times New Roman" w:hAnsi="Times New Roman"/>
          <w:sz w:val="20"/>
          <w:szCs w:val="20"/>
          <w:color w:val="auto"/>
        </w:rPr>
        <w:t>Net cash used in operating activities for the year ended December 31, 2022 was $11.6 million, which resulted from net loss of $82.7 million, together with net cash outflows of $1.5 million from changes in operating assets and liabilities and non-cash items of $72.5 million, consisting of depreciation and amortization of $11.5 million, fair value of warrant liability of $25.4 million, asset impairment charges of $4.3 million, stock-based compensation expense of $23.5 million, TRA remeasurement of $142.4 million, amortization of right of use lease assets of $4.7 million, changes in deferred tax assets of $179.1 million and provision for doubtful accounts of $17.2 million. The net cash outflows from changes in operating assets and liabilities were primarily due to an increase in accounts receivables of $16.3 million, a decrease in deferred revenue of $1.9 million, a decrease in operating lease liabilities of $5.5 million, partially offset by a decrease in prepaid expenses and other current assets of $7.2 million and an increase in accounts payable and accrued expenses of $14.9 million. The changes in operating assets and liabilities are mostly due to fluctuations in timing of cash receipts and payments.</w:t>
      </w:r>
    </w:p>
    <w:p>
      <w:pPr>
        <w:spacing w:after="0" w:line="8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i w:val="1"/>
          <w:iCs w:val="1"/>
          <w:color w:val="auto"/>
        </w:rPr>
        <w:t>Net Cash Used in Investing Activities</w:t>
      </w:r>
    </w:p>
    <w:p>
      <w:pPr>
        <w:spacing w:after="0" w:line="162" w:lineRule="exact"/>
        <w:rPr>
          <w:sz w:val="20"/>
          <w:szCs w:val="20"/>
          <w:color w:val="auto"/>
        </w:rPr>
      </w:pPr>
    </w:p>
    <w:p>
      <w:pPr>
        <w:jc w:val="both"/>
        <w:spacing w:after="0" w:line="326" w:lineRule="auto"/>
        <w:rPr>
          <w:sz w:val="20"/>
          <w:szCs w:val="20"/>
          <w:color w:val="auto"/>
        </w:rPr>
      </w:pPr>
      <w:r>
        <w:rPr>
          <w:rFonts w:ascii="Times New Roman" w:cs="Times New Roman" w:eastAsia="Times New Roman" w:hAnsi="Times New Roman"/>
          <w:sz w:val="20"/>
          <w:szCs w:val="20"/>
          <w:color w:val="auto"/>
        </w:rPr>
        <w:t>Net cash used in investing activities for the year ended December 31, 2023 was $11.9 million, which resulted from $11.9 million cash paid for purchases of property and equipment, including certain capitalized software development cost.</w:t>
      </w:r>
    </w:p>
    <w:p>
      <w:pPr>
        <w:spacing w:after="0" w:line="45" w:lineRule="exact"/>
        <w:rPr>
          <w:sz w:val="20"/>
          <w:szCs w:val="20"/>
          <w:color w:val="auto"/>
        </w:rPr>
      </w:pPr>
    </w:p>
    <w:p>
      <w:pPr>
        <w:jc w:val="both"/>
        <w:spacing w:after="0" w:line="309" w:lineRule="auto"/>
        <w:rPr>
          <w:sz w:val="20"/>
          <w:szCs w:val="20"/>
          <w:color w:val="auto"/>
        </w:rPr>
      </w:pPr>
      <w:r>
        <w:rPr>
          <w:rFonts w:ascii="Times New Roman" w:cs="Times New Roman" w:eastAsia="Times New Roman" w:hAnsi="Times New Roman"/>
          <w:sz w:val="20"/>
          <w:szCs w:val="20"/>
          <w:color w:val="auto"/>
        </w:rPr>
        <w:t>Net cash used in investing activities for the year ended December 31, 2022 was $17.8 million, which resulted from $16.1 million cash paid for purchases of property and equipment, including certain capitalized software development cost, $1.0 million cash paid for other investments and $0.7 million net cash paid for acquisitions,</w:t>
      </w:r>
    </w:p>
    <w:p>
      <w:pPr>
        <w:spacing w:after="0" w:line="200" w:lineRule="exact"/>
        <w:rPr>
          <w:sz w:val="20"/>
          <w:szCs w:val="20"/>
          <w:color w:val="auto"/>
        </w:rPr>
      </w:pPr>
    </w:p>
    <w:p>
      <w:pPr>
        <w:spacing w:after="0" w:line="330"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20"/>
          <w:szCs w:val="20"/>
          <w:color w:val="auto"/>
        </w:rPr>
        <w:t>68</w:t>
      </w:r>
    </w:p>
    <w:p>
      <w:pPr>
        <w:sectPr>
          <w:pgSz w:w="12240" w:h="15840" w:orient="portrait"/>
          <w:cols w:equalWidth="0" w:num="1">
            <w:col w:w="10260"/>
          </w:cols>
          <w:pgMar w:left="1000" w:top="884" w:right="980" w:bottom="222" w:gutter="0" w:footer="0" w:header="0"/>
        </w:sectPr>
      </w:pPr>
    </w:p>
    <w:bookmarkStart w:id="72" w:name="page73"/>
    <w:bookmarkEnd w:id="72"/>
    <w:p>
      <w:pPr>
        <w:spacing w:after="0"/>
        <w:rPr>
          <w:sz w:val="20"/>
          <w:szCs w:val="20"/>
          <w:color w:val="auto"/>
        </w:rPr>
      </w:pPr>
      <w:r>
        <w:rPr>
          <w:rFonts w:ascii="Times New Roman" w:cs="Times New Roman" w:eastAsia="Times New Roman" w:hAnsi="Times New Roman"/>
          <w:sz w:val="20"/>
          <w:szCs w:val="20"/>
          <w:i w:val="1"/>
          <w:iCs w:val="1"/>
          <w:color w:val="auto"/>
        </w:rPr>
        <w:t>Net Cash Provided by (Used in) Financing Activities</w:t>
      </w:r>
    </w:p>
    <w:p>
      <w:pPr>
        <w:spacing w:after="0" w:line="162" w:lineRule="exact"/>
        <w:rPr>
          <w:sz w:val="20"/>
          <w:szCs w:val="20"/>
          <w:color w:val="auto"/>
        </w:rPr>
      </w:pPr>
    </w:p>
    <w:p>
      <w:pPr>
        <w:jc w:val="both"/>
        <w:spacing w:after="0" w:line="309" w:lineRule="auto"/>
        <w:rPr>
          <w:sz w:val="20"/>
          <w:szCs w:val="20"/>
          <w:color w:val="auto"/>
        </w:rPr>
      </w:pPr>
      <w:r>
        <w:rPr>
          <w:rFonts w:ascii="Times New Roman" w:cs="Times New Roman" w:eastAsia="Times New Roman" w:hAnsi="Times New Roman"/>
          <w:sz w:val="20"/>
          <w:szCs w:val="20"/>
          <w:color w:val="auto"/>
        </w:rPr>
        <w:t>Net Cash used in financing activities for the year ended December 31, 2023 was $5.3 million, which resulted from $7.2 million of distribution payments to members of WMH LLC, $1.5 million for repayment of insurance premium financing and $0.4 million in proceeds from collection of related party note receivable.</w:t>
      </w:r>
    </w:p>
    <w:p>
      <w:pPr>
        <w:spacing w:after="0" w:line="62" w:lineRule="exact"/>
        <w:rPr>
          <w:sz w:val="20"/>
          <w:szCs w:val="20"/>
          <w:color w:val="auto"/>
        </w:rPr>
      </w:pPr>
    </w:p>
    <w:p>
      <w:pPr>
        <w:jc w:val="both"/>
        <w:spacing w:after="0" w:line="326" w:lineRule="auto"/>
        <w:rPr>
          <w:sz w:val="20"/>
          <w:szCs w:val="20"/>
          <w:color w:val="auto"/>
        </w:rPr>
      </w:pPr>
      <w:r>
        <w:rPr>
          <w:rFonts w:ascii="Times New Roman" w:cs="Times New Roman" w:eastAsia="Times New Roman" w:hAnsi="Times New Roman"/>
          <w:sz w:val="20"/>
          <w:szCs w:val="20"/>
          <w:color w:val="auto"/>
        </w:rPr>
        <w:t>Net cash from financing activities for the year ended December 31, 2022 was $9.8 million, which resulted from $7.3 million for repayment of insurance premium financing and $2.4 million of distribution payments to members of WMH LLC.</w:t>
      </w:r>
    </w:p>
    <w:p>
      <w:pPr>
        <w:spacing w:after="0" w:line="43"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Contractual Obligations and Commitments</w:t>
      </w:r>
    </w:p>
    <w:p>
      <w:pPr>
        <w:spacing w:after="0" w:line="168" w:lineRule="exact"/>
        <w:rPr>
          <w:sz w:val="20"/>
          <w:szCs w:val="20"/>
          <w:color w:val="auto"/>
        </w:rPr>
      </w:pPr>
    </w:p>
    <w:p>
      <w:pPr>
        <w:jc w:val="both"/>
        <w:ind w:right="20"/>
        <w:spacing w:after="0" w:line="297" w:lineRule="auto"/>
        <w:rPr>
          <w:sz w:val="20"/>
          <w:szCs w:val="20"/>
          <w:color w:val="auto"/>
        </w:rPr>
      </w:pPr>
      <w:r>
        <w:rPr>
          <w:rFonts w:ascii="Times New Roman" w:cs="Times New Roman" w:eastAsia="Times New Roman" w:hAnsi="Times New Roman"/>
          <w:sz w:val="20"/>
          <w:szCs w:val="20"/>
          <w:color w:val="auto"/>
        </w:rPr>
        <w:t>We have non-cancellable contractual agreements primarily related to leases and other purchase obligations. As of December 31, 2023, future payments on our operating leases were $45.0 million. See Note 4, “Leases,” to our consolidated financial statements included herein. We also have minimum outstanding purchase obligations of $7.1 million in 2024, $7.3 million in 2025 and $7.5 million in 2026, due under software license agreements, of which the majority relates to our three-year AWS Enterprise agreement.</w:t>
      </w:r>
    </w:p>
    <w:p>
      <w:pPr>
        <w:spacing w:after="0" w:line="74" w:lineRule="exact"/>
        <w:rPr>
          <w:sz w:val="20"/>
          <w:szCs w:val="20"/>
          <w:color w:val="auto"/>
        </w:rPr>
      </w:pPr>
    </w:p>
    <w:p>
      <w:pPr>
        <w:jc w:val="both"/>
        <w:ind w:right="20"/>
        <w:spacing w:after="0" w:line="301" w:lineRule="auto"/>
        <w:rPr>
          <w:sz w:val="20"/>
          <w:szCs w:val="20"/>
          <w:color w:val="auto"/>
        </w:rPr>
      </w:pPr>
      <w:r>
        <w:rPr>
          <w:rFonts w:ascii="Times New Roman" w:cs="Times New Roman" w:eastAsia="Times New Roman" w:hAnsi="Times New Roman"/>
          <w:sz w:val="20"/>
          <w:szCs w:val="20"/>
          <w:color w:val="auto"/>
        </w:rPr>
        <w:t>As of December 31, 2023 and 2022, our TRA liability was $1.8 million and $0.5 million, respectively. We expect that the payments we will be required to make under the TRA will not be substantial, and therefore, in conjunction with the recording of a full valuation allowance on the related TRA deferred tax assets, we have also adjusted the TRA liabilities as of December 31, 2023.</w:t>
      </w:r>
    </w:p>
    <w:p>
      <w:pPr>
        <w:spacing w:after="0" w:line="71" w:lineRule="exact"/>
        <w:rPr>
          <w:sz w:val="20"/>
          <w:szCs w:val="20"/>
          <w:color w:val="auto"/>
        </w:rPr>
      </w:pPr>
    </w:p>
    <w:p>
      <w:pPr>
        <w:jc w:val="both"/>
        <w:spacing w:after="0" w:line="291" w:lineRule="auto"/>
        <w:rPr>
          <w:sz w:val="20"/>
          <w:szCs w:val="20"/>
          <w:color w:val="auto"/>
        </w:rPr>
      </w:pPr>
      <w:r>
        <w:rPr>
          <w:rFonts w:ascii="Times New Roman" w:cs="Times New Roman" w:eastAsia="Times New Roman" w:hAnsi="Times New Roman"/>
          <w:sz w:val="20"/>
          <w:szCs w:val="20"/>
          <w:color w:val="auto"/>
        </w:rPr>
        <w:t>We will continue to evaluate the realization of the TRA tax attributes, and in the future, we may conclude that the TRA liability is probable of payment, and if the TRA is reinstated, the payments would be substantial. Assuming a reinstatement of the TRA liability, there are several assumptions that would be relevant such as, no material changes in relevant tax law, that there are no future redemptions or exchanges of Class A Units and that we earn sufficient taxable income to realize all tax benefits that are subject to the TRA, the tax savings associated with acquisitions of common units in the Business Combination would aggregate to approximately $166.3 million, as of December 31, 2023, over 15 years from Closing Date. Under this scenario, we would be required to pay to the Class A Unit holders approximately 85% of such amount, or $141.3 million, as of December 31, 2023, over the 15-year period from the Closing Date. The actual amounts we will be required to pay may materially differ from these hypothetical amounts, because potential future tax savings that we will be deemed to realize, and the TRA payments made by us, will be calculated based in part on the market value of the Class A Common Stock at the time of each redemption or exchange under the Exchange Agreement and the prevailing applicable tax rates applicable to us over the life of the TRA and will depend on us generating sufficient taxable income to realize the tax benefits that are subject to the TRA. Payments under the TRA are not conditioned on the Class A Unit holders’ continued ownership of us. See Note 16, “Income Taxes,” to our consolidated financial statements included herein.</w:t>
      </w:r>
    </w:p>
    <w:p>
      <w:pPr>
        <w:spacing w:after="0" w:line="83"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Critical Accounting Policies and Estimates</w:t>
      </w:r>
    </w:p>
    <w:p>
      <w:pPr>
        <w:spacing w:after="0" w:line="168" w:lineRule="exact"/>
        <w:rPr>
          <w:sz w:val="20"/>
          <w:szCs w:val="20"/>
          <w:color w:val="auto"/>
        </w:rPr>
      </w:pPr>
    </w:p>
    <w:p>
      <w:pPr>
        <w:jc w:val="both"/>
        <w:ind w:right="20"/>
        <w:spacing w:after="0" w:line="297" w:lineRule="auto"/>
        <w:rPr>
          <w:sz w:val="20"/>
          <w:szCs w:val="20"/>
          <w:color w:val="auto"/>
        </w:rPr>
      </w:pPr>
      <w:r>
        <w:rPr>
          <w:rFonts w:ascii="Times New Roman" w:cs="Times New Roman" w:eastAsia="Times New Roman" w:hAnsi="Times New Roman"/>
          <w:sz w:val="20"/>
          <w:szCs w:val="20"/>
          <w:color w:val="auto"/>
        </w:rPr>
        <w:t>Our consolidated financial statements are prepared in accordance with GAAP. The preparation of these consolidated financial statements requires us to make estimates and assumptions that affect the reported amounts of assets, liabilities, revenue, expenses and related disclosures. We evaluate our estimates and assumptions on an ongoing basis. Our estimates are based on historical experience and various other assumptions that we believe to be reasonable under the circumstances. Our actual results could differ from these estimates.</w:t>
      </w:r>
    </w:p>
    <w:p>
      <w:pPr>
        <w:spacing w:after="0" w:line="74" w:lineRule="exact"/>
        <w:rPr>
          <w:sz w:val="20"/>
          <w:szCs w:val="20"/>
          <w:color w:val="auto"/>
        </w:rPr>
      </w:pPr>
    </w:p>
    <w:p>
      <w:pPr>
        <w:jc w:val="both"/>
        <w:ind w:right="20"/>
        <w:spacing w:after="0" w:line="297" w:lineRule="auto"/>
        <w:rPr>
          <w:sz w:val="20"/>
          <w:szCs w:val="20"/>
          <w:color w:val="auto"/>
        </w:rPr>
      </w:pPr>
      <w:r>
        <w:rPr>
          <w:rFonts w:ascii="Times New Roman" w:cs="Times New Roman" w:eastAsia="Times New Roman" w:hAnsi="Times New Roman"/>
          <w:sz w:val="20"/>
          <w:szCs w:val="20"/>
          <w:color w:val="auto"/>
        </w:rPr>
        <w:t>We believe that the assumptions and estimates associated with revenue recognition, income taxes, stock-based compensation, capitalized software development costs, provision for doubtful accounts, goodwill and intangible assets and fair value measurements to have the greatest potential impact on our consolidated financial statements. Therefore, we consider these to be our critical accounting policies and estimates. For further information on all of our significant accounting policies, see Note 2, “Summary of Significant Accounting Policies,” to our consolidated financial statements included herein.</w:t>
      </w:r>
    </w:p>
    <w:p>
      <w:pPr>
        <w:spacing w:after="0" w:line="79"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i w:val="1"/>
          <w:iCs w:val="1"/>
          <w:u w:val="single" w:color="auto"/>
          <w:color w:val="auto"/>
        </w:rPr>
        <w:t>Critical Accounting Policies</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Revenue Recognition</w:t>
      </w:r>
    </w:p>
    <w:p>
      <w:pPr>
        <w:spacing w:after="0" w:line="157" w:lineRule="exact"/>
        <w:rPr>
          <w:sz w:val="20"/>
          <w:szCs w:val="20"/>
          <w:color w:val="auto"/>
        </w:rPr>
      </w:pPr>
    </w:p>
    <w:p>
      <w:pPr>
        <w:jc w:val="both"/>
        <w:ind w:right="20"/>
        <w:spacing w:after="0" w:line="326" w:lineRule="auto"/>
        <w:rPr>
          <w:sz w:val="20"/>
          <w:szCs w:val="20"/>
          <w:color w:val="auto"/>
        </w:rPr>
      </w:pPr>
      <w:r>
        <w:rPr>
          <w:rFonts w:ascii="Times New Roman" w:cs="Times New Roman" w:eastAsia="Times New Roman" w:hAnsi="Times New Roman"/>
          <w:sz w:val="20"/>
          <w:szCs w:val="20"/>
          <w:color w:val="auto"/>
        </w:rPr>
        <w:t>We recognize revenue when the fundamental criteria for revenue recognition are met. We recognize revenue by applying the following five steps: the contract with the customer is identified; the performance obligations in the contract are identified; the</w:t>
      </w:r>
    </w:p>
    <w:p>
      <w:pPr>
        <w:spacing w:after="0" w:line="9"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20"/>
          <w:szCs w:val="20"/>
          <w:color w:val="auto"/>
        </w:rPr>
        <w:t>69</w:t>
      </w:r>
    </w:p>
    <w:p>
      <w:pPr>
        <w:sectPr>
          <w:pgSz w:w="12240" w:h="15840" w:orient="portrait"/>
          <w:cols w:equalWidth="0" w:num="1">
            <w:col w:w="10260"/>
          </w:cols>
          <w:pgMar w:left="1000" w:top="888" w:right="980" w:bottom="222" w:gutter="0" w:footer="0" w:header="0"/>
        </w:sectPr>
      </w:pPr>
    </w:p>
    <w:bookmarkStart w:id="73" w:name="page74"/>
    <w:bookmarkEnd w:id="73"/>
    <w:p>
      <w:pPr>
        <w:jc w:val="both"/>
        <w:spacing w:after="0" w:line="291" w:lineRule="auto"/>
        <w:rPr>
          <w:sz w:val="20"/>
          <w:szCs w:val="20"/>
          <w:color w:val="auto"/>
        </w:rPr>
      </w:pPr>
      <w:r>
        <w:rPr>
          <w:rFonts w:ascii="Times New Roman" w:cs="Times New Roman" w:eastAsia="Times New Roman" w:hAnsi="Times New Roman"/>
          <w:sz w:val="20"/>
          <w:szCs w:val="20"/>
          <w:color w:val="auto"/>
        </w:rPr>
        <w:t>transaction price is determined; the transaction price is allocated to the performance obligations in the contract; and revenue is recognized when (or as) we satisfy these performance obligations in an amount that reflects the consideration it expects to be entitled to in exchange for those services. We exclude sales taxes and other similar taxes from the measurement of the transaction price. The transaction price reflects the amount we expect to receive for such goods, net of discounts. Discounts issued are primarily related to our Together for Equity Access and Legislation, (“WM Teal”), program, through which we provide discounts including free software, advertising, educational materials and training programs to applicants or licenses under social equity licensing programs. We provide a discount to license holders who were awarded special status by the state based on owner qualifications. These are typically given in new markets to add more diversity and inclusion in the cannabis space. We validate a license’s social equity status on the applicable state’s website. For the years ended December 31, 2023, 2022 and 2021, total discounts issued were $4.2 million, $4.5 million and $2.6 million, respectively. For clients that pay in advance for listing and other services, we record deferred revenue and recognize revenue over the applicable subscription term.</w:t>
      </w:r>
    </w:p>
    <w:p>
      <w:pPr>
        <w:spacing w:after="0" w:line="86" w:lineRule="exact"/>
        <w:rPr>
          <w:sz w:val="20"/>
          <w:szCs w:val="20"/>
          <w:color w:val="auto"/>
        </w:rPr>
      </w:pPr>
    </w:p>
    <w:p>
      <w:pPr>
        <w:jc w:val="both"/>
        <w:spacing w:after="0" w:line="308" w:lineRule="auto"/>
        <w:rPr>
          <w:sz w:val="20"/>
          <w:szCs w:val="20"/>
          <w:color w:val="auto"/>
        </w:rPr>
      </w:pPr>
      <w:r>
        <w:rPr>
          <w:rFonts w:ascii="Times New Roman" w:cs="Times New Roman" w:eastAsia="Times New Roman" w:hAnsi="Times New Roman"/>
          <w:sz w:val="19"/>
          <w:szCs w:val="19"/>
          <w:color w:val="auto"/>
        </w:rPr>
        <w:t>Our revenues are derived primarily from monthly subscriptions to Weedmaps for Business, featured and deal listings and other WM Ad solutions. Our Weedmaps for Business subscriptions generally have one-month terms that automatically renew unless notice of cancellation is provided in advance. Featured and deal listings and other WM Ad solutions are offered as add-on products to the Weedmaps for Business subscriptions. Featured and deal listings provide customers with premium placement ad solutions and discount and promotion pricing tools. Other WM Ad solutions include banner ads and promotion tiles on our marketplace ad as well as other advertising products on and off the Weedmaps marketplace. We have a fixed inventory of featured listing and display advertising in each market, and price is generally determined through a competitive auction process that reflects local market demand. Revenues for these arrangements are recognized over-time, generally during a month-to-month subscription period as the products are provided. We rarely need to allocate the transaction price to separate performance obligations. In the rare case that allocation of the transaction price is needed, We recognize revenue in proportion to the standalone selling prices of the underlying services at contract inception. The determination of the performance obligations and the timing of satisfaction of such obligations either over time or at a point-in-time requires us to make significant judgment and estimates.</w:t>
      </w:r>
    </w:p>
    <w:p>
      <w:pPr>
        <w:spacing w:after="0" w:line="70" w:lineRule="exact"/>
        <w:rPr>
          <w:sz w:val="20"/>
          <w:szCs w:val="20"/>
          <w:color w:val="auto"/>
        </w:rPr>
      </w:pPr>
    </w:p>
    <w:p>
      <w:pPr>
        <w:jc w:val="both"/>
        <w:spacing w:after="0" w:line="312" w:lineRule="auto"/>
        <w:rPr>
          <w:sz w:val="20"/>
          <w:szCs w:val="20"/>
          <w:color w:val="auto"/>
        </w:rPr>
      </w:pPr>
      <w:r>
        <w:rPr>
          <w:rFonts w:ascii="Times New Roman" w:cs="Times New Roman" w:eastAsia="Times New Roman" w:hAnsi="Times New Roman"/>
          <w:sz w:val="19"/>
          <w:szCs w:val="19"/>
          <w:color w:val="auto"/>
        </w:rPr>
        <w:t>When a customer is identified to be a significant collection risk, the Company fully reserves for all outstanding accounts receivable and records a credit loss for these receivables. Revenue for any new service provided to the customer is not probable of collection until we have collected or reached a settlement on the customers old outstanding accounts receivable balances. We apply all payments received against the customers oldest invoices and we do not recognize revenue for any new services provided until we have collected or reached a settlement on all prior outstanding accounts receivable. Collectability is reassessed when there is a significant change in facts or circumstances. The assessment of collectability considers whether we may limit its exposure to credit risk through its right to stop transferring additional service in the event the customer is delinquent.</w:t>
      </w:r>
    </w:p>
    <w:p>
      <w:pPr>
        <w:spacing w:after="0" w:line="64"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See Note 3, “Revenue from Contracts with Customers,” to our consolidated financial statements included herein.</w:t>
      </w:r>
    </w:p>
    <w:p>
      <w:pPr>
        <w:spacing w:after="0" w:line="17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i w:val="1"/>
          <w:iCs w:val="1"/>
          <w:u w:val="single" w:color="auto"/>
          <w:color w:val="auto"/>
        </w:rPr>
        <w:t>Critical Accounting Estimates</w:t>
      </w:r>
    </w:p>
    <w:p>
      <w:pPr>
        <w:spacing w:after="0" w:line="164"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Income Taxes</w:t>
      </w:r>
    </w:p>
    <w:p>
      <w:pPr>
        <w:spacing w:after="0" w:line="164" w:lineRule="exact"/>
        <w:rPr>
          <w:sz w:val="20"/>
          <w:szCs w:val="20"/>
          <w:color w:val="auto"/>
        </w:rPr>
      </w:pPr>
    </w:p>
    <w:p>
      <w:pPr>
        <w:jc w:val="both"/>
        <w:spacing w:after="0" w:line="291" w:lineRule="auto"/>
        <w:rPr>
          <w:sz w:val="20"/>
          <w:szCs w:val="20"/>
          <w:color w:val="auto"/>
        </w:rPr>
      </w:pPr>
      <w:r>
        <w:rPr>
          <w:rFonts w:ascii="Times New Roman" w:cs="Times New Roman" w:eastAsia="Times New Roman" w:hAnsi="Times New Roman"/>
          <w:sz w:val="20"/>
          <w:szCs w:val="20"/>
          <w:color w:val="auto"/>
        </w:rPr>
        <w:t>As a result of the Business Combination, WM Technology, Inc. became the sole managing member of WMH LLC, which is treated as a partnership for U.S. federal and most applicable state and local income tax purposes. As a partnership, WMH LLC is not subject to U.S. federal and certain state and local income taxes. Accordingly, no provision for U.S. federal and state income taxes has been recorded in the financial statements for the period of January 1 to June 16, 2021 as this period was prior to the Business Combination. Any taxable income or loss generated by WMH LLC is passed through to and included in the taxable income or loss of its members, including WM Technology, Inc. following the Business Combination, on a pro rata basis. WM Technology, Inc. is subject to U.S. federal income taxes, in addition to state and local income taxes with respect to its allocable share of any taxable income of WMH LLC following the Business Combination. We are also subject to taxes in foreign jurisdictions. Tax laws and regulations are complex and periodically changing and the determination of our provision for income taxes, including our taxable income, deferred tax assets and TRA liability, requires us to make significant judgment, assumptions and estimates.</w:t>
      </w:r>
    </w:p>
    <w:p>
      <w:pPr>
        <w:spacing w:after="0" w:line="86" w:lineRule="exact"/>
        <w:rPr>
          <w:sz w:val="20"/>
          <w:szCs w:val="20"/>
          <w:color w:val="auto"/>
        </w:rPr>
      </w:pPr>
    </w:p>
    <w:p>
      <w:pPr>
        <w:jc w:val="both"/>
        <w:spacing w:after="0" w:line="332" w:lineRule="auto"/>
        <w:rPr>
          <w:sz w:val="20"/>
          <w:szCs w:val="20"/>
          <w:color w:val="auto"/>
        </w:rPr>
      </w:pPr>
      <w:r>
        <w:rPr>
          <w:rFonts w:ascii="Times New Roman" w:cs="Times New Roman" w:eastAsia="Times New Roman" w:hAnsi="Times New Roman"/>
          <w:sz w:val="19"/>
          <w:szCs w:val="19"/>
          <w:color w:val="auto"/>
        </w:rPr>
        <w:t>In connection with the Business Combination, we entered into a TRA with continuing members that provides for a payment to the continuing members of 85% of the amount of tax benefits, if any, that WM Technology, Inc. realizes, or is deemed to realize, as a result of redemptions or exchanges of WMH Units. In connection with such potential future tax benefits resulting from the</w:t>
      </w:r>
    </w:p>
    <w:p>
      <w:pPr>
        <w:spacing w:after="0" w:line="51"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20"/>
          <w:szCs w:val="20"/>
          <w:color w:val="auto"/>
        </w:rPr>
        <w:t>70</w:t>
      </w:r>
    </w:p>
    <w:p>
      <w:pPr>
        <w:sectPr>
          <w:pgSz w:w="12240" w:h="15840" w:orient="portrait"/>
          <w:cols w:equalWidth="0" w:num="1">
            <w:col w:w="10260"/>
          </w:cols>
          <w:pgMar w:left="1000" w:top="884" w:right="980" w:bottom="222" w:gutter="0" w:footer="0" w:header="0"/>
        </w:sectPr>
      </w:pPr>
    </w:p>
    <w:bookmarkStart w:id="74" w:name="page75"/>
    <w:bookmarkEnd w:id="74"/>
    <w:p>
      <w:pPr>
        <w:jc w:val="both"/>
        <w:spacing w:after="0" w:line="297" w:lineRule="auto"/>
        <w:rPr>
          <w:sz w:val="20"/>
          <w:szCs w:val="20"/>
          <w:color w:val="auto"/>
        </w:rPr>
      </w:pPr>
      <w:r>
        <w:rPr>
          <w:rFonts w:ascii="Times New Roman" w:cs="Times New Roman" w:eastAsia="Times New Roman" w:hAnsi="Times New Roman"/>
          <w:sz w:val="20"/>
          <w:szCs w:val="20"/>
          <w:color w:val="auto"/>
        </w:rPr>
        <w:t>Business Combination and subsequent redemptions or exchanges of WHM Units, we have established a deferred tax asset for the additional tax basis and a corresponding TRA liability of 85% of the expected benefit. The remaining 15% is recorded within paid-in capital. Our calculation of the TRA asset and liability requires estimates of its future qualified taxable income over the term of the TRA as a basis to determine if the related tax benefits are expected to be realized. As of December 31, 2023 and 2022, TRA liability were $1.8 million and $0.5 million.</w:t>
      </w:r>
    </w:p>
    <w:p>
      <w:pPr>
        <w:spacing w:after="0" w:line="75" w:lineRule="exact"/>
        <w:rPr>
          <w:sz w:val="20"/>
          <w:szCs w:val="20"/>
          <w:color w:val="auto"/>
        </w:rPr>
      </w:pPr>
    </w:p>
    <w:p>
      <w:pPr>
        <w:jc w:val="both"/>
        <w:spacing w:after="0" w:line="321" w:lineRule="auto"/>
        <w:rPr>
          <w:sz w:val="20"/>
          <w:szCs w:val="20"/>
          <w:color w:val="auto"/>
        </w:rPr>
      </w:pPr>
      <w:r>
        <w:rPr>
          <w:rFonts w:ascii="Times New Roman" w:cs="Times New Roman" w:eastAsia="Times New Roman" w:hAnsi="Times New Roman"/>
          <w:sz w:val="19"/>
          <w:szCs w:val="19"/>
          <w:color w:val="auto"/>
        </w:rPr>
        <w:t>Based on the weight of all available evidence, both positive and negative, we determined during the three months ended December 31, 2022 that a full valuation allowance was required against our net deferred tax assets. We continued the remeasurement of the valuation allowance during the year ended December 31, 2023 and determined that a full valuation allowance was required as of December 31, 2023. See Note 16, “Income Taxes,” to our consolidated financial statements included herein.</w:t>
      </w:r>
    </w:p>
    <w:p>
      <w:pPr>
        <w:spacing w:after="0" w:line="57"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Stock-based Compensation</w:t>
      </w:r>
    </w:p>
    <w:p>
      <w:pPr>
        <w:spacing w:after="0" w:line="164" w:lineRule="exact"/>
        <w:rPr>
          <w:sz w:val="20"/>
          <w:szCs w:val="20"/>
          <w:color w:val="auto"/>
        </w:rPr>
      </w:pPr>
    </w:p>
    <w:p>
      <w:pPr>
        <w:jc w:val="both"/>
        <w:spacing w:after="0" w:line="310" w:lineRule="auto"/>
        <w:rPr>
          <w:sz w:val="20"/>
          <w:szCs w:val="20"/>
          <w:color w:val="auto"/>
        </w:rPr>
      </w:pPr>
      <w:r>
        <w:rPr>
          <w:rFonts w:ascii="Times New Roman" w:cs="Times New Roman" w:eastAsia="Times New Roman" w:hAnsi="Times New Roman"/>
          <w:sz w:val="19"/>
          <w:szCs w:val="19"/>
          <w:color w:val="auto"/>
        </w:rPr>
        <w:t>We measure fair value of employee stock-based compensation awards on the date of grant and allocate the related expense over the requisite service period. The fair value of restricted stock units (“RSUs”) and performance-based restricted stock units (“PRSUs”) is equal to the market price of our Class A common stock on the date of grant. The fair value of the Class P Units is measured using the Black-Scholes-Merton valuation model. When awards include a performance condition that impacts the vesting of the award, we record compensation cost when it becomes probable that the performance condition will be met. The level of achievement of such goals in the performance-based restricted stock awards may cause the actual number of units that ultimately vest to range from 0% to 200% of the original units granted. Forfeitures of stock-based awards are recognized as they occur. For the years ended December 31, 2023 and 2022, we recognized stock-based compensation expense of $13.5 million and $23.5 million, respectively. See Note 14, “Stock-based Compensation,” to our consolidated financial statements included herein.</w:t>
      </w:r>
    </w:p>
    <w:p>
      <w:pPr>
        <w:spacing w:after="0" w:line="69"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Capitalized Software Development Costs</w:t>
      </w:r>
    </w:p>
    <w:p>
      <w:pPr>
        <w:spacing w:after="0" w:line="164" w:lineRule="exact"/>
        <w:rPr>
          <w:sz w:val="20"/>
          <w:szCs w:val="20"/>
          <w:color w:val="auto"/>
        </w:rPr>
      </w:pPr>
    </w:p>
    <w:p>
      <w:pPr>
        <w:jc w:val="both"/>
        <w:spacing w:after="0" w:line="308" w:lineRule="auto"/>
        <w:rPr>
          <w:sz w:val="20"/>
          <w:szCs w:val="20"/>
          <w:color w:val="auto"/>
        </w:rPr>
      </w:pPr>
      <w:r>
        <w:rPr>
          <w:rFonts w:ascii="Times New Roman" w:cs="Times New Roman" w:eastAsia="Times New Roman" w:hAnsi="Times New Roman"/>
          <w:sz w:val="19"/>
          <w:szCs w:val="19"/>
          <w:color w:val="auto"/>
        </w:rPr>
        <w:t>We capitalize certain costs related to the development and enhancement of the Weedmaps platform and SaaS solutions. In accordance with authoritative guidance, we capitalize these costs when the preliminary development project stage is completed, management has authorized further funding for the completion of the project, and it is probable that the project will be completed and performed as intended. Such costs are amortized when placed in service, on a straight-line basis over the estimated useful life of the related asset, generally estimated to be three years. Costs incurred prior to meeting these criteria together with costs incurred for training and maintenance are expensed as incurred and recorded in product development expenses on our consolidated statements of operations. Costs incurred for enhancements that were expected to result in additional features or functionality are capitalized and expensed over the estimated useful life of the enhancements, generally three years. The accounting for website and internal-use software costs requires us to make significant judgment, assumptions and estimates related to the timing and amount of recognized capitalized software development costs. For the years ended December 31, 2023 and 2022, we capitalized $13.1 million and $15.5 million of costs related to the development of software applications.</w:t>
      </w:r>
    </w:p>
    <w:p>
      <w:pPr>
        <w:spacing w:after="0" w:line="71"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Accounts Receivable</w:t>
      </w:r>
    </w:p>
    <w:p>
      <w:pPr>
        <w:spacing w:after="0" w:line="164" w:lineRule="exact"/>
        <w:rPr>
          <w:sz w:val="20"/>
          <w:szCs w:val="20"/>
          <w:color w:val="auto"/>
        </w:rPr>
      </w:pPr>
    </w:p>
    <w:p>
      <w:pPr>
        <w:jc w:val="both"/>
        <w:ind w:right="20"/>
        <w:spacing w:after="0" w:line="301" w:lineRule="auto"/>
        <w:rPr>
          <w:sz w:val="20"/>
          <w:szCs w:val="20"/>
          <w:color w:val="auto"/>
        </w:rPr>
      </w:pPr>
      <w:r>
        <w:rPr>
          <w:rFonts w:ascii="Times New Roman" w:cs="Times New Roman" w:eastAsia="Times New Roman" w:hAnsi="Times New Roman"/>
          <w:sz w:val="20"/>
          <w:szCs w:val="20"/>
          <w:color w:val="auto"/>
        </w:rPr>
        <w:t xml:space="preserve">We measure credit losses on our trade accounts receivable using the current expected credit loss model under Accounting Standards Codification 326 </w:t>
      </w:r>
      <w:r>
        <w:rPr>
          <w:rFonts w:ascii="Times New Roman" w:cs="Times New Roman" w:eastAsia="Times New Roman" w:hAnsi="Times New Roman"/>
          <w:sz w:val="20"/>
          <w:szCs w:val="20"/>
          <w:i w:val="1"/>
          <w:iCs w:val="1"/>
          <w:color w:val="auto"/>
        </w:rPr>
        <w:t>Financial Instruments – Credit Losses</w:t>
      </w:r>
      <w:r>
        <w:rPr>
          <w:rFonts w:ascii="Times New Roman" w:cs="Times New Roman" w:eastAsia="Times New Roman" w:hAnsi="Times New Roman"/>
          <w:sz w:val="20"/>
          <w:szCs w:val="20"/>
          <w:color w:val="auto"/>
        </w:rPr>
        <w:t>, which is based on the expected losses rather than incurred losses. Under the credit loss model, lifetime expected credit losses are measured and recognized at each reporting date based on historical, current and forecast information.</w:t>
      </w:r>
    </w:p>
    <w:p>
      <w:pPr>
        <w:spacing w:after="0" w:line="70" w:lineRule="exact"/>
        <w:rPr>
          <w:sz w:val="20"/>
          <w:szCs w:val="20"/>
          <w:color w:val="auto"/>
        </w:rPr>
      </w:pPr>
    </w:p>
    <w:p>
      <w:pPr>
        <w:jc w:val="both"/>
        <w:spacing w:after="0" w:line="318" w:lineRule="auto"/>
        <w:rPr>
          <w:sz w:val="20"/>
          <w:szCs w:val="20"/>
          <w:color w:val="auto"/>
        </w:rPr>
      </w:pPr>
      <w:r>
        <w:rPr>
          <w:rFonts w:ascii="Times New Roman" w:cs="Times New Roman" w:eastAsia="Times New Roman" w:hAnsi="Times New Roman"/>
          <w:sz w:val="19"/>
          <w:szCs w:val="19"/>
          <w:color w:val="auto"/>
        </w:rPr>
        <w:t>We calculate the expected credit losses on a pool basis for those trade receivables that have similar risk characteristics. For those trade receivables that do not share similar risk characteristics, the allowance for expected credit losses is calculated on an individual basis. Risk characteristics relevant to our accounts receivable include balance of customer account and aging status. The allowance for credit losses was $8.7 million and $12.2 million as of December 31, 2023 and December 31, 2022, respectively. See Note 2, “Summary of Significant Accounting Policies,” to our consolidated financial statements included herein.</w:t>
      </w:r>
    </w:p>
    <w:p>
      <w:pPr>
        <w:spacing w:after="0" w:line="6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Goodwill and Intangible Assets</w:t>
      </w:r>
    </w:p>
    <w:p>
      <w:pPr>
        <w:spacing w:after="0" w:line="99" w:lineRule="exact"/>
        <w:rPr>
          <w:sz w:val="20"/>
          <w:szCs w:val="20"/>
          <w:color w:val="auto"/>
        </w:rPr>
      </w:pPr>
    </w:p>
    <w:p>
      <w:pPr>
        <w:jc w:val="both"/>
        <w:spacing w:after="0" w:line="309" w:lineRule="auto"/>
        <w:rPr>
          <w:sz w:val="20"/>
          <w:szCs w:val="20"/>
          <w:color w:val="auto"/>
        </w:rPr>
      </w:pPr>
      <w:r>
        <w:rPr>
          <w:rFonts w:ascii="Times New Roman" w:cs="Times New Roman" w:eastAsia="Times New Roman" w:hAnsi="Times New Roman"/>
          <w:sz w:val="20"/>
          <w:szCs w:val="20"/>
          <w:color w:val="auto"/>
        </w:rPr>
        <w:t>Assets and liabilities acquired from acquisitions are recorded at their estimated fair values. The excess of the purchase price over the estimated fair values of the net assets acquired, including identifiable intangible assets, is recorded as goodwill. The accounting for goodwill and intangible assets requires us to make significant judgement, estimates and assumptions. Significant</w:t>
      </w:r>
    </w:p>
    <w:p>
      <w:pPr>
        <w:spacing w:after="0" w:line="321"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20"/>
          <w:szCs w:val="20"/>
          <w:color w:val="auto"/>
        </w:rPr>
        <w:t>71</w:t>
      </w:r>
    </w:p>
    <w:p>
      <w:pPr>
        <w:sectPr>
          <w:pgSz w:w="12240" w:h="15840" w:orient="portrait"/>
          <w:cols w:equalWidth="0" w:num="1">
            <w:col w:w="10260"/>
          </w:cols>
          <w:pgMar w:left="1000" w:top="884" w:right="980" w:bottom="222" w:gutter="0" w:footer="0" w:header="0"/>
        </w:sectPr>
      </w:pPr>
    </w:p>
    <w:bookmarkStart w:id="75" w:name="page76"/>
    <w:bookmarkEnd w:id="75"/>
    <w:p>
      <w:pPr>
        <w:jc w:val="both"/>
        <w:spacing w:after="0" w:line="326" w:lineRule="auto"/>
        <w:rPr>
          <w:sz w:val="20"/>
          <w:szCs w:val="20"/>
          <w:color w:val="auto"/>
        </w:rPr>
      </w:pPr>
      <w:r>
        <w:rPr>
          <w:rFonts w:ascii="Times New Roman" w:cs="Times New Roman" w:eastAsia="Times New Roman" w:hAnsi="Times New Roman"/>
          <w:sz w:val="20"/>
          <w:szCs w:val="20"/>
          <w:color w:val="auto"/>
        </w:rPr>
        <w:t>estimates and assumptions in valuing acquired intangible assets and liabilities include projected cash flows attributable to the assets or liabilities, asset useful lives and discount rates.</w:t>
      </w:r>
    </w:p>
    <w:p>
      <w:pPr>
        <w:spacing w:after="0" w:line="45" w:lineRule="exact"/>
        <w:rPr>
          <w:sz w:val="20"/>
          <w:szCs w:val="20"/>
          <w:color w:val="auto"/>
        </w:rPr>
      </w:pPr>
    </w:p>
    <w:p>
      <w:pPr>
        <w:jc w:val="both"/>
        <w:spacing w:after="0" w:line="292" w:lineRule="auto"/>
        <w:rPr>
          <w:sz w:val="20"/>
          <w:szCs w:val="20"/>
          <w:color w:val="auto"/>
        </w:rPr>
      </w:pPr>
      <w:r>
        <w:rPr>
          <w:rFonts w:ascii="Times New Roman" w:cs="Times New Roman" w:eastAsia="Times New Roman" w:hAnsi="Times New Roman"/>
          <w:sz w:val="20"/>
          <w:szCs w:val="20"/>
          <w:color w:val="auto"/>
        </w:rPr>
        <w:t>Goodwill is not amortized and is subject to annual impairment testing, or between annual tests if an event or change in circumstance occurs that would more likely than not reduce the fair value of a reporting unit below its carrying value. Intangible assets deemed to have finite lives are amortized on a straight-line basis over their estimated useful lives, where the useful life is the period over which the asset is expected to contribute directly, or indirectly, to our future cash flows. Intangible assets are reviewed for impairment on an interim basis when certain events or circumstances exist. For amortizable intangible assets, impairment exists when the carrying amount of the intangible asset exceeds its fair value. At least annually, the remaining useful life is evaluated. We recorded an impairment charge of $6.1 million for the year ended December 31, 2023 related to intangible assets associated with certain product offerings that were sunset in December 2023, which is included in asset impairment charges in the consolidated statements of operations. No intangible asset impairment charges have been recorded for the years ended December 31, 2022 and 2021. See Note 2, “Summary of Significant Accounting Policies,” and Note 9, “Goodwill and Intangible Assets,” to these consolidated financial statements for additional information.</w:t>
      </w:r>
    </w:p>
    <w:p>
      <w:pPr>
        <w:spacing w:after="0" w:line="85"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Other Long-Lived Assets</w:t>
      </w:r>
    </w:p>
    <w:p>
      <w:pPr>
        <w:spacing w:after="0" w:line="164" w:lineRule="exact"/>
        <w:rPr>
          <w:sz w:val="20"/>
          <w:szCs w:val="20"/>
          <w:color w:val="auto"/>
        </w:rPr>
      </w:pPr>
    </w:p>
    <w:p>
      <w:pPr>
        <w:jc w:val="both"/>
        <w:spacing w:after="0" w:line="293" w:lineRule="auto"/>
        <w:rPr>
          <w:sz w:val="20"/>
          <w:szCs w:val="20"/>
          <w:color w:val="auto"/>
        </w:rPr>
      </w:pPr>
      <w:r>
        <w:rPr>
          <w:rFonts w:ascii="Times New Roman" w:cs="Times New Roman" w:eastAsia="Times New Roman" w:hAnsi="Times New Roman"/>
          <w:sz w:val="20"/>
          <w:szCs w:val="20"/>
          <w:color w:val="auto"/>
        </w:rPr>
        <w:t>We assess potential impairments to our long-lived assets, which includes property and equipment and operating lease assets, at least annually or whenever events or circumstances indicate that the carrying amount of an asset may not be recoverable. As of December 31, 2023 and 2022, our operating leases had a weighted average remaining lease term of 6.3 years and 6.8 years and a weighted-average discount rate of 9.8%. Our lease agreements do not provide an implicit rate and as a result, we used an estimated incremental borrowing rate, which was derived from third-party information available at the time we adopted ASC 842 in determining the present value of future lease payments. The rate used is for a secured borrowing of a similar term as the right of use asset. The fair value was estimated using an income approach based on management’s forecast of future cash flows expected to be derived based on current sublease market rent.</w:t>
      </w:r>
    </w:p>
    <w:p>
      <w:pPr>
        <w:spacing w:after="0" w:line="87" w:lineRule="exact"/>
        <w:rPr>
          <w:sz w:val="20"/>
          <w:szCs w:val="20"/>
          <w:color w:val="auto"/>
        </w:rPr>
      </w:pPr>
    </w:p>
    <w:p>
      <w:pPr>
        <w:jc w:val="both"/>
        <w:spacing w:after="0" w:line="299" w:lineRule="auto"/>
        <w:rPr>
          <w:sz w:val="20"/>
          <w:szCs w:val="20"/>
          <w:color w:val="auto"/>
        </w:rPr>
      </w:pPr>
      <w:r>
        <w:rPr>
          <w:rFonts w:ascii="Times New Roman" w:cs="Times New Roman" w:eastAsia="Times New Roman" w:hAnsi="Times New Roman"/>
          <w:sz w:val="20"/>
          <w:szCs w:val="20"/>
          <w:color w:val="auto"/>
        </w:rPr>
        <w:t>We assess impairment of ROU assets when an event and change in circumstance indicates that the carrying value of such ROU assets may not be recoverable. If an event and a change in circumstance indicates that the carrying value of an ROU asset may not be recoverable and the estimated fair value attributable to the ROU asset is less than its carrying value, an impairment loss equals to the excess of the ROU asset’s carrying value over its fair value is recognized.</w:t>
      </w:r>
    </w:p>
    <w:p>
      <w:pPr>
        <w:spacing w:after="0" w:line="71" w:lineRule="exact"/>
        <w:rPr>
          <w:sz w:val="20"/>
          <w:szCs w:val="20"/>
          <w:color w:val="auto"/>
        </w:rPr>
      </w:pPr>
    </w:p>
    <w:p>
      <w:pPr>
        <w:jc w:val="both"/>
        <w:spacing w:after="0" w:line="293" w:lineRule="auto"/>
        <w:rPr>
          <w:sz w:val="20"/>
          <w:szCs w:val="20"/>
          <w:color w:val="auto"/>
        </w:rPr>
      </w:pPr>
      <w:r>
        <w:rPr>
          <w:rFonts w:ascii="Times New Roman" w:cs="Times New Roman" w:eastAsia="Times New Roman" w:hAnsi="Times New Roman"/>
          <w:sz w:val="20"/>
          <w:szCs w:val="20"/>
          <w:color w:val="auto"/>
        </w:rPr>
        <w:t>The fair values of ROU assets were estimated using an income approach based on management’s forecast of future cash flows expected to be derived based on the sublease market rent. First, we test the asset group for recoverability by comparing the undiscounted cash flows of the asset group, which include expected future lease payments related to the lease agreement offset by expected sublease income, to the carrying amount of the asset group. If the first step of the long-lived asset impairment test concludes that the carrying amount of the asset group is not recoverable, we perform the second step of the long-lived asset impairment test by comparing the fair value of the asset group to its carrying amount and recognizing a lease impairment charge for the amount by which the carrying amount exceeds the fair value. To estimate the fair value of the asset group, we rely on a discounted cash flow approach using market participant assumptions of the expected cash flows.</w:t>
      </w:r>
    </w:p>
    <w:p>
      <w:pPr>
        <w:spacing w:after="0" w:line="79" w:lineRule="exact"/>
        <w:rPr>
          <w:sz w:val="20"/>
          <w:szCs w:val="20"/>
          <w:color w:val="auto"/>
        </w:rPr>
      </w:pPr>
    </w:p>
    <w:p>
      <w:pPr>
        <w:jc w:val="both"/>
        <w:ind w:right="20"/>
        <w:spacing w:after="0" w:line="296" w:lineRule="auto"/>
        <w:rPr>
          <w:sz w:val="20"/>
          <w:szCs w:val="20"/>
          <w:color w:val="auto"/>
        </w:rPr>
      </w:pPr>
      <w:r>
        <w:rPr>
          <w:rFonts w:ascii="Times New Roman" w:cs="Times New Roman" w:eastAsia="Times New Roman" w:hAnsi="Times New Roman"/>
          <w:sz w:val="20"/>
          <w:szCs w:val="20"/>
          <w:color w:val="auto"/>
        </w:rPr>
        <w:t>In 2023,we recognized a ROU asset impairment charge of $10.9 million driven by updated sublease assumptions for our second headquarter space in Los Angeles, California, pursuant to an operating lease that expires in 2031. In addition, we recognized ROU asset impairment charges of $0.6 million and $2.4 million during the years ended December 31, 2022 and 2021, respectively, related to certain ROU assets reducing the carrying values of the lease assets to their estimated fair values based on the discounted cash flows of estimated net rental income for the office spaces subleased. The ROU impairment charges are included in general and administrative expenses in the consolidated statements of operations.</w:t>
      </w:r>
    </w:p>
    <w:p>
      <w:pPr>
        <w:spacing w:after="0" w:line="77" w:lineRule="exact"/>
        <w:rPr>
          <w:sz w:val="20"/>
          <w:szCs w:val="20"/>
          <w:color w:val="auto"/>
        </w:rPr>
      </w:pPr>
    </w:p>
    <w:p>
      <w:pPr>
        <w:jc w:val="both"/>
        <w:spacing w:after="0" w:line="313" w:lineRule="auto"/>
        <w:rPr>
          <w:sz w:val="20"/>
          <w:szCs w:val="20"/>
          <w:color w:val="auto"/>
        </w:rPr>
      </w:pPr>
      <w:r>
        <w:rPr>
          <w:rFonts w:ascii="Times New Roman" w:cs="Times New Roman" w:eastAsia="Times New Roman" w:hAnsi="Times New Roman"/>
          <w:sz w:val="19"/>
          <w:szCs w:val="19"/>
          <w:color w:val="auto"/>
        </w:rPr>
        <w:t>We assess impairment of property and equipment when an event and change in circumstance indicates that the carrying value of such assets may not be recoverable. If an event and a change in circumstance indicates that the carrying amount of an asset (or asset group) may not be recoverable and the expected undiscounted cash flows attributable to the asset are less than its carrying value, an impairment loss equals to the excess of the asset’s carrying value over its fair value is recognized. For the year ended December 31, 2023, we recorded impairment charges of $3.9 million of which $2.7 million related to property and equipment associated with certain product offerings that were sunset in December 2023 and $1.3 million related to leasehold improvements associated with the</w:t>
      </w:r>
    </w:p>
    <w:p>
      <w:pPr>
        <w:spacing w:after="0" w:line="350"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20"/>
          <w:szCs w:val="20"/>
          <w:color w:val="auto"/>
        </w:rPr>
        <w:t>72</w:t>
      </w:r>
    </w:p>
    <w:p>
      <w:pPr>
        <w:sectPr>
          <w:pgSz w:w="12240" w:h="15840" w:orient="portrait"/>
          <w:cols w:equalWidth="0" w:num="1">
            <w:col w:w="10260"/>
          </w:cols>
          <w:pgMar w:left="1000" w:top="884" w:right="980" w:bottom="222" w:gutter="0" w:footer="0" w:header="0"/>
        </w:sectPr>
      </w:pPr>
    </w:p>
    <w:bookmarkStart w:id="76" w:name="page77"/>
    <w:bookmarkEnd w:id="76"/>
    <w:p>
      <w:pPr>
        <w:jc w:val="both"/>
        <w:spacing w:after="0" w:line="326" w:lineRule="auto"/>
        <w:rPr>
          <w:sz w:val="20"/>
          <w:szCs w:val="20"/>
          <w:color w:val="auto"/>
        </w:rPr>
      </w:pPr>
      <w:r>
        <w:rPr>
          <w:rFonts w:ascii="Times New Roman" w:cs="Times New Roman" w:eastAsia="Times New Roman" w:hAnsi="Times New Roman"/>
          <w:sz w:val="20"/>
          <w:szCs w:val="20"/>
          <w:color w:val="auto"/>
        </w:rPr>
        <w:t>impairment of a ROU asset both of which are included in asset impairment charges in the consolidated statements of operations. No impairments to property and equipment were recorded during the years ended December 31, 2022 and 2021.</w:t>
      </w:r>
    </w:p>
    <w:p>
      <w:pPr>
        <w:spacing w:after="0" w:line="47"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Fair Value Measurements</w:t>
      </w:r>
    </w:p>
    <w:p>
      <w:pPr>
        <w:spacing w:after="0" w:line="164" w:lineRule="exact"/>
        <w:rPr>
          <w:sz w:val="20"/>
          <w:szCs w:val="20"/>
          <w:color w:val="auto"/>
        </w:rPr>
      </w:pPr>
    </w:p>
    <w:p>
      <w:pPr>
        <w:jc w:val="both"/>
        <w:spacing w:after="0" w:line="309" w:lineRule="auto"/>
        <w:rPr>
          <w:sz w:val="20"/>
          <w:szCs w:val="20"/>
          <w:color w:val="auto"/>
        </w:rPr>
      </w:pPr>
      <w:r>
        <w:rPr>
          <w:rFonts w:ascii="Times New Roman" w:cs="Times New Roman" w:eastAsia="Times New Roman" w:hAnsi="Times New Roman"/>
          <w:sz w:val="19"/>
          <w:szCs w:val="19"/>
          <w:color w:val="auto"/>
        </w:rPr>
        <w:t xml:space="preserve">In connection with the Business Combination, we assumed 12,499,993 Public Warrants and 7,000,000 Private Placement Warrants. As of December 31, 2023, 12,499,973 of the Public Warrant and all of the Private Placement Warrants remained outstanding . The warrants are measured at fair value under ASC 820 - </w:t>
      </w:r>
      <w:r>
        <w:rPr>
          <w:rFonts w:ascii="Times New Roman" w:cs="Times New Roman" w:eastAsia="Times New Roman" w:hAnsi="Times New Roman"/>
          <w:sz w:val="19"/>
          <w:szCs w:val="19"/>
          <w:i w:val="1"/>
          <w:iCs w:val="1"/>
          <w:color w:val="auto"/>
        </w:rPr>
        <w:t>Fair Value Measurements</w:t>
      </w:r>
      <w:r>
        <w:rPr>
          <w:rFonts w:ascii="Times New Roman" w:cs="Times New Roman" w:eastAsia="Times New Roman" w:hAnsi="Times New Roman"/>
          <w:sz w:val="19"/>
          <w:szCs w:val="19"/>
          <w:color w:val="auto"/>
        </w:rPr>
        <w:t>. The fair value of the Public Warrants is classified as Level 1 financial instruments and is based on the publicly listed trading price of our Public Warrants. The fair value of the Private Warrants is determined with Level 3 inputs using the Black-Scholes model. The fair value of the Private Placement Warrants may change significantly as additional data is obtained. In evaluating this information, considerable judgment is required to interpret the data used to develop the assumptions and estimates. The estimates of fair value may not be indicative of the amounts that could be realized in a current market exchange. Accordingly, the use of different market assumptions and/or different valuation techniques may have a material effect on the estimated fair value, and such changes could materially impact our results of operations in future periods. As of December 31, 2023 and December 31, 2022, warrant liability was $0.6 million and $2.1 million, respectively. See Note 6, “Fair Value Measurements,” to our consolidated financial statements included herein.</w:t>
      </w:r>
    </w:p>
    <w:p>
      <w:pPr>
        <w:spacing w:after="0" w:line="187"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Recent Accounting Pronouncements</w:t>
      </w:r>
    </w:p>
    <w:p>
      <w:pPr>
        <w:spacing w:after="0" w:line="168"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We currently have no material recent accounting pronouncements yet to be adopted.</w:t>
      </w:r>
    </w:p>
    <w:p>
      <w:pPr>
        <w:spacing w:after="0" w:line="157" w:lineRule="exact"/>
        <w:rPr>
          <w:sz w:val="20"/>
          <w:szCs w:val="20"/>
          <w:color w:val="auto"/>
        </w:rPr>
      </w:pPr>
    </w:p>
    <w:p>
      <w:pPr>
        <w:spacing w:after="0"/>
        <w:tabs>
          <w:tab w:leader="none" w:pos="1060" w:val="left"/>
        </w:tabs>
        <w:rPr>
          <w:sz w:val="20"/>
          <w:szCs w:val="20"/>
          <w:color w:val="auto"/>
        </w:rPr>
      </w:pPr>
      <w:r>
        <w:rPr>
          <w:rFonts w:ascii="Times New Roman" w:cs="Times New Roman" w:eastAsia="Times New Roman" w:hAnsi="Times New Roman"/>
          <w:sz w:val="20"/>
          <w:szCs w:val="20"/>
          <w:b w:val="1"/>
          <w:bCs w:val="1"/>
          <w:color w:val="auto"/>
        </w:rPr>
        <w:t>ITEM 7A.</w:t>
      </w:r>
      <w:r>
        <w:rPr>
          <w:sz w:val="20"/>
          <w:szCs w:val="20"/>
          <w:color w:val="auto"/>
        </w:rPr>
        <w:tab/>
      </w:r>
      <w:r>
        <w:rPr>
          <w:rFonts w:ascii="Times New Roman" w:cs="Times New Roman" w:eastAsia="Times New Roman" w:hAnsi="Times New Roman"/>
          <w:sz w:val="19"/>
          <w:szCs w:val="19"/>
          <w:b w:val="1"/>
          <w:bCs w:val="1"/>
          <w:color w:val="auto"/>
        </w:rPr>
        <w:t>QUANTITATIVE AND QUALITATIVE DISCLOSURES ABOUT MARKET RISK</w:t>
      </w:r>
    </w:p>
    <w:p>
      <w:pPr>
        <w:spacing w:after="0" w:line="168" w:lineRule="exact"/>
        <w:rPr>
          <w:sz w:val="20"/>
          <w:szCs w:val="20"/>
          <w:color w:val="auto"/>
        </w:rPr>
      </w:pPr>
    </w:p>
    <w:p>
      <w:pPr>
        <w:jc w:val="both"/>
        <w:ind w:right="20"/>
        <w:spacing w:after="0" w:line="309" w:lineRule="auto"/>
        <w:rPr>
          <w:sz w:val="20"/>
          <w:szCs w:val="20"/>
          <w:color w:val="auto"/>
        </w:rPr>
      </w:pPr>
      <w:r>
        <w:rPr>
          <w:rFonts w:ascii="Times New Roman" w:cs="Times New Roman" w:eastAsia="Times New Roman" w:hAnsi="Times New Roman"/>
          <w:sz w:val="20"/>
          <w:szCs w:val="20"/>
          <w:color w:val="auto"/>
        </w:rPr>
        <w:t>We have operations both within the United States and in foreign jurisdictions, and we are exposed to market risks in the ordinary course of our business, including the effects of foreign currency fluctuations, interest rate changes and inflation. Information relating to quantitative and qualitative disclosures about these market risks is set forth below.</w:t>
      </w:r>
    </w:p>
    <w:p>
      <w:pPr>
        <w:spacing w:after="0" w:line="64"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Foreign Currency</w:t>
      </w:r>
    </w:p>
    <w:p>
      <w:pPr>
        <w:spacing w:after="0" w:line="164" w:lineRule="exact"/>
        <w:rPr>
          <w:sz w:val="20"/>
          <w:szCs w:val="20"/>
          <w:color w:val="auto"/>
        </w:rPr>
      </w:pPr>
    </w:p>
    <w:p>
      <w:pPr>
        <w:jc w:val="both"/>
        <w:spacing w:after="0" w:line="297" w:lineRule="auto"/>
        <w:rPr>
          <w:sz w:val="20"/>
          <w:szCs w:val="20"/>
          <w:color w:val="auto"/>
        </w:rPr>
      </w:pPr>
      <w:r>
        <w:rPr>
          <w:rFonts w:ascii="Times New Roman" w:cs="Times New Roman" w:eastAsia="Times New Roman" w:hAnsi="Times New Roman"/>
          <w:sz w:val="20"/>
          <w:szCs w:val="20"/>
          <w:color w:val="auto"/>
        </w:rPr>
        <w:t>Assets and liabilities denominated in a foreign currency are translated into U.S. dollars using the exchange rates in effect at the balance sheet date. Revenue and expense accounts are translated at the average exchange rates during the periods. The impact of exchange rate fluctuations from translation of assets and liabilities is insignificant for the years ended December 31, 2023, 2022 and 2021. For all periods presented, we believe the exposure to foreign currency fluctuation from operating expenses is immaterial as the related costs do not constitute a significant portion of our total expenses.</w:t>
      </w:r>
    </w:p>
    <w:p>
      <w:pPr>
        <w:spacing w:after="0" w:line="7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Interest Rate Fluctuation Risk</w:t>
      </w:r>
    </w:p>
    <w:p>
      <w:pPr>
        <w:spacing w:after="0" w:line="171" w:lineRule="exact"/>
        <w:rPr>
          <w:sz w:val="20"/>
          <w:szCs w:val="20"/>
          <w:color w:val="auto"/>
        </w:rPr>
      </w:pPr>
    </w:p>
    <w:p>
      <w:pPr>
        <w:jc w:val="both"/>
        <w:spacing w:after="0" w:line="326" w:lineRule="auto"/>
        <w:rPr>
          <w:sz w:val="20"/>
          <w:szCs w:val="20"/>
          <w:color w:val="auto"/>
        </w:rPr>
      </w:pPr>
      <w:r>
        <w:rPr>
          <w:rFonts w:ascii="Times New Roman" w:cs="Times New Roman" w:eastAsia="Times New Roman" w:hAnsi="Times New Roman"/>
          <w:sz w:val="20"/>
          <w:szCs w:val="20"/>
          <w:color w:val="auto"/>
        </w:rPr>
        <w:t>We consider all highly liquid investments with an original maturity of three months or less to be cash equivalents. As of December 31, 2023, we did not have any cash equivalents.</w:t>
      </w:r>
    </w:p>
    <w:p>
      <w:pPr>
        <w:spacing w:after="0" w:line="45" w:lineRule="exact"/>
        <w:rPr>
          <w:sz w:val="20"/>
          <w:szCs w:val="20"/>
          <w:color w:val="auto"/>
        </w:rPr>
      </w:pPr>
    </w:p>
    <w:p>
      <w:pPr>
        <w:jc w:val="both"/>
        <w:spacing w:after="0" w:line="301" w:lineRule="auto"/>
        <w:rPr>
          <w:sz w:val="20"/>
          <w:szCs w:val="20"/>
          <w:color w:val="auto"/>
        </w:rPr>
      </w:pPr>
      <w:r>
        <w:rPr>
          <w:rFonts w:ascii="Times New Roman" w:cs="Times New Roman" w:eastAsia="Times New Roman" w:hAnsi="Times New Roman"/>
          <w:sz w:val="20"/>
          <w:szCs w:val="20"/>
          <w:color w:val="auto"/>
        </w:rPr>
        <w:t>The primary objective of our investment activities is to preserve principal while maximizing income without significantly increasing risk. Because we only hold cash, our portfolio’s fair value is insensitive to interest rate changes. In future periods, we will continue to evaluate our investment policy in order to ensure that we continue to meet our overall objectives. A hypothetical 100 basis point increase or decrease in interest rates would not have a material effect on our financial results.</w:t>
      </w:r>
    </w:p>
    <w:p>
      <w:pPr>
        <w:spacing w:after="0" w:line="72"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Concentrations of Credit Risk</w:t>
      </w:r>
    </w:p>
    <w:p>
      <w:pPr>
        <w:spacing w:after="0" w:line="164" w:lineRule="exact"/>
        <w:rPr>
          <w:sz w:val="20"/>
          <w:szCs w:val="20"/>
          <w:color w:val="auto"/>
        </w:rPr>
      </w:pPr>
    </w:p>
    <w:p>
      <w:pPr>
        <w:jc w:val="both"/>
        <w:ind w:right="20"/>
        <w:spacing w:after="0" w:line="301" w:lineRule="auto"/>
        <w:rPr>
          <w:sz w:val="20"/>
          <w:szCs w:val="20"/>
          <w:color w:val="auto"/>
        </w:rPr>
      </w:pPr>
      <w:r>
        <w:rPr>
          <w:rFonts w:ascii="Times New Roman" w:cs="Times New Roman" w:eastAsia="Times New Roman" w:hAnsi="Times New Roman"/>
          <w:sz w:val="20"/>
          <w:szCs w:val="20"/>
          <w:color w:val="auto"/>
        </w:rPr>
        <w:t>Our financial instruments are potentially subject to concentrations of credit risk. We place our cash with high quality credit institutions. From time to time, we maintain cash balances at certain institutions in excess of the Federal Deposit Insurance Corporation limit. As of December 31, 2023, we had cash balances that exceeded the deposit insurance limit with five financial institutions. Management believes that the risk of loss is not significant and has not experienced any losses in such accounts.</w:t>
      </w:r>
    </w:p>
    <w:p>
      <w:pPr>
        <w:spacing w:after="0" w:line="72"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Inflation</w:t>
      </w:r>
    </w:p>
    <w:p>
      <w:pPr>
        <w:spacing w:after="0" w:line="164" w:lineRule="exact"/>
        <w:rPr>
          <w:sz w:val="20"/>
          <w:szCs w:val="20"/>
          <w:color w:val="auto"/>
        </w:rPr>
      </w:pPr>
    </w:p>
    <w:p>
      <w:pPr>
        <w:jc w:val="both"/>
        <w:spacing w:after="0" w:line="301" w:lineRule="auto"/>
        <w:rPr>
          <w:sz w:val="20"/>
          <w:szCs w:val="20"/>
          <w:color w:val="auto"/>
        </w:rPr>
      </w:pPr>
      <w:r>
        <w:rPr>
          <w:rFonts w:ascii="Times New Roman" w:cs="Times New Roman" w:eastAsia="Times New Roman" w:hAnsi="Times New Roman"/>
          <w:sz w:val="20"/>
          <w:szCs w:val="20"/>
          <w:color w:val="auto"/>
        </w:rPr>
        <w:t>Other than as set forth in the note above titled “Growth and Retention of Our Paying Clients”, we do not believe that inflation has had a material effect on our business, financial condition or results of operations. We continue to monitor the impact of inflation in order to minimize its effects through pricing strategies, productivity improvements and cost reductions. If our costs were to become subject to significant inflationary pressures, we may not be able to fully offset such higher costs through price</w:t>
      </w:r>
    </w:p>
    <w:p>
      <w:pPr>
        <w:spacing w:after="0" w:line="99"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20"/>
          <w:szCs w:val="20"/>
          <w:color w:val="auto"/>
        </w:rPr>
        <w:t>73</w:t>
      </w:r>
    </w:p>
    <w:p>
      <w:pPr>
        <w:sectPr>
          <w:pgSz w:w="12240" w:h="15840" w:orient="portrait"/>
          <w:cols w:equalWidth="0" w:num="1">
            <w:col w:w="10260"/>
          </w:cols>
          <w:pgMar w:left="1000" w:top="884" w:right="980" w:bottom="222" w:gutter="0" w:footer="0" w:header="0"/>
        </w:sectPr>
      </w:pPr>
    </w:p>
    <w:bookmarkStart w:id="77" w:name="page78"/>
    <w:bookmarkEnd w:id="77"/>
    <w:p>
      <w:pPr>
        <w:jc w:val="both"/>
        <w:ind w:right="20"/>
        <w:spacing w:after="0" w:line="309" w:lineRule="auto"/>
        <w:rPr>
          <w:sz w:val="20"/>
          <w:szCs w:val="20"/>
          <w:color w:val="auto"/>
        </w:rPr>
      </w:pPr>
      <w:r>
        <w:rPr>
          <w:rFonts w:ascii="Times New Roman" w:cs="Times New Roman" w:eastAsia="Times New Roman" w:hAnsi="Times New Roman"/>
          <w:sz w:val="20"/>
          <w:szCs w:val="20"/>
          <w:color w:val="auto"/>
        </w:rPr>
        <w:t>increases. Our inability or failure to do so could harm our business, financial condition and results of operations. We do not believe that inflation has had a material effect on our business, financial condition or results of operations during the years ended December 31, 2023, 2022 and 2021.</w:t>
      </w:r>
    </w:p>
    <w:p>
      <w:pPr>
        <w:spacing w:after="0" w:line="60" w:lineRule="exact"/>
        <w:rPr>
          <w:sz w:val="20"/>
          <w:szCs w:val="20"/>
          <w:color w:val="auto"/>
        </w:rPr>
      </w:pPr>
    </w:p>
    <w:p>
      <w:pPr>
        <w:spacing w:after="0"/>
        <w:tabs>
          <w:tab w:leader="none" w:pos="1060" w:val="left"/>
        </w:tabs>
        <w:rPr>
          <w:sz w:val="20"/>
          <w:szCs w:val="20"/>
          <w:color w:val="auto"/>
        </w:rPr>
      </w:pPr>
      <w:r>
        <w:rPr>
          <w:rFonts w:ascii="Times New Roman" w:cs="Times New Roman" w:eastAsia="Times New Roman" w:hAnsi="Times New Roman"/>
          <w:sz w:val="20"/>
          <w:szCs w:val="20"/>
          <w:b w:val="1"/>
          <w:bCs w:val="1"/>
          <w:color w:val="auto"/>
        </w:rPr>
        <w:t>ITEM 8.</w:t>
      </w:r>
      <w:r>
        <w:rPr>
          <w:sz w:val="20"/>
          <w:szCs w:val="20"/>
          <w:color w:val="auto"/>
        </w:rPr>
        <w:tab/>
      </w:r>
      <w:r>
        <w:rPr>
          <w:rFonts w:ascii="Times New Roman" w:cs="Times New Roman" w:eastAsia="Times New Roman" w:hAnsi="Times New Roman"/>
          <w:sz w:val="19"/>
          <w:szCs w:val="19"/>
          <w:b w:val="1"/>
          <w:bCs w:val="1"/>
          <w:color w:val="auto"/>
        </w:rPr>
        <w:t>FINANCIAL STATEMENTS AND SUPPLEMENTARY DATA</w:t>
      </w:r>
    </w:p>
    <w:p>
      <w:pPr>
        <w:spacing w:after="0" w:line="168" w:lineRule="exact"/>
        <w:rPr>
          <w:sz w:val="20"/>
          <w:szCs w:val="20"/>
          <w:color w:val="auto"/>
        </w:rPr>
      </w:pPr>
    </w:p>
    <w:p>
      <w:pPr>
        <w:jc w:val="both"/>
        <w:spacing w:after="0" w:line="327" w:lineRule="auto"/>
        <w:rPr>
          <w:sz w:val="20"/>
          <w:szCs w:val="20"/>
          <w:color w:val="auto"/>
        </w:rPr>
      </w:pPr>
      <w:r>
        <w:rPr>
          <w:rFonts w:ascii="Times New Roman" w:cs="Times New Roman" w:eastAsia="Times New Roman" w:hAnsi="Times New Roman"/>
          <w:sz w:val="20"/>
          <w:szCs w:val="20"/>
          <w:color w:val="auto"/>
        </w:rPr>
        <w:t xml:space="preserve">The information required by this Item 8 appears in a separate section of this annual report on Form 10-K beginning on page </w:t>
      </w:r>
      <w:r>
        <w:rPr>
          <w:rFonts w:ascii="Times New Roman" w:cs="Times New Roman" w:eastAsia="Times New Roman" w:hAnsi="Times New Roman"/>
          <w:sz w:val="20"/>
          <w:szCs w:val="20"/>
          <w:u w:val="single" w:color="auto"/>
          <w:color w:val="282828"/>
        </w:rPr>
        <w:t>F-1</w:t>
      </w:r>
      <w:r>
        <w:rPr>
          <w:rFonts w:ascii="Times New Roman" w:cs="Times New Roman" w:eastAsia="Times New Roman" w:hAnsi="Times New Roman"/>
          <w:sz w:val="20"/>
          <w:szCs w:val="20"/>
          <w:color w:val="auto"/>
        </w:rPr>
        <w:t xml:space="preserve"> and is incorporated herein by reference.</w:t>
      </w:r>
    </w:p>
    <w:p>
      <w:pPr>
        <w:spacing w:after="0" w:line="41" w:lineRule="exact"/>
        <w:rPr>
          <w:sz w:val="20"/>
          <w:szCs w:val="20"/>
          <w:color w:val="auto"/>
        </w:rPr>
      </w:pPr>
    </w:p>
    <w:p>
      <w:pPr>
        <w:ind w:right="40"/>
        <w:spacing w:after="0" w:line="335" w:lineRule="auto"/>
        <w:rPr>
          <w:sz w:val="20"/>
          <w:szCs w:val="20"/>
          <w:color w:val="auto"/>
        </w:rPr>
      </w:pPr>
      <w:r>
        <w:rPr>
          <w:rFonts w:ascii="Times New Roman" w:cs="Times New Roman" w:eastAsia="Times New Roman" w:hAnsi="Times New Roman"/>
          <w:sz w:val="20"/>
          <w:szCs w:val="20"/>
          <w:b w:val="1"/>
          <w:bCs w:val="1"/>
          <w:color w:val="auto"/>
        </w:rPr>
        <w:t>ITEM 9. CHANGES IN AND DISAGREEMENTS WITH ACCOUNTANTS ON ACCOUNTING AND FINANCIAL DISCLOSURE</w:t>
      </w:r>
    </w:p>
    <w:p>
      <w:pPr>
        <w:spacing w:after="0" w:line="37"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None.</w:t>
      </w:r>
    </w:p>
    <w:p>
      <w:pPr>
        <w:spacing w:after="0" w:line="157" w:lineRule="exact"/>
        <w:rPr>
          <w:sz w:val="20"/>
          <w:szCs w:val="20"/>
          <w:color w:val="auto"/>
        </w:rPr>
      </w:pPr>
    </w:p>
    <w:p>
      <w:pPr>
        <w:spacing w:after="0"/>
        <w:tabs>
          <w:tab w:leader="none" w:pos="1060" w:val="left"/>
        </w:tabs>
        <w:rPr>
          <w:sz w:val="20"/>
          <w:szCs w:val="20"/>
          <w:color w:val="auto"/>
        </w:rPr>
      </w:pPr>
      <w:r>
        <w:rPr>
          <w:rFonts w:ascii="Times New Roman" w:cs="Times New Roman" w:eastAsia="Times New Roman" w:hAnsi="Times New Roman"/>
          <w:sz w:val="20"/>
          <w:szCs w:val="20"/>
          <w:b w:val="1"/>
          <w:bCs w:val="1"/>
          <w:color w:val="auto"/>
        </w:rPr>
        <w:t>ITEM 9A.</w:t>
      </w:r>
      <w:r>
        <w:rPr>
          <w:sz w:val="20"/>
          <w:szCs w:val="20"/>
          <w:color w:val="auto"/>
        </w:rPr>
        <w:tab/>
      </w:r>
      <w:r>
        <w:rPr>
          <w:rFonts w:ascii="Times New Roman" w:cs="Times New Roman" w:eastAsia="Times New Roman" w:hAnsi="Times New Roman"/>
          <w:sz w:val="19"/>
          <w:szCs w:val="19"/>
          <w:b w:val="1"/>
          <w:bCs w:val="1"/>
          <w:color w:val="auto"/>
        </w:rPr>
        <w:t>CONTROLS AND PROCEDURES</w:t>
      </w:r>
    </w:p>
    <w:p>
      <w:pPr>
        <w:spacing w:after="0" w:line="16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Evaluation of Disclosure Controls and Procedures</w:t>
      </w:r>
    </w:p>
    <w:p>
      <w:pPr>
        <w:spacing w:after="0" w:line="168" w:lineRule="exact"/>
        <w:rPr>
          <w:sz w:val="20"/>
          <w:szCs w:val="20"/>
          <w:color w:val="auto"/>
        </w:rPr>
      </w:pPr>
    </w:p>
    <w:p>
      <w:pPr>
        <w:jc w:val="both"/>
        <w:spacing w:after="0" w:line="291" w:lineRule="auto"/>
        <w:rPr>
          <w:sz w:val="20"/>
          <w:szCs w:val="20"/>
          <w:color w:val="auto"/>
        </w:rPr>
      </w:pPr>
      <w:r>
        <w:rPr>
          <w:rFonts w:ascii="Times New Roman" w:cs="Times New Roman" w:eastAsia="Times New Roman" w:hAnsi="Times New Roman"/>
          <w:sz w:val="20"/>
          <w:szCs w:val="20"/>
          <w:color w:val="auto"/>
        </w:rPr>
        <w:t>Disclosure controls are procedures that are designed with the objective of ensuring that information required to be disclosed in our reports filed under the Exchange Act, is recorded, processed, summarized and reported within the time period specified in the SEC’s rules and forms. Disclosure controls are also designed with the objective of ensuring that such information is accumulated and communicated to our management, including our executive chair and chief financial officer, as appropriate to allow timely decisions regarding required disclosure. We do not expect that our disclosure controls and procedures will prevent all errors and all instances of fraud. Disclosure controls and procedures, no matter how well conceived and operated, can provide only reasonable, not absolute, assurance that the objectives of the disclosure controls and procedures are met. Further, the design of disclosure controls and procedures must reflect the fact that there are resource constraints, and the benefits must be considered relative to their costs. Because of the inherent limitations in all disclosure controls and procedures, no evaluation of disclosure controls and procedures can provide absolute assurance that we have detected all our control deficiencies and instances of fraud, if any. The design of disclosure controls and procedures also is based partly on certain assumptions about the likelihood of future events, and there can be no assurance that any design will succeed in achieving its stated goals under all potential future conditions.</w:t>
      </w:r>
    </w:p>
    <w:p>
      <w:pPr>
        <w:spacing w:after="0" w:line="83" w:lineRule="exact"/>
        <w:rPr>
          <w:sz w:val="20"/>
          <w:szCs w:val="20"/>
          <w:color w:val="auto"/>
        </w:rPr>
      </w:pPr>
    </w:p>
    <w:p>
      <w:pPr>
        <w:jc w:val="both"/>
        <w:spacing w:after="0" w:line="299" w:lineRule="auto"/>
        <w:rPr>
          <w:sz w:val="20"/>
          <w:szCs w:val="20"/>
          <w:color w:val="auto"/>
        </w:rPr>
      </w:pPr>
      <w:r>
        <w:rPr>
          <w:rFonts w:ascii="Times New Roman" w:cs="Times New Roman" w:eastAsia="Times New Roman" w:hAnsi="Times New Roman"/>
          <w:sz w:val="20"/>
          <w:szCs w:val="20"/>
          <w:color w:val="auto"/>
        </w:rPr>
        <w:t>With the foregoing in mind, our executive chair and chief financial officer (“Certifying Officers”) evaluated the effectiveness of our disclosure controls and procedures as of December 31, 2023, pursuant to Rule 13a-15(b) under the Exchange Act. Based on the evaluation, our executive chair and chief financial officer have concluded that as of December 31, 2023, our disclosure controls and procedures were not effective due to the material weaknesses in internal control over financial reporting described below.</w:t>
      </w:r>
    </w:p>
    <w:p>
      <w:pPr>
        <w:spacing w:after="0" w:line="7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Changes in Internal Control Over Financial Reporting</w:t>
      </w:r>
    </w:p>
    <w:p>
      <w:pPr>
        <w:spacing w:after="0" w:line="168" w:lineRule="exact"/>
        <w:rPr>
          <w:sz w:val="20"/>
          <w:szCs w:val="20"/>
          <w:color w:val="auto"/>
        </w:rPr>
      </w:pPr>
    </w:p>
    <w:p>
      <w:pPr>
        <w:jc w:val="both"/>
        <w:ind w:right="20"/>
        <w:spacing w:after="0" w:line="306" w:lineRule="auto"/>
        <w:rPr>
          <w:sz w:val="20"/>
          <w:szCs w:val="20"/>
          <w:color w:val="auto"/>
        </w:rPr>
      </w:pPr>
      <w:r>
        <w:rPr>
          <w:rFonts w:ascii="Times New Roman" w:cs="Times New Roman" w:eastAsia="Times New Roman" w:hAnsi="Times New Roman"/>
          <w:sz w:val="20"/>
          <w:szCs w:val="20"/>
          <w:color w:val="auto"/>
        </w:rPr>
        <w:t>Except for the material weaknesses identified during 2023, there were no changes in our internal control over financial reporting (as such term is defined in Rules 13a-15(f) and 15d-15(f) of the Exchange Act) during the most recent fiscal quarter that have materially affected, or are reasonably likely to materially affect, our internal control over financial reporting.</w:t>
      </w:r>
    </w:p>
    <w:p>
      <w:pPr>
        <w:spacing w:after="0" w:line="61"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Management’s Report on Internal Control Over Financial Reporting</w:t>
      </w:r>
    </w:p>
    <w:p>
      <w:pPr>
        <w:spacing w:after="0" w:line="168" w:lineRule="exact"/>
        <w:rPr>
          <w:sz w:val="20"/>
          <w:szCs w:val="20"/>
          <w:color w:val="auto"/>
        </w:rPr>
      </w:pPr>
    </w:p>
    <w:p>
      <w:pPr>
        <w:jc w:val="both"/>
        <w:spacing w:after="0" w:line="293" w:lineRule="auto"/>
        <w:rPr>
          <w:sz w:val="20"/>
          <w:szCs w:val="20"/>
          <w:color w:val="auto"/>
        </w:rPr>
      </w:pPr>
      <w:r>
        <w:rPr>
          <w:rFonts w:ascii="Times New Roman" w:cs="Times New Roman" w:eastAsia="Times New Roman" w:hAnsi="Times New Roman"/>
          <w:sz w:val="20"/>
          <w:szCs w:val="20"/>
          <w:color w:val="auto"/>
        </w:rPr>
        <w:t>Our management is responsible for establishing and maintaining adequate internal control over financial reporting as defined in Rule 13a-15(f) under the Exchange Act. Our internal control over financial reporting is designed to provide reasonable assurance regarding the reliability of financial reporting and the preparation of financial statements for external purposes in accordance with U.S. GAAP and includes those policies and procedures that: (1) pertain to the maintenance of records that in reasonable detail accurately and fairly reflect our transactions and the dispositions of our assets; (2) provide reasonable assurance that our transactions are recorded as necessary to permit preparation of financial statements in accordance with generally accepted accounting principles and that our receipts and expenditures are being made only in accordance with appropriate authorizations; and (3) provide reasonable assurance regarding prevention or timely detection of unauthorized acquisition, use or disposition of our assets that could have a material effect on our financial statements.</w:t>
      </w:r>
    </w:p>
    <w:p>
      <w:pPr>
        <w:spacing w:after="0" w:line="200" w:lineRule="exact"/>
        <w:rPr>
          <w:sz w:val="20"/>
          <w:szCs w:val="20"/>
          <w:color w:val="auto"/>
        </w:rPr>
      </w:pPr>
    </w:p>
    <w:p>
      <w:pPr>
        <w:spacing w:after="0" w:line="391"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20"/>
          <w:szCs w:val="20"/>
          <w:color w:val="auto"/>
        </w:rPr>
        <w:t>74</w:t>
      </w:r>
    </w:p>
    <w:p>
      <w:pPr>
        <w:sectPr>
          <w:pgSz w:w="12240" w:h="15840" w:orient="portrait"/>
          <w:cols w:equalWidth="0" w:num="1">
            <w:col w:w="10260"/>
          </w:cols>
          <w:pgMar w:left="1000" w:top="884" w:right="980" w:bottom="222" w:gutter="0" w:footer="0" w:header="0"/>
        </w:sectPr>
      </w:pPr>
    </w:p>
    <w:bookmarkStart w:id="78" w:name="page79"/>
    <w:bookmarkEnd w:id="78"/>
    <w:p>
      <w:pPr>
        <w:jc w:val="both"/>
        <w:spacing w:after="0" w:line="297" w:lineRule="auto"/>
        <w:rPr>
          <w:sz w:val="20"/>
          <w:szCs w:val="20"/>
          <w:color w:val="auto"/>
        </w:rPr>
      </w:pPr>
      <w:r>
        <w:rPr>
          <w:rFonts w:ascii="Times New Roman" w:cs="Times New Roman" w:eastAsia="Times New Roman" w:hAnsi="Times New Roman"/>
          <w:sz w:val="20"/>
          <w:szCs w:val="20"/>
          <w:color w:val="auto"/>
        </w:rPr>
        <w:t>In designing and evaluating the disclosure controls and procedures and internal control over financial reporting, management recognizes that any controls and procedures, no matter how well designed and operated, can provide only reasonable assurance of achieving the desired control objectives. In addition, the design of disclosure controls and procedures and internal control over financial reporting must reflect the fact that there are resource constraints and that management is required to apply judgment in evaluating the benefits of possible controls and procedures relative to their costs.</w:t>
      </w:r>
    </w:p>
    <w:p>
      <w:pPr>
        <w:spacing w:after="0" w:line="74" w:lineRule="exact"/>
        <w:rPr>
          <w:sz w:val="20"/>
          <w:szCs w:val="20"/>
          <w:color w:val="auto"/>
        </w:rPr>
      </w:pPr>
    </w:p>
    <w:p>
      <w:pPr>
        <w:jc w:val="both"/>
        <w:ind w:right="20"/>
        <w:spacing w:after="0" w:line="299" w:lineRule="auto"/>
        <w:rPr>
          <w:sz w:val="20"/>
          <w:szCs w:val="20"/>
          <w:color w:val="auto"/>
        </w:rPr>
      </w:pPr>
      <w:r>
        <w:rPr>
          <w:rFonts w:ascii="Times New Roman" w:cs="Times New Roman" w:eastAsia="Times New Roman" w:hAnsi="Times New Roman"/>
          <w:sz w:val="20"/>
          <w:szCs w:val="20"/>
          <w:color w:val="auto"/>
        </w:rPr>
        <w:t>Under the supervision of and with the participation of our management, we assessed the effectiveness of our internal control over financial reporting as of December 31, 2023, using the criteria set forth by the Committee of Sponsoring Organizations of the Treadway Commission (COSO) in Internal Control — Integrated Framework (2013). A material weakness is a deficiency, or a combination of deficiencies, in internal control over financial reporting, such that there is a reasonable possibility that a material misstatement of our annual or interim financial statements will not be prevented or detected on a timely basis.</w:t>
      </w:r>
    </w:p>
    <w:p>
      <w:pPr>
        <w:spacing w:after="0" w:line="72" w:lineRule="exact"/>
        <w:rPr>
          <w:sz w:val="20"/>
          <w:szCs w:val="20"/>
          <w:color w:val="auto"/>
        </w:rPr>
      </w:pPr>
    </w:p>
    <w:p>
      <w:pPr>
        <w:jc w:val="both"/>
        <w:spacing w:after="0" w:line="295" w:lineRule="auto"/>
        <w:rPr>
          <w:sz w:val="20"/>
          <w:szCs w:val="20"/>
          <w:color w:val="auto"/>
        </w:rPr>
      </w:pPr>
      <w:r>
        <w:rPr>
          <w:rFonts w:ascii="Times New Roman" w:cs="Times New Roman" w:eastAsia="Times New Roman" w:hAnsi="Times New Roman"/>
          <w:sz w:val="20"/>
          <w:szCs w:val="20"/>
          <w:color w:val="auto"/>
        </w:rPr>
        <w:t>The following entity-level material weaknesses have been identified: We did not fully maintain components of the COSO framework, including elements of the control environment, risk assessment, information and communication and monitoring activities components, relating to (i) developing general control activities over technology to support the achievement of objectives across the entity, (ii) sufficiency of processes related to identifying and analyzing risks to the achievement of objectives, including technology, across the entity, and (iii) sufficiency of selecting and developing control activities that contribute to the mitigation of risks to the achievement of objectives to acceptable levels.</w:t>
      </w:r>
    </w:p>
    <w:p>
      <w:pPr>
        <w:spacing w:after="0" w:line="75" w:lineRule="exact"/>
        <w:rPr>
          <w:sz w:val="20"/>
          <w:szCs w:val="20"/>
          <w:color w:val="auto"/>
        </w:rPr>
      </w:pPr>
    </w:p>
    <w:p>
      <w:pPr>
        <w:jc w:val="both"/>
        <w:ind w:right="20"/>
        <w:spacing w:after="0" w:line="334" w:lineRule="auto"/>
        <w:rPr>
          <w:sz w:val="20"/>
          <w:szCs w:val="20"/>
          <w:color w:val="auto"/>
        </w:rPr>
      </w:pPr>
      <w:r>
        <w:rPr>
          <w:rFonts w:ascii="Times New Roman" w:cs="Times New Roman" w:eastAsia="Times New Roman" w:hAnsi="Times New Roman"/>
          <w:sz w:val="20"/>
          <w:szCs w:val="20"/>
          <w:color w:val="auto"/>
        </w:rPr>
        <w:t>The entity-level material weaknesses contributed to other material weaknesses within our system of internal control over financial reporting as follow:</w:t>
      </w:r>
    </w:p>
    <w:p>
      <w:pPr>
        <w:spacing w:after="0" w:line="37" w:lineRule="exact"/>
        <w:rPr>
          <w:sz w:val="20"/>
          <w:szCs w:val="20"/>
          <w:color w:val="auto"/>
        </w:rPr>
      </w:pPr>
    </w:p>
    <w:p>
      <w:pPr>
        <w:jc w:val="both"/>
        <w:ind w:left="720" w:hanging="366"/>
        <w:spacing w:after="0" w:line="292" w:lineRule="auto"/>
        <w:tabs>
          <w:tab w:leader="none" w:pos="720" w:val="left"/>
        </w:tabs>
        <w:numPr>
          <w:ilvl w:val="0"/>
          <w:numId w:val="3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We did not design and maintain effective information technology (IT) general controls for certain information systems supporting our key financial reporting processes. Specifically, we did not design, implement and maintain (a) change management controls to ensure that program and data changes affecting financial applications and underlying accounting records are identified, tested, authorized and implemented appropriately, (b) access controls to ensure appropriate IT segregation of duties are maintained that adequately restrict and segregate privileged access between environments which support development and production, and (c) controls to monitor on an on-going basis for the proper segregation of privileged access between environments which support development and production. As a result, IT application controls and business process controls that are dependent on the ineffective IT general controls, or that rely on data produced from systems impacted by the ineffective IT general controls, are also deemed ineffective, which affects substantially all of our financial statement account balances and disclosures.</w:t>
      </w:r>
    </w:p>
    <w:p>
      <w:pPr>
        <w:spacing w:after="0" w:line="81" w:lineRule="exact"/>
        <w:rPr>
          <w:rFonts w:ascii="Times New Roman" w:cs="Times New Roman" w:eastAsia="Times New Roman" w:hAnsi="Times New Roman"/>
          <w:sz w:val="20"/>
          <w:szCs w:val="20"/>
          <w:color w:val="auto"/>
        </w:rPr>
      </w:pPr>
    </w:p>
    <w:p>
      <w:pPr>
        <w:jc w:val="both"/>
        <w:ind w:left="720" w:hanging="366"/>
        <w:spacing w:after="0" w:line="301" w:lineRule="auto"/>
        <w:tabs>
          <w:tab w:leader="none" w:pos="720" w:val="left"/>
        </w:tabs>
        <w:numPr>
          <w:ilvl w:val="0"/>
          <w:numId w:val="3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We did not design and maintain effective information technology (IT) general controls for certain information systems supporting our key financial reporting processes. Specifically, we did not design, implement and maintain sufficient change management, security, and operations controls for certain in-scope on-premise applications and vendor-supported applications.</w:t>
      </w:r>
    </w:p>
    <w:p>
      <w:pPr>
        <w:spacing w:after="0" w:line="70" w:lineRule="exact"/>
        <w:rPr>
          <w:rFonts w:ascii="Times New Roman" w:cs="Times New Roman" w:eastAsia="Times New Roman" w:hAnsi="Times New Roman"/>
          <w:sz w:val="20"/>
          <w:szCs w:val="20"/>
          <w:color w:val="auto"/>
        </w:rPr>
      </w:pPr>
    </w:p>
    <w:p>
      <w:pPr>
        <w:jc w:val="both"/>
        <w:ind w:left="720" w:hanging="366"/>
        <w:spacing w:after="0" w:line="289" w:lineRule="auto"/>
        <w:tabs>
          <w:tab w:leader="none" w:pos="721" w:val="left"/>
        </w:tabs>
        <w:numPr>
          <w:ilvl w:val="0"/>
          <w:numId w:val="36"/>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We did not design and maintain effective process-level controls related to the order-to-cash cycle (including revenues, accounts receivables, and deferred revenue), procure-to-pay-cycle (including operating expenses, prepaid expenses and other current assets, accounts payable and accrued expenses), capitalized software, and long-term assets. The material weakness related to the order-to-cash cycle resulted in an inadequate policy associated with our revenue recognition policies related to the cash collection of a certain subset of our customers that had been placed on a cash basis and, in turn, the restatement of our unaudited condensed consolidated financial statements in its prior three quarters reported in 2023 as of and for the three months ended March 31, 2023, six months ended June 30, 2023 and nine months ended September 30, 2023 included in our quarterly reports on Form 10-Q for the corresponding periods. Additionally, this material weakness could result in a misstatement of any account balances or disclosures that would result in a material misstatement to the annual or interim consolidated financial statements that would not be prevented or detected.</w:t>
      </w:r>
    </w:p>
    <w:p>
      <w:pPr>
        <w:spacing w:after="0" w:line="322" w:lineRule="exact"/>
        <w:rPr>
          <w:sz w:val="20"/>
          <w:szCs w:val="20"/>
          <w:color w:val="auto"/>
        </w:rPr>
      </w:pPr>
    </w:p>
    <w:p>
      <w:pPr>
        <w:jc w:val="both"/>
        <w:spacing w:after="0" w:line="301" w:lineRule="auto"/>
        <w:rPr>
          <w:sz w:val="20"/>
          <w:szCs w:val="20"/>
          <w:color w:val="auto"/>
        </w:rPr>
      </w:pPr>
      <w:r>
        <w:rPr>
          <w:rFonts w:ascii="Times New Roman" w:cs="Times New Roman" w:eastAsia="Times New Roman" w:hAnsi="Times New Roman"/>
          <w:sz w:val="20"/>
          <w:szCs w:val="20"/>
          <w:color w:val="auto"/>
        </w:rPr>
        <w:t>For the year ended December 31, 2022, we identified a material weakness in internal control related to ineffective IT general controls in the areas of user access and program change-management over certain information technology systems that support our financial reporting processes. We took measures to remediate this material weakness, specifically by undertaking the following measures:</w:t>
      </w:r>
    </w:p>
    <w:p>
      <w:pPr>
        <w:spacing w:after="0" w:line="279"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20"/>
          <w:szCs w:val="20"/>
          <w:color w:val="auto"/>
        </w:rPr>
        <w:t>75</w:t>
      </w:r>
    </w:p>
    <w:p>
      <w:pPr>
        <w:sectPr>
          <w:pgSz w:w="12240" w:h="15840" w:orient="portrait"/>
          <w:cols w:equalWidth="0" w:num="1">
            <w:col w:w="10260"/>
          </w:cols>
          <w:pgMar w:left="1000" w:top="884" w:right="980" w:bottom="222" w:gutter="0" w:footer="0" w:header="0"/>
        </w:sectPr>
      </w:pPr>
    </w:p>
    <w:bookmarkStart w:id="79" w:name="page80"/>
    <w:bookmarkEnd w:id="79"/>
    <w:p>
      <w:pPr>
        <w:ind w:left="720" w:hanging="366"/>
        <w:spacing w:after="0"/>
        <w:tabs>
          <w:tab w:leader="none" w:pos="720" w:val="left"/>
        </w:tabs>
        <w:numPr>
          <w:ilvl w:val="0"/>
          <w:numId w:val="3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removing developers’ administrative access from production systems;</w:t>
      </w:r>
    </w:p>
    <w:p>
      <w:pPr>
        <w:spacing w:after="0" w:line="165" w:lineRule="exact"/>
        <w:rPr>
          <w:rFonts w:ascii="Times New Roman" w:cs="Times New Roman" w:eastAsia="Times New Roman" w:hAnsi="Times New Roman"/>
          <w:sz w:val="20"/>
          <w:szCs w:val="20"/>
          <w:color w:val="auto"/>
        </w:rPr>
      </w:pPr>
    </w:p>
    <w:p>
      <w:pPr>
        <w:ind w:left="720" w:hanging="366"/>
        <w:spacing w:after="0"/>
        <w:tabs>
          <w:tab w:leader="none" w:pos="720" w:val="left"/>
        </w:tabs>
        <w:numPr>
          <w:ilvl w:val="0"/>
          <w:numId w:val="3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removing the ability for certain users, including developers, to access other users’ accounts; and</w:t>
      </w:r>
    </w:p>
    <w:p>
      <w:pPr>
        <w:spacing w:after="0" w:line="165" w:lineRule="exact"/>
        <w:rPr>
          <w:rFonts w:ascii="Times New Roman" w:cs="Times New Roman" w:eastAsia="Times New Roman" w:hAnsi="Times New Roman"/>
          <w:sz w:val="20"/>
          <w:szCs w:val="20"/>
          <w:color w:val="auto"/>
        </w:rPr>
      </w:pPr>
    </w:p>
    <w:p>
      <w:pPr>
        <w:ind w:left="720" w:right="20" w:hanging="366"/>
        <w:spacing w:after="0" w:line="326" w:lineRule="auto"/>
        <w:tabs>
          <w:tab w:leader="none" w:pos="720" w:val="left"/>
        </w:tabs>
        <w:numPr>
          <w:ilvl w:val="0"/>
          <w:numId w:val="3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implementing audit trails to log and monitor system configuration and data changes made by users to detect erroneous or unauthorized changes.</w:t>
      </w:r>
    </w:p>
    <w:p>
      <w:pPr>
        <w:spacing w:after="0" w:line="45" w:lineRule="exact"/>
        <w:rPr>
          <w:sz w:val="20"/>
          <w:szCs w:val="20"/>
          <w:color w:val="auto"/>
        </w:rPr>
      </w:pPr>
    </w:p>
    <w:p>
      <w:pPr>
        <w:jc w:val="both"/>
        <w:spacing w:after="0" w:line="296" w:lineRule="auto"/>
        <w:rPr>
          <w:sz w:val="20"/>
          <w:szCs w:val="20"/>
          <w:color w:val="auto"/>
        </w:rPr>
      </w:pPr>
      <w:r>
        <w:rPr>
          <w:rFonts w:ascii="Times New Roman" w:cs="Times New Roman" w:eastAsia="Times New Roman" w:hAnsi="Times New Roman"/>
          <w:sz w:val="20"/>
          <w:szCs w:val="20"/>
          <w:color w:val="auto"/>
        </w:rPr>
        <w:t>Our remediation efforts concluded as of June 30, 2023 when we determined that the above measures had been implemented. As of July 2023, administrative access to the sandbox environment where development activities take place was extended to users with administrative access to the production environment, thereby negating the remediation efforts taken. This access was not subject to our monthly monitoring control activity and persisted through the remainder of fiscal 2023. The lack of successful completion of our remediation efforts related to this material weakness identified for the year ended December 31, 2022 is reflected in the first bullet of our 2023 material weaknesses discussed above.</w:t>
      </w:r>
    </w:p>
    <w:p>
      <w:pPr>
        <w:spacing w:after="0" w:line="74"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Remediation</w:t>
      </w:r>
    </w:p>
    <w:p>
      <w:pPr>
        <w:spacing w:after="0" w:line="168" w:lineRule="exact"/>
        <w:rPr>
          <w:sz w:val="20"/>
          <w:szCs w:val="20"/>
          <w:color w:val="auto"/>
        </w:rPr>
      </w:pPr>
    </w:p>
    <w:p>
      <w:pPr>
        <w:jc w:val="both"/>
        <w:spacing w:after="0" w:line="296" w:lineRule="auto"/>
        <w:rPr>
          <w:sz w:val="20"/>
          <w:szCs w:val="20"/>
          <w:color w:val="auto"/>
        </w:rPr>
      </w:pPr>
      <w:r>
        <w:rPr>
          <w:rFonts w:ascii="Times New Roman" w:cs="Times New Roman" w:eastAsia="Times New Roman" w:hAnsi="Times New Roman"/>
          <w:sz w:val="20"/>
          <w:szCs w:val="20"/>
          <w:color w:val="auto"/>
        </w:rPr>
        <w:t>We have begun the process of evaluating the material weaknesses and developing our full remediation plan. Until the remediation plan is implemented, tested, and deemed effective we cannot assure that our actions will adequately remediate the material weaknesses or that additional material weaknesses in our internal controls will not be identified in the future. If we are unable to remediate the material weaknesses, our ability to record, process and report financial information accurately, and to prepare financial statements within the time periods specified by the rules and forms of the SEC, could be adversely affected and could reduce the market’s confidence in our financial statements and harm our stock price.</w:t>
      </w:r>
    </w:p>
    <w:p>
      <w:pPr>
        <w:spacing w:after="0" w:line="197" w:lineRule="exact"/>
        <w:rPr>
          <w:sz w:val="20"/>
          <w:szCs w:val="20"/>
          <w:color w:val="auto"/>
        </w:rPr>
      </w:pPr>
    </w:p>
    <w:p>
      <w:pPr>
        <w:spacing w:after="0"/>
        <w:tabs>
          <w:tab w:leader="none" w:pos="1060" w:val="left"/>
        </w:tabs>
        <w:rPr>
          <w:sz w:val="20"/>
          <w:szCs w:val="20"/>
          <w:color w:val="auto"/>
        </w:rPr>
      </w:pPr>
      <w:r>
        <w:rPr>
          <w:rFonts w:ascii="Times New Roman" w:cs="Times New Roman" w:eastAsia="Times New Roman" w:hAnsi="Times New Roman"/>
          <w:sz w:val="20"/>
          <w:szCs w:val="20"/>
          <w:b w:val="1"/>
          <w:bCs w:val="1"/>
          <w:color w:val="auto"/>
        </w:rPr>
        <w:t>ITEM 9B.</w:t>
      </w:r>
      <w:r>
        <w:rPr>
          <w:sz w:val="20"/>
          <w:szCs w:val="20"/>
          <w:color w:val="auto"/>
        </w:rPr>
        <w:tab/>
      </w:r>
      <w:r>
        <w:rPr>
          <w:rFonts w:ascii="Times New Roman" w:cs="Times New Roman" w:eastAsia="Times New Roman" w:hAnsi="Times New Roman"/>
          <w:sz w:val="19"/>
          <w:szCs w:val="19"/>
          <w:b w:val="1"/>
          <w:bCs w:val="1"/>
          <w:color w:val="auto"/>
        </w:rPr>
        <w:t>OTHER INFORMATION</w:t>
      </w:r>
    </w:p>
    <w:p>
      <w:pPr>
        <w:spacing w:after="0" w:line="168"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None.</w:t>
      </w:r>
    </w:p>
    <w:p>
      <w:pPr>
        <w:spacing w:after="0" w:line="279" w:lineRule="exact"/>
        <w:rPr>
          <w:sz w:val="20"/>
          <w:szCs w:val="20"/>
          <w:color w:val="auto"/>
        </w:rPr>
      </w:pPr>
    </w:p>
    <w:p>
      <w:pPr>
        <w:spacing w:after="0"/>
        <w:tabs>
          <w:tab w:leader="none" w:pos="1060" w:val="left"/>
        </w:tabs>
        <w:rPr>
          <w:sz w:val="20"/>
          <w:szCs w:val="20"/>
          <w:color w:val="auto"/>
        </w:rPr>
      </w:pPr>
      <w:r>
        <w:rPr>
          <w:rFonts w:ascii="Times New Roman" w:cs="Times New Roman" w:eastAsia="Times New Roman" w:hAnsi="Times New Roman"/>
          <w:sz w:val="20"/>
          <w:szCs w:val="20"/>
          <w:b w:val="1"/>
          <w:bCs w:val="1"/>
          <w:color w:val="auto"/>
        </w:rPr>
        <w:t>ITEM 9C.</w:t>
      </w:r>
      <w:r>
        <w:rPr>
          <w:sz w:val="20"/>
          <w:szCs w:val="20"/>
          <w:color w:val="auto"/>
        </w:rPr>
        <w:tab/>
      </w:r>
      <w:r>
        <w:rPr>
          <w:rFonts w:ascii="Times New Roman" w:cs="Times New Roman" w:eastAsia="Times New Roman" w:hAnsi="Times New Roman"/>
          <w:sz w:val="19"/>
          <w:szCs w:val="19"/>
          <w:b w:val="1"/>
          <w:bCs w:val="1"/>
          <w:color w:val="auto"/>
        </w:rPr>
        <w:t>DISCLOSURE REGARDING FOREIGN JURISDICTIONS THAT PREVENT INSPECTIONS</w:t>
      </w:r>
    </w:p>
    <w:p>
      <w:pPr>
        <w:spacing w:after="0" w:line="29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Not applicable.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7"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20"/>
          <w:szCs w:val="20"/>
          <w:color w:val="auto"/>
        </w:rPr>
        <w:t>76</w:t>
      </w:r>
    </w:p>
    <w:p>
      <w:pPr>
        <w:sectPr>
          <w:pgSz w:w="12240" w:h="15840" w:orient="portrait"/>
          <w:cols w:equalWidth="0" w:num="1">
            <w:col w:w="10260"/>
          </w:cols>
          <w:pgMar w:left="1000" w:top="884" w:right="980" w:bottom="222" w:gutter="0" w:footer="0" w:header="0"/>
        </w:sectPr>
      </w:pPr>
    </w:p>
    <w:bookmarkStart w:id="80" w:name="page81"/>
    <w:bookmarkEnd w:id="80"/>
    <w:p>
      <w:pPr>
        <w:spacing w:after="0"/>
        <w:rPr>
          <w:sz w:val="20"/>
          <w:szCs w:val="20"/>
          <w:color w:val="auto"/>
        </w:rPr>
      </w:pPr>
      <w:r>
        <w:rPr>
          <w:rFonts w:ascii="Times New Roman" w:cs="Times New Roman" w:eastAsia="Times New Roman" w:hAnsi="Times New Roman"/>
          <w:sz w:val="20"/>
          <w:szCs w:val="20"/>
          <w:b w:val="1"/>
          <w:bCs w:val="1"/>
          <w:color w:val="auto"/>
        </w:rPr>
        <w:t>PART III</w:t>
      </w:r>
    </w:p>
    <w:p>
      <w:pPr>
        <w:spacing w:after="0" w:line="288" w:lineRule="exact"/>
        <w:rPr>
          <w:sz w:val="20"/>
          <w:szCs w:val="20"/>
          <w:color w:val="auto"/>
        </w:rPr>
      </w:pPr>
    </w:p>
    <w:p>
      <w:pPr>
        <w:ind w:right="2380"/>
        <w:spacing w:after="0" w:line="414" w:lineRule="auto"/>
        <w:rPr>
          <w:sz w:val="20"/>
          <w:szCs w:val="20"/>
          <w:color w:val="auto"/>
        </w:rPr>
      </w:pPr>
      <w:r>
        <w:rPr>
          <w:rFonts w:ascii="Times New Roman" w:cs="Times New Roman" w:eastAsia="Times New Roman" w:hAnsi="Times New Roman"/>
          <w:sz w:val="20"/>
          <w:szCs w:val="20"/>
          <w:b w:val="1"/>
          <w:bCs w:val="1"/>
          <w:color w:val="auto"/>
        </w:rPr>
        <w:t>ITEM 10. DIRECTORS, EXECUTIVE OFFICERS AND CORPORATE GOVERNANCE Directors</w:t>
      </w:r>
    </w:p>
    <w:p>
      <w:pPr>
        <w:spacing w:after="0"/>
        <w:rPr>
          <w:sz w:val="20"/>
          <w:szCs w:val="20"/>
          <w:color w:val="auto"/>
        </w:rPr>
      </w:pPr>
      <w:r>
        <w:rPr>
          <w:rFonts w:ascii="Times New Roman" w:cs="Times New Roman" w:eastAsia="Times New Roman" w:hAnsi="Times New Roman"/>
          <w:sz w:val="20"/>
          <w:szCs w:val="20"/>
          <w:color w:val="auto"/>
        </w:rPr>
        <w:t>The following is a brief biography of each nominee and each director whose term will continue after the Annual Meeting.</w:t>
      </w:r>
    </w:p>
    <w:p>
      <w:pPr>
        <w:spacing w:after="0" w:line="166" w:lineRule="exact"/>
        <w:rPr>
          <w:sz w:val="20"/>
          <w:szCs w:val="20"/>
          <w:color w:val="auto"/>
        </w:rPr>
      </w:pPr>
    </w:p>
    <w:p>
      <w:pPr>
        <w:jc w:val="both"/>
        <w:spacing w:after="0" w:line="294" w:lineRule="auto"/>
        <w:rPr>
          <w:sz w:val="20"/>
          <w:szCs w:val="20"/>
          <w:color w:val="auto"/>
        </w:rPr>
      </w:pPr>
      <w:r>
        <w:rPr>
          <w:rFonts w:ascii="Times New Roman" w:cs="Times New Roman" w:eastAsia="Times New Roman" w:hAnsi="Times New Roman"/>
          <w:sz w:val="20"/>
          <w:szCs w:val="20"/>
          <w:i w:val="1"/>
          <w:iCs w:val="1"/>
          <w:color w:val="auto"/>
        </w:rPr>
        <w:t>Douglas Francis</w:t>
      </w:r>
      <w:r>
        <w:rPr>
          <w:rFonts w:ascii="Times New Roman" w:cs="Times New Roman" w:eastAsia="Times New Roman" w:hAnsi="Times New Roman"/>
          <w:sz w:val="20"/>
          <w:szCs w:val="20"/>
          <w:color w:val="auto"/>
        </w:rPr>
        <w:t>. Mr. Francis, age 46, has served as a member of the Board since June 2021, and as Executive Chair since August</w:t>
      </w:r>
      <w:r>
        <w:rPr>
          <w:rFonts w:ascii="Times New Roman" w:cs="Times New Roman" w:eastAsia="Times New Roman" w:hAnsi="Times New Roman"/>
          <w:sz w:val="20"/>
          <w:szCs w:val="20"/>
          <w:i w:val="1"/>
          <w:iCs w:val="1"/>
          <w:color w:val="auto"/>
        </w:rPr>
        <w:t xml:space="preserve"> </w:t>
      </w:r>
      <w:r>
        <w:rPr>
          <w:rFonts w:ascii="Times New Roman" w:cs="Times New Roman" w:eastAsia="Times New Roman" w:hAnsi="Times New Roman"/>
          <w:sz w:val="20"/>
          <w:szCs w:val="20"/>
          <w:color w:val="auto"/>
        </w:rPr>
        <w:t>2022. Mr. Francis is a co-founder of WM Holding Company, LLC (when referred to in its pre-Business Combination capacity, “Legacy WMH”), and served as Chairperson of Legacy WMH’s board of managers from March 2019 to June 2021 and as a member of Legacy WMH’s board of managers prior to that. Mr. Francis previously served as Legacy WMH’s Chief Executive Officer from February 2016 until March 2019 and as Legacy WMH’s President from January 2009 to February 2016. Mr. Francis has served in management positions in each of Legacy WMH’s current subsidiaries. Mr. Francis holds a B.S. in Business Administration and Management from Chapman University.</w:t>
      </w:r>
    </w:p>
    <w:p>
      <w:pPr>
        <w:spacing w:after="0" w:line="80" w:lineRule="exact"/>
        <w:rPr>
          <w:sz w:val="20"/>
          <w:szCs w:val="20"/>
          <w:color w:val="auto"/>
        </w:rPr>
      </w:pPr>
    </w:p>
    <w:p>
      <w:pPr>
        <w:jc w:val="both"/>
        <w:spacing w:after="0" w:line="291" w:lineRule="auto"/>
        <w:rPr>
          <w:sz w:val="20"/>
          <w:szCs w:val="20"/>
          <w:color w:val="auto"/>
        </w:rPr>
      </w:pPr>
      <w:r>
        <w:rPr>
          <w:rFonts w:ascii="Times New Roman" w:cs="Times New Roman" w:eastAsia="Times New Roman" w:hAnsi="Times New Roman"/>
          <w:sz w:val="20"/>
          <w:szCs w:val="20"/>
          <w:i w:val="1"/>
          <w:iCs w:val="1"/>
          <w:color w:val="auto"/>
        </w:rPr>
        <w:t>Scott Gordon</w:t>
      </w:r>
      <w:r>
        <w:rPr>
          <w:rFonts w:ascii="Times New Roman" w:cs="Times New Roman" w:eastAsia="Times New Roman" w:hAnsi="Times New Roman"/>
          <w:sz w:val="20"/>
          <w:szCs w:val="20"/>
          <w:color w:val="auto"/>
        </w:rPr>
        <w:t>. Mr. Gordon, age 62, has served as a member of the Board since June 2021. Mr. Gordon has held the dual roles of</w:t>
      </w:r>
      <w:r>
        <w:rPr>
          <w:rFonts w:ascii="Times New Roman" w:cs="Times New Roman" w:eastAsia="Times New Roman" w:hAnsi="Times New Roman"/>
          <w:sz w:val="20"/>
          <w:szCs w:val="20"/>
          <w:i w:val="1"/>
          <w:iCs w:val="1"/>
          <w:color w:val="auto"/>
        </w:rPr>
        <w:t xml:space="preserve"> </w:t>
      </w:r>
      <w:r>
        <w:rPr>
          <w:rFonts w:ascii="Times New Roman" w:cs="Times New Roman" w:eastAsia="Times New Roman" w:hAnsi="Times New Roman"/>
          <w:sz w:val="20"/>
          <w:szCs w:val="20"/>
          <w:color w:val="auto"/>
        </w:rPr>
        <w:t>Chief Executive Officer and Chairperson of the board of directors of Silver Spike Investment Corp. since its founding. Similarly, he served in the same capacities for Silver Spike Acquisition Corp. from its inception until June 2021.Mr. Gordon is the co-founder and since 2016 has been the Chairperson of Egg Rock Holdings, parent company of the Papa &amp; Barkley family of cannabis products with related subsidiary assets in manufacturing, processing, and logistics. Egg Rock Holdings also is the parent company of Papa &amp; Barkley Essentials, a hemp-derived CBD business based in Colorado. From 2016 to 2018, Mr. Gordon was also President of Fintech Advisory Inc., investment manager for a multibillion dollar family office fund focused on long-term and opportunistic investments in emerging markets. From 2013 to 2016, Mr. Gordon served as a Portfolio Manager at Taconic Capital Advisors, a multi-strategy investment firm. Prior to joining Taconic, Mr. Gordon was a Partner and Portfolio Manager at Caxton Associates from 2009 to 2012. He was also a Senior Managing Director and Head of Emerging Markets at Marathon Asset Management from 2007 to 2009. Earlier in his career, Mr. Gordon also held leadership positions at Bank of America and ING Capital. Mr. Gordon was a founding member of the Emerging Markets business at JP Morgan where he worked upon graduating from Bowdoin College in 1983.</w:t>
      </w:r>
    </w:p>
    <w:p>
      <w:pPr>
        <w:spacing w:after="0" w:line="83" w:lineRule="exact"/>
        <w:rPr>
          <w:sz w:val="20"/>
          <w:szCs w:val="20"/>
          <w:color w:val="auto"/>
        </w:rPr>
      </w:pPr>
    </w:p>
    <w:p>
      <w:pPr>
        <w:jc w:val="both"/>
        <w:spacing w:after="0" w:line="292" w:lineRule="auto"/>
        <w:rPr>
          <w:sz w:val="20"/>
          <w:szCs w:val="20"/>
          <w:color w:val="auto"/>
        </w:rPr>
      </w:pPr>
      <w:r>
        <w:rPr>
          <w:rFonts w:ascii="Times New Roman" w:cs="Times New Roman" w:eastAsia="Times New Roman" w:hAnsi="Times New Roman"/>
          <w:sz w:val="20"/>
          <w:szCs w:val="20"/>
          <w:i w:val="1"/>
          <w:iCs w:val="1"/>
          <w:color w:val="auto"/>
        </w:rPr>
        <w:t>Fiona Tan</w:t>
      </w:r>
      <w:r>
        <w:rPr>
          <w:rFonts w:ascii="Times New Roman" w:cs="Times New Roman" w:eastAsia="Times New Roman" w:hAnsi="Times New Roman"/>
          <w:sz w:val="20"/>
          <w:szCs w:val="20"/>
          <w:color w:val="auto"/>
        </w:rPr>
        <w:t>. Ms. Tan, age 53, has served as a member of the Board since June 2021. Since March 2022, Ms. Tan has served as</w:t>
      </w:r>
      <w:r>
        <w:rPr>
          <w:rFonts w:ascii="Times New Roman" w:cs="Times New Roman" w:eastAsia="Times New Roman" w:hAnsi="Times New Roman"/>
          <w:sz w:val="20"/>
          <w:szCs w:val="20"/>
          <w:i w:val="1"/>
          <w:iCs w:val="1"/>
          <w:color w:val="auto"/>
        </w:rPr>
        <w:t xml:space="preserve"> </w:t>
      </w:r>
      <w:r>
        <w:rPr>
          <w:rFonts w:ascii="Times New Roman" w:cs="Times New Roman" w:eastAsia="Times New Roman" w:hAnsi="Times New Roman"/>
          <w:sz w:val="20"/>
          <w:szCs w:val="20"/>
          <w:color w:val="auto"/>
        </w:rPr>
        <w:t>Chief Technology Officer for Wayfair LLC, where she previously served as the Global Head of Customer and Supplier Technology from September 2020 to March 2022. She has held various leadership positions at Walmart Inc., including Head of Technology for Walmart US from March 2019 to September 2020, Senior Vice President of Engineering and Customer Technology for Walmart Labs from January 2017 to March 2019 and Vice President of Engineering and International Markets for Walmart Labs Strategy and Operations from April 2014 to January 2017. Additionally, Ms. Tan was Vice President of Engineering for Ariba, Inc. from January 2012 to April 2014 and held the same role at TIBCO Software, Inc. from January 1995 to October 2011, and worked as a Senior Technical Staff Member role at Oracle Corporation from January 1993 to May 1995. Ms. Tan holds an M.S. in Computer Science from Stanford University and a B.S. in Computer Science and Engineering from the Massachusetts Institute of Technology.</w:t>
      </w:r>
    </w:p>
    <w:p>
      <w:pPr>
        <w:spacing w:after="0" w:line="82" w:lineRule="exact"/>
        <w:rPr>
          <w:sz w:val="20"/>
          <w:szCs w:val="20"/>
          <w:color w:val="auto"/>
        </w:rPr>
      </w:pPr>
    </w:p>
    <w:p>
      <w:pPr>
        <w:jc w:val="both"/>
        <w:spacing w:after="0" w:line="307" w:lineRule="auto"/>
        <w:rPr>
          <w:sz w:val="20"/>
          <w:szCs w:val="20"/>
          <w:color w:val="auto"/>
        </w:rPr>
      </w:pPr>
      <w:r>
        <w:rPr>
          <w:rFonts w:ascii="Times New Roman" w:cs="Times New Roman" w:eastAsia="Times New Roman" w:hAnsi="Times New Roman"/>
          <w:sz w:val="19"/>
          <w:szCs w:val="19"/>
          <w:i w:val="1"/>
          <w:iCs w:val="1"/>
          <w:color w:val="auto"/>
        </w:rPr>
        <w:t>Anthony Bay</w:t>
      </w:r>
      <w:r>
        <w:rPr>
          <w:rFonts w:ascii="Times New Roman" w:cs="Times New Roman" w:eastAsia="Times New Roman" w:hAnsi="Times New Roman"/>
          <w:sz w:val="19"/>
          <w:szCs w:val="19"/>
          <w:color w:val="auto"/>
        </w:rPr>
        <w:t>. Mr. Bay, age 68, has served as a member of the Board since March 2022. Prior to joining the Board, Mr. Bay served</w:t>
      </w:r>
      <w:r>
        <w:rPr>
          <w:rFonts w:ascii="Times New Roman" w:cs="Times New Roman" w:eastAsia="Times New Roman" w:hAnsi="Times New Roman"/>
          <w:sz w:val="19"/>
          <w:szCs w:val="19"/>
          <w:i w:val="1"/>
          <w:iCs w:val="1"/>
          <w:color w:val="auto"/>
        </w:rPr>
        <w:t xml:space="preserve"> </w:t>
      </w:r>
      <w:r>
        <w:rPr>
          <w:rFonts w:ascii="Times New Roman" w:cs="Times New Roman" w:eastAsia="Times New Roman" w:hAnsi="Times New Roman"/>
          <w:sz w:val="19"/>
          <w:szCs w:val="19"/>
          <w:color w:val="auto"/>
        </w:rPr>
        <w:t>on three public boards, including two as Chairman as well as numerous private boards. Since September 2019, Mr. Bay has served as the Founder and Chief Executive Officer of Techquity, a technology advisory firm helping innovative companies leverage software and cloud operations to scale faster with less risk. From 2013 to 2016, he served as Chief Executive Officer of Rdio, a leading global music subscription streaming service with over 70 million registered users and 14 million active. In November 2015, Rdio filed for Chapter 11 bankruptcy relief as a condition of its sale to Pandora. Prior to Rdio, Mr. Bay served as a Vice President and Global head for Digital Video for Amazon from 2011 to 2013, responsible for all aspects of the company’s Digital Video and streaming business globally. During his eight year tenure at Microsoft, Mr. Bay was Corporate Vice President and General Manager of Microsoft’s Digital Media Division and a member of Microsoft’s executive staff. Prior to that, Mr. Bay was General Manager of Microsoft’s Commercial Systems Division, responsible for developing core components of Microsoft’s Internet services platform, including ISP/carrier infrastructure, website development and eCommerce. Mr. Bay joined Microsoft as part of the MSN management team in 1994, eventually overseeing all MSN development and production systems. From 1986</w:t>
      </w:r>
    </w:p>
    <w:p>
      <w:pPr>
        <w:spacing w:after="0" w:line="240"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20"/>
          <w:szCs w:val="20"/>
          <w:color w:val="auto"/>
        </w:rPr>
        <w:t>77</w:t>
      </w:r>
    </w:p>
    <w:p>
      <w:pPr>
        <w:sectPr>
          <w:pgSz w:w="12240" w:h="15840" w:orient="portrait"/>
          <w:cols w:equalWidth="0" w:num="1">
            <w:col w:w="10260"/>
          </w:cols>
          <w:pgMar w:left="1000" w:top="882" w:right="980" w:bottom="222" w:gutter="0" w:footer="0" w:header="0"/>
        </w:sectPr>
      </w:pPr>
    </w:p>
    <w:bookmarkStart w:id="81" w:name="page82"/>
    <w:bookmarkEnd w:id="81"/>
    <w:p>
      <w:pPr>
        <w:jc w:val="both"/>
        <w:spacing w:after="0" w:line="309" w:lineRule="auto"/>
        <w:rPr>
          <w:sz w:val="20"/>
          <w:szCs w:val="20"/>
          <w:color w:val="auto"/>
        </w:rPr>
      </w:pPr>
      <w:r>
        <w:rPr>
          <w:rFonts w:ascii="Times New Roman" w:cs="Times New Roman" w:eastAsia="Times New Roman" w:hAnsi="Times New Roman"/>
          <w:sz w:val="20"/>
          <w:szCs w:val="20"/>
          <w:color w:val="auto"/>
        </w:rPr>
        <w:t>to 1994, Mr. Bay also worked at Apple Computer in various product leadership roles, including three years at Apple’s European headquarters in Paris. Mr. Bay holds an MBA from San Jose State University and undergraduate degree in Economics from the University of California, Los Angeles.</w:t>
      </w:r>
    </w:p>
    <w:p>
      <w:pPr>
        <w:spacing w:after="0" w:line="62" w:lineRule="exact"/>
        <w:rPr>
          <w:sz w:val="20"/>
          <w:szCs w:val="20"/>
          <w:color w:val="auto"/>
        </w:rPr>
      </w:pPr>
    </w:p>
    <w:p>
      <w:pPr>
        <w:jc w:val="both"/>
        <w:spacing w:after="0" w:line="290" w:lineRule="auto"/>
        <w:rPr>
          <w:sz w:val="20"/>
          <w:szCs w:val="20"/>
          <w:color w:val="auto"/>
        </w:rPr>
      </w:pPr>
      <w:r>
        <w:rPr>
          <w:rFonts w:ascii="Times New Roman" w:cs="Times New Roman" w:eastAsia="Times New Roman" w:hAnsi="Times New Roman"/>
          <w:sz w:val="20"/>
          <w:szCs w:val="20"/>
          <w:i w:val="1"/>
          <w:iCs w:val="1"/>
          <w:color w:val="auto"/>
        </w:rPr>
        <w:t>Tony Aquila</w:t>
      </w:r>
      <w:r>
        <w:rPr>
          <w:rFonts w:ascii="Times New Roman" w:cs="Times New Roman" w:eastAsia="Times New Roman" w:hAnsi="Times New Roman"/>
          <w:sz w:val="20"/>
          <w:szCs w:val="20"/>
          <w:color w:val="auto"/>
        </w:rPr>
        <w:t>. Mr. Aquila, age 59, has served as a member of the Board since June 2021. Since April 2021, Mr. Aquila has served</w:t>
      </w:r>
      <w:r>
        <w:rPr>
          <w:rFonts w:ascii="Times New Roman" w:cs="Times New Roman" w:eastAsia="Times New Roman" w:hAnsi="Times New Roman"/>
          <w:sz w:val="20"/>
          <w:szCs w:val="20"/>
          <w:i w:val="1"/>
          <w:iCs w:val="1"/>
          <w:color w:val="auto"/>
        </w:rPr>
        <w:t xml:space="preserve"> </w:t>
      </w:r>
      <w:r>
        <w:rPr>
          <w:rFonts w:ascii="Times New Roman" w:cs="Times New Roman" w:eastAsia="Times New Roman" w:hAnsi="Times New Roman"/>
          <w:sz w:val="20"/>
          <w:szCs w:val="20"/>
          <w:color w:val="auto"/>
        </w:rPr>
        <w:t>as the Chief Executive Officer of Canoo, Inc., a mobility technology company, and as the Executive Chairman of the Board of Canoo since December 2020. In June 2019, Mr. Aquila founded AFV Partners, an affirmative low-leverage capital vehicle that invests in long-term mission critical software, data and technology businesses and has served as its Chairperson and Chief Executive Officer since its founding. In 2005, Mr. Aquila founded Solera Holdings Inc., and led it as Chairperson and Chief Executive Officer to a $1 billion initial public offering in 2007, and in the following years sourced and executed over 50 acquisitions significantly expanding Solera’s total addressable market. Mr. Aquila oversaw Solera’s $6.5 billion transaction from a public-to-private business in 2016. Mr. Aquila has also served as a member of the Arkansas Council on Future Mobility since February 2022 and as a member of the board of directors of The Lost Explorer Mezcal Company, a sustainable producer and distributor of handcrafted mezcal, since May 2021. Furthermore, Mr. Aquila currently serves as the Chairperson for Aircraft Performance Group, LLC, a global provider of mission critical flight operations software, since January 2020, RocketRoute Limited, a global aviation services company, since March 2020, and APG Avionics LLC, an aviation data and software company for the general aviation market, since September 2020. From November 2018 to July 2020, Mr. Aquila served as the Global Chairperson of Sportradar Group, a sports data and content company. Mr. Aquila has also served as a director of Guardianship Services Inc., a nonprofit organization providing guardianship and support services to at-risk adults in Tarrant County, Texas since October 2020.</w:t>
      </w:r>
    </w:p>
    <w:p>
      <w:pPr>
        <w:spacing w:after="0" w:line="90" w:lineRule="exact"/>
        <w:rPr>
          <w:sz w:val="20"/>
          <w:szCs w:val="20"/>
          <w:color w:val="auto"/>
        </w:rPr>
      </w:pPr>
    </w:p>
    <w:p>
      <w:pPr>
        <w:jc w:val="both"/>
        <w:spacing w:after="0" w:line="290" w:lineRule="auto"/>
        <w:rPr>
          <w:sz w:val="20"/>
          <w:szCs w:val="20"/>
          <w:color w:val="auto"/>
        </w:rPr>
      </w:pPr>
      <w:r>
        <w:rPr>
          <w:rFonts w:ascii="Times New Roman" w:cs="Times New Roman" w:eastAsia="Times New Roman" w:hAnsi="Times New Roman"/>
          <w:sz w:val="20"/>
          <w:szCs w:val="20"/>
          <w:i w:val="1"/>
          <w:iCs w:val="1"/>
          <w:color w:val="auto"/>
        </w:rPr>
        <w:t>Brenda Freeman</w:t>
      </w:r>
      <w:r>
        <w:rPr>
          <w:rFonts w:ascii="Times New Roman" w:cs="Times New Roman" w:eastAsia="Times New Roman" w:hAnsi="Times New Roman"/>
          <w:sz w:val="20"/>
          <w:szCs w:val="20"/>
          <w:color w:val="auto"/>
        </w:rPr>
        <w:t>. Ms. Freeman, age 59, has served as a member of the Board since June 2021. Ms. Freeman founded and has</w:t>
      </w:r>
      <w:r>
        <w:rPr>
          <w:rFonts w:ascii="Times New Roman" w:cs="Times New Roman" w:eastAsia="Times New Roman" w:hAnsi="Times New Roman"/>
          <w:sz w:val="20"/>
          <w:szCs w:val="20"/>
          <w:i w:val="1"/>
          <w:iCs w:val="1"/>
          <w:color w:val="auto"/>
        </w:rPr>
        <w:t xml:space="preserve"> </w:t>
      </w:r>
      <w:r>
        <w:rPr>
          <w:rFonts w:ascii="Times New Roman" w:cs="Times New Roman" w:eastAsia="Times New Roman" w:hAnsi="Times New Roman"/>
          <w:sz w:val="20"/>
          <w:szCs w:val="20"/>
          <w:color w:val="auto"/>
        </w:rPr>
        <w:t>served as President of Joyeux Advisory Group LLC, a firm providing advisory services to early-stage startups and Fortune 500 companies, since January 2018. Since April 2021 Ms. Freeman has also served as a partner of Debut Capital. Ms. Freeman previously served as Chief Brand Officer of Wunderkind Corporation, a company that creates personalized marketing solutions, from April 2020 through March 2023. Prior to that, Ms. Freeman served as Chief Executive Officer for Arteza, Inc., a direct-to-consumer arts and crafts manufacturing and supply company from February 2020 to February 2021. From March 2016 to December 2018, Ms. Freeman was Chief Marketing Officer of Magic Leap, Inc., a virtual reality technology company, and from December 2018 to April 2019 was Senior Advisor to the Chief Executive Officer. From March 2015 to March 2016, Ms. Freeman served as Chief Marketing Officer of National Geographic Channel, a television network and channel. Prior to that, Ms. Freeman served as Chief Marketing Officer at Turner Broadcasting Systems, Inc. and was Vice President, television marketing at DreamWorks Animation SKG Inc. Ms. Freeman has been a member of the boards of directors of Blue Apron Holdings, Inc. since October 2020 (which became privately owned in November 2023), of Caleres, Inc. since April 2017 and of Avnet, Inc. since November 2018. Ms. Freeman previously served on the board of directors of Herman Miller, Inc. from January 2016 to June 2019 and on the board of directors of RTW Retailwinds, Inc. from April 2019 to April 2020. Ms. Freeman holds a B.S. degree in chemical engineering and an M.B.A degree from the University of Maryland.</w:t>
      </w:r>
    </w:p>
    <w:p>
      <w:pPr>
        <w:spacing w:after="0" w:line="94"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20"/>
          <w:szCs w:val="20"/>
          <w:i w:val="1"/>
          <w:iCs w:val="1"/>
          <w:color w:val="auto"/>
        </w:rPr>
        <w:t>Olga Gonzalez</w:t>
      </w:r>
      <w:r>
        <w:rPr>
          <w:rFonts w:ascii="Times New Roman" w:cs="Times New Roman" w:eastAsia="Times New Roman" w:hAnsi="Times New Roman"/>
          <w:sz w:val="20"/>
          <w:szCs w:val="20"/>
          <w:color w:val="auto"/>
        </w:rPr>
        <w:t>. Ms. Gonzalez, age 57, has served as a member of the Board since June 2021. Since April 2023, Ms. Gonzalez</w:t>
      </w:r>
      <w:r>
        <w:rPr>
          <w:rFonts w:ascii="Times New Roman" w:cs="Times New Roman" w:eastAsia="Times New Roman" w:hAnsi="Times New Roman"/>
          <w:sz w:val="20"/>
          <w:szCs w:val="20"/>
          <w:i w:val="1"/>
          <w:iCs w:val="1"/>
          <w:color w:val="auto"/>
        </w:rPr>
        <w:t xml:space="preserve"> </w:t>
      </w:r>
      <w:r>
        <w:rPr>
          <w:rFonts w:ascii="Times New Roman" w:cs="Times New Roman" w:eastAsia="Times New Roman" w:hAnsi="Times New Roman"/>
          <w:sz w:val="20"/>
          <w:szCs w:val="20"/>
          <w:color w:val="auto"/>
        </w:rPr>
        <w:t>has served as CEO and President of Wild Fork USA. Prior to that, from April 2022 to April 2023 and January 2021 to April 2022, Ms. Gonzalez served as Global COO and Global Business Leader, respectively, for Wild Fork Foods, an online specialty food service. Prior to that, Ms. Gonzalez held various leadership positions at Walmart Inc., including Senior Vice President and Chief Financial Officer at Walmart México y Centroamérica from July 2017 to April 2020, Vice President Commercial &amp; Operations Finance at Walmart México y Centroamérica from October 2014 to June 2017, Chief Financial Officer at Walmart Chile from 2011 to 2014, and Vice President, Internal Audit Services Latin America at Walmart US from 2010 to 2011. Previously, Ms. Gonzalez had served as Director, Internal Audit at General Motors Company from 2006 to 2010 and from 1996 to 2004, Vice President, Enterprise Risk and Assurance Services at the American Express Company from 2004 to 2006, and Internal Audit at Banco Santander from 1989 to 1996. Ms. Gonzalez holds a Bachelor of Business Administration degree from Pontificia Universidad Católica de Puerto Rico and an M.B.A. from Florida International University.</w:t>
      </w:r>
    </w:p>
    <w:p>
      <w:pPr>
        <w:spacing w:after="0" w:line="68"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Director Independence</w:t>
      </w:r>
    </w:p>
    <w:p>
      <w:pPr>
        <w:spacing w:after="0" w:line="168" w:lineRule="exact"/>
        <w:rPr>
          <w:sz w:val="20"/>
          <w:szCs w:val="20"/>
          <w:color w:val="auto"/>
        </w:rPr>
      </w:pPr>
    </w:p>
    <w:p>
      <w:pPr>
        <w:jc w:val="both"/>
        <w:ind w:right="20"/>
        <w:spacing w:after="0" w:line="306" w:lineRule="auto"/>
        <w:rPr>
          <w:sz w:val="20"/>
          <w:szCs w:val="20"/>
          <w:color w:val="auto"/>
        </w:rPr>
      </w:pPr>
      <w:r>
        <w:rPr>
          <w:rFonts w:ascii="Times New Roman" w:cs="Times New Roman" w:eastAsia="Times New Roman" w:hAnsi="Times New Roman"/>
          <w:sz w:val="20"/>
          <w:szCs w:val="20"/>
          <w:color w:val="auto"/>
        </w:rPr>
        <w:t>As required under Nasdaq listing standards, a majority of the members of a listed company’s board of directors must qualify as “independent,” as affirmatively determined by the board of directors. In addition, the rules of Nasdaq require that, subject to specified exceptions, each member of a listed company’s audit, compensation and nominating and corporate governance</w:t>
      </w:r>
    </w:p>
    <w:p>
      <w:pPr>
        <w:spacing w:after="0" w:line="157"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20"/>
          <w:szCs w:val="20"/>
          <w:color w:val="auto"/>
        </w:rPr>
        <w:t>78</w:t>
      </w:r>
    </w:p>
    <w:p>
      <w:pPr>
        <w:sectPr>
          <w:pgSz w:w="12240" w:h="15840" w:orient="portrait"/>
          <w:cols w:equalWidth="0" w:num="1">
            <w:col w:w="10260"/>
          </w:cols>
          <w:pgMar w:left="1000" w:top="884" w:right="980" w:bottom="222" w:gutter="0" w:footer="0" w:header="0"/>
        </w:sectPr>
      </w:pPr>
    </w:p>
    <w:bookmarkStart w:id="82" w:name="page83"/>
    <w:bookmarkEnd w:id="82"/>
    <w:p>
      <w:pPr>
        <w:jc w:val="both"/>
        <w:spacing w:after="0" w:line="292" w:lineRule="auto"/>
        <w:rPr>
          <w:sz w:val="20"/>
          <w:szCs w:val="20"/>
          <w:color w:val="auto"/>
        </w:rPr>
      </w:pPr>
      <w:r>
        <w:rPr>
          <w:rFonts w:ascii="Times New Roman" w:cs="Times New Roman" w:eastAsia="Times New Roman" w:hAnsi="Times New Roman"/>
          <w:sz w:val="20"/>
          <w:szCs w:val="20"/>
          <w:color w:val="auto"/>
        </w:rPr>
        <w:t>committees be independent. Under the rules of the Nasdaq, a director will only qualify as an “independent director” if, in the opinion of that company’s board of directors, that person does not have a relationship that would interfere with the exercise of independent judgment in carrying out the responsibilities of a director. Compensation Committee members must not have a relationship with us that is material to the director’s ability to be independent from management in connection with the duties of a Compensation Committee member. Additionally, Audit Committee members must also satisfy the independence criteria set forth in Rule 10A-3 under the Exchange Act. To be considered independent for purposes of Rule 10A-3, a member of an audit committee of a listed company may not, other than in his or her capacity as a member of the audit committee of the board of directors or any other board committee, accept, directly or indirectly, any consulting, advisory or other compensatory fee from the listed company or any of its subsidiaries or be an affiliated person of the listed company or any of its subsidiaries. The Board consults with the Company’s counsel to ensure that the Board’s determinations are consistent with relevant securities and other laws and regulations regarding the definition of “independent,” including those set forth in pertinent listing standards of Nasdaq, as in effect from time to time.</w:t>
      </w:r>
    </w:p>
    <w:p>
      <w:pPr>
        <w:spacing w:after="0" w:line="77" w:lineRule="exact"/>
        <w:rPr>
          <w:sz w:val="20"/>
          <w:szCs w:val="20"/>
          <w:color w:val="auto"/>
        </w:rPr>
      </w:pPr>
    </w:p>
    <w:p>
      <w:pPr>
        <w:jc w:val="both"/>
        <w:spacing w:after="0" w:line="295" w:lineRule="auto"/>
        <w:rPr>
          <w:sz w:val="20"/>
          <w:szCs w:val="20"/>
          <w:color w:val="auto"/>
        </w:rPr>
      </w:pPr>
      <w:r>
        <w:rPr>
          <w:rFonts w:ascii="Times New Roman" w:cs="Times New Roman" w:eastAsia="Times New Roman" w:hAnsi="Times New Roman"/>
          <w:sz w:val="20"/>
          <w:szCs w:val="20"/>
          <w:color w:val="auto"/>
        </w:rPr>
        <w:t>Consistent with these considerations, after review of all relevant identified transactions or relationships between each director, or any of his or her family members, and the Company, its senior management and its independent auditors, the Board has affirmatively determined that the following six directors are independent directors within the meaning of the applicable Nasdaq listing standards: Messrs. Aquila, Bay and Gordon and Mses. Freeman, Gonzalez and Tan. In making this determination, the Board found that none of these directors or nominees for director had a material or other disqualifying relationship with the Company.</w:t>
      </w:r>
    </w:p>
    <w:p>
      <w:pPr>
        <w:spacing w:after="0" w:line="75" w:lineRule="exact"/>
        <w:rPr>
          <w:sz w:val="20"/>
          <w:szCs w:val="20"/>
          <w:color w:val="auto"/>
        </w:rPr>
      </w:pPr>
    </w:p>
    <w:p>
      <w:pPr>
        <w:jc w:val="both"/>
        <w:spacing w:after="0" w:line="299" w:lineRule="auto"/>
        <w:rPr>
          <w:sz w:val="20"/>
          <w:szCs w:val="20"/>
          <w:color w:val="auto"/>
        </w:rPr>
      </w:pPr>
      <w:r>
        <w:rPr>
          <w:rFonts w:ascii="Times New Roman" w:cs="Times New Roman" w:eastAsia="Times New Roman" w:hAnsi="Times New Roman"/>
          <w:sz w:val="20"/>
          <w:szCs w:val="20"/>
          <w:color w:val="auto"/>
        </w:rPr>
        <w:t>In making those independence determinations, the Board considered the current and prior relationships that each non-employee director has with our company and all other facts and circumstances the Board deemed relevant in determining their independence, including the beneficial ownership of our capital stock by each non-employee director, and the transactions involving them described in the section titled “Related Person Transactions” that occurred during any 12-month period within the last three fiscal years.</w:t>
      </w:r>
    </w:p>
    <w:p>
      <w:pPr>
        <w:spacing w:after="0" w:line="7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Board Leadership Structure</w:t>
      </w:r>
    </w:p>
    <w:p>
      <w:pPr>
        <w:spacing w:after="0" w:line="168" w:lineRule="exact"/>
        <w:rPr>
          <w:sz w:val="20"/>
          <w:szCs w:val="20"/>
          <w:color w:val="auto"/>
        </w:rPr>
      </w:pPr>
    </w:p>
    <w:p>
      <w:pPr>
        <w:jc w:val="both"/>
        <w:spacing w:after="0" w:line="306" w:lineRule="auto"/>
        <w:rPr>
          <w:sz w:val="20"/>
          <w:szCs w:val="20"/>
          <w:color w:val="auto"/>
        </w:rPr>
      </w:pPr>
      <w:r>
        <w:rPr>
          <w:rFonts w:ascii="Times New Roman" w:cs="Times New Roman" w:eastAsia="Times New Roman" w:hAnsi="Times New Roman"/>
          <w:sz w:val="20"/>
          <w:szCs w:val="20"/>
          <w:color w:val="auto"/>
        </w:rPr>
        <w:t>The Board is currently chaired by the Executive Chair of the Company, Mr. Francis, who has an active role in leading the Company as our principal executive officer and member of the Board. Ms. Freeman currently serves as our lead independent director.</w:t>
      </w:r>
    </w:p>
    <w:p>
      <w:pPr>
        <w:spacing w:after="0" w:line="63" w:lineRule="exact"/>
        <w:rPr>
          <w:sz w:val="20"/>
          <w:szCs w:val="20"/>
          <w:color w:val="auto"/>
        </w:rPr>
      </w:pPr>
    </w:p>
    <w:p>
      <w:pPr>
        <w:jc w:val="both"/>
        <w:spacing w:after="0" w:line="299" w:lineRule="auto"/>
        <w:rPr>
          <w:sz w:val="20"/>
          <w:szCs w:val="20"/>
          <w:color w:val="auto"/>
        </w:rPr>
      </w:pPr>
      <w:r>
        <w:rPr>
          <w:rFonts w:ascii="Times New Roman" w:cs="Times New Roman" w:eastAsia="Times New Roman" w:hAnsi="Times New Roman"/>
          <w:sz w:val="20"/>
          <w:szCs w:val="20"/>
          <w:color w:val="auto"/>
        </w:rPr>
        <w:t>The Company believes that during this transformational period, it is valuable to have Mr. Francis in the combined positions of principal executive officer and Board chair because of his extensive history with and knowledge of the Company, and this arrangement provides a single, clear chain of command to rapidly execute the Company’s strategic initiatives and business plans. In addition, the Company believes that this combined role better positions Mr. Francis to act as a bridge between management and the Board, facilitating the regular flow of information.</w:t>
      </w:r>
    </w:p>
    <w:p>
      <w:pPr>
        <w:spacing w:after="0" w:line="72" w:lineRule="exact"/>
        <w:rPr>
          <w:sz w:val="20"/>
          <w:szCs w:val="20"/>
          <w:color w:val="auto"/>
        </w:rPr>
      </w:pPr>
    </w:p>
    <w:p>
      <w:pPr>
        <w:jc w:val="both"/>
        <w:spacing w:after="0" w:line="307" w:lineRule="auto"/>
        <w:rPr>
          <w:sz w:val="20"/>
          <w:szCs w:val="20"/>
          <w:color w:val="auto"/>
        </w:rPr>
      </w:pPr>
      <w:r>
        <w:rPr>
          <w:rFonts w:ascii="Times New Roman" w:cs="Times New Roman" w:eastAsia="Times New Roman" w:hAnsi="Times New Roman"/>
          <w:sz w:val="19"/>
          <w:szCs w:val="19"/>
          <w:color w:val="auto"/>
        </w:rPr>
        <w:t>The Board appointed Ms. Freeman as the lead independent director to help reinforce the independence of the Board as a whole. The position of lead independent director has been structured to serve as an effective balance to a combined principal executive officer and Executive Chair: the lead independent director is empowered to, among other duties and responsibilities, approve agendas and meeting schedules for regular Board meetings, preside over Board meetings in the absence of the Executive Chair, preside over and establish the agendas for meetings of the independent directors, act as liaison between the Executive Chair and the independent directors, approve information sent to the Board, preside over any portions of Board meetings at which the evaluation or compensation of the principal executive officer is presented or discussed and, as appropriate upon request, act as a liaison to our stockholders. In addition, it is the responsibility of the lead independent director to coordinate between the Board and management with regard to the determination and implementation of responses to any problematic risk management issues. As a result, the Company believes that the lead independent director can help ensure the effective independent functioning of the Board in its oversight responsibilities. In addition, the Company believes that the lead independent director is better positioned to build a consensus among directors and to serve as a conduit between the other independent directors and the Executive Chair, for example, by facilitating the inclusion on meeting agendas of matters of concern to the independent directors.</w:t>
      </w:r>
    </w:p>
    <w:p>
      <w:pPr>
        <w:spacing w:after="0" w:line="200" w:lineRule="exact"/>
        <w:rPr>
          <w:sz w:val="20"/>
          <w:szCs w:val="20"/>
          <w:color w:val="auto"/>
        </w:rPr>
      </w:pPr>
    </w:p>
    <w:p>
      <w:pPr>
        <w:spacing w:after="0" w:line="200" w:lineRule="exact"/>
        <w:rPr>
          <w:sz w:val="20"/>
          <w:szCs w:val="20"/>
          <w:color w:val="auto"/>
        </w:rPr>
      </w:pPr>
    </w:p>
    <w:p>
      <w:pPr>
        <w:spacing w:after="0" w:line="352"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20"/>
          <w:szCs w:val="20"/>
          <w:color w:val="auto"/>
        </w:rPr>
        <w:t>79</w:t>
      </w:r>
    </w:p>
    <w:p>
      <w:pPr>
        <w:sectPr>
          <w:pgSz w:w="12240" w:h="15840" w:orient="portrait"/>
          <w:cols w:equalWidth="0" w:num="1">
            <w:col w:w="10260"/>
          </w:cols>
          <w:pgMar w:left="1000" w:top="884" w:right="980" w:bottom="222" w:gutter="0" w:footer="0" w:header="0"/>
        </w:sectPr>
      </w:pPr>
    </w:p>
    <w:bookmarkStart w:id="83" w:name="page84"/>
    <w:bookmarkEnd w:id="83"/>
    <w:p>
      <w:pPr>
        <w:spacing w:after="0"/>
        <w:rPr>
          <w:sz w:val="20"/>
          <w:szCs w:val="20"/>
          <w:color w:val="auto"/>
        </w:rPr>
      </w:pPr>
      <w:r>
        <w:rPr>
          <w:rFonts w:ascii="Times New Roman" w:cs="Times New Roman" w:eastAsia="Times New Roman" w:hAnsi="Times New Roman"/>
          <w:sz w:val="20"/>
          <w:szCs w:val="20"/>
          <w:b w:val="1"/>
          <w:bCs w:val="1"/>
          <w:color w:val="auto"/>
        </w:rPr>
        <w:t>Role of the Board in Risk Oversight</w:t>
      </w:r>
    </w:p>
    <w:p>
      <w:pPr>
        <w:spacing w:after="0" w:line="168" w:lineRule="exact"/>
        <w:rPr>
          <w:sz w:val="20"/>
          <w:szCs w:val="20"/>
          <w:color w:val="auto"/>
        </w:rPr>
      </w:pPr>
    </w:p>
    <w:p>
      <w:pPr>
        <w:jc w:val="both"/>
        <w:spacing w:after="0" w:line="296" w:lineRule="auto"/>
        <w:rPr>
          <w:sz w:val="20"/>
          <w:szCs w:val="20"/>
          <w:color w:val="auto"/>
        </w:rPr>
      </w:pPr>
      <w:r>
        <w:rPr>
          <w:rFonts w:ascii="Times New Roman" w:cs="Times New Roman" w:eastAsia="Times New Roman" w:hAnsi="Times New Roman"/>
          <w:sz w:val="20"/>
          <w:szCs w:val="20"/>
          <w:color w:val="auto"/>
        </w:rPr>
        <w:t>Risk is inherent with every business, and we face a number of risks, including strategic, financial, business and operational, cybersecurity, legal and compliance, and reputational. We have designed and implemented processes to manage these risks. Management is responsible for the day-to-day implementation, oversight and management of risks and risk processes our company faces, while the Board, as a whole and assisted by its committees, has responsibility for the oversight of risk management. In its risk oversight role, our Board has the responsibility to satisfy itself that the risk management processes designed and implemented by management are appropriate and functioning as designed.</w:t>
      </w:r>
    </w:p>
    <w:p>
      <w:pPr>
        <w:spacing w:after="0" w:line="76" w:lineRule="exact"/>
        <w:rPr>
          <w:sz w:val="20"/>
          <w:szCs w:val="20"/>
          <w:color w:val="auto"/>
        </w:rPr>
      </w:pPr>
    </w:p>
    <w:p>
      <w:pPr>
        <w:jc w:val="both"/>
        <w:spacing w:after="0" w:line="294" w:lineRule="auto"/>
        <w:rPr>
          <w:sz w:val="20"/>
          <w:szCs w:val="20"/>
          <w:color w:val="auto"/>
        </w:rPr>
      </w:pPr>
      <w:r>
        <w:rPr>
          <w:rFonts w:ascii="Times New Roman" w:cs="Times New Roman" w:eastAsia="Times New Roman" w:hAnsi="Times New Roman"/>
          <w:sz w:val="20"/>
          <w:szCs w:val="20"/>
          <w:color w:val="auto"/>
        </w:rPr>
        <w:t>The Board administers this oversight function directly through the Board as a whole, as well as through various Board committees that address risks inherent in their respective areas of oversight. The Board believes that open communication between management and the Board is essential for effective risk management and oversight. Consistent with this approach, the Board, with the assistance of its committees, regularly reviews our strategic and operational risks in the context of discussions with management, question and answer sessions, and reports from the management team at each of its regular meetings. Directors also have access to management outside of its regular meetings and are free to ask questions and receive information necessary to perform their duties as a director.</w:t>
      </w:r>
    </w:p>
    <w:p>
      <w:pPr>
        <w:spacing w:after="0" w:line="80" w:lineRule="exact"/>
        <w:rPr>
          <w:sz w:val="20"/>
          <w:szCs w:val="20"/>
          <w:color w:val="auto"/>
        </w:rPr>
      </w:pPr>
    </w:p>
    <w:p>
      <w:pPr>
        <w:jc w:val="both"/>
        <w:spacing w:after="0" w:line="306" w:lineRule="auto"/>
        <w:rPr>
          <w:sz w:val="20"/>
          <w:szCs w:val="20"/>
          <w:color w:val="auto"/>
        </w:rPr>
      </w:pPr>
      <w:r>
        <w:rPr>
          <w:rFonts w:ascii="Times New Roman" w:cs="Times New Roman" w:eastAsia="Times New Roman" w:hAnsi="Times New Roman"/>
          <w:sz w:val="19"/>
          <w:szCs w:val="19"/>
          <w:color w:val="auto"/>
        </w:rPr>
        <w:t>In particular, the Board is responsible for monitoring and assessing strategic risk exposure, including a determination of the nature and level of risk appropriate for the Company, and for coordinating with management on decisions relating to any matters that carry potential enterprise-level risks. The Audit Committee has the responsibility to consider and discuss our major financial risk exposures and the steps our management has taken to monitor and control these exposures, including management’s guidelines and policies around quarterly reporting. The Audit Committee is also responsible for monitoring compliance with legal and regulatory requirements, including our Related Person Transaction Policy, in addition to oversight of the performance of our internal audit function. The Audit Committee’s responsibilities also include primary responsibility to help the Board oversee the Company’s enterprise risk assessment and management policies, procedures and practices (including, together with assistance from the Technology Committee, those risks related to information security, cybersecurity and data protection), as well as review and determination of material commercial relationships and mergers, acquisitions or similar transactions that may have a material impact on the Company. The Nominating and Corporate Governance Committee is responsible for monitoring the effectiveness of our corporate governance guidelines, including whether they are successful in preventing illegal or improper liability-creating conduct. The Compensation Committee is responsible for assessing and monitoring whether any of our compensation policies and programs has the potential to encourage excessive risk-taking. The Technology Committee is responsible for oversight of the management of risks related to the Company’s technology, data, information security and tracking, and related matters, including disclosure of the Company’s key metrics and other operational data, together with assisting the Audit Committee with oversight of those risks related to information security, cybersecurity and data protection.</w:t>
      </w:r>
    </w:p>
    <w:p>
      <w:pPr>
        <w:spacing w:after="0" w:line="72"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Meetings of the Board of Directors</w:t>
      </w:r>
    </w:p>
    <w:p>
      <w:pPr>
        <w:spacing w:after="0" w:line="168" w:lineRule="exact"/>
        <w:rPr>
          <w:sz w:val="20"/>
          <w:szCs w:val="20"/>
          <w:color w:val="auto"/>
        </w:rPr>
      </w:pPr>
    </w:p>
    <w:p>
      <w:pPr>
        <w:jc w:val="both"/>
        <w:ind w:right="20"/>
        <w:spacing w:after="0" w:line="288" w:lineRule="auto"/>
        <w:rPr>
          <w:sz w:val="20"/>
          <w:szCs w:val="20"/>
          <w:color w:val="auto"/>
        </w:rPr>
      </w:pPr>
      <w:r>
        <w:rPr>
          <w:rFonts w:ascii="Times New Roman" w:cs="Times New Roman" w:eastAsia="Times New Roman" w:hAnsi="Times New Roman"/>
          <w:sz w:val="20"/>
          <w:szCs w:val="20"/>
          <w:color w:val="auto"/>
        </w:rPr>
        <w:t>The Board met seven times during 2023. All directors attended 75% or more of the aggregate number of meetings of the Board and of the committees on which they served, held during the portion of the last fiscal year for which they were a director or member.</w:t>
      </w:r>
    </w:p>
    <w:p>
      <w:pPr>
        <w:jc w:val="both"/>
        <w:ind w:right="20"/>
        <w:spacing w:after="0" w:line="326" w:lineRule="auto"/>
        <w:rPr>
          <w:sz w:val="20"/>
          <w:szCs w:val="20"/>
          <w:color w:val="auto"/>
        </w:rPr>
      </w:pPr>
      <w:r>
        <w:rPr>
          <w:rFonts w:ascii="Times New Roman" w:cs="Times New Roman" w:eastAsia="Times New Roman" w:hAnsi="Times New Roman"/>
          <w:sz w:val="20"/>
          <w:szCs w:val="20"/>
          <w:color w:val="auto"/>
        </w:rPr>
        <w:t>As required under applicable Nasdaq listing standards, in 2023, the Company’s independent directors met six times in regularly scheduled executive sessions at which only independent directors were present.</w:t>
      </w:r>
    </w:p>
    <w:p>
      <w:pPr>
        <w:spacing w:after="0" w:line="5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Information Regarding Committees of the Board of Directors</w:t>
      </w:r>
    </w:p>
    <w:p>
      <w:pPr>
        <w:spacing w:after="0" w:line="161" w:lineRule="exact"/>
        <w:rPr>
          <w:sz w:val="20"/>
          <w:szCs w:val="20"/>
          <w:color w:val="auto"/>
        </w:rPr>
      </w:pPr>
    </w:p>
    <w:p>
      <w:pPr>
        <w:jc w:val="both"/>
        <w:spacing w:after="0" w:line="296" w:lineRule="auto"/>
        <w:rPr>
          <w:sz w:val="20"/>
          <w:szCs w:val="20"/>
          <w:color w:val="auto"/>
        </w:rPr>
      </w:pPr>
      <w:r>
        <w:rPr>
          <w:rFonts w:ascii="Times New Roman" w:cs="Times New Roman" w:eastAsia="Times New Roman" w:hAnsi="Times New Roman"/>
          <w:sz w:val="20"/>
          <w:szCs w:val="20"/>
          <w:color w:val="auto"/>
        </w:rPr>
        <w:t>The Board established the Audit Committee, the Compensation Committee, the Nominating and Corporate Governance Committee and the Technology Committee. The Board adopted a charter for each of the committees, which complies with the applicable requirements of current Nasdaq rules and can be found at our website at ir.weedmaps.com. We intend to comply with future requirements to the extent they will be applicable to us. Copies of the charters for each committee are available on the investor relations portion of our website. The following table provides membership and meeting information for the year ended December 31, 2023 for each of the standing Board committees: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2"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20"/>
          <w:szCs w:val="20"/>
          <w:color w:val="auto"/>
        </w:rPr>
        <w:t>80</w:t>
      </w:r>
    </w:p>
    <w:p>
      <w:pPr>
        <w:sectPr>
          <w:pgSz w:w="12240" w:h="15840" w:orient="portrait"/>
          <w:cols w:equalWidth="0" w:num="1">
            <w:col w:w="10260"/>
          </w:cols>
          <w:pgMar w:left="1000" w:top="882" w:right="980" w:bottom="222" w:gutter="0" w:footer="0" w:header="0"/>
        </w:sectPr>
      </w:pPr>
    </w:p>
    <w:bookmarkStart w:id="84" w:name="page85"/>
    <w:bookmarkEnd w:id="84"/>
    <w:p>
      <w:pPr>
        <w:spacing w:after="0" w:line="206"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60" w:type="dxa"/>
            <w:vAlign w:val="bottom"/>
          </w:tcPr>
          <w:p>
            <w:pPr>
              <w:spacing w:after="0"/>
              <w:rPr>
                <w:sz w:val="20"/>
                <w:szCs w:val="20"/>
                <w:color w:val="auto"/>
              </w:rPr>
            </w:pPr>
          </w:p>
        </w:tc>
        <w:tc>
          <w:tcPr>
            <w:tcW w:w="43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3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400" w:type="dxa"/>
            <w:vAlign w:val="bottom"/>
          </w:tcPr>
          <w:p>
            <w:pPr>
              <w:spacing w:after="0"/>
              <w:rPr>
                <w:sz w:val="20"/>
                <w:szCs w:val="20"/>
                <w:color w:val="auto"/>
              </w:rPr>
            </w:pPr>
          </w:p>
        </w:tc>
        <w:tc>
          <w:tcPr>
            <w:tcW w:w="1440" w:type="dxa"/>
            <w:vAlign w:val="bottom"/>
          </w:tcPr>
          <w:p>
            <w:pPr>
              <w:jc w:val="center"/>
              <w:spacing w:after="0"/>
              <w:rPr>
                <w:sz w:val="20"/>
                <w:szCs w:val="20"/>
                <w:color w:val="auto"/>
              </w:rPr>
            </w:pPr>
            <w:r>
              <w:rPr>
                <w:rFonts w:ascii="Times New Roman" w:cs="Times New Roman" w:eastAsia="Times New Roman" w:hAnsi="Times New Roman"/>
                <w:sz w:val="20"/>
                <w:szCs w:val="20"/>
                <w:b w:val="1"/>
                <w:bCs w:val="1"/>
                <w:color w:val="auto"/>
              </w:rPr>
              <w:t>Nominating</w:t>
            </w:r>
          </w:p>
        </w:tc>
        <w:tc>
          <w:tcPr>
            <w:tcW w:w="80" w:type="dxa"/>
            <w:vAlign w:val="bottom"/>
          </w:tcPr>
          <w:p>
            <w:pPr>
              <w:spacing w:after="0"/>
              <w:rPr>
                <w:sz w:val="20"/>
                <w:szCs w:val="20"/>
                <w:color w:val="auto"/>
              </w:rPr>
            </w:pPr>
          </w:p>
        </w:tc>
        <w:tc>
          <w:tcPr>
            <w:tcW w:w="14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60" w:type="dxa"/>
            <w:vAlign w:val="bottom"/>
          </w:tcPr>
          <w:p>
            <w:pPr>
              <w:spacing w:after="0"/>
              <w:rPr>
                <w:sz w:val="20"/>
                <w:szCs w:val="20"/>
                <w:color w:val="auto"/>
              </w:rPr>
            </w:pPr>
          </w:p>
        </w:tc>
        <w:tc>
          <w:tcPr>
            <w:tcW w:w="4380" w:type="dxa"/>
            <w:vAlign w:val="bottom"/>
            <w:vMerge w:val="restart"/>
          </w:tcPr>
          <w:p>
            <w:pPr>
              <w:spacing w:after="0"/>
              <w:rPr>
                <w:sz w:val="20"/>
                <w:szCs w:val="20"/>
                <w:color w:val="auto"/>
              </w:rPr>
            </w:pPr>
            <w:r>
              <w:rPr>
                <w:rFonts w:ascii="Times New Roman" w:cs="Times New Roman" w:eastAsia="Times New Roman" w:hAnsi="Times New Roman"/>
                <w:sz w:val="20"/>
                <w:szCs w:val="20"/>
                <w:b w:val="1"/>
                <w:bCs w:val="1"/>
                <w:color w:val="auto"/>
              </w:rPr>
              <w:t>Director</w:t>
            </w:r>
          </w:p>
        </w:tc>
        <w:tc>
          <w:tcPr>
            <w:tcW w:w="120" w:type="dxa"/>
            <w:vAlign w:val="bottom"/>
          </w:tcPr>
          <w:p>
            <w:pPr>
              <w:spacing w:after="0"/>
              <w:rPr>
                <w:sz w:val="20"/>
                <w:szCs w:val="20"/>
                <w:color w:val="auto"/>
              </w:rPr>
            </w:pPr>
          </w:p>
        </w:tc>
        <w:tc>
          <w:tcPr>
            <w:tcW w:w="1340" w:type="dxa"/>
            <w:vAlign w:val="bottom"/>
            <w:vMerge w:val="restart"/>
          </w:tcPr>
          <w:p>
            <w:pPr>
              <w:jc w:val="center"/>
              <w:spacing w:after="0"/>
              <w:rPr>
                <w:sz w:val="20"/>
                <w:szCs w:val="20"/>
                <w:color w:val="auto"/>
              </w:rPr>
            </w:pPr>
            <w:r>
              <w:rPr>
                <w:rFonts w:ascii="Times New Roman" w:cs="Times New Roman" w:eastAsia="Times New Roman" w:hAnsi="Times New Roman"/>
                <w:sz w:val="20"/>
                <w:szCs w:val="20"/>
                <w:b w:val="1"/>
                <w:bCs w:val="1"/>
                <w:color w:val="auto"/>
              </w:rPr>
              <w:t>Audit</w:t>
            </w:r>
          </w:p>
        </w:tc>
        <w:tc>
          <w:tcPr>
            <w:tcW w:w="60" w:type="dxa"/>
            <w:vAlign w:val="bottom"/>
          </w:tcPr>
          <w:p>
            <w:pPr>
              <w:spacing w:after="0"/>
              <w:rPr>
                <w:sz w:val="20"/>
                <w:szCs w:val="20"/>
                <w:color w:val="auto"/>
              </w:rPr>
            </w:pPr>
          </w:p>
        </w:tc>
        <w:tc>
          <w:tcPr>
            <w:tcW w:w="1400" w:type="dxa"/>
            <w:vAlign w:val="bottom"/>
            <w:vMerge w:val="restart"/>
          </w:tcPr>
          <w:p>
            <w:pPr>
              <w:jc w:val="center"/>
              <w:spacing w:after="0"/>
              <w:rPr>
                <w:sz w:val="20"/>
                <w:szCs w:val="20"/>
                <w:color w:val="auto"/>
              </w:rPr>
            </w:pPr>
            <w:r>
              <w:rPr>
                <w:rFonts w:ascii="Times New Roman" w:cs="Times New Roman" w:eastAsia="Times New Roman" w:hAnsi="Times New Roman"/>
                <w:sz w:val="20"/>
                <w:szCs w:val="20"/>
                <w:b w:val="1"/>
                <w:bCs w:val="1"/>
                <w:color w:val="auto"/>
              </w:rPr>
              <w:t>Compensation</w:t>
            </w:r>
          </w:p>
        </w:tc>
        <w:tc>
          <w:tcPr>
            <w:tcW w:w="1440" w:type="dxa"/>
            <w:vAlign w:val="bottom"/>
          </w:tcPr>
          <w:p>
            <w:pPr>
              <w:jc w:val="center"/>
              <w:spacing w:after="0"/>
              <w:rPr>
                <w:sz w:val="20"/>
                <w:szCs w:val="20"/>
                <w:color w:val="auto"/>
              </w:rPr>
            </w:pPr>
            <w:r>
              <w:rPr>
                <w:rFonts w:ascii="Times New Roman" w:cs="Times New Roman" w:eastAsia="Times New Roman" w:hAnsi="Times New Roman"/>
                <w:sz w:val="20"/>
                <w:szCs w:val="20"/>
                <w:b w:val="1"/>
                <w:bCs w:val="1"/>
                <w:color w:val="auto"/>
                <w:w w:val="99"/>
              </w:rPr>
              <w:t>and Corporate</w:t>
            </w:r>
          </w:p>
        </w:tc>
        <w:tc>
          <w:tcPr>
            <w:tcW w:w="80" w:type="dxa"/>
            <w:vAlign w:val="bottom"/>
          </w:tcPr>
          <w:p>
            <w:pPr>
              <w:spacing w:after="0"/>
              <w:rPr>
                <w:sz w:val="20"/>
                <w:szCs w:val="20"/>
                <w:color w:val="auto"/>
              </w:rPr>
            </w:pPr>
          </w:p>
        </w:tc>
        <w:tc>
          <w:tcPr>
            <w:tcW w:w="1400" w:type="dxa"/>
            <w:vAlign w:val="bottom"/>
            <w:vMerge w:val="restart"/>
          </w:tcPr>
          <w:p>
            <w:pPr>
              <w:jc w:val="center"/>
              <w:spacing w:after="0"/>
              <w:rPr>
                <w:sz w:val="20"/>
                <w:szCs w:val="20"/>
                <w:color w:val="auto"/>
              </w:rPr>
            </w:pPr>
            <w:r>
              <w:rPr>
                <w:rFonts w:ascii="Times New Roman" w:cs="Times New Roman" w:eastAsia="Times New Roman" w:hAnsi="Times New Roman"/>
                <w:sz w:val="20"/>
                <w:szCs w:val="20"/>
                <w:b w:val="1"/>
                <w:bCs w:val="1"/>
                <w:color w:val="auto"/>
                <w:w w:val="99"/>
              </w:rPr>
              <w:t>Technology</w:t>
            </w:r>
          </w:p>
        </w:tc>
        <w:tc>
          <w:tcPr>
            <w:tcW w:w="0" w:type="dxa"/>
            <w:vAlign w:val="bottom"/>
          </w:tcPr>
          <w:p>
            <w:pPr>
              <w:spacing w:after="0"/>
              <w:rPr>
                <w:sz w:val="1"/>
                <w:szCs w:val="1"/>
                <w:color w:val="auto"/>
              </w:rPr>
            </w:pPr>
          </w:p>
        </w:tc>
      </w:tr>
      <w:tr>
        <w:trPr>
          <w:trHeight w:val="301"/>
        </w:trPr>
        <w:tc>
          <w:tcPr>
            <w:tcW w:w="60" w:type="dxa"/>
            <w:vAlign w:val="bottom"/>
          </w:tcPr>
          <w:p>
            <w:pPr>
              <w:spacing w:after="0"/>
              <w:rPr>
                <w:sz w:val="24"/>
                <w:szCs w:val="24"/>
                <w:color w:val="auto"/>
              </w:rPr>
            </w:pPr>
          </w:p>
        </w:tc>
        <w:tc>
          <w:tcPr>
            <w:tcW w:w="4380" w:type="dxa"/>
            <w:vAlign w:val="bottom"/>
            <w:tcBorders>
              <w:bottom w:val="single" w:sz="8" w:color="auto"/>
            </w:tcBorders>
            <w:vMerge w:val="continue"/>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340" w:type="dxa"/>
            <w:vAlign w:val="bottom"/>
            <w:tcBorders>
              <w:bottom w:val="single" w:sz="8" w:color="auto"/>
            </w:tcBorders>
            <w:vMerge w:val="continue"/>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1400" w:type="dxa"/>
            <w:vAlign w:val="bottom"/>
            <w:tcBorders>
              <w:bottom w:val="single" w:sz="8" w:color="auto"/>
            </w:tcBorders>
            <w:vMerge w:val="continue"/>
          </w:tcPr>
          <w:p>
            <w:pPr>
              <w:spacing w:after="0"/>
              <w:rPr>
                <w:sz w:val="24"/>
                <w:szCs w:val="24"/>
                <w:color w:val="auto"/>
              </w:rPr>
            </w:pPr>
          </w:p>
        </w:tc>
        <w:tc>
          <w:tcPr>
            <w:tcW w:w="14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20"/>
                <w:szCs w:val="20"/>
                <w:b w:val="1"/>
                <w:bCs w:val="1"/>
                <w:color w:val="auto"/>
              </w:rPr>
              <w:t>Governance</w:t>
            </w:r>
          </w:p>
        </w:tc>
        <w:tc>
          <w:tcPr>
            <w:tcW w:w="80" w:type="dxa"/>
            <w:vAlign w:val="bottom"/>
            <w:tcBorders>
              <w:bottom w:val="single" w:sz="8" w:color="auto"/>
            </w:tcBorders>
          </w:tcPr>
          <w:p>
            <w:pPr>
              <w:spacing w:after="0"/>
              <w:rPr>
                <w:sz w:val="24"/>
                <w:szCs w:val="24"/>
                <w:color w:val="auto"/>
              </w:rPr>
            </w:pPr>
          </w:p>
        </w:tc>
        <w:tc>
          <w:tcPr>
            <w:tcW w:w="1400" w:type="dxa"/>
            <w:vAlign w:val="bottom"/>
            <w:tcBorders>
              <w:bottom w:val="single" w:sz="8" w:color="auto"/>
            </w:tcBorders>
            <w:vMerge w:val="continue"/>
          </w:tcPr>
          <w:p>
            <w:pPr>
              <w:spacing w:after="0"/>
              <w:rPr>
                <w:sz w:val="24"/>
                <w:szCs w:val="24"/>
                <w:color w:val="auto"/>
              </w:rPr>
            </w:pPr>
          </w:p>
        </w:tc>
        <w:tc>
          <w:tcPr>
            <w:tcW w:w="0" w:type="dxa"/>
            <w:vAlign w:val="bottom"/>
          </w:tcPr>
          <w:p>
            <w:pPr>
              <w:spacing w:after="0"/>
              <w:rPr>
                <w:sz w:val="1"/>
                <w:szCs w:val="1"/>
                <w:color w:val="auto"/>
              </w:rPr>
            </w:pPr>
          </w:p>
        </w:tc>
      </w:tr>
      <w:tr>
        <w:trPr>
          <w:trHeight w:val="280"/>
        </w:trPr>
        <w:tc>
          <w:tcPr>
            <w:tcW w:w="60" w:type="dxa"/>
            <w:vAlign w:val="bottom"/>
            <w:tcBorders>
              <w:right w:val="single" w:sz="8" w:color="DDDDDD"/>
            </w:tcBorders>
          </w:tcPr>
          <w:p>
            <w:pPr>
              <w:spacing w:after="0"/>
              <w:rPr>
                <w:sz w:val="24"/>
                <w:szCs w:val="24"/>
                <w:color w:val="auto"/>
              </w:rPr>
            </w:pPr>
          </w:p>
        </w:tc>
        <w:tc>
          <w:tcPr>
            <w:tcW w:w="4380" w:type="dxa"/>
            <w:vAlign w:val="bottom"/>
            <w:tcBorders>
              <w:top w:val="single" w:sz="8" w:color="DDDDDD"/>
            </w:tcBorders>
            <w:shd w:val="clear" w:color="auto" w:fill="DDDDDD"/>
          </w:tcPr>
          <w:p>
            <w:pPr>
              <w:spacing w:after="0"/>
              <w:rPr>
                <w:sz w:val="20"/>
                <w:szCs w:val="20"/>
                <w:color w:val="auto"/>
              </w:rPr>
            </w:pPr>
            <w:r>
              <w:rPr>
                <w:rFonts w:ascii="Times New Roman" w:cs="Times New Roman" w:eastAsia="Times New Roman" w:hAnsi="Times New Roman"/>
                <w:sz w:val="20"/>
                <w:szCs w:val="20"/>
                <w:color w:val="auto"/>
              </w:rPr>
              <w:t>Tony Aquila</w:t>
            </w:r>
          </w:p>
        </w:tc>
        <w:tc>
          <w:tcPr>
            <w:tcW w:w="120" w:type="dxa"/>
            <w:vAlign w:val="bottom"/>
            <w:tcBorders>
              <w:top w:val="single" w:sz="8" w:color="DDDDDD"/>
            </w:tcBorders>
            <w:shd w:val="clear" w:color="auto" w:fill="DDDDDD"/>
          </w:tcPr>
          <w:p>
            <w:pPr>
              <w:spacing w:after="0"/>
              <w:rPr>
                <w:sz w:val="24"/>
                <w:szCs w:val="24"/>
                <w:color w:val="auto"/>
              </w:rPr>
            </w:pPr>
          </w:p>
        </w:tc>
        <w:tc>
          <w:tcPr>
            <w:tcW w:w="1340" w:type="dxa"/>
            <w:vAlign w:val="bottom"/>
            <w:tcBorders>
              <w:top w:val="single" w:sz="8" w:color="DDDDDD"/>
            </w:tcBorders>
            <w:shd w:val="clear" w:color="auto" w:fill="DDDDDD"/>
          </w:tcPr>
          <w:p>
            <w:pPr>
              <w:spacing w:after="0"/>
              <w:rPr>
                <w:sz w:val="24"/>
                <w:szCs w:val="24"/>
                <w:color w:val="auto"/>
              </w:rPr>
            </w:pPr>
          </w:p>
        </w:tc>
        <w:tc>
          <w:tcPr>
            <w:tcW w:w="60" w:type="dxa"/>
            <w:vAlign w:val="bottom"/>
            <w:tcBorders>
              <w:top w:val="single" w:sz="8" w:color="DDDDDD"/>
            </w:tcBorders>
            <w:shd w:val="clear" w:color="auto" w:fill="DDDDDD"/>
          </w:tcPr>
          <w:p>
            <w:pPr>
              <w:spacing w:after="0"/>
              <w:rPr>
                <w:sz w:val="24"/>
                <w:szCs w:val="24"/>
                <w:color w:val="auto"/>
              </w:rPr>
            </w:pPr>
          </w:p>
        </w:tc>
        <w:tc>
          <w:tcPr>
            <w:tcW w:w="1400" w:type="dxa"/>
            <w:vAlign w:val="bottom"/>
            <w:tcBorders>
              <w:top w:val="single" w:sz="8" w:color="DDDDDD"/>
            </w:tcBorders>
            <w:shd w:val="clear" w:color="auto" w:fill="DDDDDD"/>
          </w:tcPr>
          <w:p>
            <w:pPr>
              <w:ind w:left="600"/>
              <w:spacing w:after="0"/>
              <w:rPr>
                <w:sz w:val="20"/>
                <w:szCs w:val="20"/>
                <w:color w:val="auto"/>
              </w:rPr>
            </w:pPr>
            <w:r>
              <w:rPr>
                <w:rFonts w:ascii="Times New Roman" w:cs="Times New Roman" w:eastAsia="Times New Roman" w:hAnsi="Times New Roman"/>
                <w:sz w:val="20"/>
                <w:szCs w:val="20"/>
                <w:color w:val="auto"/>
              </w:rPr>
              <w:t>X**</w:t>
            </w:r>
          </w:p>
        </w:tc>
        <w:tc>
          <w:tcPr>
            <w:tcW w:w="1440" w:type="dxa"/>
            <w:vAlign w:val="bottom"/>
            <w:tcBorders>
              <w:top w:val="single" w:sz="8" w:color="DDDDDD"/>
            </w:tcBorders>
            <w:shd w:val="clear" w:color="auto" w:fill="DDDDDD"/>
          </w:tcPr>
          <w:p>
            <w:pPr>
              <w:spacing w:after="0"/>
              <w:rPr>
                <w:sz w:val="24"/>
                <w:szCs w:val="24"/>
                <w:color w:val="auto"/>
              </w:rPr>
            </w:pPr>
          </w:p>
        </w:tc>
        <w:tc>
          <w:tcPr>
            <w:tcW w:w="80" w:type="dxa"/>
            <w:vAlign w:val="bottom"/>
            <w:tcBorders>
              <w:top w:val="single" w:sz="8" w:color="DDDDDD"/>
            </w:tcBorders>
            <w:shd w:val="clear" w:color="auto" w:fill="DDDDDD"/>
          </w:tcPr>
          <w:p>
            <w:pPr>
              <w:spacing w:after="0"/>
              <w:rPr>
                <w:sz w:val="24"/>
                <w:szCs w:val="24"/>
                <w:color w:val="auto"/>
              </w:rPr>
            </w:pPr>
          </w:p>
        </w:tc>
        <w:tc>
          <w:tcPr>
            <w:tcW w:w="1400" w:type="dxa"/>
            <w:vAlign w:val="bottom"/>
            <w:tcBorders>
              <w:top w:val="single" w:sz="8" w:color="DDDDDD"/>
            </w:tcBorders>
            <w:shd w:val="clear" w:color="auto" w:fill="DDDDDD"/>
          </w:tcPr>
          <w:p>
            <w:pPr>
              <w:spacing w:after="0"/>
              <w:rPr>
                <w:sz w:val="24"/>
                <w:szCs w:val="24"/>
                <w:color w:val="auto"/>
              </w:rPr>
            </w:pPr>
          </w:p>
        </w:tc>
        <w:tc>
          <w:tcPr>
            <w:tcW w:w="0" w:type="dxa"/>
            <w:vAlign w:val="bottom"/>
          </w:tcPr>
          <w:p>
            <w:pPr>
              <w:spacing w:after="0"/>
              <w:rPr>
                <w:sz w:val="1"/>
                <w:szCs w:val="1"/>
                <w:color w:val="auto"/>
              </w:rPr>
            </w:pPr>
          </w:p>
        </w:tc>
      </w:tr>
      <w:tr>
        <w:trPr>
          <w:trHeight w:val="307"/>
        </w:trPr>
        <w:tc>
          <w:tcPr>
            <w:tcW w:w="60" w:type="dxa"/>
            <w:vAlign w:val="bottom"/>
          </w:tcPr>
          <w:p>
            <w:pPr>
              <w:spacing w:after="0"/>
              <w:rPr>
                <w:sz w:val="24"/>
                <w:szCs w:val="24"/>
                <w:color w:val="auto"/>
              </w:rPr>
            </w:pPr>
          </w:p>
        </w:tc>
        <w:tc>
          <w:tcPr>
            <w:tcW w:w="4380" w:type="dxa"/>
            <w:vAlign w:val="bottom"/>
          </w:tcPr>
          <w:p>
            <w:pPr>
              <w:spacing w:after="0"/>
              <w:rPr>
                <w:sz w:val="20"/>
                <w:szCs w:val="20"/>
                <w:color w:val="auto"/>
              </w:rPr>
            </w:pPr>
            <w:r>
              <w:rPr>
                <w:rFonts w:ascii="Times New Roman" w:cs="Times New Roman" w:eastAsia="Times New Roman" w:hAnsi="Times New Roman"/>
                <w:sz w:val="20"/>
                <w:szCs w:val="20"/>
                <w:color w:val="auto"/>
              </w:rPr>
              <w:t>Anthony Bay</w:t>
            </w:r>
          </w:p>
        </w:tc>
        <w:tc>
          <w:tcPr>
            <w:tcW w:w="120" w:type="dxa"/>
            <w:vAlign w:val="bottom"/>
          </w:tcPr>
          <w:p>
            <w:pPr>
              <w:spacing w:after="0"/>
              <w:rPr>
                <w:sz w:val="24"/>
                <w:szCs w:val="24"/>
                <w:color w:val="auto"/>
              </w:rPr>
            </w:pPr>
          </w:p>
        </w:tc>
        <w:tc>
          <w:tcPr>
            <w:tcW w:w="1340" w:type="dxa"/>
            <w:vAlign w:val="bottom"/>
          </w:tcPr>
          <w:p>
            <w:pPr>
              <w:jc w:val="center"/>
              <w:spacing w:after="0"/>
              <w:rPr>
                <w:sz w:val="20"/>
                <w:szCs w:val="20"/>
                <w:color w:val="auto"/>
              </w:rPr>
            </w:pPr>
            <w:r>
              <w:rPr>
                <w:rFonts w:ascii="Times New Roman" w:cs="Times New Roman" w:eastAsia="Times New Roman" w:hAnsi="Times New Roman"/>
                <w:sz w:val="20"/>
                <w:szCs w:val="20"/>
                <w:color w:val="auto"/>
                <w:w w:val="96"/>
              </w:rPr>
              <w:t>X</w:t>
            </w:r>
          </w:p>
        </w:tc>
        <w:tc>
          <w:tcPr>
            <w:tcW w:w="60" w:type="dxa"/>
            <w:vAlign w:val="bottom"/>
          </w:tcPr>
          <w:p>
            <w:pPr>
              <w:spacing w:after="0"/>
              <w:rPr>
                <w:sz w:val="24"/>
                <w:szCs w:val="24"/>
                <w:color w:val="auto"/>
              </w:rPr>
            </w:pPr>
          </w:p>
        </w:tc>
        <w:tc>
          <w:tcPr>
            <w:tcW w:w="1400" w:type="dxa"/>
            <w:vAlign w:val="bottom"/>
          </w:tcPr>
          <w:p>
            <w:pPr>
              <w:jc w:val="center"/>
              <w:spacing w:after="0"/>
              <w:rPr>
                <w:sz w:val="20"/>
                <w:szCs w:val="20"/>
                <w:color w:val="auto"/>
              </w:rPr>
            </w:pPr>
            <w:r>
              <w:rPr>
                <w:rFonts w:ascii="Times New Roman" w:cs="Times New Roman" w:eastAsia="Times New Roman" w:hAnsi="Times New Roman"/>
                <w:sz w:val="20"/>
                <w:szCs w:val="20"/>
                <w:color w:val="auto"/>
              </w:rPr>
              <w:t>X</w:t>
            </w:r>
          </w:p>
        </w:tc>
        <w:tc>
          <w:tcPr>
            <w:tcW w:w="14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19"/>
        </w:trPr>
        <w:tc>
          <w:tcPr>
            <w:tcW w:w="60" w:type="dxa"/>
            <w:vAlign w:val="bottom"/>
            <w:tcBorders>
              <w:right w:val="single" w:sz="8" w:color="DDDDDD"/>
            </w:tcBorders>
          </w:tcPr>
          <w:p>
            <w:pPr>
              <w:spacing w:after="0"/>
              <w:rPr>
                <w:sz w:val="24"/>
                <w:szCs w:val="24"/>
                <w:color w:val="auto"/>
              </w:rPr>
            </w:pPr>
          </w:p>
        </w:tc>
        <w:tc>
          <w:tcPr>
            <w:tcW w:w="4380" w:type="dxa"/>
            <w:vAlign w:val="bottom"/>
            <w:shd w:val="clear" w:color="auto" w:fill="DDDDDD"/>
          </w:tcPr>
          <w:p>
            <w:pPr>
              <w:spacing w:after="0"/>
              <w:rPr>
                <w:sz w:val="20"/>
                <w:szCs w:val="20"/>
                <w:color w:val="auto"/>
              </w:rPr>
            </w:pPr>
            <w:r>
              <w:rPr>
                <w:rFonts w:ascii="Times New Roman" w:cs="Times New Roman" w:eastAsia="Times New Roman" w:hAnsi="Times New Roman"/>
                <w:sz w:val="20"/>
                <w:szCs w:val="20"/>
                <w:color w:val="auto"/>
              </w:rPr>
              <w:t>Douglas Francis*</w:t>
            </w:r>
          </w:p>
        </w:tc>
        <w:tc>
          <w:tcPr>
            <w:tcW w:w="120" w:type="dxa"/>
            <w:vAlign w:val="bottom"/>
            <w:shd w:val="clear" w:color="auto" w:fill="DDDDDD"/>
          </w:tcPr>
          <w:p>
            <w:pPr>
              <w:spacing w:after="0"/>
              <w:rPr>
                <w:sz w:val="24"/>
                <w:szCs w:val="24"/>
                <w:color w:val="auto"/>
              </w:rPr>
            </w:pPr>
          </w:p>
        </w:tc>
        <w:tc>
          <w:tcPr>
            <w:tcW w:w="1340" w:type="dxa"/>
            <w:vAlign w:val="bottom"/>
            <w:shd w:val="clear" w:color="auto" w:fill="DDDDDD"/>
          </w:tcPr>
          <w:p>
            <w:pPr>
              <w:spacing w:after="0"/>
              <w:rPr>
                <w:sz w:val="24"/>
                <w:szCs w:val="24"/>
                <w:color w:val="auto"/>
              </w:rPr>
            </w:pPr>
          </w:p>
        </w:tc>
        <w:tc>
          <w:tcPr>
            <w:tcW w:w="60" w:type="dxa"/>
            <w:vAlign w:val="bottom"/>
            <w:shd w:val="clear" w:color="auto" w:fill="DDDDDD"/>
          </w:tcPr>
          <w:p>
            <w:pPr>
              <w:spacing w:after="0"/>
              <w:rPr>
                <w:sz w:val="24"/>
                <w:szCs w:val="24"/>
                <w:color w:val="auto"/>
              </w:rPr>
            </w:pPr>
          </w:p>
        </w:tc>
        <w:tc>
          <w:tcPr>
            <w:tcW w:w="1400" w:type="dxa"/>
            <w:vAlign w:val="bottom"/>
            <w:shd w:val="clear" w:color="auto" w:fill="DDDDDD"/>
          </w:tcPr>
          <w:p>
            <w:pPr>
              <w:spacing w:after="0"/>
              <w:rPr>
                <w:sz w:val="24"/>
                <w:szCs w:val="24"/>
                <w:color w:val="auto"/>
              </w:rPr>
            </w:pPr>
          </w:p>
        </w:tc>
        <w:tc>
          <w:tcPr>
            <w:tcW w:w="1440" w:type="dxa"/>
            <w:vAlign w:val="bottom"/>
            <w:shd w:val="clear" w:color="auto" w:fill="DDDDDD"/>
          </w:tcPr>
          <w:p>
            <w:pPr>
              <w:spacing w:after="0"/>
              <w:rPr>
                <w:sz w:val="24"/>
                <w:szCs w:val="24"/>
                <w:color w:val="auto"/>
              </w:rPr>
            </w:pPr>
          </w:p>
        </w:tc>
        <w:tc>
          <w:tcPr>
            <w:tcW w:w="80" w:type="dxa"/>
            <w:vAlign w:val="bottom"/>
            <w:shd w:val="clear" w:color="auto" w:fill="DDDDDD"/>
          </w:tcPr>
          <w:p>
            <w:pPr>
              <w:spacing w:after="0"/>
              <w:rPr>
                <w:sz w:val="24"/>
                <w:szCs w:val="24"/>
                <w:color w:val="auto"/>
              </w:rPr>
            </w:pPr>
          </w:p>
        </w:tc>
        <w:tc>
          <w:tcPr>
            <w:tcW w:w="1400" w:type="dxa"/>
            <w:vAlign w:val="bottom"/>
            <w:shd w:val="clear" w:color="auto" w:fill="DDDDDD"/>
          </w:tcPr>
          <w:p>
            <w:pPr>
              <w:jc w:val="center"/>
              <w:spacing w:after="0"/>
              <w:rPr>
                <w:sz w:val="20"/>
                <w:szCs w:val="20"/>
                <w:color w:val="auto"/>
              </w:rPr>
            </w:pPr>
            <w:r>
              <w:rPr>
                <w:rFonts w:ascii="Times New Roman" w:cs="Times New Roman" w:eastAsia="Times New Roman" w:hAnsi="Times New Roman"/>
                <w:sz w:val="20"/>
                <w:szCs w:val="20"/>
                <w:color w:val="auto"/>
              </w:rPr>
              <w:t>X</w:t>
            </w:r>
          </w:p>
        </w:tc>
        <w:tc>
          <w:tcPr>
            <w:tcW w:w="0" w:type="dxa"/>
            <w:vAlign w:val="bottom"/>
          </w:tcPr>
          <w:p>
            <w:pPr>
              <w:spacing w:after="0"/>
              <w:rPr>
                <w:sz w:val="1"/>
                <w:szCs w:val="1"/>
                <w:color w:val="auto"/>
              </w:rPr>
            </w:pPr>
          </w:p>
        </w:tc>
      </w:tr>
      <w:tr>
        <w:trPr>
          <w:trHeight w:val="311"/>
        </w:trPr>
        <w:tc>
          <w:tcPr>
            <w:tcW w:w="60" w:type="dxa"/>
            <w:vAlign w:val="bottom"/>
          </w:tcPr>
          <w:p>
            <w:pPr>
              <w:spacing w:after="0"/>
              <w:rPr>
                <w:sz w:val="24"/>
                <w:szCs w:val="24"/>
                <w:color w:val="auto"/>
              </w:rPr>
            </w:pPr>
          </w:p>
        </w:tc>
        <w:tc>
          <w:tcPr>
            <w:tcW w:w="4380" w:type="dxa"/>
            <w:vAlign w:val="bottom"/>
          </w:tcPr>
          <w:p>
            <w:pPr>
              <w:spacing w:after="0"/>
              <w:rPr>
                <w:sz w:val="20"/>
                <w:szCs w:val="20"/>
                <w:color w:val="auto"/>
              </w:rPr>
            </w:pPr>
            <w:r>
              <w:rPr>
                <w:rFonts w:ascii="Times New Roman" w:cs="Times New Roman" w:eastAsia="Times New Roman" w:hAnsi="Times New Roman"/>
                <w:sz w:val="20"/>
                <w:szCs w:val="20"/>
                <w:color w:val="auto"/>
              </w:rPr>
              <w:t>Brenda Freeman</w:t>
            </w:r>
          </w:p>
        </w:tc>
        <w:tc>
          <w:tcPr>
            <w:tcW w:w="120" w:type="dxa"/>
            <w:vAlign w:val="bottom"/>
          </w:tcPr>
          <w:p>
            <w:pPr>
              <w:spacing w:after="0"/>
              <w:rPr>
                <w:sz w:val="24"/>
                <w:szCs w:val="24"/>
                <w:color w:val="auto"/>
              </w:rPr>
            </w:pPr>
          </w:p>
        </w:tc>
        <w:tc>
          <w:tcPr>
            <w:tcW w:w="1340" w:type="dxa"/>
            <w:vAlign w:val="bottom"/>
          </w:tcPr>
          <w:p>
            <w:pPr>
              <w:jc w:val="center"/>
              <w:spacing w:after="0"/>
              <w:rPr>
                <w:sz w:val="20"/>
                <w:szCs w:val="20"/>
                <w:color w:val="auto"/>
              </w:rPr>
            </w:pPr>
            <w:r>
              <w:rPr>
                <w:rFonts w:ascii="Times New Roman" w:cs="Times New Roman" w:eastAsia="Times New Roman" w:hAnsi="Times New Roman"/>
                <w:sz w:val="20"/>
                <w:szCs w:val="20"/>
                <w:color w:val="auto"/>
                <w:w w:val="96"/>
              </w:rPr>
              <w:t>X</w:t>
            </w:r>
          </w:p>
        </w:tc>
        <w:tc>
          <w:tcPr>
            <w:tcW w:w="6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1440" w:type="dxa"/>
            <w:vAlign w:val="bottom"/>
          </w:tcPr>
          <w:p>
            <w:pPr>
              <w:ind w:left="660"/>
              <w:spacing w:after="0"/>
              <w:rPr>
                <w:sz w:val="20"/>
                <w:szCs w:val="20"/>
                <w:color w:val="auto"/>
              </w:rPr>
            </w:pPr>
            <w:r>
              <w:rPr>
                <w:rFonts w:ascii="Times New Roman" w:cs="Times New Roman" w:eastAsia="Times New Roman" w:hAnsi="Times New Roman"/>
                <w:sz w:val="20"/>
                <w:szCs w:val="20"/>
                <w:color w:val="auto"/>
              </w:rPr>
              <w:t>X**</w:t>
            </w:r>
          </w:p>
        </w:tc>
        <w:tc>
          <w:tcPr>
            <w:tcW w:w="8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3"/>
        </w:trPr>
        <w:tc>
          <w:tcPr>
            <w:tcW w:w="60" w:type="dxa"/>
            <w:vAlign w:val="bottom"/>
            <w:tcBorders>
              <w:right w:val="single" w:sz="8" w:color="DDDDDD"/>
            </w:tcBorders>
          </w:tcPr>
          <w:p>
            <w:pPr>
              <w:spacing w:after="0"/>
              <w:rPr>
                <w:sz w:val="24"/>
                <w:szCs w:val="24"/>
                <w:color w:val="auto"/>
              </w:rPr>
            </w:pPr>
          </w:p>
        </w:tc>
        <w:tc>
          <w:tcPr>
            <w:tcW w:w="4380" w:type="dxa"/>
            <w:vAlign w:val="bottom"/>
            <w:shd w:val="clear" w:color="auto" w:fill="DDDDDD"/>
          </w:tcPr>
          <w:p>
            <w:pPr>
              <w:spacing w:after="0"/>
              <w:rPr>
                <w:sz w:val="20"/>
                <w:szCs w:val="20"/>
                <w:color w:val="auto"/>
              </w:rPr>
            </w:pPr>
            <w:r>
              <w:rPr>
                <w:rFonts w:ascii="Times New Roman" w:cs="Times New Roman" w:eastAsia="Times New Roman" w:hAnsi="Times New Roman"/>
                <w:sz w:val="20"/>
                <w:szCs w:val="20"/>
                <w:color w:val="auto"/>
              </w:rPr>
              <w:t>Olga Gonzalez</w:t>
            </w:r>
          </w:p>
        </w:tc>
        <w:tc>
          <w:tcPr>
            <w:tcW w:w="120" w:type="dxa"/>
            <w:vAlign w:val="bottom"/>
            <w:shd w:val="clear" w:color="auto" w:fill="DDDDDD"/>
          </w:tcPr>
          <w:p>
            <w:pPr>
              <w:spacing w:after="0"/>
              <w:rPr>
                <w:sz w:val="24"/>
                <w:szCs w:val="24"/>
                <w:color w:val="auto"/>
              </w:rPr>
            </w:pPr>
          </w:p>
        </w:tc>
        <w:tc>
          <w:tcPr>
            <w:tcW w:w="1340" w:type="dxa"/>
            <w:vAlign w:val="bottom"/>
            <w:shd w:val="clear" w:color="auto" w:fill="DDDDDD"/>
          </w:tcPr>
          <w:p>
            <w:pPr>
              <w:ind w:left="560"/>
              <w:spacing w:after="0"/>
              <w:rPr>
                <w:sz w:val="20"/>
                <w:szCs w:val="20"/>
                <w:color w:val="auto"/>
              </w:rPr>
            </w:pPr>
            <w:r>
              <w:rPr>
                <w:rFonts w:ascii="Times New Roman" w:cs="Times New Roman" w:eastAsia="Times New Roman" w:hAnsi="Times New Roman"/>
                <w:sz w:val="20"/>
                <w:szCs w:val="20"/>
                <w:color w:val="auto"/>
              </w:rPr>
              <w:t>X**</w:t>
            </w:r>
          </w:p>
        </w:tc>
        <w:tc>
          <w:tcPr>
            <w:tcW w:w="60" w:type="dxa"/>
            <w:vAlign w:val="bottom"/>
            <w:shd w:val="clear" w:color="auto" w:fill="DDDDDD"/>
          </w:tcPr>
          <w:p>
            <w:pPr>
              <w:spacing w:after="0"/>
              <w:rPr>
                <w:sz w:val="24"/>
                <w:szCs w:val="24"/>
                <w:color w:val="auto"/>
              </w:rPr>
            </w:pPr>
          </w:p>
        </w:tc>
        <w:tc>
          <w:tcPr>
            <w:tcW w:w="1400" w:type="dxa"/>
            <w:vAlign w:val="bottom"/>
            <w:shd w:val="clear" w:color="auto" w:fill="DDDDDD"/>
          </w:tcPr>
          <w:p>
            <w:pPr>
              <w:spacing w:after="0"/>
              <w:rPr>
                <w:sz w:val="24"/>
                <w:szCs w:val="24"/>
                <w:color w:val="auto"/>
              </w:rPr>
            </w:pPr>
          </w:p>
        </w:tc>
        <w:tc>
          <w:tcPr>
            <w:tcW w:w="1440" w:type="dxa"/>
            <w:vAlign w:val="bottom"/>
            <w:shd w:val="clear" w:color="auto" w:fill="DDDDDD"/>
          </w:tcPr>
          <w:p>
            <w:pPr>
              <w:spacing w:after="0"/>
              <w:rPr>
                <w:sz w:val="24"/>
                <w:szCs w:val="24"/>
                <w:color w:val="auto"/>
              </w:rPr>
            </w:pPr>
          </w:p>
        </w:tc>
        <w:tc>
          <w:tcPr>
            <w:tcW w:w="80" w:type="dxa"/>
            <w:vAlign w:val="bottom"/>
            <w:shd w:val="clear" w:color="auto" w:fill="DDDDDD"/>
          </w:tcPr>
          <w:p>
            <w:pPr>
              <w:spacing w:after="0"/>
              <w:rPr>
                <w:sz w:val="24"/>
                <w:szCs w:val="24"/>
                <w:color w:val="auto"/>
              </w:rPr>
            </w:pPr>
          </w:p>
        </w:tc>
        <w:tc>
          <w:tcPr>
            <w:tcW w:w="1400" w:type="dxa"/>
            <w:vAlign w:val="bottom"/>
            <w:shd w:val="clear" w:color="auto" w:fill="DDDDDD"/>
          </w:tcPr>
          <w:p>
            <w:pPr>
              <w:spacing w:after="0"/>
              <w:rPr>
                <w:sz w:val="24"/>
                <w:szCs w:val="24"/>
                <w:color w:val="auto"/>
              </w:rPr>
            </w:pPr>
          </w:p>
        </w:tc>
        <w:tc>
          <w:tcPr>
            <w:tcW w:w="0" w:type="dxa"/>
            <w:vAlign w:val="bottom"/>
          </w:tcPr>
          <w:p>
            <w:pPr>
              <w:spacing w:after="0"/>
              <w:rPr>
                <w:sz w:val="1"/>
                <w:szCs w:val="1"/>
                <w:color w:val="auto"/>
              </w:rPr>
            </w:pPr>
          </w:p>
        </w:tc>
      </w:tr>
      <w:tr>
        <w:trPr>
          <w:trHeight w:val="307"/>
        </w:trPr>
        <w:tc>
          <w:tcPr>
            <w:tcW w:w="60" w:type="dxa"/>
            <w:vAlign w:val="bottom"/>
          </w:tcPr>
          <w:p>
            <w:pPr>
              <w:spacing w:after="0"/>
              <w:rPr>
                <w:sz w:val="24"/>
                <w:szCs w:val="24"/>
                <w:color w:val="auto"/>
              </w:rPr>
            </w:pPr>
          </w:p>
        </w:tc>
        <w:tc>
          <w:tcPr>
            <w:tcW w:w="4380" w:type="dxa"/>
            <w:vAlign w:val="bottom"/>
          </w:tcPr>
          <w:p>
            <w:pPr>
              <w:spacing w:after="0"/>
              <w:rPr>
                <w:sz w:val="20"/>
                <w:szCs w:val="20"/>
                <w:color w:val="auto"/>
              </w:rPr>
            </w:pPr>
            <w:r>
              <w:rPr>
                <w:rFonts w:ascii="Times New Roman" w:cs="Times New Roman" w:eastAsia="Times New Roman" w:hAnsi="Times New Roman"/>
                <w:sz w:val="20"/>
                <w:szCs w:val="20"/>
                <w:color w:val="auto"/>
              </w:rPr>
              <w:t>Scott Gordon</w:t>
            </w:r>
          </w:p>
        </w:tc>
        <w:tc>
          <w:tcPr>
            <w:tcW w:w="120" w:type="dxa"/>
            <w:vAlign w:val="bottom"/>
          </w:tcPr>
          <w:p>
            <w:pPr>
              <w:spacing w:after="0"/>
              <w:rPr>
                <w:sz w:val="24"/>
                <w:szCs w:val="24"/>
                <w:color w:val="auto"/>
              </w:rPr>
            </w:pPr>
          </w:p>
        </w:tc>
        <w:tc>
          <w:tcPr>
            <w:tcW w:w="1340" w:type="dxa"/>
            <w:vAlign w:val="bottom"/>
          </w:tcPr>
          <w:p>
            <w:pPr>
              <w:jc w:val="center"/>
              <w:spacing w:after="0"/>
              <w:rPr>
                <w:sz w:val="20"/>
                <w:szCs w:val="20"/>
                <w:color w:val="auto"/>
              </w:rPr>
            </w:pPr>
            <w:r>
              <w:rPr>
                <w:rFonts w:ascii="Times New Roman" w:cs="Times New Roman" w:eastAsia="Times New Roman" w:hAnsi="Times New Roman"/>
                <w:sz w:val="20"/>
                <w:szCs w:val="20"/>
                <w:color w:val="auto"/>
                <w:w w:val="96"/>
              </w:rPr>
              <w:t>X</w:t>
            </w:r>
          </w:p>
        </w:tc>
        <w:tc>
          <w:tcPr>
            <w:tcW w:w="60" w:type="dxa"/>
            <w:vAlign w:val="bottom"/>
          </w:tcPr>
          <w:p>
            <w:pPr>
              <w:spacing w:after="0"/>
              <w:rPr>
                <w:sz w:val="24"/>
                <w:szCs w:val="24"/>
                <w:color w:val="auto"/>
              </w:rPr>
            </w:pPr>
          </w:p>
        </w:tc>
        <w:tc>
          <w:tcPr>
            <w:tcW w:w="1400" w:type="dxa"/>
            <w:vAlign w:val="bottom"/>
          </w:tcPr>
          <w:p>
            <w:pPr>
              <w:jc w:val="center"/>
              <w:spacing w:after="0"/>
              <w:rPr>
                <w:sz w:val="20"/>
                <w:szCs w:val="20"/>
                <w:color w:val="auto"/>
              </w:rPr>
            </w:pPr>
            <w:r>
              <w:rPr>
                <w:rFonts w:ascii="Times New Roman" w:cs="Times New Roman" w:eastAsia="Times New Roman" w:hAnsi="Times New Roman"/>
                <w:sz w:val="20"/>
                <w:szCs w:val="20"/>
                <w:color w:val="auto"/>
              </w:rPr>
              <w:t>X</w:t>
            </w:r>
          </w:p>
        </w:tc>
        <w:tc>
          <w:tcPr>
            <w:tcW w:w="14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19"/>
        </w:trPr>
        <w:tc>
          <w:tcPr>
            <w:tcW w:w="60" w:type="dxa"/>
            <w:vAlign w:val="bottom"/>
            <w:tcBorders>
              <w:right w:val="single" w:sz="8" w:color="DDDDDD"/>
            </w:tcBorders>
          </w:tcPr>
          <w:p>
            <w:pPr>
              <w:spacing w:after="0"/>
              <w:rPr>
                <w:sz w:val="24"/>
                <w:szCs w:val="24"/>
                <w:color w:val="auto"/>
              </w:rPr>
            </w:pPr>
          </w:p>
        </w:tc>
        <w:tc>
          <w:tcPr>
            <w:tcW w:w="4380" w:type="dxa"/>
            <w:vAlign w:val="bottom"/>
            <w:shd w:val="clear" w:color="auto" w:fill="DDDDDD"/>
          </w:tcPr>
          <w:p>
            <w:pPr>
              <w:spacing w:after="0"/>
              <w:rPr>
                <w:sz w:val="20"/>
                <w:szCs w:val="20"/>
                <w:color w:val="auto"/>
              </w:rPr>
            </w:pPr>
            <w:r>
              <w:rPr>
                <w:rFonts w:ascii="Times New Roman" w:cs="Times New Roman" w:eastAsia="Times New Roman" w:hAnsi="Times New Roman"/>
                <w:sz w:val="20"/>
                <w:szCs w:val="20"/>
                <w:color w:val="auto"/>
              </w:rPr>
              <w:t>Fiona Tan</w:t>
            </w:r>
          </w:p>
        </w:tc>
        <w:tc>
          <w:tcPr>
            <w:tcW w:w="120" w:type="dxa"/>
            <w:vAlign w:val="bottom"/>
            <w:shd w:val="clear" w:color="auto" w:fill="DDDDDD"/>
          </w:tcPr>
          <w:p>
            <w:pPr>
              <w:spacing w:after="0"/>
              <w:rPr>
                <w:sz w:val="24"/>
                <w:szCs w:val="24"/>
                <w:color w:val="auto"/>
              </w:rPr>
            </w:pPr>
          </w:p>
        </w:tc>
        <w:tc>
          <w:tcPr>
            <w:tcW w:w="1340" w:type="dxa"/>
            <w:vAlign w:val="bottom"/>
            <w:shd w:val="clear" w:color="auto" w:fill="DDDDDD"/>
          </w:tcPr>
          <w:p>
            <w:pPr>
              <w:spacing w:after="0"/>
              <w:rPr>
                <w:sz w:val="24"/>
                <w:szCs w:val="24"/>
                <w:color w:val="auto"/>
              </w:rPr>
            </w:pPr>
          </w:p>
        </w:tc>
        <w:tc>
          <w:tcPr>
            <w:tcW w:w="60" w:type="dxa"/>
            <w:vAlign w:val="bottom"/>
            <w:shd w:val="clear" w:color="auto" w:fill="DDDDDD"/>
          </w:tcPr>
          <w:p>
            <w:pPr>
              <w:spacing w:after="0"/>
              <w:rPr>
                <w:sz w:val="24"/>
                <w:szCs w:val="24"/>
                <w:color w:val="auto"/>
              </w:rPr>
            </w:pPr>
          </w:p>
        </w:tc>
        <w:tc>
          <w:tcPr>
            <w:tcW w:w="1400" w:type="dxa"/>
            <w:vAlign w:val="bottom"/>
            <w:shd w:val="clear" w:color="auto" w:fill="DDDDDD"/>
          </w:tcPr>
          <w:p>
            <w:pPr>
              <w:spacing w:after="0"/>
              <w:rPr>
                <w:sz w:val="24"/>
                <w:szCs w:val="24"/>
                <w:color w:val="auto"/>
              </w:rPr>
            </w:pPr>
          </w:p>
        </w:tc>
        <w:tc>
          <w:tcPr>
            <w:tcW w:w="1440" w:type="dxa"/>
            <w:vAlign w:val="bottom"/>
            <w:shd w:val="clear" w:color="auto" w:fill="DDDDDD"/>
          </w:tcPr>
          <w:p>
            <w:pPr>
              <w:jc w:val="center"/>
              <w:spacing w:after="0"/>
              <w:rPr>
                <w:sz w:val="20"/>
                <w:szCs w:val="20"/>
                <w:color w:val="auto"/>
              </w:rPr>
            </w:pPr>
            <w:r>
              <w:rPr>
                <w:rFonts w:ascii="Times New Roman" w:cs="Times New Roman" w:eastAsia="Times New Roman" w:hAnsi="Times New Roman"/>
                <w:sz w:val="20"/>
                <w:szCs w:val="20"/>
                <w:color w:val="auto"/>
                <w:w w:val="96"/>
              </w:rPr>
              <w:t>X</w:t>
            </w:r>
          </w:p>
        </w:tc>
        <w:tc>
          <w:tcPr>
            <w:tcW w:w="80" w:type="dxa"/>
            <w:vAlign w:val="bottom"/>
            <w:shd w:val="clear" w:color="auto" w:fill="DDDDDD"/>
          </w:tcPr>
          <w:p>
            <w:pPr>
              <w:spacing w:after="0"/>
              <w:rPr>
                <w:sz w:val="24"/>
                <w:szCs w:val="24"/>
                <w:color w:val="auto"/>
              </w:rPr>
            </w:pPr>
          </w:p>
        </w:tc>
        <w:tc>
          <w:tcPr>
            <w:tcW w:w="1400" w:type="dxa"/>
            <w:vAlign w:val="bottom"/>
            <w:shd w:val="clear" w:color="auto" w:fill="DDDDDD"/>
          </w:tcPr>
          <w:p>
            <w:pPr>
              <w:ind w:left="560"/>
              <w:spacing w:after="0"/>
              <w:rPr>
                <w:sz w:val="20"/>
                <w:szCs w:val="20"/>
                <w:color w:val="auto"/>
              </w:rPr>
            </w:pPr>
            <w:r>
              <w:rPr>
                <w:rFonts w:ascii="Times New Roman" w:cs="Times New Roman" w:eastAsia="Times New Roman" w:hAnsi="Times New Roman"/>
                <w:sz w:val="20"/>
                <w:szCs w:val="20"/>
                <w:color w:val="auto"/>
              </w:rPr>
              <w:t>X**</w:t>
            </w:r>
          </w:p>
        </w:tc>
        <w:tc>
          <w:tcPr>
            <w:tcW w:w="0" w:type="dxa"/>
            <w:vAlign w:val="bottom"/>
          </w:tcPr>
          <w:p>
            <w:pPr>
              <w:spacing w:after="0"/>
              <w:rPr>
                <w:sz w:val="1"/>
                <w:szCs w:val="1"/>
                <w:color w:val="auto"/>
              </w:rPr>
            </w:pPr>
          </w:p>
        </w:tc>
      </w:tr>
      <w:tr>
        <w:trPr>
          <w:trHeight w:val="318"/>
        </w:trPr>
        <w:tc>
          <w:tcPr>
            <w:tcW w:w="60" w:type="dxa"/>
            <w:vAlign w:val="bottom"/>
            <w:tcBorders>
              <w:bottom w:val="single" w:sz="8" w:color="auto"/>
            </w:tcBorders>
          </w:tcPr>
          <w:p>
            <w:pPr>
              <w:spacing w:after="0"/>
              <w:rPr>
                <w:sz w:val="24"/>
                <w:szCs w:val="24"/>
                <w:color w:val="auto"/>
              </w:rPr>
            </w:pPr>
          </w:p>
        </w:tc>
        <w:tc>
          <w:tcPr>
            <w:tcW w:w="438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20"/>
                <w:szCs w:val="20"/>
                <w:color w:val="auto"/>
              </w:rPr>
              <w:t>Total Meetings in the year ended December 31, 2023</w:t>
            </w:r>
          </w:p>
        </w:tc>
        <w:tc>
          <w:tcPr>
            <w:tcW w:w="1460" w:type="dxa"/>
            <w:vAlign w:val="bottom"/>
            <w:tcBorders>
              <w:bottom w:val="single" w:sz="8" w:color="auto"/>
            </w:tcBorders>
            <w:gridSpan w:val="2"/>
          </w:tcPr>
          <w:p>
            <w:pPr>
              <w:jc w:val="center"/>
              <w:spacing w:after="0"/>
              <w:rPr>
                <w:sz w:val="20"/>
                <w:szCs w:val="20"/>
                <w:color w:val="auto"/>
              </w:rPr>
            </w:pPr>
            <w:r>
              <w:rPr>
                <w:rFonts w:ascii="Times New Roman" w:cs="Times New Roman" w:eastAsia="Times New Roman" w:hAnsi="Times New Roman"/>
                <w:sz w:val="20"/>
                <w:szCs w:val="20"/>
                <w:color w:val="auto"/>
                <w:w w:val="99"/>
              </w:rPr>
              <w:t>8</w:t>
            </w:r>
          </w:p>
        </w:tc>
        <w:tc>
          <w:tcPr>
            <w:tcW w:w="1460" w:type="dxa"/>
            <w:vAlign w:val="bottom"/>
            <w:tcBorders>
              <w:bottom w:val="single" w:sz="8" w:color="auto"/>
            </w:tcBorders>
            <w:gridSpan w:val="2"/>
          </w:tcPr>
          <w:p>
            <w:pPr>
              <w:jc w:val="center"/>
              <w:spacing w:after="0"/>
              <w:rPr>
                <w:sz w:val="20"/>
                <w:szCs w:val="20"/>
                <w:color w:val="auto"/>
              </w:rPr>
            </w:pPr>
            <w:r>
              <w:rPr>
                <w:rFonts w:ascii="Times New Roman" w:cs="Times New Roman" w:eastAsia="Times New Roman" w:hAnsi="Times New Roman"/>
                <w:sz w:val="20"/>
                <w:szCs w:val="20"/>
                <w:color w:val="auto"/>
                <w:w w:val="99"/>
              </w:rPr>
              <w:t>9</w:t>
            </w:r>
          </w:p>
        </w:tc>
        <w:tc>
          <w:tcPr>
            <w:tcW w:w="14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20"/>
                <w:szCs w:val="20"/>
                <w:color w:val="auto"/>
                <w:w w:val="99"/>
              </w:rPr>
              <w:t>3</w:t>
            </w:r>
          </w:p>
        </w:tc>
        <w:tc>
          <w:tcPr>
            <w:tcW w:w="1480" w:type="dxa"/>
            <w:vAlign w:val="bottom"/>
            <w:tcBorders>
              <w:bottom w:val="single" w:sz="8" w:color="auto"/>
            </w:tcBorders>
            <w:gridSpan w:val="2"/>
          </w:tcPr>
          <w:p>
            <w:pPr>
              <w:jc w:val="center"/>
              <w:spacing w:after="0"/>
              <w:rPr>
                <w:sz w:val="20"/>
                <w:szCs w:val="20"/>
                <w:color w:val="auto"/>
              </w:rPr>
            </w:pPr>
            <w:r>
              <w:rPr>
                <w:rFonts w:ascii="Times New Roman" w:cs="Times New Roman" w:eastAsia="Times New Roman" w:hAnsi="Times New Roman"/>
                <w:sz w:val="20"/>
                <w:szCs w:val="20"/>
                <w:color w:val="auto"/>
                <w:w w:val="99"/>
              </w:rPr>
              <w:t>4</w:t>
            </w:r>
          </w:p>
        </w:tc>
        <w:tc>
          <w:tcPr>
            <w:tcW w:w="0" w:type="dxa"/>
            <w:vAlign w:val="bottom"/>
          </w:tcPr>
          <w:p>
            <w:pPr>
              <w:spacing w:after="0"/>
              <w:rPr>
                <w:sz w:val="1"/>
                <w:szCs w:val="1"/>
                <w:color w:val="auto"/>
              </w:rPr>
            </w:pPr>
          </w:p>
        </w:tc>
      </w:tr>
    </w:tbl>
    <w:p>
      <w:pPr>
        <w:spacing w:after="0" w:line="110"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6"/>
          <w:szCs w:val="16"/>
          <w:color w:val="auto"/>
        </w:rPr>
        <w:t>*Executive Chair</w:t>
      </w:r>
    </w:p>
    <w:p>
      <w:pPr>
        <w:spacing w:after="0" w:line="154"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6"/>
          <w:szCs w:val="16"/>
          <w:color w:val="auto"/>
        </w:rPr>
        <w:t>** Committee Chairperson</w:t>
      </w:r>
    </w:p>
    <w:p>
      <w:pPr>
        <w:spacing w:after="0" w:line="144" w:lineRule="exact"/>
        <w:rPr>
          <w:sz w:val="20"/>
          <w:szCs w:val="20"/>
          <w:color w:val="auto"/>
        </w:rPr>
      </w:pPr>
    </w:p>
    <w:p>
      <w:pPr>
        <w:jc w:val="both"/>
        <w:ind w:left="20"/>
        <w:spacing w:after="0" w:line="301" w:lineRule="auto"/>
        <w:rPr>
          <w:sz w:val="20"/>
          <w:szCs w:val="20"/>
          <w:color w:val="auto"/>
        </w:rPr>
      </w:pPr>
      <w:r>
        <w:rPr>
          <w:rFonts w:ascii="Times New Roman" w:cs="Times New Roman" w:eastAsia="Times New Roman" w:hAnsi="Times New Roman"/>
          <w:sz w:val="20"/>
          <w:szCs w:val="20"/>
          <w:color w:val="auto"/>
        </w:rPr>
        <w:t>Below is a description of each standing committee of the Board. Each of the committees has authority to engage legal counsel or other experts or consultants, as it deems appropriate to carry out its responsibilities. The Board has determined that each member of each committee meets the applicable Nasdaq rules and regulations regarding “independence” and each member is free of any relationship that would impair his or her individual exercise of independent judgment with regard to us.</w:t>
      </w:r>
    </w:p>
    <w:p>
      <w:pPr>
        <w:spacing w:after="0" w:line="68"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0"/>
          <w:szCs w:val="20"/>
          <w:b w:val="1"/>
          <w:bCs w:val="1"/>
          <w:color w:val="auto"/>
        </w:rPr>
        <w:t>Audit Committee</w:t>
      </w:r>
    </w:p>
    <w:p>
      <w:pPr>
        <w:spacing w:after="0" w:line="168" w:lineRule="exact"/>
        <w:rPr>
          <w:sz w:val="20"/>
          <w:szCs w:val="20"/>
          <w:color w:val="auto"/>
        </w:rPr>
      </w:pPr>
    </w:p>
    <w:p>
      <w:pPr>
        <w:jc w:val="both"/>
        <w:ind w:left="20"/>
        <w:spacing w:after="0" w:line="318" w:lineRule="auto"/>
        <w:rPr>
          <w:sz w:val="20"/>
          <w:szCs w:val="20"/>
          <w:color w:val="auto"/>
        </w:rPr>
      </w:pPr>
      <w:r>
        <w:rPr>
          <w:rFonts w:ascii="Times New Roman" w:cs="Times New Roman" w:eastAsia="Times New Roman" w:hAnsi="Times New Roman"/>
          <w:sz w:val="19"/>
          <w:szCs w:val="19"/>
          <w:color w:val="auto"/>
        </w:rPr>
        <w:t>The Audit Committee consists of Mses. Gonzalez and Freeman and Messrs. Bay and Gordon. The Board has determined that each of the members of the Audit Committee satisfy the independence requirements of Rule 5605(c)(2)(A)(i) and (ii) of the Nasdaq listing standards and Rule 10A-3 under the Exchange Act. Each member of the Audit Committee can read and understand fundamental financial statements in accordance with Nasdaq audit committee requirements. In arriving at this determination, the Board examined each Audit Committee member’s scope of experience and the nature of their prior and/or current employment.</w:t>
      </w:r>
    </w:p>
    <w:p>
      <w:pPr>
        <w:spacing w:after="0" w:line="57" w:lineRule="exact"/>
        <w:rPr>
          <w:sz w:val="20"/>
          <w:szCs w:val="20"/>
          <w:color w:val="auto"/>
        </w:rPr>
      </w:pPr>
    </w:p>
    <w:p>
      <w:pPr>
        <w:jc w:val="both"/>
        <w:ind w:left="20"/>
        <w:spacing w:after="0" w:line="297" w:lineRule="auto"/>
        <w:rPr>
          <w:sz w:val="20"/>
          <w:szCs w:val="20"/>
          <w:color w:val="auto"/>
        </w:rPr>
      </w:pPr>
      <w:r>
        <w:rPr>
          <w:rFonts w:ascii="Times New Roman" w:cs="Times New Roman" w:eastAsia="Times New Roman" w:hAnsi="Times New Roman"/>
          <w:sz w:val="20"/>
          <w:szCs w:val="20"/>
          <w:color w:val="auto"/>
        </w:rPr>
        <w:t>We named Ms. Gonzalez as the Chairperson of the Audit Committee. The Board determined that Ms. Gonzalez and Mr. Bay qualify as audit committee financial experts within the meaning of SEC regulations and meets the financial sophistication requirements of Nasdaq listing rules. In making this determination, the Board considered Ms. Gonzalez’s formal education and previous experience in financial roles. Both our independent registered public accounting firm and management periodically will meet privately with our Audit Committee. The Audit Committee met eight times during 2023.</w:t>
      </w:r>
    </w:p>
    <w:p>
      <w:pPr>
        <w:spacing w:after="0" w:line="74"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0"/>
          <w:szCs w:val="20"/>
          <w:color w:val="auto"/>
        </w:rPr>
        <w:t>The functions of this committee include, among other things, to:</w:t>
      </w:r>
    </w:p>
    <w:p>
      <w:pPr>
        <w:spacing w:after="0" w:line="166" w:lineRule="exact"/>
        <w:rPr>
          <w:sz w:val="20"/>
          <w:szCs w:val="20"/>
          <w:color w:val="auto"/>
        </w:rPr>
      </w:pPr>
    </w:p>
    <w:p>
      <w:pPr>
        <w:ind w:left="740" w:hanging="367"/>
        <w:spacing w:after="0" w:line="319" w:lineRule="auto"/>
        <w:tabs>
          <w:tab w:leader="none" w:pos="740" w:val="left"/>
        </w:tabs>
        <w:numPr>
          <w:ilvl w:val="0"/>
          <w:numId w:val="3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approve the hiring, discharging and compensation of our independent registered public accounting firm; oversee the work of our independent registered public accounting firm;</w:t>
      </w:r>
    </w:p>
    <w:p>
      <w:pPr>
        <w:ind w:left="740" w:right="20" w:hanging="367"/>
        <w:spacing w:after="0" w:line="319" w:lineRule="auto"/>
        <w:tabs>
          <w:tab w:leader="none" w:pos="740" w:val="left"/>
        </w:tabs>
        <w:numPr>
          <w:ilvl w:val="0"/>
          <w:numId w:val="3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approve engagements of the independent registered public accounting firm to render any audit or permissible non-audit services;</w:t>
      </w:r>
    </w:p>
    <w:p>
      <w:pPr>
        <w:ind w:left="740" w:hanging="367"/>
        <w:spacing w:after="0"/>
        <w:tabs>
          <w:tab w:leader="none" w:pos="740" w:val="left"/>
        </w:tabs>
        <w:numPr>
          <w:ilvl w:val="0"/>
          <w:numId w:val="3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review the qualifications, independence and performance of the independent registered public accounting firm;</w:t>
      </w:r>
    </w:p>
    <w:p>
      <w:pPr>
        <w:spacing w:after="0" w:line="108" w:lineRule="exact"/>
        <w:rPr>
          <w:rFonts w:ascii="Times New Roman" w:cs="Times New Roman" w:eastAsia="Times New Roman" w:hAnsi="Times New Roman"/>
          <w:sz w:val="20"/>
          <w:szCs w:val="20"/>
          <w:color w:val="auto"/>
        </w:rPr>
      </w:pPr>
    </w:p>
    <w:p>
      <w:pPr>
        <w:ind w:left="740" w:hanging="366"/>
        <w:spacing w:after="0"/>
        <w:tabs>
          <w:tab w:leader="none" w:pos="740" w:val="left"/>
        </w:tabs>
        <w:numPr>
          <w:ilvl w:val="0"/>
          <w:numId w:val="3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review our financial statements and review our critical accounting policies and estimates;</w:t>
      </w:r>
    </w:p>
    <w:p>
      <w:pPr>
        <w:spacing w:after="0" w:line="101" w:lineRule="exact"/>
        <w:rPr>
          <w:rFonts w:ascii="Times New Roman" w:cs="Times New Roman" w:eastAsia="Times New Roman" w:hAnsi="Times New Roman"/>
          <w:sz w:val="20"/>
          <w:szCs w:val="20"/>
          <w:color w:val="auto"/>
        </w:rPr>
      </w:pPr>
    </w:p>
    <w:p>
      <w:pPr>
        <w:ind w:left="740" w:hanging="366"/>
        <w:spacing w:after="0"/>
        <w:tabs>
          <w:tab w:leader="none" w:pos="740" w:val="left"/>
        </w:tabs>
        <w:numPr>
          <w:ilvl w:val="0"/>
          <w:numId w:val="3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review and approve related party transactions;</w:t>
      </w:r>
    </w:p>
    <w:p>
      <w:pPr>
        <w:spacing w:after="0" w:line="108" w:lineRule="exact"/>
        <w:rPr>
          <w:rFonts w:ascii="Times New Roman" w:cs="Times New Roman" w:eastAsia="Times New Roman" w:hAnsi="Times New Roman"/>
          <w:sz w:val="20"/>
          <w:szCs w:val="20"/>
          <w:color w:val="auto"/>
        </w:rPr>
      </w:pPr>
    </w:p>
    <w:p>
      <w:pPr>
        <w:ind w:left="740" w:hanging="366"/>
        <w:spacing w:after="0"/>
        <w:tabs>
          <w:tab w:leader="none" w:pos="740" w:val="left"/>
        </w:tabs>
        <w:numPr>
          <w:ilvl w:val="0"/>
          <w:numId w:val="3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review the adequacy and effectiveness of our internal controls; and</w:t>
      </w:r>
    </w:p>
    <w:p>
      <w:pPr>
        <w:spacing w:after="0" w:line="108" w:lineRule="exact"/>
        <w:rPr>
          <w:rFonts w:ascii="Times New Roman" w:cs="Times New Roman" w:eastAsia="Times New Roman" w:hAnsi="Times New Roman"/>
          <w:sz w:val="20"/>
          <w:szCs w:val="20"/>
          <w:color w:val="auto"/>
        </w:rPr>
      </w:pPr>
    </w:p>
    <w:p>
      <w:pPr>
        <w:jc w:val="both"/>
        <w:ind w:left="740" w:right="20" w:hanging="366"/>
        <w:spacing w:after="0" w:line="306" w:lineRule="auto"/>
        <w:tabs>
          <w:tab w:leader="none" w:pos="740" w:val="left"/>
        </w:tabs>
        <w:numPr>
          <w:ilvl w:val="0"/>
          <w:numId w:val="3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review and discuss with management and the independent registered public accounting firm the results of our annual audit, our quarterly financial statements and our publicly filed reports, and resolve disagreements that may arise from time to time between the independent registered public accounting firm and management.</w:t>
      </w:r>
    </w:p>
    <w:p>
      <w:pPr>
        <w:spacing w:after="0" w:line="200" w:lineRule="exact"/>
        <w:rPr>
          <w:sz w:val="20"/>
          <w:szCs w:val="20"/>
          <w:color w:val="auto"/>
        </w:rPr>
      </w:pPr>
    </w:p>
    <w:p>
      <w:pPr>
        <w:spacing w:after="0" w:line="200" w:lineRule="exact"/>
        <w:rPr>
          <w:sz w:val="20"/>
          <w:szCs w:val="20"/>
          <w:color w:val="auto"/>
        </w:rPr>
      </w:pPr>
    </w:p>
    <w:p>
      <w:pPr>
        <w:spacing w:after="0" w:line="24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81</w:t>
      </w:r>
    </w:p>
    <w:p>
      <w:pPr>
        <w:sectPr>
          <w:pgSz w:w="12240" w:h="15840" w:orient="portrait"/>
          <w:cols w:equalWidth="0" w:num="1">
            <w:col w:w="10280"/>
          </w:cols>
          <w:pgMar w:left="980" w:top="1440" w:right="980" w:bottom="222" w:gutter="0" w:footer="0" w:header="0"/>
        </w:sectPr>
      </w:pPr>
    </w:p>
    <w:bookmarkStart w:id="85" w:name="page86"/>
    <w:bookmarkEnd w:id="85"/>
    <w:p>
      <w:pPr>
        <w:spacing w:after="0"/>
        <w:rPr>
          <w:sz w:val="20"/>
          <w:szCs w:val="20"/>
          <w:color w:val="auto"/>
        </w:rPr>
      </w:pPr>
      <w:r>
        <w:rPr>
          <w:rFonts w:ascii="Times New Roman" w:cs="Times New Roman" w:eastAsia="Times New Roman" w:hAnsi="Times New Roman"/>
          <w:sz w:val="20"/>
          <w:szCs w:val="20"/>
          <w:b w:val="1"/>
          <w:bCs w:val="1"/>
          <w:color w:val="auto"/>
        </w:rPr>
        <w:t>Compensation Committee</w:t>
      </w:r>
    </w:p>
    <w:p>
      <w:pPr>
        <w:spacing w:after="0" w:line="154" w:lineRule="exact"/>
        <w:rPr>
          <w:sz w:val="20"/>
          <w:szCs w:val="20"/>
          <w:color w:val="auto"/>
        </w:rPr>
      </w:pPr>
    </w:p>
    <w:p>
      <w:pPr>
        <w:ind w:right="160"/>
        <w:spacing w:after="0" w:line="299" w:lineRule="auto"/>
        <w:rPr>
          <w:sz w:val="20"/>
          <w:szCs w:val="20"/>
          <w:color w:val="auto"/>
        </w:rPr>
      </w:pPr>
      <w:r>
        <w:rPr>
          <w:rFonts w:ascii="Times New Roman" w:cs="Times New Roman" w:eastAsia="Times New Roman" w:hAnsi="Times New Roman"/>
          <w:sz w:val="20"/>
          <w:szCs w:val="20"/>
          <w:color w:val="auto"/>
        </w:rPr>
        <w:t>The Compensation Committee consists of Messrs. Aquila, Bay and Gordon. We named Mr. Aquila as the Chairperson of the Compensation Committee. The Board has determined that each of the members of the Compensation Committee is a non-employee director, as defined in Rule 16b-3 promulgated under the Exchange Act and satisfies the independence requirements of Rule 5605(d)(2) of the Nasdaq listing standards. The Compensation Committee met nine times during 2023.</w:t>
      </w:r>
    </w:p>
    <w:p>
      <w:pPr>
        <w:spacing w:after="0" w:line="71"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The functions of the Compensation Committee include, among other things, to:</w:t>
      </w:r>
    </w:p>
    <w:p>
      <w:pPr>
        <w:spacing w:after="0" w:line="166" w:lineRule="exact"/>
        <w:rPr>
          <w:sz w:val="20"/>
          <w:szCs w:val="20"/>
          <w:color w:val="auto"/>
        </w:rPr>
      </w:pPr>
    </w:p>
    <w:p>
      <w:pPr>
        <w:ind w:left="720" w:hanging="366"/>
        <w:spacing w:after="0"/>
        <w:tabs>
          <w:tab w:leader="none" w:pos="720" w:val="left"/>
        </w:tabs>
        <w:numPr>
          <w:ilvl w:val="0"/>
          <w:numId w:val="3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review and recommend policies relating to compensation and benefits of our officers and employees;</w:t>
      </w:r>
    </w:p>
    <w:p>
      <w:pPr>
        <w:spacing w:after="0" w:line="108" w:lineRule="exact"/>
        <w:rPr>
          <w:rFonts w:ascii="Times New Roman" w:cs="Times New Roman" w:eastAsia="Times New Roman" w:hAnsi="Times New Roman"/>
          <w:sz w:val="20"/>
          <w:szCs w:val="20"/>
          <w:color w:val="auto"/>
        </w:rPr>
      </w:pPr>
    </w:p>
    <w:p>
      <w:pPr>
        <w:ind w:left="720" w:right="260" w:hanging="366"/>
        <w:spacing w:after="0" w:line="319" w:lineRule="auto"/>
        <w:tabs>
          <w:tab w:leader="none" w:pos="720" w:val="left"/>
        </w:tabs>
        <w:numPr>
          <w:ilvl w:val="0"/>
          <w:numId w:val="3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review and approve corporate goals and objectives relevant to compensation of our chief executive officer and other senior officers;</w:t>
      </w:r>
    </w:p>
    <w:p>
      <w:pPr>
        <w:ind w:left="720" w:hanging="366"/>
        <w:spacing w:after="0"/>
        <w:tabs>
          <w:tab w:leader="none" w:pos="720" w:val="left"/>
        </w:tabs>
        <w:numPr>
          <w:ilvl w:val="0"/>
          <w:numId w:val="3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evaluate the performance of our officers in light of established goals and objectives;</w:t>
      </w:r>
    </w:p>
    <w:p>
      <w:pPr>
        <w:spacing w:after="0" w:line="108" w:lineRule="exact"/>
        <w:rPr>
          <w:rFonts w:ascii="Times New Roman" w:cs="Times New Roman" w:eastAsia="Times New Roman" w:hAnsi="Times New Roman"/>
          <w:sz w:val="20"/>
          <w:szCs w:val="20"/>
          <w:color w:val="auto"/>
        </w:rPr>
      </w:pPr>
    </w:p>
    <w:p>
      <w:pPr>
        <w:ind w:left="720" w:hanging="366"/>
        <w:spacing w:after="0"/>
        <w:tabs>
          <w:tab w:leader="none" w:pos="720" w:val="left"/>
        </w:tabs>
        <w:numPr>
          <w:ilvl w:val="0"/>
          <w:numId w:val="3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recommend compensation of our officers based on its evaluations; and</w:t>
      </w:r>
    </w:p>
    <w:p>
      <w:pPr>
        <w:spacing w:after="0" w:line="101" w:lineRule="exact"/>
        <w:rPr>
          <w:rFonts w:ascii="Times New Roman" w:cs="Times New Roman" w:eastAsia="Times New Roman" w:hAnsi="Times New Roman"/>
          <w:sz w:val="20"/>
          <w:szCs w:val="20"/>
          <w:color w:val="auto"/>
        </w:rPr>
      </w:pPr>
    </w:p>
    <w:p>
      <w:pPr>
        <w:ind w:left="720" w:hanging="366"/>
        <w:spacing w:after="0"/>
        <w:tabs>
          <w:tab w:leader="none" w:pos="720" w:val="left"/>
        </w:tabs>
        <w:numPr>
          <w:ilvl w:val="0"/>
          <w:numId w:val="3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administer the issuance of stock options and other awards under our stock plans.</w:t>
      </w:r>
    </w:p>
    <w:p>
      <w:pPr>
        <w:spacing w:after="0" w:line="164"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Compensation Committee Processes and Procedures</w:t>
      </w:r>
    </w:p>
    <w:p>
      <w:pPr>
        <w:spacing w:after="0" w:line="168" w:lineRule="exact"/>
        <w:rPr>
          <w:sz w:val="20"/>
          <w:szCs w:val="20"/>
          <w:color w:val="auto"/>
        </w:rPr>
      </w:pPr>
    </w:p>
    <w:p>
      <w:pPr>
        <w:jc w:val="both"/>
        <w:spacing w:after="0" w:line="306" w:lineRule="auto"/>
        <w:rPr>
          <w:sz w:val="20"/>
          <w:szCs w:val="20"/>
          <w:color w:val="auto"/>
        </w:rPr>
      </w:pPr>
      <w:r>
        <w:rPr>
          <w:rFonts w:ascii="Times New Roman" w:cs="Times New Roman" w:eastAsia="Times New Roman" w:hAnsi="Times New Roman"/>
          <w:sz w:val="19"/>
          <w:szCs w:val="19"/>
          <w:color w:val="auto"/>
        </w:rPr>
        <w:t>The Compensation Committee has quarterly meetings scheduled, and meets with greater frequency if necessary. The agenda for each meeting is usually developed by the Chairperson of the Compensation Committee, in consultation with the General Counsel. The Compensation Committee meets as necessary in executive session. However, from time to time, the Compensation Committee may invite to its meetings any director, officer or employee of the Company and such other persons as it deems appropriate in order to carry out its responsibilities. The Chief Executive Officer may not participate in, or be present during, any deliberations or determinations of the Compensation Committee regarding his compensation or performance. In addition, under its charter, the Compensation Committee has the authority to obtain, at the expense of the Company, advice and assistance from compensation consultants and internal and external legal or other advisors and other external resources that the Compensation Committee considers necessary or appropriate in the performance of its duties. The Compensation Committee has direct responsibility for the compensation and oversight of the work of any consultants or advisers engaged for the purpose of advising the Committee. In particular, the Compensation Committee has the sole authority to retain, in its sole discretion, compensation consultants to assist in its evaluation of executive and director compensation, including the authority to approve the consultant’s reasonable fees and other retention terms. Under its charter, the Compensation Committee may select, or receive advice from, a compensation consultant, legal counsel or other adviser to the Compensation Committee, other than in-house legal counsel and certain other types of advisers, only after taking into consideration factors prescribed by the SEC and Nasdaq, that bear upon the adviser’s independence; however, there is no requirement that any adviser be independent.</w:t>
      </w:r>
    </w:p>
    <w:p>
      <w:pPr>
        <w:spacing w:after="0" w:line="79" w:lineRule="exact"/>
        <w:rPr>
          <w:sz w:val="20"/>
          <w:szCs w:val="20"/>
          <w:color w:val="auto"/>
        </w:rPr>
      </w:pPr>
    </w:p>
    <w:p>
      <w:pPr>
        <w:jc w:val="both"/>
        <w:ind w:right="20"/>
        <w:spacing w:after="0" w:line="334" w:lineRule="auto"/>
        <w:rPr>
          <w:sz w:val="20"/>
          <w:szCs w:val="20"/>
          <w:color w:val="auto"/>
        </w:rPr>
      </w:pPr>
      <w:r>
        <w:rPr>
          <w:rFonts w:ascii="Times New Roman" w:cs="Times New Roman" w:eastAsia="Times New Roman" w:hAnsi="Times New Roman"/>
          <w:sz w:val="20"/>
          <w:szCs w:val="20"/>
          <w:color w:val="auto"/>
        </w:rPr>
        <w:t>During the past fiscal year, after taking into consideration those factors prescribed by the SEC and Nasdaq, the Compensation Committee engaged Compensia Inc. (“Compensia”) as compensation consultants.</w:t>
      </w:r>
    </w:p>
    <w:p>
      <w:pPr>
        <w:spacing w:after="0" w:line="37"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During the year ended December 31, 2023, Compensia provided the following services:</w:t>
      </w:r>
    </w:p>
    <w:p>
      <w:pPr>
        <w:spacing w:after="0" w:line="166" w:lineRule="exact"/>
        <w:rPr>
          <w:sz w:val="20"/>
          <w:szCs w:val="20"/>
          <w:color w:val="auto"/>
        </w:rPr>
      </w:pPr>
    </w:p>
    <w:p>
      <w:pPr>
        <w:ind w:left="720" w:hanging="366"/>
        <w:spacing w:after="0"/>
        <w:tabs>
          <w:tab w:leader="none" w:pos="720" w:val="left"/>
        </w:tabs>
        <w:numPr>
          <w:ilvl w:val="0"/>
          <w:numId w:val="4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Compensation, Discussion and Analysis drafting and review for the Proxy Statement for the 2023 Annual Meeting;</w:t>
      </w:r>
    </w:p>
    <w:p>
      <w:pPr>
        <w:spacing w:after="0" w:line="101" w:lineRule="exact"/>
        <w:rPr>
          <w:rFonts w:ascii="Times New Roman" w:cs="Times New Roman" w:eastAsia="Times New Roman" w:hAnsi="Times New Roman"/>
          <w:sz w:val="20"/>
          <w:szCs w:val="20"/>
          <w:color w:val="auto"/>
        </w:rPr>
      </w:pPr>
    </w:p>
    <w:p>
      <w:pPr>
        <w:ind w:left="720" w:hanging="366"/>
        <w:spacing w:after="0"/>
        <w:tabs>
          <w:tab w:leader="none" w:pos="720" w:val="left"/>
        </w:tabs>
        <w:numPr>
          <w:ilvl w:val="0"/>
          <w:numId w:val="4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assisted the Compensation Committee in refreshing our compensation peer group;</w:t>
      </w:r>
    </w:p>
    <w:p>
      <w:pPr>
        <w:spacing w:after="0" w:line="108" w:lineRule="exact"/>
        <w:rPr>
          <w:rFonts w:ascii="Times New Roman" w:cs="Times New Roman" w:eastAsia="Times New Roman" w:hAnsi="Times New Roman"/>
          <w:sz w:val="20"/>
          <w:szCs w:val="20"/>
          <w:color w:val="auto"/>
        </w:rPr>
      </w:pPr>
    </w:p>
    <w:p>
      <w:pPr>
        <w:jc w:val="both"/>
        <w:ind w:left="720" w:hanging="366"/>
        <w:spacing w:after="0" w:line="308" w:lineRule="auto"/>
        <w:tabs>
          <w:tab w:leader="none" w:pos="720" w:val="left"/>
        </w:tabs>
        <w:numPr>
          <w:ilvl w:val="0"/>
          <w:numId w:val="4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provided competitive market data based on the compensation peer group for our executive officer positions, and evaluated how the compensation we pay our executive officers compares both to our performance and to how the companies in our compensation peer group and broader technology industry compensate their executives; and</w:t>
      </w:r>
    </w:p>
    <w:p>
      <w:pPr>
        <w:ind w:left="720" w:right="20" w:hanging="366"/>
        <w:spacing w:after="0" w:line="334" w:lineRule="auto"/>
        <w:tabs>
          <w:tab w:leader="none" w:pos="720" w:val="left"/>
        </w:tabs>
        <w:numPr>
          <w:ilvl w:val="0"/>
          <w:numId w:val="4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provided guidance on other compensation topics including clawback programs, equity design and programs, burn rates and overhang levels, and ad hoc market data and practices.</w:t>
      </w:r>
    </w:p>
    <w:p>
      <w:pPr>
        <w:spacing w:after="0" w:line="37" w:lineRule="exact"/>
        <w:rPr>
          <w:sz w:val="20"/>
          <w:szCs w:val="20"/>
          <w:color w:val="auto"/>
        </w:rPr>
      </w:pPr>
    </w:p>
    <w:p>
      <w:pPr>
        <w:jc w:val="both"/>
        <w:spacing w:after="0" w:line="316" w:lineRule="auto"/>
        <w:rPr>
          <w:sz w:val="20"/>
          <w:szCs w:val="20"/>
          <w:color w:val="auto"/>
        </w:rPr>
      </w:pPr>
      <w:r>
        <w:rPr>
          <w:rFonts w:ascii="Times New Roman" w:cs="Times New Roman" w:eastAsia="Times New Roman" w:hAnsi="Times New Roman"/>
          <w:sz w:val="19"/>
          <w:szCs w:val="19"/>
          <w:color w:val="auto"/>
        </w:rPr>
        <w:t>Per its charter, the Compensation Committee is responsible for reviewing and approving most of the significant adjustments to annual compensation, and determines base salary, bonus and equity awards for all Named Executive Officers at one or more meetings scheduled to be held during the first quarter of its fiscal year. However, the Compensation Committee also considers matters related to individual compensation, such as compensation for new executive hires, as well as high-level strategic issues, such as the efficacy of our compensation strategy, potential modifications to that strategy and new trends, plans or approaches to</w:t>
      </w:r>
    </w:p>
    <w:p>
      <w:pPr>
        <w:spacing w:after="0" w:line="254"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20"/>
          <w:szCs w:val="20"/>
          <w:color w:val="auto"/>
        </w:rPr>
        <w:t>82</w:t>
      </w:r>
    </w:p>
    <w:p>
      <w:pPr>
        <w:sectPr>
          <w:pgSz w:w="12240" w:h="15840" w:orient="portrait"/>
          <w:cols w:equalWidth="0" w:num="1">
            <w:col w:w="10260"/>
          </w:cols>
          <w:pgMar w:left="1000" w:top="882" w:right="980" w:bottom="222" w:gutter="0" w:footer="0" w:header="0"/>
        </w:sectPr>
      </w:pPr>
    </w:p>
    <w:bookmarkStart w:id="86" w:name="page87"/>
    <w:bookmarkEnd w:id="86"/>
    <w:p>
      <w:pPr>
        <w:jc w:val="both"/>
        <w:spacing w:after="0" w:line="292" w:lineRule="auto"/>
        <w:rPr>
          <w:sz w:val="20"/>
          <w:szCs w:val="20"/>
          <w:color w:val="auto"/>
        </w:rPr>
      </w:pPr>
      <w:r>
        <w:rPr>
          <w:rFonts w:ascii="Times New Roman" w:cs="Times New Roman" w:eastAsia="Times New Roman" w:hAnsi="Times New Roman"/>
          <w:sz w:val="20"/>
          <w:szCs w:val="20"/>
          <w:color w:val="auto"/>
        </w:rPr>
        <w:t>compensation, at various meetings throughout the year. The Compensation Committee recommends to the independent members of the Board for determination and approval the compensation and other terms of employment of our Chief Executive Officer and evaluates the Chief Executive Officer’s performance in light of relevant corporate performance goals and objectives. For all Named Executive Officers and non-employee directors as part of its deliberations, the Compensation Committee may review and consider, as appropriate, materials such as financial reports and projections, operational data, tax and accounting information, tally sheets that set forth the total compensation that may become payable to our executive officers in various hypothetical scenarios, executive officer and non-employee director stock ownership information, our stock performance data, analyses of historical executive compensation levels and current Company-wide compensation levels and recommendations of the Compensation Committee’s compensation consultant, including analyses of executive and non-employee director compensation paid at other companies identified by the consultant.</w:t>
      </w:r>
    </w:p>
    <w:p>
      <w:pPr>
        <w:spacing w:after="0" w:line="82" w:lineRule="exact"/>
        <w:rPr>
          <w:sz w:val="20"/>
          <w:szCs w:val="20"/>
          <w:color w:val="auto"/>
        </w:rPr>
      </w:pPr>
    </w:p>
    <w:p>
      <w:pPr>
        <w:jc w:val="both"/>
        <w:spacing w:after="0" w:line="296" w:lineRule="auto"/>
        <w:rPr>
          <w:sz w:val="20"/>
          <w:szCs w:val="20"/>
          <w:color w:val="auto"/>
        </w:rPr>
      </w:pPr>
      <w:r>
        <w:rPr>
          <w:rFonts w:ascii="Times New Roman" w:cs="Times New Roman" w:eastAsia="Times New Roman" w:hAnsi="Times New Roman"/>
          <w:sz w:val="20"/>
          <w:szCs w:val="20"/>
          <w:color w:val="auto"/>
        </w:rPr>
        <w:t>The Compensation Committee has evaluated its relationship with Compensia to ensure that it believes that such firm is independent from management. This review process included a review of the services that such compensation consultant provided, the quality of those services and the fees associated with the services provided during 2023. Based on this review, as well as consideration of the factors affecting independence set forth in Exchange Act Rule 10C-1(b)(4), Rule 5605(d)(3)(D) of the Nasdaq rules, and such other factors as were deemed relevant under the circumstances, the Compensation Committee has determined that no conflict of interest was raised as a result of the work performed by Compensia.</w:t>
      </w:r>
    </w:p>
    <w:p>
      <w:pPr>
        <w:spacing w:after="0" w:line="74"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Nominating and Corporate Governance Committee</w:t>
      </w:r>
    </w:p>
    <w:p>
      <w:pPr>
        <w:spacing w:after="0" w:line="168" w:lineRule="exact"/>
        <w:rPr>
          <w:sz w:val="20"/>
          <w:szCs w:val="20"/>
          <w:color w:val="auto"/>
        </w:rPr>
      </w:pPr>
    </w:p>
    <w:p>
      <w:pPr>
        <w:jc w:val="both"/>
        <w:spacing w:after="0" w:line="301" w:lineRule="auto"/>
        <w:rPr>
          <w:sz w:val="20"/>
          <w:szCs w:val="20"/>
          <w:color w:val="auto"/>
        </w:rPr>
      </w:pPr>
      <w:r>
        <w:rPr>
          <w:rFonts w:ascii="Times New Roman" w:cs="Times New Roman" w:eastAsia="Times New Roman" w:hAnsi="Times New Roman"/>
          <w:sz w:val="20"/>
          <w:szCs w:val="20"/>
          <w:color w:val="auto"/>
        </w:rPr>
        <w:t>The Nominating and Corporate Governance Committee consists of Mses. Tan and Freeman. Ms. Freeman serves as the Chairperson of the Nominating and Corporate Governance Committee. The Board has determined that each of the members of the Nominating and Corporate Governance Committee satisfies the independence requirements of Nasdaq. The Nominating and Corporate Governance Committee met three times during 2023.</w:t>
      </w:r>
    </w:p>
    <w:p>
      <w:pPr>
        <w:spacing w:after="0" w:line="7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The functions of the Nominating and Corporate Governance Committee include, among other things, to:</w:t>
      </w:r>
    </w:p>
    <w:p>
      <w:pPr>
        <w:spacing w:after="0" w:line="166" w:lineRule="exact"/>
        <w:rPr>
          <w:sz w:val="20"/>
          <w:szCs w:val="20"/>
          <w:color w:val="auto"/>
        </w:rPr>
      </w:pPr>
    </w:p>
    <w:p>
      <w:pPr>
        <w:ind w:left="720" w:hanging="367"/>
        <w:spacing w:after="0"/>
        <w:tabs>
          <w:tab w:leader="none" w:pos="720" w:val="left"/>
        </w:tabs>
        <w:numPr>
          <w:ilvl w:val="0"/>
          <w:numId w:val="4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evaluate and make recommendations regarding the organization and governance of the Board and its committees;</w:t>
      </w:r>
    </w:p>
    <w:p>
      <w:pPr>
        <w:spacing w:after="0" w:line="101" w:lineRule="exact"/>
        <w:rPr>
          <w:rFonts w:ascii="Times New Roman" w:cs="Times New Roman" w:eastAsia="Times New Roman" w:hAnsi="Times New Roman"/>
          <w:sz w:val="20"/>
          <w:szCs w:val="20"/>
          <w:color w:val="auto"/>
        </w:rPr>
      </w:pPr>
    </w:p>
    <w:p>
      <w:pPr>
        <w:ind w:left="720" w:right="20" w:hanging="367"/>
        <w:spacing w:after="0" w:line="319" w:lineRule="auto"/>
        <w:tabs>
          <w:tab w:leader="none" w:pos="720" w:val="left"/>
        </w:tabs>
        <w:numPr>
          <w:ilvl w:val="0"/>
          <w:numId w:val="4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assess the performance of members of the Board and make recommendations regarding committee and chairperson assignments;</w:t>
      </w:r>
    </w:p>
    <w:p>
      <w:pPr>
        <w:ind w:left="720" w:hanging="367"/>
        <w:spacing w:after="0"/>
        <w:tabs>
          <w:tab w:leader="none" w:pos="720" w:val="left"/>
        </w:tabs>
        <w:numPr>
          <w:ilvl w:val="0"/>
          <w:numId w:val="41"/>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recommend desired qualifications for Board membership and conduct searches for potential members of the Board; and</w:t>
      </w:r>
    </w:p>
    <w:p>
      <w:pPr>
        <w:spacing w:after="0" w:line="120" w:lineRule="exact"/>
        <w:rPr>
          <w:rFonts w:ascii="Times New Roman" w:cs="Times New Roman" w:eastAsia="Times New Roman" w:hAnsi="Times New Roman"/>
          <w:sz w:val="19"/>
          <w:szCs w:val="19"/>
          <w:color w:val="auto"/>
        </w:rPr>
      </w:pPr>
    </w:p>
    <w:p>
      <w:pPr>
        <w:ind w:left="720" w:hanging="367"/>
        <w:spacing w:after="0"/>
        <w:tabs>
          <w:tab w:leader="none" w:pos="720" w:val="left"/>
        </w:tabs>
        <w:numPr>
          <w:ilvl w:val="0"/>
          <w:numId w:val="4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review and make recommendations with regard to our corporate governance guidelines.</w:t>
      </w:r>
    </w:p>
    <w:p>
      <w:pPr>
        <w:spacing w:after="0" w:line="173" w:lineRule="exact"/>
        <w:rPr>
          <w:sz w:val="20"/>
          <w:szCs w:val="20"/>
          <w:color w:val="auto"/>
        </w:rPr>
      </w:pPr>
    </w:p>
    <w:p>
      <w:pPr>
        <w:jc w:val="both"/>
        <w:spacing w:after="0" w:line="291" w:lineRule="auto"/>
        <w:rPr>
          <w:sz w:val="20"/>
          <w:szCs w:val="20"/>
          <w:color w:val="auto"/>
        </w:rPr>
      </w:pPr>
      <w:r>
        <w:rPr>
          <w:rFonts w:ascii="Times New Roman" w:cs="Times New Roman" w:eastAsia="Times New Roman" w:hAnsi="Times New Roman"/>
          <w:sz w:val="20"/>
          <w:szCs w:val="20"/>
          <w:color w:val="auto"/>
        </w:rPr>
        <w:t>The Nominating and Corporate Governance Committee believes that candidates for director should have certain minimum qualifications, including the ability to read and understand basic financial statements, being over 21 years of age and having the highest personal integrity and ethics. The Nominating and Corporate Governance Committee also intends to consider such factors as possessing relevant expertise upon which to be able to offer advice and guidance to management, having sufficient time to devote to the affairs of the Company, demonstrated excellence in his or her field, having the ability to exercise sound business judgment and having the commitment to rigorously represent the long-term interests of the Company’s stockholders. However, the Nominating and Corporate Governance Committee retains the right to modify these qualifications from time to time. Candidates for director nominees are reviewed in the context of the current composition of the Board, the operating requirements of the Company and the long-term interests of stockholders. In conducting this assessment, the Nominating and Corporate Governance Committee typically considers diversity (including gender, racial and ethnic diversity), age, skills and such other factors as it deems appropriate, given the current needs of the Board and the Company, to maintain a balance of knowledge, experience and capability.</w:t>
      </w:r>
    </w:p>
    <w:p>
      <w:pPr>
        <w:spacing w:after="0" w:line="81" w:lineRule="exact"/>
        <w:rPr>
          <w:sz w:val="20"/>
          <w:szCs w:val="20"/>
          <w:color w:val="auto"/>
        </w:rPr>
      </w:pPr>
    </w:p>
    <w:p>
      <w:pPr>
        <w:jc w:val="both"/>
        <w:ind w:right="20"/>
        <w:spacing w:after="0" w:line="311" w:lineRule="auto"/>
        <w:rPr>
          <w:sz w:val="20"/>
          <w:szCs w:val="20"/>
          <w:color w:val="auto"/>
        </w:rPr>
      </w:pPr>
      <w:r>
        <w:rPr>
          <w:rFonts w:ascii="Times New Roman" w:cs="Times New Roman" w:eastAsia="Times New Roman" w:hAnsi="Times New Roman"/>
          <w:sz w:val="19"/>
          <w:szCs w:val="19"/>
          <w:color w:val="auto"/>
        </w:rPr>
        <w:t>The Nominating and Corporate Governance Committee appreciates the value of thoughtful Board refreshment, and regularly identifies and considers qualities, skills and other director attributes that would enhance the composition of the Board. In the case of incumbent directors whose terms of office are set to expire, the Nominating and Corporate Governance Committee reviews these directors’ overall service to the Company during their terms, including the number of meetings attended, level of participation, quality of performance and any other relationships and transactions that might impair the directors’ independence. The Nominating and Corporate Governance Committee also takes into account the results of the Board’s self-evaluation, conducted annually on a group and individual basis and every three years, conducted with an outside consultant. In the case of</w:t>
      </w:r>
    </w:p>
    <w:p>
      <w:pPr>
        <w:spacing w:after="0" w:line="171"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20"/>
          <w:szCs w:val="20"/>
          <w:color w:val="auto"/>
        </w:rPr>
        <w:t>83</w:t>
      </w:r>
    </w:p>
    <w:p>
      <w:pPr>
        <w:sectPr>
          <w:pgSz w:w="12240" w:h="15840" w:orient="portrait"/>
          <w:cols w:equalWidth="0" w:num="1">
            <w:col w:w="10260"/>
          </w:cols>
          <w:pgMar w:left="1000" w:top="884" w:right="980" w:bottom="222" w:gutter="0" w:footer="0" w:header="0"/>
        </w:sectPr>
      </w:pPr>
    </w:p>
    <w:bookmarkStart w:id="87" w:name="page88"/>
    <w:bookmarkEnd w:id="87"/>
    <w:p>
      <w:pPr>
        <w:jc w:val="both"/>
        <w:spacing w:after="0" w:line="310" w:lineRule="auto"/>
        <w:rPr>
          <w:sz w:val="20"/>
          <w:szCs w:val="20"/>
          <w:color w:val="auto"/>
        </w:rPr>
      </w:pPr>
      <w:r>
        <w:rPr>
          <w:rFonts w:ascii="Times New Roman" w:cs="Times New Roman" w:eastAsia="Times New Roman" w:hAnsi="Times New Roman"/>
          <w:sz w:val="19"/>
          <w:szCs w:val="19"/>
          <w:color w:val="auto"/>
        </w:rPr>
        <w:t>new director candidates, the Nominating and Corporate Governance Committee also determines whether the nominee is independent for Nasdaq purposes, which determination is based upon applicable Nasdaq listing standards, applicable SEC rules and regulations and the advice of counsel, if necessary. The Nominating and Corporate Governance Committee then uses its network of contacts to compile a list of potential candidates, but may also engage, if it deems appropriate, a professional search firm. The Nominating and Corporate Governance Committee conducts any appropriate and necessary inquiries into the backgrounds and qualifications of possible candidates after considering the function and needs of the Board. The Nominating and Corporate Governance Committee meets to discuss and consider the candidates’ qualifications and then selects a nominee for recommendation to the Board by majority vote. In the year ended December 31, 2023, the Nominating and Corporate Governance Committee did not pay any fees to third parties to assist in the process of identifying or evaluating director candidates.</w:t>
      </w:r>
    </w:p>
    <w:p>
      <w:pPr>
        <w:spacing w:after="0" w:line="67" w:lineRule="exact"/>
        <w:rPr>
          <w:sz w:val="20"/>
          <w:szCs w:val="20"/>
          <w:color w:val="auto"/>
        </w:rPr>
      </w:pPr>
    </w:p>
    <w:p>
      <w:pPr>
        <w:jc w:val="both"/>
        <w:spacing w:after="0" w:line="301" w:lineRule="auto"/>
        <w:rPr>
          <w:sz w:val="20"/>
          <w:szCs w:val="20"/>
          <w:color w:val="auto"/>
        </w:rPr>
      </w:pPr>
      <w:r>
        <w:rPr>
          <w:rFonts w:ascii="Times New Roman" w:cs="Times New Roman" w:eastAsia="Times New Roman" w:hAnsi="Times New Roman"/>
          <w:sz w:val="20"/>
          <w:szCs w:val="20"/>
          <w:color w:val="auto"/>
        </w:rPr>
        <w:t>At this time, the Nominating and Corporate Governance Committee does not have a policy with regard to the consideration of director candidates recommended by stockholders. The Nominating and Corporate Governance Committee believes that it is in the best position to identify, review, evaluate and select qualified candidates for Board membership, based on the comprehensive criteria for Board membership approved by the Board.</w:t>
      </w:r>
    </w:p>
    <w:p>
      <w:pPr>
        <w:spacing w:after="0" w:line="68"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Technology Committee</w:t>
      </w:r>
    </w:p>
    <w:p>
      <w:pPr>
        <w:spacing w:after="0" w:line="168"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color w:val="auto"/>
        </w:rPr>
        <w:t>The Technology Committee consists of Ms. Tan and Mr. Francis. Ms. Tan serves as the Chairperson of the Technology Committee.</w:t>
      </w:r>
    </w:p>
    <w:p>
      <w:pPr>
        <w:spacing w:after="0" w:line="55"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The Technology Committee met four times during 2023.</w:t>
      </w:r>
    </w:p>
    <w:p>
      <w:pPr>
        <w:spacing w:after="0" w:line="16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The functions of the Technology Committee include, among other things, to:</w:t>
      </w:r>
    </w:p>
    <w:p>
      <w:pPr>
        <w:spacing w:after="0" w:line="166" w:lineRule="exact"/>
        <w:rPr>
          <w:sz w:val="20"/>
          <w:szCs w:val="20"/>
          <w:color w:val="auto"/>
        </w:rPr>
      </w:pPr>
    </w:p>
    <w:p>
      <w:pPr>
        <w:ind w:left="720" w:hanging="366"/>
        <w:spacing w:after="0" w:line="326" w:lineRule="auto"/>
        <w:tabs>
          <w:tab w:leader="none" w:pos="720" w:val="left"/>
        </w:tabs>
        <w:numPr>
          <w:ilvl w:val="0"/>
          <w:numId w:val="4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evaluate and make recommendations regarding our major technology developments, technology related systems and architecture;</w:t>
      </w:r>
    </w:p>
    <w:p>
      <w:pPr>
        <w:spacing w:after="0" w:line="44" w:lineRule="exact"/>
        <w:rPr>
          <w:rFonts w:ascii="Times New Roman" w:cs="Times New Roman" w:eastAsia="Times New Roman" w:hAnsi="Times New Roman"/>
          <w:sz w:val="20"/>
          <w:szCs w:val="20"/>
          <w:color w:val="auto"/>
        </w:rPr>
      </w:pPr>
    </w:p>
    <w:p>
      <w:pPr>
        <w:ind w:left="720" w:right="20" w:hanging="366"/>
        <w:spacing w:after="0" w:line="334" w:lineRule="auto"/>
        <w:tabs>
          <w:tab w:leader="none" w:pos="720" w:val="left"/>
        </w:tabs>
        <w:numPr>
          <w:ilvl w:val="0"/>
          <w:numId w:val="4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oversee the formulation, definition, tracking, retention and reporting of our key metrics, performance indicators and other operational data, and help ensure effective internal and disclosure controls related to such data;</w:t>
      </w:r>
    </w:p>
    <w:p>
      <w:pPr>
        <w:spacing w:after="0" w:line="36" w:lineRule="exact"/>
        <w:rPr>
          <w:rFonts w:ascii="Times New Roman" w:cs="Times New Roman" w:eastAsia="Times New Roman" w:hAnsi="Times New Roman"/>
          <w:sz w:val="20"/>
          <w:szCs w:val="20"/>
          <w:color w:val="auto"/>
        </w:rPr>
      </w:pPr>
    </w:p>
    <w:p>
      <w:pPr>
        <w:ind w:left="720" w:hanging="366"/>
        <w:spacing w:after="0" w:line="326" w:lineRule="auto"/>
        <w:tabs>
          <w:tab w:leader="none" w:pos="720" w:val="left"/>
        </w:tabs>
        <w:numPr>
          <w:ilvl w:val="0"/>
          <w:numId w:val="4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provide guidance regarding significant emerging technology issues and trends that may affect our business and strategies; and</w:t>
      </w:r>
    </w:p>
    <w:p>
      <w:pPr>
        <w:spacing w:after="0" w:line="44" w:lineRule="exact"/>
        <w:rPr>
          <w:rFonts w:ascii="Times New Roman" w:cs="Times New Roman" w:eastAsia="Times New Roman" w:hAnsi="Times New Roman"/>
          <w:sz w:val="20"/>
          <w:szCs w:val="20"/>
          <w:color w:val="auto"/>
        </w:rPr>
      </w:pPr>
    </w:p>
    <w:p>
      <w:pPr>
        <w:ind w:left="720" w:right="220" w:hanging="366"/>
        <w:spacing w:after="0" w:line="326" w:lineRule="auto"/>
        <w:tabs>
          <w:tab w:leader="none" w:pos="720" w:val="left"/>
        </w:tabs>
        <w:numPr>
          <w:ilvl w:val="0"/>
          <w:numId w:val="4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review and provide guidance regarding our technology risk management, including our policies and procedures with respect to technology and its uses including cybersecurity, reporting and data system management.</w:t>
      </w:r>
    </w:p>
    <w:p>
      <w:pPr>
        <w:spacing w:after="0" w:line="10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Stockholder Communications with the Board of Directors</w:t>
      </w:r>
    </w:p>
    <w:p>
      <w:pPr>
        <w:spacing w:after="0" w:line="175" w:lineRule="exact"/>
        <w:rPr>
          <w:sz w:val="20"/>
          <w:szCs w:val="20"/>
          <w:color w:val="auto"/>
        </w:rPr>
      </w:pPr>
    </w:p>
    <w:p>
      <w:pPr>
        <w:jc w:val="both"/>
        <w:spacing w:after="0" w:line="294" w:lineRule="auto"/>
        <w:rPr>
          <w:sz w:val="20"/>
          <w:szCs w:val="20"/>
          <w:color w:val="auto"/>
        </w:rPr>
      </w:pPr>
      <w:r>
        <w:rPr>
          <w:rFonts w:ascii="Times New Roman" w:cs="Times New Roman" w:eastAsia="Times New Roman" w:hAnsi="Times New Roman"/>
          <w:sz w:val="20"/>
          <w:szCs w:val="20"/>
          <w:color w:val="auto"/>
        </w:rPr>
        <w:t>Our relationship with our stockholders is an important part of our corporate governance program. Engaging with stockholders helps us to understand how they view us, to set goals and expectations for our performance, and to identify emerging issues that may affect our strategies, corporate governance, compensation practices or other aspects of our operations. Our stockholder and investor outreach includes investor road shows, analyst meetings, and investor conferences and meetings. We also communicate with stockholders and other stakeholders through various media, including our annual report and SEC filings, proxy statement, news releases and our website. Our webcasts for quarterly earnings releases are open to all. These webcasts are available in real time and are archived on our website for a period of time.</w:t>
      </w:r>
    </w:p>
    <w:p>
      <w:pPr>
        <w:spacing w:after="0" w:line="80" w:lineRule="exact"/>
        <w:rPr>
          <w:sz w:val="20"/>
          <w:szCs w:val="20"/>
          <w:color w:val="auto"/>
        </w:rPr>
      </w:pPr>
    </w:p>
    <w:p>
      <w:pPr>
        <w:jc w:val="both"/>
        <w:spacing w:after="0" w:line="301" w:lineRule="auto"/>
        <w:rPr>
          <w:sz w:val="20"/>
          <w:szCs w:val="20"/>
          <w:color w:val="auto"/>
        </w:rPr>
      </w:pPr>
      <w:r>
        <w:rPr>
          <w:rFonts w:ascii="Times New Roman" w:cs="Times New Roman" w:eastAsia="Times New Roman" w:hAnsi="Times New Roman"/>
          <w:sz w:val="20"/>
          <w:szCs w:val="20"/>
          <w:color w:val="auto"/>
        </w:rPr>
        <w:t>We have not adopted a formal process for stockholder communications with the Board. Nevertheless, every effort has been made to ensure that the views of stockholders are heard by the Board or individual directors, as applicable, and that appropriate responses are provided to stockholders in a timely manner. We believe our responsiveness to stockholder communications to the Board has been excellent and therefore a formal process is not necessary.</w:t>
      </w:r>
    </w:p>
    <w:p>
      <w:pPr>
        <w:spacing w:after="0" w:line="68"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Code of Conduct</w:t>
      </w:r>
    </w:p>
    <w:p>
      <w:pPr>
        <w:spacing w:after="0" w:line="168" w:lineRule="exact"/>
        <w:rPr>
          <w:sz w:val="20"/>
          <w:szCs w:val="20"/>
          <w:color w:val="auto"/>
        </w:rPr>
      </w:pPr>
    </w:p>
    <w:p>
      <w:pPr>
        <w:jc w:val="both"/>
        <w:ind w:right="20"/>
        <w:spacing w:after="0" w:line="297" w:lineRule="auto"/>
        <w:rPr>
          <w:sz w:val="20"/>
          <w:szCs w:val="20"/>
          <w:color w:val="auto"/>
        </w:rPr>
      </w:pPr>
      <w:r>
        <w:rPr>
          <w:rFonts w:ascii="Times New Roman" w:cs="Times New Roman" w:eastAsia="Times New Roman" w:hAnsi="Times New Roman"/>
          <w:sz w:val="20"/>
          <w:szCs w:val="20"/>
          <w:color w:val="auto"/>
        </w:rPr>
        <w:t>The Board adopted a Code of Conduct (the “Code of Conduct”), applicable to all of our employees, executive officers and directors. The Code of Conduct is available on our website at ir.weedmaps.com. The nominating and corporate governance committee of the Board is responsible for overseeing the Code of Conduct and must approve any waivers of the Code of Conduct for employees, executive officers and directors. We expect that any amendments to the Code of Conduct, or any waivers of its requirements, will be disclosed on our website.</w:t>
      </w:r>
    </w:p>
    <w:p>
      <w:pPr>
        <w:spacing w:after="0" w:line="200" w:lineRule="exact"/>
        <w:rPr>
          <w:sz w:val="20"/>
          <w:szCs w:val="20"/>
          <w:color w:val="auto"/>
        </w:rPr>
      </w:pPr>
    </w:p>
    <w:p>
      <w:pPr>
        <w:spacing w:after="0" w:line="207"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20"/>
          <w:szCs w:val="20"/>
          <w:color w:val="auto"/>
        </w:rPr>
        <w:t>84</w:t>
      </w:r>
    </w:p>
    <w:p>
      <w:pPr>
        <w:sectPr>
          <w:pgSz w:w="12240" w:h="15840" w:orient="portrait"/>
          <w:cols w:equalWidth="0" w:num="1">
            <w:col w:w="10260"/>
          </w:cols>
          <w:pgMar w:left="1000" w:top="884" w:right="980" w:bottom="222" w:gutter="0" w:footer="0" w:header="0"/>
        </w:sectPr>
      </w:pPr>
    </w:p>
    <w:bookmarkStart w:id="88" w:name="page89"/>
    <w:bookmarkEnd w:id="88"/>
    <w:p>
      <w:pPr>
        <w:spacing w:after="0"/>
        <w:rPr>
          <w:sz w:val="20"/>
          <w:szCs w:val="20"/>
          <w:color w:val="auto"/>
        </w:rPr>
      </w:pPr>
      <w:r>
        <w:rPr>
          <w:rFonts w:ascii="Times New Roman" w:cs="Times New Roman" w:eastAsia="Times New Roman" w:hAnsi="Times New Roman"/>
          <w:sz w:val="20"/>
          <w:szCs w:val="20"/>
          <w:b w:val="1"/>
          <w:bCs w:val="1"/>
          <w:color w:val="auto"/>
        </w:rPr>
        <w:t>Corporate Governance Guidelines</w:t>
      </w:r>
    </w:p>
    <w:p>
      <w:pPr>
        <w:spacing w:after="0" w:line="168" w:lineRule="exact"/>
        <w:rPr>
          <w:sz w:val="20"/>
          <w:szCs w:val="20"/>
          <w:color w:val="auto"/>
        </w:rPr>
      </w:pPr>
    </w:p>
    <w:p>
      <w:pPr>
        <w:jc w:val="both"/>
        <w:spacing w:after="0" w:line="294" w:lineRule="auto"/>
        <w:rPr>
          <w:sz w:val="20"/>
          <w:szCs w:val="20"/>
          <w:color w:val="auto"/>
        </w:rPr>
      </w:pPr>
      <w:r>
        <w:rPr>
          <w:rFonts w:ascii="Times New Roman" w:cs="Times New Roman" w:eastAsia="Times New Roman" w:hAnsi="Times New Roman"/>
          <w:sz w:val="20"/>
          <w:szCs w:val="20"/>
          <w:color w:val="auto"/>
        </w:rPr>
        <w:t>The Board has documented our governance practices by adopting Corporate Governance Guidelines to assure that the Board will have the necessary authority and practices in place to review and evaluate our business operations as needed and to make decisions that are independent of our management. The guidelines are also intended to align the interests of directors and management with those of our stockholders. The Corporate Governance Guidelines set forth the practices the Board intends to follow with respect to board composition and selection, board meetings and involvement of senior management, principal executive officer performance evaluation and succession planning, and board committees and compensation. Our Corporate Governance Guidelines, as well as the charters for each committee of the Board, may be viewed at ir.weedmaps.com.</w:t>
      </w:r>
    </w:p>
    <w:p>
      <w:pPr>
        <w:spacing w:after="0" w:line="78"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Hedging and Pledging Policy</w:t>
      </w:r>
    </w:p>
    <w:p>
      <w:pPr>
        <w:spacing w:after="0" w:line="168" w:lineRule="exact"/>
        <w:rPr>
          <w:sz w:val="20"/>
          <w:szCs w:val="20"/>
          <w:color w:val="auto"/>
        </w:rPr>
      </w:pPr>
    </w:p>
    <w:p>
      <w:pPr>
        <w:jc w:val="both"/>
        <w:spacing w:after="0" w:line="321" w:lineRule="auto"/>
        <w:rPr>
          <w:sz w:val="20"/>
          <w:szCs w:val="20"/>
          <w:color w:val="auto"/>
        </w:rPr>
      </w:pPr>
      <w:r>
        <w:rPr>
          <w:rFonts w:ascii="Times New Roman" w:cs="Times New Roman" w:eastAsia="Times New Roman" w:hAnsi="Times New Roman"/>
          <w:sz w:val="19"/>
          <w:szCs w:val="19"/>
          <w:color w:val="auto"/>
        </w:rPr>
        <w:t>As part of our insider trading policy, all our directors, officers, employees and certain designated consultants are prohibited from engaging in short sales of our securities, establishing margin accounts, pledging our securities as collateral for a loan, trading in derivative securities, including buying or selling puts or calls on our securities, or otherwise engaging in any form of hedging or monetization transactions (such as prepaid variable forwards, equity swaps, collars and exchange funds) involving our securities.</w:t>
      </w:r>
    </w:p>
    <w:p>
      <w:pPr>
        <w:spacing w:after="0" w:line="53"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Executive Officers</w:t>
      </w:r>
    </w:p>
    <w:p>
      <w:pPr>
        <w:spacing w:after="0" w:line="168"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The following table sets forth certain information with respect to our current executive officers as of Monday, May 13, 2024.</w:t>
      </w:r>
    </w:p>
    <w:p>
      <w:pPr>
        <w:spacing w:after="0" w:line="250" w:lineRule="exact"/>
        <w:rPr>
          <w:sz w:val="20"/>
          <w:szCs w:val="20"/>
          <w:color w:val="auto"/>
        </w:rPr>
      </w:pPr>
    </w:p>
    <w:tbl>
      <w:tblPr>
        <w:tblLayout w:type="fixed"/>
        <w:tblInd w:w="0" w:type="dxa"/>
        <w:tblCellMar>
          <w:top w:w="0" w:type="dxa"/>
          <w:left w:w="0" w:type="dxa"/>
          <w:bottom w:w="0" w:type="dxa"/>
          <w:right w:w="0" w:type="dxa"/>
        </w:tblCellMar>
      </w:tblPr>
      <w:tr>
        <w:trPr>
          <w:trHeight w:val="278"/>
        </w:trPr>
        <w:tc>
          <w:tcPr>
            <w:tcW w:w="2520" w:type="dxa"/>
            <w:vAlign w:val="bottom"/>
          </w:tcPr>
          <w:p>
            <w:pPr>
              <w:ind w:left="40"/>
              <w:spacing w:after="0"/>
              <w:rPr>
                <w:sz w:val="20"/>
                <w:szCs w:val="20"/>
                <w:color w:val="auto"/>
              </w:rPr>
            </w:pPr>
            <w:r>
              <w:rPr>
                <w:rFonts w:ascii="Times New Roman" w:cs="Times New Roman" w:eastAsia="Times New Roman" w:hAnsi="Times New Roman"/>
                <w:sz w:val="20"/>
                <w:szCs w:val="20"/>
                <w:b w:val="1"/>
                <w:bCs w:val="1"/>
                <w:color w:val="auto"/>
              </w:rPr>
              <w:t>Name</w:t>
            </w:r>
          </w:p>
        </w:tc>
        <w:tc>
          <w:tcPr>
            <w:tcW w:w="60" w:type="dxa"/>
            <w:vAlign w:val="bottom"/>
          </w:tcPr>
          <w:p>
            <w:pPr>
              <w:spacing w:after="0"/>
              <w:rPr>
                <w:sz w:val="24"/>
                <w:szCs w:val="24"/>
                <w:color w:val="auto"/>
              </w:rPr>
            </w:pPr>
          </w:p>
        </w:tc>
        <w:tc>
          <w:tcPr>
            <w:tcW w:w="980" w:type="dxa"/>
            <w:vAlign w:val="bottom"/>
          </w:tcPr>
          <w:p>
            <w:pPr>
              <w:ind w:left="40"/>
              <w:spacing w:after="0"/>
              <w:rPr>
                <w:sz w:val="20"/>
                <w:szCs w:val="20"/>
                <w:color w:val="auto"/>
              </w:rPr>
            </w:pPr>
            <w:r>
              <w:rPr>
                <w:rFonts w:ascii="Times New Roman" w:cs="Times New Roman" w:eastAsia="Times New Roman" w:hAnsi="Times New Roman"/>
                <w:sz w:val="20"/>
                <w:szCs w:val="20"/>
                <w:b w:val="1"/>
                <w:bCs w:val="1"/>
                <w:color w:val="auto"/>
              </w:rPr>
              <w:t>Age</w:t>
            </w:r>
          </w:p>
        </w:tc>
        <w:tc>
          <w:tcPr>
            <w:tcW w:w="40" w:type="dxa"/>
            <w:vAlign w:val="bottom"/>
          </w:tcPr>
          <w:p>
            <w:pPr>
              <w:spacing w:after="0"/>
              <w:rPr>
                <w:sz w:val="24"/>
                <w:szCs w:val="24"/>
                <w:color w:val="auto"/>
              </w:rPr>
            </w:pPr>
          </w:p>
        </w:tc>
        <w:tc>
          <w:tcPr>
            <w:tcW w:w="6660" w:type="dxa"/>
            <w:vAlign w:val="bottom"/>
          </w:tcPr>
          <w:p>
            <w:pPr>
              <w:ind w:left="60"/>
              <w:spacing w:after="0"/>
              <w:rPr>
                <w:sz w:val="20"/>
                <w:szCs w:val="20"/>
                <w:color w:val="auto"/>
              </w:rPr>
            </w:pPr>
            <w:r>
              <w:rPr>
                <w:rFonts w:ascii="Times New Roman" w:cs="Times New Roman" w:eastAsia="Times New Roman" w:hAnsi="Times New Roman"/>
                <w:sz w:val="20"/>
                <w:szCs w:val="20"/>
                <w:b w:val="1"/>
                <w:bCs w:val="1"/>
                <w:color w:val="auto"/>
              </w:rPr>
              <w:t>Position</w:t>
            </w:r>
          </w:p>
        </w:tc>
      </w:tr>
      <w:tr>
        <w:trPr>
          <w:trHeight w:val="64"/>
        </w:trPr>
        <w:tc>
          <w:tcPr>
            <w:tcW w:w="2520" w:type="dxa"/>
            <w:vAlign w:val="bottom"/>
            <w:tcBorders>
              <w:bottom w:val="single" w:sz="8" w:color="auto"/>
            </w:tcBorders>
          </w:tcPr>
          <w:p>
            <w:pPr>
              <w:spacing w:after="0"/>
              <w:rPr>
                <w:sz w:val="5"/>
                <w:szCs w:val="5"/>
                <w:color w:val="auto"/>
              </w:rPr>
            </w:pPr>
          </w:p>
        </w:tc>
        <w:tc>
          <w:tcPr>
            <w:tcW w:w="60" w:type="dxa"/>
            <w:vAlign w:val="bottom"/>
          </w:tcPr>
          <w:p>
            <w:pPr>
              <w:spacing w:after="0"/>
              <w:rPr>
                <w:sz w:val="5"/>
                <w:szCs w:val="5"/>
                <w:color w:val="auto"/>
              </w:rPr>
            </w:pPr>
          </w:p>
        </w:tc>
        <w:tc>
          <w:tcPr>
            <w:tcW w:w="980" w:type="dxa"/>
            <w:vAlign w:val="bottom"/>
            <w:tcBorders>
              <w:bottom w:val="single" w:sz="8" w:color="auto"/>
            </w:tcBorders>
          </w:tcPr>
          <w:p>
            <w:pPr>
              <w:spacing w:after="0"/>
              <w:rPr>
                <w:sz w:val="5"/>
                <w:szCs w:val="5"/>
                <w:color w:val="auto"/>
              </w:rPr>
            </w:pPr>
          </w:p>
        </w:tc>
        <w:tc>
          <w:tcPr>
            <w:tcW w:w="40" w:type="dxa"/>
            <w:vAlign w:val="bottom"/>
          </w:tcPr>
          <w:p>
            <w:pPr>
              <w:spacing w:after="0"/>
              <w:rPr>
                <w:sz w:val="5"/>
                <w:szCs w:val="5"/>
                <w:color w:val="auto"/>
              </w:rPr>
            </w:pPr>
          </w:p>
        </w:tc>
        <w:tc>
          <w:tcPr>
            <w:tcW w:w="6660" w:type="dxa"/>
            <w:vAlign w:val="bottom"/>
            <w:tcBorders>
              <w:bottom w:val="single" w:sz="8" w:color="auto"/>
            </w:tcBorders>
          </w:tcPr>
          <w:p>
            <w:pPr>
              <w:spacing w:after="0"/>
              <w:rPr>
                <w:sz w:val="5"/>
                <w:szCs w:val="5"/>
                <w:color w:val="auto"/>
              </w:rPr>
            </w:pPr>
          </w:p>
        </w:tc>
      </w:tr>
      <w:tr>
        <w:trPr>
          <w:trHeight w:val="282"/>
        </w:trPr>
        <w:tc>
          <w:tcPr>
            <w:tcW w:w="2520" w:type="dxa"/>
            <w:vAlign w:val="bottom"/>
          </w:tcPr>
          <w:p>
            <w:pPr>
              <w:ind w:left="40"/>
              <w:spacing w:after="0"/>
              <w:rPr>
                <w:sz w:val="20"/>
                <w:szCs w:val="20"/>
                <w:color w:val="auto"/>
              </w:rPr>
            </w:pPr>
            <w:r>
              <w:rPr>
                <w:rFonts w:ascii="Times New Roman" w:cs="Times New Roman" w:eastAsia="Times New Roman" w:hAnsi="Times New Roman"/>
                <w:sz w:val="20"/>
                <w:szCs w:val="20"/>
                <w:b w:val="1"/>
                <w:bCs w:val="1"/>
                <w:color w:val="auto"/>
              </w:rPr>
              <w:t>Executive Officers</w:t>
            </w:r>
          </w:p>
        </w:tc>
        <w:tc>
          <w:tcPr>
            <w:tcW w:w="6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660" w:type="dxa"/>
            <w:vAlign w:val="bottom"/>
          </w:tcPr>
          <w:p>
            <w:pPr>
              <w:spacing w:after="0"/>
              <w:rPr>
                <w:sz w:val="24"/>
                <w:szCs w:val="24"/>
                <w:color w:val="auto"/>
              </w:rPr>
            </w:pPr>
          </w:p>
        </w:tc>
      </w:tr>
      <w:tr>
        <w:trPr>
          <w:trHeight w:val="302"/>
        </w:trPr>
        <w:tc>
          <w:tcPr>
            <w:tcW w:w="2520" w:type="dxa"/>
            <w:vAlign w:val="bottom"/>
            <w:shd w:val="clear" w:color="auto" w:fill="DDDDDD"/>
          </w:tcPr>
          <w:p>
            <w:pPr>
              <w:ind w:left="40"/>
              <w:spacing w:after="0"/>
              <w:rPr>
                <w:sz w:val="20"/>
                <w:szCs w:val="20"/>
                <w:color w:val="auto"/>
              </w:rPr>
            </w:pPr>
            <w:r>
              <w:rPr>
                <w:rFonts w:ascii="Times New Roman" w:cs="Times New Roman" w:eastAsia="Times New Roman" w:hAnsi="Times New Roman"/>
                <w:sz w:val="20"/>
                <w:szCs w:val="20"/>
                <w:color w:val="auto"/>
              </w:rPr>
              <w:t>Douglas Francis</w:t>
            </w:r>
          </w:p>
        </w:tc>
        <w:tc>
          <w:tcPr>
            <w:tcW w:w="60" w:type="dxa"/>
            <w:vAlign w:val="bottom"/>
            <w:shd w:val="clear" w:color="auto" w:fill="DDDDDD"/>
          </w:tcPr>
          <w:p>
            <w:pPr>
              <w:spacing w:after="0"/>
              <w:rPr>
                <w:sz w:val="24"/>
                <w:szCs w:val="24"/>
                <w:color w:val="auto"/>
              </w:rPr>
            </w:pPr>
          </w:p>
        </w:tc>
        <w:tc>
          <w:tcPr>
            <w:tcW w:w="980" w:type="dxa"/>
            <w:vAlign w:val="bottom"/>
            <w:shd w:val="clear" w:color="auto" w:fill="DDDDDD"/>
          </w:tcPr>
          <w:p>
            <w:pPr>
              <w:ind w:left="40"/>
              <w:spacing w:after="0"/>
              <w:rPr>
                <w:sz w:val="20"/>
                <w:szCs w:val="20"/>
                <w:color w:val="auto"/>
              </w:rPr>
            </w:pPr>
            <w:r>
              <w:rPr>
                <w:rFonts w:ascii="Times New Roman" w:cs="Times New Roman" w:eastAsia="Times New Roman" w:hAnsi="Times New Roman"/>
                <w:sz w:val="20"/>
                <w:szCs w:val="20"/>
                <w:color w:val="auto"/>
              </w:rPr>
              <w:t>46</w:t>
            </w:r>
          </w:p>
        </w:tc>
        <w:tc>
          <w:tcPr>
            <w:tcW w:w="40" w:type="dxa"/>
            <w:vAlign w:val="bottom"/>
            <w:shd w:val="clear" w:color="auto" w:fill="DDDDDD"/>
          </w:tcPr>
          <w:p>
            <w:pPr>
              <w:spacing w:after="0"/>
              <w:rPr>
                <w:sz w:val="24"/>
                <w:szCs w:val="24"/>
                <w:color w:val="auto"/>
              </w:rPr>
            </w:pPr>
          </w:p>
        </w:tc>
        <w:tc>
          <w:tcPr>
            <w:tcW w:w="6660" w:type="dxa"/>
            <w:vAlign w:val="bottom"/>
            <w:shd w:val="clear" w:color="auto" w:fill="DDDDDD"/>
          </w:tcPr>
          <w:p>
            <w:pPr>
              <w:ind w:left="60"/>
              <w:spacing w:after="0"/>
              <w:rPr>
                <w:sz w:val="20"/>
                <w:szCs w:val="20"/>
                <w:color w:val="auto"/>
              </w:rPr>
            </w:pPr>
            <w:r>
              <w:rPr>
                <w:rFonts w:ascii="Times New Roman" w:cs="Times New Roman" w:eastAsia="Times New Roman" w:hAnsi="Times New Roman"/>
                <w:sz w:val="20"/>
                <w:szCs w:val="20"/>
                <w:color w:val="auto"/>
              </w:rPr>
              <w:t>Executive Chair</w:t>
            </w:r>
          </w:p>
        </w:tc>
      </w:tr>
      <w:tr>
        <w:trPr>
          <w:trHeight w:val="295"/>
        </w:trPr>
        <w:tc>
          <w:tcPr>
            <w:tcW w:w="2520" w:type="dxa"/>
            <w:vAlign w:val="bottom"/>
          </w:tcPr>
          <w:p>
            <w:pPr>
              <w:ind w:left="40"/>
              <w:spacing w:after="0"/>
              <w:rPr>
                <w:sz w:val="20"/>
                <w:szCs w:val="20"/>
                <w:color w:val="auto"/>
              </w:rPr>
            </w:pPr>
            <w:r>
              <w:rPr>
                <w:rFonts w:ascii="Times New Roman" w:cs="Times New Roman" w:eastAsia="Times New Roman" w:hAnsi="Times New Roman"/>
                <w:sz w:val="20"/>
                <w:szCs w:val="20"/>
                <w:color w:val="auto"/>
              </w:rPr>
              <w:t>Susan Echard</w:t>
            </w:r>
          </w:p>
        </w:tc>
        <w:tc>
          <w:tcPr>
            <w:tcW w:w="1040" w:type="dxa"/>
            <w:vAlign w:val="bottom"/>
            <w:gridSpan w:val="2"/>
          </w:tcPr>
          <w:p>
            <w:pPr>
              <w:ind w:left="100"/>
              <w:spacing w:after="0"/>
              <w:rPr>
                <w:sz w:val="20"/>
                <w:szCs w:val="20"/>
                <w:color w:val="auto"/>
              </w:rPr>
            </w:pPr>
            <w:r>
              <w:rPr>
                <w:rFonts w:ascii="Times New Roman" w:cs="Times New Roman" w:eastAsia="Times New Roman" w:hAnsi="Times New Roman"/>
                <w:sz w:val="20"/>
                <w:szCs w:val="20"/>
                <w:color w:val="auto"/>
              </w:rPr>
              <w:t>59</w:t>
            </w:r>
          </w:p>
        </w:tc>
        <w:tc>
          <w:tcPr>
            <w:tcW w:w="40" w:type="dxa"/>
            <w:vAlign w:val="bottom"/>
          </w:tcPr>
          <w:p>
            <w:pPr>
              <w:spacing w:after="0"/>
              <w:rPr>
                <w:sz w:val="24"/>
                <w:szCs w:val="24"/>
                <w:color w:val="auto"/>
              </w:rPr>
            </w:pPr>
          </w:p>
        </w:tc>
        <w:tc>
          <w:tcPr>
            <w:tcW w:w="6660" w:type="dxa"/>
            <w:vAlign w:val="bottom"/>
          </w:tcPr>
          <w:p>
            <w:pPr>
              <w:ind w:left="60"/>
              <w:spacing w:after="0"/>
              <w:rPr>
                <w:sz w:val="20"/>
                <w:szCs w:val="20"/>
                <w:color w:val="auto"/>
              </w:rPr>
            </w:pPr>
            <w:r>
              <w:rPr>
                <w:rFonts w:ascii="Times New Roman" w:cs="Times New Roman" w:eastAsia="Times New Roman" w:hAnsi="Times New Roman"/>
                <w:sz w:val="20"/>
                <w:szCs w:val="20"/>
                <w:color w:val="auto"/>
              </w:rPr>
              <w:t>Interim Chief Financial Officer</w:t>
            </w:r>
          </w:p>
        </w:tc>
      </w:tr>
      <w:tr>
        <w:trPr>
          <w:trHeight w:val="302"/>
        </w:trPr>
        <w:tc>
          <w:tcPr>
            <w:tcW w:w="2520" w:type="dxa"/>
            <w:vAlign w:val="bottom"/>
            <w:shd w:val="clear" w:color="auto" w:fill="DDDDDD"/>
          </w:tcPr>
          <w:p>
            <w:pPr>
              <w:ind w:left="40"/>
              <w:spacing w:after="0"/>
              <w:rPr>
                <w:sz w:val="20"/>
                <w:szCs w:val="20"/>
                <w:color w:val="auto"/>
              </w:rPr>
            </w:pPr>
            <w:r>
              <w:rPr>
                <w:rFonts w:ascii="Times New Roman" w:cs="Times New Roman" w:eastAsia="Times New Roman" w:hAnsi="Times New Roman"/>
                <w:sz w:val="20"/>
                <w:szCs w:val="20"/>
                <w:color w:val="auto"/>
              </w:rPr>
              <w:t>Duncan Grazier</w:t>
            </w:r>
          </w:p>
        </w:tc>
        <w:tc>
          <w:tcPr>
            <w:tcW w:w="60" w:type="dxa"/>
            <w:vAlign w:val="bottom"/>
            <w:shd w:val="clear" w:color="auto" w:fill="DDDDDD"/>
          </w:tcPr>
          <w:p>
            <w:pPr>
              <w:spacing w:after="0"/>
              <w:rPr>
                <w:sz w:val="24"/>
                <w:szCs w:val="24"/>
                <w:color w:val="auto"/>
              </w:rPr>
            </w:pPr>
          </w:p>
        </w:tc>
        <w:tc>
          <w:tcPr>
            <w:tcW w:w="980" w:type="dxa"/>
            <w:vAlign w:val="bottom"/>
            <w:shd w:val="clear" w:color="auto" w:fill="DDDDDD"/>
          </w:tcPr>
          <w:p>
            <w:pPr>
              <w:ind w:left="40"/>
              <w:spacing w:after="0"/>
              <w:rPr>
                <w:sz w:val="20"/>
                <w:szCs w:val="20"/>
                <w:color w:val="auto"/>
              </w:rPr>
            </w:pPr>
            <w:r>
              <w:rPr>
                <w:rFonts w:ascii="Times New Roman" w:cs="Times New Roman" w:eastAsia="Times New Roman" w:hAnsi="Times New Roman"/>
                <w:sz w:val="20"/>
                <w:szCs w:val="20"/>
                <w:color w:val="auto"/>
              </w:rPr>
              <w:t>37</w:t>
            </w:r>
          </w:p>
        </w:tc>
        <w:tc>
          <w:tcPr>
            <w:tcW w:w="40" w:type="dxa"/>
            <w:vAlign w:val="bottom"/>
            <w:shd w:val="clear" w:color="auto" w:fill="DDDDDD"/>
          </w:tcPr>
          <w:p>
            <w:pPr>
              <w:spacing w:after="0"/>
              <w:rPr>
                <w:sz w:val="24"/>
                <w:szCs w:val="24"/>
                <w:color w:val="auto"/>
              </w:rPr>
            </w:pPr>
          </w:p>
        </w:tc>
        <w:tc>
          <w:tcPr>
            <w:tcW w:w="6660" w:type="dxa"/>
            <w:vAlign w:val="bottom"/>
            <w:shd w:val="clear" w:color="auto" w:fill="DDDDDD"/>
          </w:tcPr>
          <w:p>
            <w:pPr>
              <w:ind w:left="60"/>
              <w:spacing w:after="0"/>
              <w:rPr>
                <w:sz w:val="20"/>
                <w:szCs w:val="20"/>
                <w:color w:val="auto"/>
              </w:rPr>
            </w:pPr>
            <w:r>
              <w:rPr>
                <w:rFonts w:ascii="Times New Roman" w:cs="Times New Roman" w:eastAsia="Times New Roman" w:hAnsi="Times New Roman"/>
                <w:sz w:val="20"/>
                <w:szCs w:val="20"/>
                <w:color w:val="auto"/>
              </w:rPr>
              <w:t>Chief Technology Officer</w:t>
            </w:r>
          </w:p>
        </w:tc>
      </w:tr>
      <w:tr>
        <w:trPr>
          <w:trHeight w:val="298"/>
        </w:trPr>
        <w:tc>
          <w:tcPr>
            <w:tcW w:w="2520" w:type="dxa"/>
            <w:vAlign w:val="bottom"/>
          </w:tcPr>
          <w:p>
            <w:pPr>
              <w:ind w:left="40"/>
              <w:spacing w:after="0"/>
              <w:rPr>
                <w:sz w:val="20"/>
                <w:szCs w:val="20"/>
                <w:color w:val="auto"/>
              </w:rPr>
            </w:pPr>
            <w:r>
              <w:rPr>
                <w:rFonts w:ascii="Times New Roman" w:cs="Times New Roman" w:eastAsia="Times New Roman" w:hAnsi="Times New Roman"/>
                <w:sz w:val="20"/>
                <w:szCs w:val="20"/>
                <w:color w:val="auto"/>
              </w:rPr>
              <w:t>Brian Camire</w:t>
            </w:r>
          </w:p>
        </w:tc>
        <w:tc>
          <w:tcPr>
            <w:tcW w:w="1040" w:type="dxa"/>
            <w:vAlign w:val="bottom"/>
            <w:gridSpan w:val="2"/>
          </w:tcPr>
          <w:p>
            <w:pPr>
              <w:ind w:left="100"/>
              <w:spacing w:after="0"/>
              <w:rPr>
                <w:sz w:val="20"/>
                <w:szCs w:val="20"/>
                <w:color w:val="auto"/>
              </w:rPr>
            </w:pPr>
            <w:r>
              <w:rPr>
                <w:rFonts w:ascii="Times New Roman" w:cs="Times New Roman" w:eastAsia="Times New Roman" w:hAnsi="Times New Roman"/>
                <w:sz w:val="20"/>
                <w:szCs w:val="20"/>
                <w:color w:val="auto"/>
              </w:rPr>
              <w:t>45</w:t>
            </w:r>
          </w:p>
        </w:tc>
        <w:tc>
          <w:tcPr>
            <w:tcW w:w="40" w:type="dxa"/>
            <w:vAlign w:val="bottom"/>
          </w:tcPr>
          <w:p>
            <w:pPr>
              <w:spacing w:after="0"/>
              <w:rPr>
                <w:sz w:val="24"/>
                <w:szCs w:val="24"/>
                <w:color w:val="auto"/>
              </w:rPr>
            </w:pPr>
          </w:p>
        </w:tc>
        <w:tc>
          <w:tcPr>
            <w:tcW w:w="6660" w:type="dxa"/>
            <w:vAlign w:val="bottom"/>
          </w:tcPr>
          <w:p>
            <w:pPr>
              <w:ind w:left="60"/>
              <w:spacing w:after="0"/>
              <w:rPr>
                <w:sz w:val="20"/>
                <w:szCs w:val="20"/>
                <w:color w:val="auto"/>
              </w:rPr>
            </w:pPr>
            <w:r>
              <w:rPr>
                <w:rFonts w:ascii="Times New Roman" w:cs="Times New Roman" w:eastAsia="Times New Roman" w:hAnsi="Times New Roman"/>
                <w:sz w:val="20"/>
                <w:szCs w:val="20"/>
                <w:color w:val="auto"/>
              </w:rPr>
              <w:t>General Counsel and Secretary</w:t>
            </w:r>
          </w:p>
        </w:tc>
      </w:tr>
    </w:tbl>
    <w:p>
      <w:pPr>
        <w:spacing w:after="0" w:line="105"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The following sets forth biographical information with respect to our executive officers who are not directors.</w:t>
      </w:r>
    </w:p>
    <w:p>
      <w:pPr>
        <w:spacing w:after="0" w:line="157" w:lineRule="exact"/>
        <w:rPr>
          <w:sz w:val="20"/>
          <w:szCs w:val="20"/>
          <w:color w:val="auto"/>
        </w:rPr>
      </w:pPr>
    </w:p>
    <w:p>
      <w:pPr>
        <w:jc w:val="both"/>
        <w:spacing w:after="0" w:line="292" w:lineRule="auto"/>
        <w:rPr>
          <w:sz w:val="20"/>
          <w:szCs w:val="20"/>
          <w:color w:val="auto"/>
        </w:rPr>
      </w:pPr>
      <w:r>
        <w:rPr>
          <w:rFonts w:ascii="Times New Roman" w:cs="Times New Roman" w:eastAsia="Times New Roman" w:hAnsi="Times New Roman"/>
          <w:sz w:val="20"/>
          <w:szCs w:val="20"/>
          <w:b w:val="1"/>
          <w:bCs w:val="1"/>
          <w:color w:val="auto"/>
        </w:rPr>
        <w:t>Susan Echard</w:t>
      </w:r>
      <w:r>
        <w:rPr>
          <w:rFonts w:ascii="Times New Roman" w:cs="Times New Roman" w:eastAsia="Times New Roman" w:hAnsi="Times New Roman"/>
          <w:sz w:val="20"/>
          <w:szCs w:val="20"/>
          <w:color w:val="auto"/>
        </w:rPr>
        <w:t>. Ms. Echard has served as Interim Chief Financial Officer since February 2024. Since February 2021 Ms. Echard</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has been a Partner of SeatonHill Partners, LP (“SeatonHill”) a leading national CFO services firm that also offers project based financial leadership. While serving as a partner at SeatonHill, Ms. Echard served from June 2021 to June 2023 as CFO for Direct Digital Holdings, an online solutions provider in digital marketing &amp; advertising. Prior to that, from April 2019 to February 2021, Ms. Echard served as CFO for Trinity Capital Investment, a venture debt and equipment financing provider to growth-stage companies, and, in such capacity, was responsible for all aspects of the firm’s financial matters, investor relations, legal and human resource management. Prior to joining Trinity, Ms. Echard served as the Chief Financial Officer at CUBEX LLC, a medical, dental and veterinary inventory management company, from January 2017 to February 2019. Ms. Echard is an accomplished executive with over 35 years’ experience, both domestic and international, within Big Four and CFO roles. Ms. Echard has a Bachelor of Business Administration degree in accounting from the University of Michigan-Flint.</w:t>
      </w:r>
    </w:p>
    <w:p>
      <w:pPr>
        <w:spacing w:after="0" w:line="82" w:lineRule="exact"/>
        <w:rPr>
          <w:sz w:val="20"/>
          <w:szCs w:val="20"/>
          <w:color w:val="auto"/>
        </w:rPr>
      </w:pPr>
    </w:p>
    <w:p>
      <w:pPr>
        <w:jc w:val="both"/>
        <w:spacing w:after="0" w:line="298" w:lineRule="auto"/>
        <w:rPr>
          <w:sz w:val="20"/>
          <w:szCs w:val="20"/>
          <w:color w:val="auto"/>
        </w:rPr>
      </w:pPr>
      <w:r>
        <w:rPr>
          <w:rFonts w:ascii="Times New Roman" w:cs="Times New Roman" w:eastAsia="Times New Roman" w:hAnsi="Times New Roman"/>
          <w:sz w:val="20"/>
          <w:szCs w:val="20"/>
          <w:b w:val="1"/>
          <w:bCs w:val="1"/>
          <w:color w:val="auto"/>
        </w:rPr>
        <w:t>Duncan Grazier</w:t>
      </w:r>
      <w:r>
        <w:rPr>
          <w:rFonts w:ascii="Times New Roman" w:cs="Times New Roman" w:eastAsia="Times New Roman" w:hAnsi="Times New Roman"/>
          <w:sz w:val="20"/>
          <w:szCs w:val="20"/>
          <w:color w:val="auto"/>
        </w:rPr>
        <w:t>. Mr. Grazier has served as our Chief Technology Officer since December 2022. Mr. Grazier previously served</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(for both Legacy WMH and the Company) as Senior Vice President, Engineering from November 2020 to December 2022. Mr. Grazier served as an advisor to American Field from January 2019 to April 2019, and served as VP of Engineering at MealPal, from April 2019 to August 2019. He also previously served as founding Chief Technology Officer for Voray, Inc. from December 2015 to November 2018. Mr. Grazier attended the Rochester Institute of Technology from 2005 to 2008.</w:t>
      </w:r>
    </w:p>
    <w:p>
      <w:pPr>
        <w:spacing w:after="0" w:line="70" w:lineRule="exact"/>
        <w:rPr>
          <w:sz w:val="20"/>
          <w:szCs w:val="20"/>
          <w:color w:val="auto"/>
        </w:rPr>
      </w:pPr>
    </w:p>
    <w:p>
      <w:pPr>
        <w:jc w:val="both"/>
        <w:ind w:right="20"/>
        <w:spacing w:after="0" w:line="300" w:lineRule="auto"/>
        <w:rPr>
          <w:sz w:val="20"/>
          <w:szCs w:val="20"/>
          <w:color w:val="auto"/>
        </w:rPr>
      </w:pPr>
      <w:r>
        <w:rPr>
          <w:rFonts w:ascii="Times New Roman" w:cs="Times New Roman" w:eastAsia="Times New Roman" w:hAnsi="Times New Roman"/>
          <w:sz w:val="20"/>
          <w:szCs w:val="20"/>
          <w:b w:val="1"/>
          <w:bCs w:val="1"/>
          <w:color w:val="auto"/>
        </w:rPr>
        <w:t>Brian Camire</w:t>
      </w:r>
      <w:r>
        <w:rPr>
          <w:rFonts w:ascii="Times New Roman" w:cs="Times New Roman" w:eastAsia="Times New Roman" w:hAnsi="Times New Roman"/>
          <w:sz w:val="20"/>
          <w:szCs w:val="20"/>
          <w:color w:val="auto"/>
        </w:rPr>
        <w:t>. Mr. Camire has served as our General Counsel and Secretary since June 2021. Mr. Camire served as Legacy</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WMH’s General Counsel from May 2019 to June 2021. Prior to joining Legacy WMH, Mr. Camire served as Associate General Counsel of Snap Inc. from May 2016 until April 2019 and as Corporate Counsel from March 2015 to May 2016. From January 2011 to February 2015, Mr. Camire worked as an associate attorney at Cooley LLP. Mr. Camire holds a B.A. in Mathematics from Northwestern University and a J.D. from the University of Michigan Law School.</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7"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20"/>
          <w:szCs w:val="20"/>
          <w:color w:val="auto"/>
        </w:rPr>
        <w:t>85</w:t>
      </w:r>
    </w:p>
    <w:p>
      <w:pPr>
        <w:sectPr>
          <w:pgSz w:w="12240" w:h="15840" w:orient="portrait"/>
          <w:cols w:equalWidth="0" w:num="1">
            <w:col w:w="10260"/>
          </w:cols>
          <w:pgMar w:left="1000" w:top="882" w:right="980" w:bottom="222" w:gutter="0" w:footer="0" w:header="0"/>
        </w:sectPr>
      </w:pPr>
    </w:p>
    <w:bookmarkStart w:id="89" w:name="page90"/>
    <w:bookmarkEnd w:id="89"/>
    <w:p>
      <w:pPr>
        <w:spacing w:after="0"/>
        <w:tabs>
          <w:tab w:leader="none" w:pos="1060" w:val="left"/>
        </w:tabs>
        <w:rPr>
          <w:sz w:val="20"/>
          <w:szCs w:val="20"/>
          <w:color w:val="auto"/>
        </w:rPr>
      </w:pPr>
      <w:r>
        <w:rPr>
          <w:rFonts w:ascii="Times New Roman" w:cs="Times New Roman" w:eastAsia="Times New Roman" w:hAnsi="Times New Roman"/>
          <w:sz w:val="20"/>
          <w:szCs w:val="20"/>
          <w:b w:val="1"/>
          <w:bCs w:val="1"/>
          <w:color w:val="auto"/>
        </w:rPr>
        <w:t>ITEM 11.</w:t>
      </w:r>
      <w:r>
        <w:rPr>
          <w:sz w:val="20"/>
          <w:szCs w:val="20"/>
          <w:color w:val="auto"/>
        </w:rPr>
        <w:tab/>
      </w:r>
      <w:r>
        <w:rPr>
          <w:rFonts w:ascii="Times New Roman" w:cs="Times New Roman" w:eastAsia="Times New Roman" w:hAnsi="Times New Roman"/>
          <w:sz w:val="19"/>
          <w:szCs w:val="19"/>
          <w:b w:val="1"/>
          <w:bCs w:val="1"/>
          <w:color w:val="auto"/>
        </w:rPr>
        <w:t>EXECUTIVE COMPENSATION</w:t>
      </w:r>
    </w:p>
    <w:p>
      <w:pPr>
        <w:spacing w:after="0" w:line="168" w:lineRule="exact"/>
        <w:rPr>
          <w:sz w:val="20"/>
          <w:szCs w:val="20"/>
          <w:color w:val="auto"/>
        </w:rPr>
      </w:pPr>
    </w:p>
    <w:p>
      <w:pPr>
        <w:jc w:val="both"/>
        <w:spacing w:after="0" w:line="296" w:lineRule="auto"/>
        <w:rPr>
          <w:sz w:val="20"/>
          <w:szCs w:val="20"/>
          <w:color w:val="auto"/>
        </w:rPr>
      </w:pPr>
      <w:r>
        <w:rPr>
          <w:rFonts w:ascii="Times New Roman" w:cs="Times New Roman" w:eastAsia="Times New Roman" w:hAnsi="Times New Roman"/>
          <w:sz w:val="20"/>
          <w:szCs w:val="20"/>
          <w:color w:val="auto"/>
        </w:rPr>
        <w:t>We are a “smaller reporting company” under Item 10 of Regulation S-K promulgated under the Exchange Act and the following compensation disclosure is intended to comply with the requirements applicable to smaller reporting companies. Although the rules allow us to provide less detail about our executive compensation program than companies that are not smaller reporting companies, our Compensation Committee is committed to providing the information necessary to help shareholders understand its executive compensation-related decisions. Accordingly, this section includes supplemental narratives that describe our 2023 compensation program for our Named Executive Officers.</w:t>
      </w:r>
    </w:p>
    <w:p>
      <w:pPr>
        <w:spacing w:after="0" w:line="7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Our Named Executive Officers for the year ended December 31, 2023, are:</w:t>
      </w:r>
    </w:p>
    <w:p>
      <w:pPr>
        <w:spacing w:after="0" w:line="166" w:lineRule="exact"/>
        <w:rPr>
          <w:sz w:val="20"/>
          <w:szCs w:val="20"/>
          <w:color w:val="auto"/>
        </w:rPr>
      </w:pPr>
    </w:p>
    <w:p>
      <w:pPr>
        <w:ind w:left="720" w:hanging="367"/>
        <w:spacing w:after="0"/>
        <w:tabs>
          <w:tab w:leader="none" w:pos="720" w:val="left"/>
        </w:tabs>
        <w:numPr>
          <w:ilvl w:val="0"/>
          <w:numId w:val="4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Douglas Francis, our principal executive officer and Executive Chair</w:t>
      </w:r>
    </w:p>
    <w:p>
      <w:pPr>
        <w:spacing w:after="0" w:line="165" w:lineRule="exact"/>
        <w:rPr>
          <w:rFonts w:ascii="Times New Roman" w:cs="Times New Roman" w:eastAsia="Times New Roman" w:hAnsi="Times New Roman"/>
          <w:sz w:val="20"/>
          <w:szCs w:val="20"/>
          <w:color w:val="auto"/>
        </w:rPr>
      </w:pPr>
    </w:p>
    <w:p>
      <w:pPr>
        <w:ind w:left="720" w:hanging="367"/>
        <w:spacing w:after="0"/>
        <w:tabs>
          <w:tab w:leader="none" w:pos="720" w:val="left"/>
        </w:tabs>
        <w:numPr>
          <w:ilvl w:val="0"/>
          <w:numId w:val="4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Brian Camire, our General Counsel and Secretary</w:t>
      </w:r>
    </w:p>
    <w:p>
      <w:pPr>
        <w:spacing w:after="0" w:line="165" w:lineRule="exact"/>
        <w:rPr>
          <w:rFonts w:ascii="Times New Roman" w:cs="Times New Roman" w:eastAsia="Times New Roman" w:hAnsi="Times New Roman"/>
          <w:sz w:val="20"/>
          <w:szCs w:val="20"/>
          <w:color w:val="auto"/>
        </w:rPr>
      </w:pPr>
    </w:p>
    <w:p>
      <w:pPr>
        <w:ind w:left="720" w:hanging="367"/>
        <w:spacing w:after="0"/>
        <w:tabs>
          <w:tab w:leader="none" w:pos="720" w:val="left"/>
        </w:tabs>
        <w:numPr>
          <w:ilvl w:val="0"/>
          <w:numId w:val="4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Duncan Grazier, our Chief Technology Officer</w:t>
      </w:r>
    </w:p>
    <w:p>
      <w:pPr>
        <w:spacing w:after="0" w:line="164"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Relationship Between Pay and Performance</w:t>
      </w:r>
    </w:p>
    <w:p>
      <w:pPr>
        <w:spacing w:after="0" w:line="168" w:lineRule="exact"/>
        <w:rPr>
          <w:sz w:val="20"/>
          <w:szCs w:val="20"/>
          <w:color w:val="auto"/>
        </w:rPr>
      </w:pPr>
    </w:p>
    <w:p>
      <w:pPr>
        <w:jc w:val="both"/>
        <w:ind w:right="20"/>
        <w:spacing w:after="0" w:line="321" w:lineRule="auto"/>
        <w:rPr>
          <w:sz w:val="20"/>
          <w:szCs w:val="20"/>
          <w:color w:val="auto"/>
        </w:rPr>
      </w:pPr>
      <w:r>
        <w:rPr>
          <w:rFonts w:ascii="Times New Roman" w:cs="Times New Roman" w:eastAsia="Times New Roman" w:hAnsi="Times New Roman"/>
          <w:sz w:val="19"/>
          <w:szCs w:val="19"/>
          <w:color w:val="auto"/>
        </w:rPr>
        <w:t>We believe our executive compensation program is reasonable, competitive, and appropriately balances the goals of attracting, motivating, rewarding, and retaining our Named Executive Officers and of aligning their interests with those of our stockholders. To ensure this alignment and to motivate and reward individual initiative and effort, we seek to ensure that a meaningful portion of our Named Executive Officers’ target annual total direct compensation opportunity is both variable in nature and “at-risk.”</w:t>
      </w:r>
    </w:p>
    <w:p>
      <w:pPr>
        <w:spacing w:after="0" w:line="55" w:lineRule="exact"/>
        <w:rPr>
          <w:sz w:val="20"/>
          <w:szCs w:val="20"/>
          <w:color w:val="auto"/>
        </w:rPr>
      </w:pPr>
    </w:p>
    <w:p>
      <w:pPr>
        <w:jc w:val="both"/>
        <w:ind w:right="20"/>
        <w:spacing w:after="0" w:line="326" w:lineRule="auto"/>
        <w:rPr>
          <w:sz w:val="20"/>
          <w:szCs w:val="20"/>
          <w:color w:val="auto"/>
        </w:rPr>
      </w:pPr>
      <w:r>
        <w:rPr>
          <w:rFonts w:ascii="Times New Roman" w:cs="Times New Roman" w:eastAsia="Times New Roman" w:hAnsi="Times New Roman"/>
          <w:sz w:val="20"/>
          <w:szCs w:val="20"/>
          <w:color w:val="auto"/>
        </w:rPr>
        <w:t>We emphasize variable compensation that appropriately rewards our Named Executive Officers through two separate compensation elements:</w:t>
      </w:r>
    </w:p>
    <w:p>
      <w:pPr>
        <w:spacing w:after="0" w:line="45" w:lineRule="exact"/>
        <w:rPr>
          <w:sz w:val="20"/>
          <w:szCs w:val="20"/>
          <w:color w:val="auto"/>
        </w:rPr>
      </w:pPr>
    </w:p>
    <w:p>
      <w:pPr>
        <w:jc w:val="both"/>
        <w:ind w:left="720" w:hanging="367"/>
        <w:spacing w:after="0" w:line="301" w:lineRule="auto"/>
        <w:tabs>
          <w:tab w:leader="none" w:pos="720" w:val="left"/>
        </w:tabs>
        <w:numPr>
          <w:ilvl w:val="0"/>
          <w:numId w:val="4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Compensation Committee adopted a formal cash bonus plan for 2023 that provides our Named Executive Officers (other than Mr. Francis) with the opportunity to earn cash bonus payments if we produce short-term financial, operational, and strategic results that meet or exceed pre-established corporate performance goals and does not include the evaluation of any individual contributions in achieving those goals.</w:t>
      </w:r>
    </w:p>
    <w:p>
      <w:pPr>
        <w:spacing w:after="0" w:line="70" w:lineRule="exact"/>
        <w:rPr>
          <w:rFonts w:ascii="Times New Roman" w:cs="Times New Roman" w:eastAsia="Times New Roman" w:hAnsi="Times New Roman"/>
          <w:sz w:val="20"/>
          <w:szCs w:val="20"/>
          <w:color w:val="auto"/>
        </w:rPr>
      </w:pPr>
    </w:p>
    <w:p>
      <w:pPr>
        <w:jc w:val="both"/>
        <w:ind w:left="720" w:hanging="367"/>
        <w:spacing w:after="0" w:line="297" w:lineRule="auto"/>
        <w:tabs>
          <w:tab w:leader="none" w:pos="720" w:val="left"/>
        </w:tabs>
        <w:numPr>
          <w:ilvl w:val="0"/>
          <w:numId w:val="4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In addition, we grant time-based RSU awards, and have in the past granted performance-based RSU (PRSU) awards, that may be earned or vest and settled for shares of our Class A Common Stock, which in the aggregate comprise a majority of our Named Executive Officers’ target annual total direct compensation opportunities. The value of these equity awards depends entirely on the value of our Class A Common Stock, thereby incentivizing our Named Executive Officers to build sustainable long-term value for the benefit of our stockholders.</w:t>
      </w:r>
    </w:p>
    <w:p>
      <w:pPr>
        <w:spacing w:after="0" w:line="74" w:lineRule="exact"/>
        <w:rPr>
          <w:sz w:val="20"/>
          <w:szCs w:val="20"/>
          <w:color w:val="auto"/>
        </w:rPr>
      </w:pPr>
    </w:p>
    <w:p>
      <w:pPr>
        <w:jc w:val="both"/>
        <w:ind w:right="20"/>
        <w:spacing w:after="0" w:line="309" w:lineRule="auto"/>
        <w:rPr>
          <w:sz w:val="20"/>
          <w:szCs w:val="20"/>
          <w:color w:val="auto"/>
        </w:rPr>
      </w:pPr>
      <w:r>
        <w:rPr>
          <w:rFonts w:ascii="Times New Roman" w:cs="Times New Roman" w:eastAsia="Times New Roman" w:hAnsi="Times New Roman"/>
          <w:sz w:val="20"/>
          <w:szCs w:val="20"/>
          <w:color w:val="auto"/>
        </w:rPr>
        <w:t>These variable pay elements ensure that, each year, a substantial portion of our Named Executive Officers’ target total direct compensation is contingent in nature, rather than fixed, with the amounts ultimately payable subject to variability above or below target levels commensurate with our actual performance.</w:t>
      </w:r>
    </w:p>
    <w:p>
      <w:pPr>
        <w:spacing w:after="0" w:line="62" w:lineRule="exact"/>
        <w:rPr>
          <w:sz w:val="20"/>
          <w:szCs w:val="20"/>
          <w:color w:val="auto"/>
        </w:rPr>
      </w:pPr>
    </w:p>
    <w:p>
      <w:pPr>
        <w:jc w:val="both"/>
        <w:spacing w:after="0" w:line="301" w:lineRule="auto"/>
        <w:rPr>
          <w:sz w:val="20"/>
          <w:szCs w:val="20"/>
          <w:color w:val="auto"/>
        </w:rPr>
      </w:pPr>
      <w:r>
        <w:rPr>
          <w:rFonts w:ascii="Times New Roman" w:cs="Times New Roman" w:eastAsia="Times New Roman" w:hAnsi="Times New Roman"/>
          <w:sz w:val="20"/>
          <w:szCs w:val="20"/>
          <w:color w:val="auto"/>
        </w:rPr>
        <w:t>In 2023, approximately 33%, on average, of Mr. Camire’s and Mr. Grazier’s target total direct compensation consisted of variable, “at-risk” compensation. Mr. Francis’ 2023 compensation was solely as set forth in his offer letter of August 15, 2023, and did not include a target cash bonus opportunity or equity award. For additional information, see “—Executive Employment Arrangements” below.</w:t>
      </w:r>
    </w:p>
    <w:p>
      <w:pPr>
        <w:spacing w:after="0" w:line="71" w:lineRule="exact"/>
        <w:rPr>
          <w:sz w:val="20"/>
          <w:szCs w:val="20"/>
          <w:color w:val="auto"/>
        </w:rPr>
      </w:pPr>
    </w:p>
    <w:p>
      <w:pPr>
        <w:jc w:val="both"/>
        <w:spacing w:after="0" w:line="297" w:lineRule="auto"/>
        <w:rPr>
          <w:sz w:val="20"/>
          <w:szCs w:val="20"/>
          <w:color w:val="auto"/>
        </w:rPr>
      </w:pPr>
      <w:r>
        <w:rPr>
          <w:rFonts w:ascii="Times New Roman" w:cs="Times New Roman" w:eastAsia="Times New Roman" w:hAnsi="Times New Roman"/>
          <w:sz w:val="20"/>
          <w:szCs w:val="20"/>
          <w:color w:val="auto"/>
        </w:rPr>
        <w:t>We believe that this design provides balanced incentives for our Named Executive Officers to execute our operational objectives and drive long-term growth. To ensure that we remain faithful to our compensation philosophy, the Compensation Committee intends to regularly evaluate the relationship between the reported values of the equity awards granted to our Named Executive Officers, the amount of compensation realizable (and, ultimately, realized) from such awards in subsequent years, and our performance over this period.</w:t>
      </w:r>
    </w:p>
    <w:p>
      <w:pPr>
        <w:spacing w:after="0" w:line="72"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Executive Compensation Policies and Practices</w:t>
      </w:r>
    </w:p>
    <w:p>
      <w:pPr>
        <w:spacing w:after="0" w:line="168" w:lineRule="exact"/>
        <w:rPr>
          <w:sz w:val="20"/>
          <w:szCs w:val="20"/>
          <w:color w:val="auto"/>
        </w:rPr>
      </w:pPr>
    </w:p>
    <w:p>
      <w:pPr>
        <w:jc w:val="both"/>
        <w:spacing w:after="0" w:line="309" w:lineRule="auto"/>
        <w:rPr>
          <w:sz w:val="20"/>
          <w:szCs w:val="20"/>
          <w:color w:val="auto"/>
        </w:rPr>
      </w:pPr>
      <w:r>
        <w:rPr>
          <w:rFonts w:ascii="Times New Roman" w:cs="Times New Roman" w:eastAsia="Times New Roman" w:hAnsi="Times New Roman"/>
          <w:sz w:val="20"/>
          <w:szCs w:val="20"/>
          <w:color w:val="auto"/>
        </w:rPr>
        <w:t>We endeavor to maintain sound corporate governance standards consistent with our executive compensation policies and practices. The Compensation Committee reviews our executive compensation program on an annual basis to ensure consistency with our short-term and long-term goals given the dynamic nature of our business and the market in which we compete for</w:t>
      </w:r>
    </w:p>
    <w:p>
      <w:pPr>
        <w:spacing w:after="0" w:line="213"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20"/>
          <w:szCs w:val="20"/>
          <w:color w:val="auto"/>
        </w:rPr>
        <w:t>86</w:t>
      </w:r>
    </w:p>
    <w:p>
      <w:pPr>
        <w:sectPr>
          <w:pgSz w:w="12240" w:h="15840" w:orient="portrait"/>
          <w:cols w:equalWidth="0" w:num="1">
            <w:col w:w="10260"/>
          </w:cols>
          <w:pgMar w:left="1000" w:top="882" w:right="980" w:bottom="222" w:gutter="0" w:footer="0" w:header="0"/>
        </w:sectPr>
      </w:pPr>
    </w:p>
    <w:bookmarkStart w:id="90" w:name="page91"/>
    <w:bookmarkEnd w:id="90"/>
    <w:p>
      <w:pPr>
        <w:spacing w:after="0" w:line="326" w:lineRule="auto"/>
        <w:rPr>
          <w:sz w:val="20"/>
          <w:szCs w:val="20"/>
          <w:color w:val="auto"/>
        </w:rPr>
      </w:pPr>
      <w:r>
        <w:rPr>
          <w:rFonts w:ascii="Times New Roman" w:cs="Times New Roman" w:eastAsia="Times New Roman" w:hAnsi="Times New Roman"/>
          <w:sz w:val="20"/>
          <w:szCs w:val="20"/>
          <w:color w:val="auto"/>
        </w:rPr>
        <w:t>executive talent. The following summarizes our executive compensation-related policies and practices that were in effect during 2023:</w:t>
      </w:r>
    </w:p>
    <w:p>
      <w:pPr>
        <w:spacing w:after="0" w:line="93" w:lineRule="exact"/>
        <w:rPr>
          <w:sz w:val="20"/>
          <w:szCs w:val="20"/>
          <w:color w:val="auto"/>
        </w:rPr>
      </w:pPr>
    </w:p>
    <w:p>
      <w:pPr>
        <w:ind w:left="1860"/>
        <w:spacing w:after="0"/>
        <w:tabs>
          <w:tab w:leader="none" w:pos="6660" w:val="left"/>
        </w:tabs>
        <w:rPr>
          <w:sz w:val="20"/>
          <w:szCs w:val="20"/>
          <w:color w:val="auto"/>
        </w:rPr>
      </w:pPr>
      <w:r>
        <w:rPr>
          <w:rFonts w:ascii="Times New Roman" w:cs="Times New Roman" w:eastAsia="Times New Roman" w:hAnsi="Times New Roman"/>
          <w:sz w:val="20"/>
          <w:szCs w:val="20"/>
          <w:b w:val="1"/>
          <w:bCs w:val="1"/>
          <w:color w:val="auto"/>
        </w:rPr>
        <w:t>WHAT WE DO</w:t>
      </w:r>
      <w:r>
        <w:rPr>
          <w:sz w:val="20"/>
          <w:szCs w:val="20"/>
          <w:color w:val="auto"/>
        </w:rPr>
        <w:tab/>
      </w:r>
      <w:r>
        <w:rPr>
          <w:rFonts w:ascii="Times New Roman" w:cs="Times New Roman" w:eastAsia="Times New Roman" w:hAnsi="Times New Roman"/>
          <w:sz w:val="19"/>
          <w:szCs w:val="19"/>
          <w:b w:val="1"/>
          <w:bCs w:val="1"/>
          <w:color w:val="auto"/>
        </w:rPr>
        <w:t>WHAT WE DON’T DO</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-3810</wp:posOffset>
                </wp:positionH>
                <wp:positionV relativeFrom="paragraph">
                  <wp:posOffset>43180</wp:posOffset>
                </wp:positionV>
                <wp:extent cx="3232150" cy="0"/>
                <wp:wrapNone/>
                <wp:docPr id="19" name="Shape 19"/>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3232150" cy="4763"/>
                        </a:xfrm>
                        <a:prstGeom prst="line">
                          <a:avLst/>
                        </a:prstGeom>
                        <a:solidFill>
                          <a:srgbClr val="FFFFFF"/>
                        </a:solidFill>
                        <a:ln w="9142">
                          <a:solidFill>
                            <a:srgbClr val="000000"/>
                          </a:solidFill>
                          <a:miter lim="800000"/>
                          <a:headEnd/>
                          <a:tailEnd/>
                        </a:ln>
                      </wps:spPr>
                      <wps:bodyPr/>
                    </wps:wsp>
                  </a:graphicData>
                </a:graphic>
              </wp:anchor>
            </w:drawing>
          </mc:Choice>
          <mc:Fallback>
            <w:pict>
              <v:line id="Shape 19" o:spid="_x0000_s1044"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0.2999pt,3.4pt" to="254.2pt,3.4pt" o:allowincell="f" strokecolor="#000000" strokeweight="0.7198pt"/>
            </w:pict>
          </mc:Fallback>
        </mc:AlternateContent>
        <mc:AlternateContent>
          <mc:Choice Requires="wps">
            <w:drawing>
              <wp:anchor simplePos="0" relativeHeight="251657728" behindDoc="1" locked="0" layoutInCell="0" allowOverlap="1">
                <wp:simplePos x="0" y="0"/>
                <wp:positionH relativeFrom="column">
                  <wp:posOffset>3278505</wp:posOffset>
                </wp:positionH>
                <wp:positionV relativeFrom="paragraph">
                  <wp:posOffset>43180</wp:posOffset>
                </wp:positionV>
                <wp:extent cx="3232150" cy="0"/>
                <wp:wrapNone/>
                <wp:docPr id="20" name="Shape 20"/>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3232150" cy="4763"/>
                        </a:xfrm>
                        <a:prstGeom prst="line">
                          <a:avLst/>
                        </a:prstGeom>
                        <a:solidFill>
                          <a:srgbClr val="FFFFFF"/>
                        </a:solidFill>
                        <a:ln w="9142">
                          <a:solidFill>
                            <a:srgbClr val="000000"/>
                          </a:solidFill>
                          <a:miter lim="800000"/>
                          <a:headEnd/>
                          <a:tailEnd/>
                        </a:ln>
                      </wps:spPr>
                      <wps:bodyPr/>
                    </wps:wsp>
                  </a:graphicData>
                </a:graphic>
              </wp:anchor>
            </w:drawing>
          </mc:Choice>
          <mc:Fallback>
            <w:pict>
              <v:line id="Shape 20" o:spid="_x0000_s1045"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258.15pt,3.4pt" to="512.65pt,3.4pt" o:allowincell="f" strokecolor="#000000" strokeweight="0.7198pt"/>
            </w:pict>
          </mc:Fallback>
        </mc:AlternateContent>
      </w:r>
    </w:p>
    <w:p>
      <w:pPr>
        <w:sectPr>
          <w:pgSz w:w="12240" w:h="15840" w:orient="portrait"/>
          <w:cols w:equalWidth="0" w:num="1">
            <w:col w:w="10240"/>
          </w:cols>
          <w:pgMar w:left="1000" w:top="884" w:right="1000" w:bottom="222" w:gutter="0" w:footer="0" w:header="0"/>
        </w:sectPr>
      </w:pPr>
    </w:p>
    <w:p>
      <w:pPr>
        <w:spacing w:after="0" w:line="98" w:lineRule="exact"/>
        <w:rPr>
          <w:sz w:val="20"/>
          <w:szCs w:val="20"/>
          <w:color w:val="auto"/>
        </w:rPr>
      </w:pPr>
    </w:p>
    <w:p>
      <w:pPr>
        <w:jc w:val="both"/>
        <w:ind w:left="400" w:hanging="176"/>
        <w:spacing w:after="0" w:line="265" w:lineRule="auto"/>
        <w:tabs>
          <w:tab w:leader="none" w:pos="400" w:val="left"/>
        </w:tabs>
        <w:numPr>
          <w:ilvl w:val="0"/>
          <w:numId w:val="4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i w:val="1"/>
          <w:iCs w:val="1"/>
          <w:color w:val="auto"/>
        </w:rPr>
        <w:t xml:space="preserve">Maintain Independent Compensation Committee. </w:t>
      </w:r>
      <w:r>
        <w:rPr>
          <w:rFonts w:ascii="Times New Roman" w:cs="Times New Roman" w:eastAsia="Times New Roman" w:hAnsi="Times New Roman"/>
          <w:sz w:val="17"/>
          <w:szCs w:val="17"/>
          <w:color w:val="auto"/>
        </w:rPr>
        <w:t>The</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Compensation Committee is comprised solely of independent directors who determine our compensation policies and practices and who have established effective means for communicating with our stockholders regarding their executive compensation views and concerns, as described in this Proxy Statement.</w:t>
      </w:r>
    </w:p>
    <w:p>
      <w:pPr>
        <w:spacing w:after="0" w:line="200" w:lineRule="exact"/>
        <w:rPr>
          <w:rFonts w:ascii="Times New Roman" w:cs="Times New Roman" w:eastAsia="Times New Roman" w:hAnsi="Times New Roman"/>
          <w:sz w:val="17"/>
          <w:szCs w:val="17"/>
          <w:color w:val="auto"/>
        </w:rPr>
      </w:pPr>
    </w:p>
    <w:p>
      <w:pPr>
        <w:spacing w:after="0" w:line="240" w:lineRule="exact"/>
        <w:rPr>
          <w:rFonts w:ascii="Times New Roman" w:cs="Times New Roman" w:eastAsia="Times New Roman" w:hAnsi="Times New Roman"/>
          <w:sz w:val="17"/>
          <w:szCs w:val="17"/>
          <w:color w:val="auto"/>
        </w:rPr>
      </w:pPr>
    </w:p>
    <w:p>
      <w:pPr>
        <w:jc w:val="both"/>
        <w:ind w:left="400" w:hanging="176"/>
        <w:spacing w:after="0" w:line="248" w:lineRule="auto"/>
        <w:tabs>
          <w:tab w:leader="none" w:pos="400" w:val="left"/>
        </w:tabs>
        <w:numPr>
          <w:ilvl w:val="0"/>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Retain an Independent Compensation Consultant</w:t>
      </w:r>
      <w:r>
        <w:rPr>
          <w:rFonts w:ascii="Times New Roman" w:cs="Times New Roman" w:eastAsia="Times New Roman" w:hAnsi="Times New Roman"/>
          <w:sz w:val="18"/>
          <w:szCs w:val="18"/>
          <w:color w:val="auto"/>
        </w:rPr>
        <w:t>. In 2023,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Compensation Committee engaged its own compensation consultant to provide information, analysis, and other advice on compensation matters independent of management. This compensation consultant performed no other services for us during 2023.</w:t>
      </w:r>
    </w:p>
    <w:p>
      <w:pPr>
        <w:spacing w:after="0" w:line="41" w:lineRule="exact"/>
        <w:rPr>
          <w:rFonts w:ascii="Times New Roman" w:cs="Times New Roman" w:eastAsia="Times New Roman" w:hAnsi="Times New Roman"/>
          <w:sz w:val="18"/>
          <w:szCs w:val="18"/>
          <w:color w:val="auto"/>
        </w:rPr>
      </w:pPr>
    </w:p>
    <w:p>
      <w:pPr>
        <w:jc w:val="both"/>
        <w:ind w:left="400" w:hanging="176"/>
        <w:spacing w:after="0" w:line="251" w:lineRule="auto"/>
        <w:tabs>
          <w:tab w:leader="none" w:pos="400" w:val="left"/>
        </w:tabs>
        <w:numPr>
          <w:ilvl w:val="0"/>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Annual Executive Compensation Review. </w:t>
      </w:r>
      <w:r>
        <w:rPr>
          <w:rFonts w:ascii="Times New Roman" w:cs="Times New Roman" w:eastAsia="Times New Roman" w:hAnsi="Times New Roman"/>
          <w:sz w:val="18"/>
          <w:szCs w:val="18"/>
          <w:color w:val="auto"/>
        </w:rPr>
        <w:t>The Compensation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Committee reviews and approves our compensation strategy and policies planned to be done annually, including review and approval of the 2023 short-term incentive plan for executive officers.</w:t>
      </w:r>
    </w:p>
    <w:p>
      <w:pPr>
        <w:spacing w:after="0" w:line="40" w:lineRule="exact"/>
        <w:rPr>
          <w:rFonts w:ascii="Times New Roman" w:cs="Times New Roman" w:eastAsia="Times New Roman" w:hAnsi="Times New Roman"/>
          <w:sz w:val="18"/>
          <w:szCs w:val="18"/>
          <w:color w:val="auto"/>
        </w:rPr>
      </w:pPr>
    </w:p>
    <w:p>
      <w:pPr>
        <w:jc w:val="both"/>
        <w:ind w:left="400" w:hanging="176"/>
        <w:spacing w:after="0" w:line="248" w:lineRule="auto"/>
        <w:tabs>
          <w:tab w:leader="none" w:pos="400" w:val="left"/>
        </w:tabs>
        <w:numPr>
          <w:ilvl w:val="0"/>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Compensation “At-Risk.” </w:t>
      </w:r>
      <w:r>
        <w:rPr>
          <w:rFonts w:ascii="Times New Roman" w:cs="Times New Roman" w:eastAsia="Times New Roman" w:hAnsi="Times New Roman"/>
          <w:sz w:val="18"/>
          <w:szCs w:val="18"/>
          <w:color w:val="auto"/>
        </w:rPr>
        <w:t>Other than the compensation for Mr.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Francis, our executive compensation program is designed so that a meaningful portion of our Named Executive Officers’ target annual total direct compensation is “at-risk” based on corporate performance, as well as equity-based, to align the interests of our Named Executive Officers and stockholders.</w:t>
      </w:r>
    </w:p>
    <w:p>
      <w:pPr>
        <w:spacing w:after="0" w:line="200" w:lineRule="exact"/>
        <w:rPr>
          <w:rFonts w:ascii="Times New Roman" w:cs="Times New Roman" w:eastAsia="Times New Roman" w:hAnsi="Times New Roman"/>
          <w:sz w:val="18"/>
          <w:szCs w:val="18"/>
          <w:color w:val="auto"/>
        </w:rPr>
      </w:pPr>
    </w:p>
    <w:p>
      <w:pPr>
        <w:spacing w:after="0" w:line="200" w:lineRule="exact"/>
        <w:rPr>
          <w:rFonts w:ascii="Times New Roman" w:cs="Times New Roman" w:eastAsia="Times New Roman" w:hAnsi="Times New Roman"/>
          <w:sz w:val="18"/>
          <w:szCs w:val="18"/>
          <w:color w:val="auto"/>
        </w:rPr>
      </w:pPr>
    </w:p>
    <w:p>
      <w:pPr>
        <w:spacing w:after="0" w:line="200" w:lineRule="exact"/>
        <w:rPr>
          <w:rFonts w:ascii="Times New Roman" w:cs="Times New Roman" w:eastAsia="Times New Roman" w:hAnsi="Times New Roman"/>
          <w:sz w:val="18"/>
          <w:szCs w:val="18"/>
          <w:color w:val="auto"/>
        </w:rPr>
      </w:pPr>
    </w:p>
    <w:p>
      <w:pPr>
        <w:spacing w:after="0" w:line="262" w:lineRule="exact"/>
        <w:rPr>
          <w:rFonts w:ascii="Times New Roman" w:cs="Times New Roman" w:eastAsia="Times New Roman" w:hAnsi="Times New Roman"/>
          <w:sz w:val="18"/>
          <w:szCs w:val="18"/>
          <w:color w:val="auto"/>
        </w:rPr>
      </w:pPr>
    </w:p>
    <w:p>
      <w:pPr>
        <w:jc w:val="both"/>
        <w:ind w:left="400" w:hanging="176"/>
        <w:spacing w:after="0" w:line="255" w:lineRule="auto"/>
        <w:tabs>
          <w:tab w:leader="none" w:pos="400" w:val="left"/>
        </w:tabs>
        <w:numPr>
          <w:ilvl w:val="0"/>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Use of “Pay-for-Performance” Philosophy. </w:t>
      </w:r>
      <w:r>
        <w:rPr>
          <w:rFonts w:ascii="Times New Roman" w:cs="Times New Roman" w:eastAsia="Times New Roman" w:hAnsi="Times New Roman"/>
          <w:sz w:val="18"/>
          <w:szCs w:val="18"/>
          <w:color w:val="auto"/>
        </w:rPr>
        <w:t>The majority of our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Named Executive Officers’ target annual total direct compensation, other than for Mr. Francis, is directly linked to our financial results and our stock price performance.</w:t>
      </w:r>
    </w:p>
    <w:p>
      <w:pPr>
        <w:spacing w:after="0" w:line="34" w:lineRule="exact"/>
        <w:rPr>
          <w:rFonts w:ascii="Times New Roman" w:cs="Times New Roman" w:eastAsia="Times New Roman" w:hAnsi="Times New Roman"/>
          <w:sz w:val="18"/>
          <w:szCs w:val="18"/>
          <w:color w:val="auto"/>
        </w:rPr>
      </w:pPr>
    </w:p>
    <w:p>
      <w:pPr>
        <w:jc w:val="both"/>
        <w:ind w:left="400" w:hanging="176"/>
        <w:spacing w:after="0" w:line="255" w:lineRule="auto"/>
        <w:tabs>
          <w:tab w:leader="none" w:pos="400" w:val="left"/>
        </w:tabs>
        <w:numPr>
          <w:ilvl w:val="0"/>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Multi-Year Vesting Requirements. </w:t>
      </w:r>
      <w:r>
        <w:rPr>
          <w:rFonts w:ascii="Times New Roman" w:cs="Times New Roman" w:eastAsia="Times New Roman" w:hAnsi="Times New Roman"/>
          <w:sz w:val="18"/>
          <w:szCs w:val="18"/>
          <w:color w:val="auto"/>
        </w:rPr>
        <w:t>The annual equity awards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granted to our Named Executive Officers are earned and/or vest over multi-year periods, consistent with current market practice and our retention objectives.</w:t>
      </w:r>
    </w:p>
    <w:p>
      <w:pPr>
        <w:spacing w:after="0" w:line="38" w:lineRule="exact"/>
        <w:rPr>
          <w:rFonts w:ascii="Times New Roman" w:cs="Times New Roman" w:eastAsia="Times New Roman" w:hAnsi="Times New Roman"/>
          <w:sz w:val="18"/>
          <w:szCs w:val="18"/>
          <w:color w:val="auto"/>
        </w:rPr>
      </w:pPr>
    </w:p>
    <w:p>
      <w:pPr>
        <w:jc w:val="both"/>
        <w:ind w:left="400" w:hanging="176"/>
        <w:spacing w:after="0" w:line="242" w:lineRule="auto"/>
        <w:tabs>
          <w:tab w:leader="none" w:pos="400" w:val="left"/>
        </w:tabs>
        <w:numPr>
          <w:ilvl w:val="0"/>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Maintain “Double-Trigger” Change-in-Control Arrangements. </w:t>
      </w:r>
      <w:r>
        <w:rPr>
          <w:rFonts w:ascii="Times New Roman" w:cs="Times New Roman" w:eastAsia="Times New Roman" w:hAnsi="Times New Roman"/>
          <w:sz w:val="18"/>
          <w:szCs w:val="18"/>
          <w:color w:val="auto"/>
        </w:rPr>
        <w:t>Our Named Executive Officers other than Mr. Francis are eligible to participate in the Severance and Change in Control Plan, which provides certain payments and other benefits in the event of an involuntary termination of employment in connection with a change-in-control of the Company. These “double-trigger” arrangements require both a change-in-control of the Company plus a qualifying termination of employment before payments and benefits are paid. In addition, all such payments and benefits are subject to the execution and delivery of an effective general waiver and release of claims in favor of the Company.</w:t>
      </w:r>
    </w:p>
    <w:p>
      <w:pPr>
        <w:spacing w:after="0" w:line="54" w:lineRule="exact"/>
        <w:rPr>
          <w:rFonts w:ascii="Times New Roman" w:cs="Times New Roman" w:eastAsia="Times New Roman" w:hAnsi="Times New Roman"/>
          <w:sz w:val="18"/>
          <w:szCs w:val="18"/>
          <w:color w:val="auto"/>
        </w:rPr>
      </w:pPr>
    </w:p>
    <w:p>
      <w:pPr>
        <w:jc w:val="both"/>
        <w:ind w:left="400" w:hanging="176"/>
        <w:spacing w:after="0" w:line="255" w:lineRule="auto"/>
        <w:tabs>
          <w:tab w:leader="none" w:pos="400" w:val="left"/>
        </w:tabs>
        <w:numPr>
          <w:ilvl w:val="0"/>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Only Broad-Based Health and Welfare Benefits. </w:t>
      </w:r>
      <w:r>
        <w:rPr>
          <w:rFonts w:ascii="Times New Roman" w:cs="Times New Roman" w:eastAsia="Times New Roman" w:hAnsi="Times New Roman"/>
          <w:sz w:val="18"/>
          <w:szCs w:val="18"/>
          <w:color w:val="auto"/>
        </w:rPr>
        <w:t>Our Named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Executive Officers participate in broad-based Company-sponsored health and welfare benefit programs on the same basis as our other employees.</w:t>
      </w:r>
    </w:p>
    <w:p>
      <w:pPr>
        <w:spacing w:after="0" w:line="34" w:lineRule="exact"/>
        <w:rPr>
          <w:rFonts w:ascii="Times New Roman" w:cs="Times New Roman" w:eastAsia="Times New Roman" w:hAnsi="Times New Roman"/>
          <w:sz w:val="18"/>
          <w:szCs w:val="18"/>
          <w:color w:val="auto"/>
        </w:rPr>
      </w:pPr>
    </w:p>
    <w:p>
      <w:pPr>
        <w:jc w:val="both"/>
        <w:ind w:left="400" w:hanging="176"/>
        <w:spacing w:after="0" w:line="257" w:lineRule="auto"/>
        <w:tabs>
          <w:tab w:leader="none" w:pos="400" w:val="left"/>
        </w:tabs>
        <w:numPr>
          <w:ilvl w:val="0"/>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Clawback Policy. </w:t>
      </w:r>
      <w:r>
        <w:rPr>
          <w:rFonts w:ascii="Times New Roman" w:cs="Times New Roman" w:eastAsia="Times New Roman" w:hAnsi="Times New Roman"/>
          <w:sz w:val="18"/>
          <w:szCs w:val="18"/>
          <w:color w:val="auto"/>
        </w:rPr>
        <w:t>We require compensation recoupment with</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respect to our executive officers pursuant to the terms of our clawback policy.</w:t>
      </w:r>
    </w:p>
    <w:p>
      <w:pPr>
        <w:spacing w:after="0" w:line="20" w:lineRule="exact"/>
        <w:rPr>
          <w:sz w:val="20"/>
          <w:szCs w:val="20"/>
          <w:color w:val="auto"/>
        </w:rPr>
      </w:pPr>
      <w:r>
        <w:rPr>
          <w:sz w:val="20"/>
          <w:szCs w:val="20"/>
          <w:color w:val="auto"/>
        </w:rPr>
        <w:br w:type="column"/>
      </w:r>
    </w:p>
    <w:p>
      <w:pPr>
        <w:spacing w:after="0" w:line="78" w:lineRule="exact"/>
        <w:rPr>
          <w:sz w:val="20"/>
          <w:szCs w:val="20"/>
          <w:color w:val="auto"/>
        </w:rPr>
      </w:pPr>
    </w:p>
    <w:p>
      <w:pPr>
        <w:jc w:val="both"/>
        <w:ind w:left="186" w:right="40" w:hanging="186"/>
        <w:spacing w:after="0" w:line="245" w:lineRule="auto"/>
        <w:tabs>
          <w:tab w:leader="none" w:pos="186" w:val="left"/>
        </w:tabs>
        <w:numPr>
          <w:ilvl w:val="0"/>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No Executive Officer Retirement Plans. </w:t>
      </w:r>
      <w:r>
        <w:rPr>
          <w:rFonts w:ascii="Times New Roman" w:cs="Times New Roman" w:eastAsia="Times New Roman" w:hAnsi="Times New Roman"/>
          <w:sz w:val="18"/>
          <w:szCs w:val="18"/>
          <w:color w:val="auto"/>
        </w:rPr>
        <w:t>We do not currently</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offer, nor do we have plans to offer, defined benefit pension plans or any non-qualified deferred compensation plans or arrangements to our Named Executive Officers other than the plans and arrangements that are available to all our other employees. Our Named Executive Officers are eligible to participate in our Section 401(k) retirement savings plan on the same basis as our other employees.</w:t>
      </w:r>
    </w:p>
    <w:p>
      <w:pPr>
        <w:spacing w:after="0" w:line="44" w:lineRule="exact"/>
        <w:rPr>
          <w:rFonts w:ascii="Times New Roman" w:cs="Times New Roman" w:eastAsia="Times New Roman" w:hAnsi="Times New Roman"/>
          <w:sz w:val="18"/>
          <w:szCs w:val="18"/>
          <w:color w:val="auto"/>
        </w:rPr>
      </w:pPr>
    </w:p>
    <w:p>
      <w:pPr>
        <w:jc w:val="both"/>
        <w:ind w:left="186" w:right="40" w:hanging="186"/>
        <w:spacing w:after="0" w:line="248" w:lineRule="auto"/>
        <w:tabs>
          <w:tab w:leader="none" w:pos="186" w:val="left"/>
        </w:tabs>
        <w:numPr>
          <w:ilvl w:val="0"/>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Limited Executive Officer Perquisites. </w:t>
      </w:r>
      <w:r>
        <w:rPr>
          <w:rFonts w:ascii="Times New Roman" w:cs="Times New Roman" w:eastAsia="Times New Roman" w:hAnsi="Times New Roman"/>
          <w:sz w:val="18"/>
          <w:szCs w:val="18"/>
          <w:color w:val="auto"/>
        </w:rPr>
        <w:t>We generally provide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benefits to our Named Executive Officers on the same basis as provided to all of our employees, including health, dental and vision insurance; accidental death and dismemberment insurance; disability insurance; and a tax-qualified Section 401(k) plan.</w:t>
      </w:r>
    </w:p>
    <w:p>
      <w:pPr>
        <w:spacing w:after="0" w:line="41" w:lineRule="exact"/>
        <w:rPr>
          <w:rFonts w:ascii="Times New Roman" w:cs="Times New Roman" w:eastAsia="Times New Roman" w:hAnsi="Times New Roman"/>
          <w:sz w:val="18"/>
          <w:szCs w:val="18"/>
          <w:color w:val="auto"/>
        </w:rPr>
      </w:pPr>
    </w:p>
    <w:p>
      <w:pPr>
        <w:jc w:val="both"/>
        <w:ind w:left="186" w:right="40" w:hanging="186"/>
        <w:spacing w:after="0" w:line="255" w:lineRule="auto"/>
        <w:tabs>
          <w:tab w:leader="none" w:pos="186" w:val="left"/>
        </w:tabs>
        <w:numPr>
          <w:ilvl w:val="0"/>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No Tax Payments on Change-in-Control Arrangements</w:t>
      </w:r>
      <w:r>
        <w:rPr>
          <w:rFonts w:ascii="Times New Roman" w:cs="Times New Roman" w:eastAsia="Times New Roman" w:hAnsi="Times New Roman"/>
          <w:sz w:val="18"/>
          <w:szCs w:val="18"/>
          <w:color w:val="auto"/>
        </w:rPr>
        <w:t>. We do</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not provide any excise tax reimbursement payments (including “gross-ups”) on payments or benefits that are contingent upon a change-in-control of the Company.</w:t>
      </w:r>
    </w:p>
    <w:p>
      <w:pPr>
        <w:spacing w:after="0" w:line="243" w:lineRule="exact"/>
        <w:rPr>
          <w:rFonts w:ascii="Times New Roman" w:cs="Times New Roman" w:eastAsia="Times New Roman" w:hAnsi="Times New Roman"/>
          <w:sz w:val="18"/>
          <w:szCs w:val="18"/>
          <w:color w:val="auto"/>
        </w:rPr>
      </w:pPr>
    </w:p>
    <w:p>
      <w:pPr>
        <w:jc w:val="both"/>
        <w:ind w:left="186" w:right="40" w:hanging="186"/>
        <w:spacing w:after="0" w:line="244" w:lineRule="auto"/>
        <w:tabs>
          <w:tab w:leader="none" w:pos="186" w:val="left"/>
        </w:tabs>
        <w:numPr>
          <w:ilvl w:val="0"/>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No Hedging or Pledging of our Securities. </w:t>
      </w:r>
      <w:r>
        <w:rPr>
          <w:rFonts w:ascii="Times New Roman" w:cs="Times New Roman" w:eastAsia="Times New Roman" w:hAnsi="Times New Roman"/>
          <w:sz w:val="18"/>
          <w:szCs w:val="18"/>
          <w:color w:val="auto"/>
        </w:rPr>
        <w:t>As part of our insider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trading policy, all our directors, officers, employees and certain designated consultants are prohibited from engaging in short sales of our securities, establishing margin accounts, pledging our securities as collateral for a loan, trading in derivative securities, including buying or selling puts or calls on our securities, or otherwise engaging in any form of hedging or monetization transactions (such as prepaid variable forwards, equity swaps, collars and exchange funds) involving our securities.</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-146050</wp:posOffset>
                </wp:positionH>
                <wp:positionV relativeFrom="paragraph">
                  <wp:posOffset>11430</wp:posOffset>
                </wp:positionV>
                <wp:extent cx="3232150" cy="0"/>
                <wp:wrapNone/>
                <wp:docPr id="21" name="Shape 21"/>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3232150" cy="4763"/>
                        </a:xfrm>
                        <a:prstGeom prst="line">
                          <a:avLst/>
                        </a:prstGeom>
                        <a:solidFill>
                          <a:srgbClr val="FFFFFF"/>
                        </a:solidFill>
                        <a:ln w="9143">
                          <a:solidFill>
                            <a:srgbClr val="000000"/>
                          </a:solidFill>
                          <a:miter lim="800000"/>
                          <a:headEnd/>
                          <a:tailEnd/>
                        </a:ln>
                      </wps:spPr>
                      <wps:bodyPr/>
                    </wps:wsp>
                  </a:graphicData>
                </a:graphic>
              </wp:anchor>
            </w:drawing>
          </mc:Choice>
          <mc:Fallback>
            <w:pict>
              <v:line id="Shape 21" o:spid="_x0000_s1046"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11.4999pt,0.9pt" to="243pt,0.9pt" o:allowincell="f" strokecolor="#000000" strokeweight="0.7199pt"/>
            </w:pict>
          </mc:Fallback>
        </mc:AlternateContent>
      </w:r>
    </w:p>
    <w:p>
      <w:pPr>
        <w:spacing w:after="0" w:line="6212" w:lineRule="exact"/>
        <w:rPr>
          <w:sz w:val="20"/>
          <w:szCs w:val="20"/>
          <w:color w:val="auto"/>
        </w:rPr>
      </w:pPr>
    </w:p>
    <w:p>
      <w:pPr>
        <w:sectPr>
          <w:pgSz w:w="12240" w:h="15840" w:orient="portrait"/>
          <w:cols w:equalWidth="0" w:num="2">
            <w:col w:w="5040" w:space="354"/>
            <w:col w:w="4846"/>
          </w:cols>
          <w:pgMar w:left="1000" w:top="884" w:right="1000" w:bottom="222" w:gutter="0" w:footer="0" w:header="0"/>
          <w:type w:val="continuous"/>
        </w:sectPr>
      </w:pPr>
    </w:p>
    <w:p>
      <w:pPr>
        <w:spacing w:after="0" w:line="39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87</w:t>
      </w:r>
    </w:p>
    <w:p>
      <w:pPr>
        <w:sectPr>
          <w:pgSz w:w="12240" w:h="15840" w:orient="portrait"/>
          <w:cols w:equalWidth="0" w:num="1">
            <w:col w:w="10240"/>
          </w:cols>
          <w:pgMar w:left="1000" w:top="884" w:right="1000" w:bottom="222" w:gutter="0" w:footer="0" w:header="0"/>
          <w:type w:val="continuous"/>
        </w:sectPr>
      </w:pPr>
    </w:p>
    <w:bookmarkStart w:id="91" w:name="page92"/>
    <w:bookmarkEnd w:id="91"/>
    <w:p>
      <w:pPr>
        <w:jc w:val="both"/>
        <w:ind w:left="420" w:right="5220" w:hanging="176"/>
        <w:spacing w:after="0" w:line="261" w:lineRule="auto"/>
        <w:tabs>
          <w:tab w:leader="none" w:pos="420" w:val="left"/>
        </w:tabs>
        <w:numPr>
          <w:ilvl w:val="0"/>
          <w:numId w:val="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Succession Planning. </w:t>
      </w:r>
      <w:r>
        <w:rPr>
          <w:rFonts w:ascii="Times New Roman" w:cs="Times New Roman" w:eastAsia="Times New Roman" w:hAnsi="Times New Roman"/>
          <w:sz w:val="18"/>
          <w:szCs w:val="18"/>
          <w:color w:val="auto"/>
        </w:rPr>
        <w:t>We review the risks associated with our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key executive officer positions to ensure adequate succession plans are in place.</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0</wp:posOffset>
                </wp:positionH>
                <wp:positionV relativeFrom="paragraph">
                  <wp:posOffset>4445</wp:posOffset>
                </wp:positionV>
                <wp:extent cx="3241040" cy="0"/>
                <wp:wrapNone/>
                <wp:docPr id="22" name="Shape 22"/>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3241040" cy="4763"/>
                        </a:xfrm>
                        <a:prstGeom prst="line">
                          <a:avLst/>
                        </a:prstGeom>
                        <a:solidFill>
                          <a:srgbClr val="FFFFFF"/>
                        </a:solidFill>
                        <a:ln w="9143">
                          <a:solidFill>
                            <a:srgbClr val="000000"/>
                          </a:solidFill>
                          <a:miter lim="800000"/>
                          <a:headEnd/>
                          <a:tailEnd/>
                        </a:ln>
                      </wps:spPr>
                      <wps:bodyPr/>
                    </wps:wsp>
                  </a:graphicData>
                </a:graphic>
              </wp:anchor>
            </w:drawing>
          </mc:Choice>
          <mc:Fallback>
            <w:pict>
              <v:line id="Shape 22" o:spid="_x0000_s1047"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0pt,0.35pt" to="255.2pt,0.35pt" o:allowincell="f" strokecolor="#000000" strokeweight="0.7199pt"/>
            </w:pict>
          </mc:Fallback>
        </mc:AlternateContent>
      </w:r>
    </w:p>
    <w:p>
      <w:pPr>
        <w:spacing w:after="0" w:line="93"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0"/>
          <w:szCs w:val="20"/>
          <w:b w:val="1"/>
          <w:bCs w:val="1"/>
          <w:color w:val="auto"/>
        </w:rPr>
        <w:t>Executive Compensation Philosophy and Objectives</w:t>
      </w:r>
    </w:p>
    <w:p>
      <w:pPr>
        <w:spacing w:after="0" w:line="161" w:lineRule="exact"/>
        <w:rPr>
          <w:sz w:val="20"/>
          <w:szCs w:val="20"/>
          <w:color w:val="auto"/>
        </w:rPr>
      </w:pPr>
    </w:p>
    <w:p>
      <w:pPr>
        <w:jc w:val="both"/>
        <w:ind w:left="20"/>
        <w:spacing w:after="0" w:line="309" w:lineRule="auto"/>
        <w:rPr>
          <w:sz w:val="20"/>
          <w:szCs w:val="20"/>
          <w:color w:val="auto"/>
        </w:rPr>
      </w:pPr>
      <w:r>
        <w:rPr>
          <w:rFonts w:ascii="Times New Roman" w:cs="Times New Roman" w:eastAsia="Times New Roman" w:hAnsi="Times New Roman"/>
          <w:sz w:val="20"/>
          <w:szCs w:val="20"/>
          <w:color w:val="auto"/>
        </w:rPr>
        <w:t>Our executive compensation program is designed to achieve our ambitious goals by attracting, motivating, and retaining talented, deeply qualified, and committed individuals who believe in our mission, while rewarding them for long-term value creation. Specifically, our compensation philosophy is as follows:</w:t>
      </w:r>
    </w:p>
    <w:p>
      <w:pPr>
        <w:spacing w:after="0" w:line="62" w:lineRule="exact"/>
        <w:rPr>
          <w:sz w:val="20"/>
          <w:szCs w:val="20"/>
          <w:color w:val="auto"/>
        </w:rPr>
      </w:pPr>
    </w:p>
    <w:p>
      <w:pPr>
        <w:ind w:left="740" w:right="20" w:hanging="366"/>
        <w:spacing w:after="0" w:line="326" w:lineRule="auto"/>
        <w:tabs>
          <w:tab w:leader="none" w:pos="740" w:val="left"/>
        </w:tabs>
        <w:numPr>
          <w:ilvl w:val="0"/>
          <w:numId w:val="4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b w:val="1"/>
          <w:bCs w:val="1"/>
          <w:i w:val="1"/>
          <w:iCs w:val="1"/>
          <w:color w:val="auto"/>
        </w:rPr>
        <w:t xml:space="preserve">Attract Top Talent </w:t>
      </w:r>
      <w:r>
        <w:rPr>
          <w:rFonts w:ascii="Times New Roman" w:cs="Times New Roman" w:eastAsia="Times New Roman" w:hAnsi="Times New Roman"/>
          <w:sz w:val="20"/>
          <w:szCs w:val="20"/>
          <w:color w:val="auto"/>
        </w:rPr>
        <w:t>– Given the nature of our business and our long-term financial and strategic objectives, we must</w:t>
      </w:r>
      <w:r>
        <w:rPr>
          <w:rFonts w:ascii="Times New Roman" w:cs="Times New Roman" w:eastAsia="Times New Roman" w:hAnsi="Times New Roman"/>
          <w:sz w:val="20"/>
          <w:szCs w:val="20"/>
          <w:b w:val="1"/>
          <w:bCs w:val="1"/>
          <w:i w:val="1"/>
          <w:iCs w:val="1"/>
          <w:color w:val="auto"/>
        </w:rPr>
        <w:t xml:space="preserve"> </w:t>
      </w:r>
      <w:r>
        <w:rPr>
          <w:rFonts w:ascii="Times New Roman" w:cs="Times New Roman" w:eastAsia="Times New Roman" w:hAnsi="Times New Roman"/>
          <w:sz w:val="20"/>
          <w:szCs w:val="20"/>
          <w:color w:val="auto"/>
        </w:rPr>
        <w:t>compete with other top technology companies for talent to build and grow our Company;</w:t>
      </w:r>
    </w:p>
    <w:p>
      <w:pPr>
        <w:spacing w:after="0" w:line="44" w:lineRule="exact"/>
        <w:rPr>
          <w:rFonts w:ascii="Times New Roman" w:cs="Times New Roman" w:eastAsia="Times New Roman" w:hAnsi="Times New Roman"/>
          <w:sz w:val="20"/>
          <w:szCs w:val="20"/>
          <w:color w:val="auto"/>
        </w:rPr>
      </w:pPr>
    </w:p>
    <w:p>
      <w:pPr>
        <w:jc w:val="both"/>
        <w:ind w:left="740" w:right="20" w:hanging="367"/>
        <w:spacing w:after="0" w:line="332" w:lineRule="auto"/>
        <w:tabs>
          <w:tab w:leader="none" w:pos="740" w:val="left"/>
        </w:tabs>
        <w:numPr>
          <w:ilvl w:val="0"/>
          <w:numId w:val="48"/>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b w:val="1"/>
          <w:bCs w:val="1"/>
          <w:i w:val="1"/>
          <w:iCs w:val="1"/>
          <w:color w:val="auto"/>
        </w:rPr>
        <w:t xml:space="preserve">Develop and Maintain a Performance-Based Culture </w:t>
      </w:r>
      <w:r>
        <w:rPr>
          <w:rFonts w:ascii="Times New Roman" w:cs="Times New Roman" w:eastAsia="Times New Roman" w:hAnsi="Times New Roman"/>
          <w:sz w:val="19"/>
          <w:szCs w:val="19"/>
          <w:color w:val="auto"/>
        </w:rPr>
        <w:t>– To be successful in a highly competitive market for talent, we</w:t>
      </w:r>
      <w:r>
        <w:rPr>
          <w:rFonts w:ascii="Times New Roman" w:cs="Times New Roman" w:eastAsia="Times New Roman" w:hAnsi="Times New Roman"/>
          <w:sz w:val="19"/>
          <w:szCs w:val="19"/>
          <w:b w:val="1"/>
          <w:bCs w:val="1"/>
          <w:i w:val="1"/>
          <w:iCs w:val="1"/>
          <w:color w:val="auto"/>
        </w:rPr>
        <w:t xml:space="preserve"> </w:t>
      </w:r>
      <w:r>
        <w:rPr>
          <w:rFonts w:ascii="Times New Roman" w:cs="Times New Roman" w:eastAsia="Times New Roman" w:hAnsi="Times New Roman"/>
          <w:sz w:val="19"/>
          <w:szCs w:val="19"/>
          <w:color w:val="auto"/>
        </w:rPr>
        <w:t>must create consistency through a compensation program that motivates exceptional performance by expanding the reach of our employees’ incentives so that they may share in the success of our business with our stockholders; and</w:t>
      </w:r>
    </w:p>
    <w:p>
      <w:pPr>
        <w:spacing w:after="0" w:line="43" w:lineRule="exact"/>
        <w:rPr>
          <w:rFonts w:ascii="Times New Roman" w:cs="Times New Roman" w:eastAsia="Times New Roman" w:hAnsi="Times New Roman"/>
          <w:sz w:val="19"/>
          <w:szCs w:val="19"/>
          <w:color w:val="auto"/>
        </w:rPr>
      </w:pPr>
    </w:p>
    <w:p>
      <w:pPr>
        <w:jc w:val="both"/>
        <w:ind w:left="740" w:hanging="366"/>
        <w:spacing w:after="0" w:line="306" w:lineRule="auto"/>
        <w:tabs>
          <w:tab w:leader="none" w:pos="740" w:val="left"/>
        </w:tabs>
        <w:numPr>
          <w:ilvl w:val="0"/>
          <w:numId w:val="4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b w:val="1"/>
          <w:bCs w:val="1"/>
          <w:i w:val="1"/>
          <w:iCs w:val="1"/>
          <w:color w:val="auto"/>
        </w:rPr>
        <w:t xml:space="preserve">Retain Exceptional Employees </w:t>
      </w:r>
      <w:r>
        <w:rPr>
          <w:rFonts w:ascii="Times New Roman" w:cs="Times New Roman" w:eastAsia="Times New Roman" w:hAnsi="Times New Roman"/>
          <w:sz w:val="20"/>
          <w:szCs w:val="20"/>
          <w:color w:val="auto"/>
        </w:rPr>
        <w:t>– To ensure that we can meet our objectives, we must foster a culture that instills a sense</w:t>
      </w:r>
      <w:r>
        <w:rPr>
          <w:rFonts w:ascii="Times New Roman" w:cs="Times New Roman" w:eastAsia="Times New Roman" w:hAnsi="Times New Roman"/>
          <w:sz w:val="20"/>
          <w:szCs w:val="20"/>
          <w:b w:val="1"/>
          <w:bCs w:val="1"/>
          <w:i w:val="1"/>
          <w:iCs w:val="1"/>
          <w:color w:val="auto"/>
        </w:rPr>
        <w:t xml:space="preserve"> </w:t>
      </w:r>
      <w:r>
        <w:rPr>
          <w:rFonts w:ascii="Times New Roman" w:cs="Times New Roman" w:eastAsia="Times New Roman" w:hAnsi="Times New Roman"/>
          <w:sz w:val="20"/>
          <w:szCs w:val="20"/>
          <w:color w:val="auto"/>
        </w:rPr>
        <w:t>of commitment to the organization and each other while, at the same time, recognizing and rewarding individual contributions and impact.</w:t>
      </w:r>
    </w:p>
    <w:p>
      <w:pPr>
        <w:spacing w:after="0" w:line="63" w:lineRule="exact"/>
        <w:rPr>
          <w:sz w:val="20"/>
          <w:szCs w:val="20"/>
          <w:color w:val="auto"/>
        </w:rPr>
      </w:pPr>
    </w:p>
    <w:p>
      <w:pPr>
        <w:jc w:val="both"/>
        <w:ind w:left="20"/>
        <w:spacing w:after="0" w:line="301" w:lineRule="auto"/>
        <w:rPr>
          <w:sz w:val="20"/>
          <w:szCs w:val="20"/>
          <w:color w:val="auto"/>
        </w:rPr>
      </w:pPr>
      <w:r>
        <w:rPr>
          <w:rFonts w:ascii="Times New Roman" w:cs="Times New Roman" w:eastAsia="Times New Roman" w:hAnsi="Times New Roman"/>
          <w:sz w:val="20"/>
          <w:szCs w:val="20"/>
          <w:color w:val="auto"/>
        </w:rPr>
        <w:t>A critical priority is to promote a long-term commitment to the Company by our Named Executive Officers and other key employees. We believe that there is great value to the Company in having a team of long-tenured, seasoned managers and knowledgeable, experienced employees. Our team-focused culture and management processes are designed to foster this commitment.</w:t>
      </w:r>
    </w:p>
    <w:p>
      <w:pPr>
        <w:spacing w:after="0" w:line="70" w:lineRule="exact"/>
        <w:rPr>
          <w:sz w:val="20"/>
          <w:szCs w:val="20"/>
          <w:color w:val="auto"/>
        </w:rPr>
      </w:pPr>
    </w:p>
    <w:p>
      <w:pPr>
        <w:jc w:val="both"/>
        <w:ind w:left="20"/>
        <w:spacing w:after="0" w:line="299" w:lineRule="auto"/>
        <w:rPr>
          <w:sz w:val="20"/>
          <w:szCs w:val="20"/>
          <w:color w:val="auto"/>
        </w:rPr>
      </w:pPr>
      <w:r>
        <w:rPr>
          <w:rFonts w:ascii="Times New Roman" w:cs="Times New Roman" w:eastAsia="Times New Roman" w:hAnsi="Times New Roman"/>
          <w:sz w:val="20"/>
          <w:szCs w:val="20"/>
          <w:color w:val="auto"/>
        </w:rPr>
        <w:t>While we are still evolving our compensation policies and practices, we strive for a fair, competitive, transparent, and equitable approach in recognizing and rewarding our Named Executive Officers and other employees. We take a principled approach to providing fair, relevant, and competitive compensation and benefits to a dynamic workforce with diverse needs. For our Named Executive Officers, we aim to balance short-term and long-term compensation and fixed amounts of cash with variable incentive compensation.</w:t>
      </w:r>
    </w:p>
    <w:p>
      <w:pPr>
        <w:spacing w:after="0" w:line="70"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0"/>
          <w:szCs w:val="20"/>
          <w:b w:val="1"/>
          <w:bCs w:val="1"/>
          <w:color w:val="auto"/>
        </w:rPr>
        <w:t>Compensation Elements</w:t>
      </w:r>
    </w:p>
    <w:p>
      <w:pPr>
        <w:spacing w:after="0" w:line="168" w:lineRule="exact"/>
        <w:rPr>
          <w:sz w:val="20"/>
          <w:szCs w:val="20"/>
          <w:color w:val="auto"/>
        </w:rPr>
      </w:pPr>
    </w:p>
    <w:p>
      <w:pPr>
        <w:jc w:val="both"/>
        <w:ind w:left="20"/>
        <w:spacing w:after="0" w:line="326" w:lineRule="auto"/>
        <w:rPr>
          <w:sz w:val="20"/>
          <w:szCs w:val="20"/>
          <w:color w:val="auto"/>
        </w:rPr>
      </w:pPr>
      <w:r>
        <w:rPr>
          <w:rFonts w:ascii="Times New Roman" w:cs="Times New Roman" w:eastAsia="Times New Roman" w:hAnsi="Times New Roman"/>
          <w:sz w:val="20"/>
          <w:szCs w:val="20"/>
          <w:color w:val="auto"/>
        </w:rPr>
        <w:t>Generally, our executive compensation program consists of three principal elements – base salary, cash bonus opportunities, and long-term incentive compensation in the form of equity awards.</w:t>
      </w:r>
    </w:p>
    <w:p>
      <w:pPr>
        <w:spacing w:after="0" w:line="43"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60" w:type="dxa"/>
            <w:vAlign w:val="bottom"/>
          </w:tcPr>
          <w:p>
            <w:pPr>
              <w:spacing w:after="0"/>
              <w:rPr>
                <w:sz w:val="20"/>
                <w:szCs w:val="20"/>
                <w:color w:val="auto"/>
              </w:rPr>
            </w:pPr>
          </w:p>
        </w:tc>
        <w:tc>
          <w:tcPr>
            <w:tcW w:w="740" w:type="dxa"/>
            <w:vAlign w:val="bottom"/>
            <w:vMerge w:val="restart"/>
          </w:tcPr>
          <w:p>
            <w:pPr>
              <w:spacing w:after="0"/>
              <w:rPr>
                <w:sz w:val="20"/>
                <w:szCs w:val="20"/>
                <w:color w:val="auto"/>
              </w:rPr>
            </w:pPr>
            <w:r>
              <w:rPr>
                <w:rFonts w:ascii="Times New Roman" w:cs="Times New Roman" w:eastAsia="Times New Roman" w:hAnsi="Times New Roman"/>
                <w:sz w:val="20"/>
                <w:szCs w:val="20"/>
                <w:b w:val="1"/>
                <w:bCs w:val="1"/>
                <w:color w:val="auto"/>
              </w:rPr>
              <w:t>Element</w:t>
            </w:r>
          </w:p>
        </w:tc>
        <w:tc>
          <w:tcPr>
            <w:tcW w:w="4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40" w:type="dxa"/>
            <w:vAlign w:val="bottom"/>
          </w:tcPr>
          <w:p>
            <w:pPr>
              <w:spacing w:after="0"/>
              <w:rPr>
                <w:sz w:val="20"/>
                <w:szCs w:val="20"/>
                <w:color w:val="auto"/>
              </w:rPr>
            </w:pPr>
            <w:r>
              <w:rPr>
                <w:rFonts w:ascii="Times New Roman" w:cs="Times New Roman" w:eastAsia="Times New Roman" w:hAnsi="Times New Roman"/>
                <w:sz w:val="20"/>
                <w:szCs w:val="20"/>
                <w:b w:val="1"/>
                <w:bCs w:val="1"/>
                <w:color w:val="auto"/>
              </w:rPr>
              <w:t>Type of</w:t>
            </w:r>
          </w:p>
        </w:tc>
        <w:tc>
          <w:tcPr>
            <w:tcW w:w="160" w:type="dxa"/>
            <w:vAlign w:val="bottom"/>
          </w:tcPr>
          <w:p>
            <w:pPr>
              <w:spacing w:after="0"/>
              <w:rPr>
                <w:sz w:val="20"/>
                <w:szCs w:val="20"/>
                <w:color w:val="auto"/>
              </w:rPr>
            </w:pPr>
          </w:p>
        </w:tc>
        <w:tc>
          <w:tcPr>
            <w:tcW w:w="3320" w:type="dxa"/>
            <w:vAlign w:val="bottom"/>
            <w:gridSpan w:val="2"/>
            <w:vMerge w:val="restart"/>
          </w:tcPr>
          <w:p>
            <w:pPr>
              <w:spacing w:after="0"/>
              <w:rPr>
                <w:sz w:val="20"/>
                <w:szCs w:val="20"/>
                <w:color w:val="auto"/>
              </w:rPr>
            </w:pPr>
            <w:r>
              <w:rPr>
                <w:rFonts w:ascii="Times New Roman" w:cs="Times New Roman" w:eastAsia="Times New Roman" w:hAnsi="Times New Roman"/>
                <w:sz w:val="20"/>
                <w:szCs w:val="20"/>
                <w:b w:val="1"/>
                <w:bCs w:val="1"/>
                <w:color w:val="auto"/>
              </w:rPr>
              <w:t>Compensation Element</w:t>
            </w:r>
          </w:p>
        </w:tc>
        <w:tc>
          <w:tcPr>
            <w:tcW w:w="4420" w:type="dxa"/>
            <w:vAlign w:val="bottom"/>
            <w:vMerge w:val="restart"/>
          </w:tcPr>
          <w:p>
            <w:pPr>
              <w:ind w:left="80"/>
              <w:spacing w:after="0"/>
              <w:rPr>
                <w:sz w:val="20"/>
                <w:szCs w:val="20"/>
                <w:color w:val="auto"/>
              </w:rPr>
            </w:pPr>
            <w:r>
              <w:rPr>
                <w:rFonts w:ascii="Times New Roman" w:cs="Times New Roman" w:eastAsia="Times New Roman" w:hAnsi="Times New Roman"/>
                <w:sz w:val="20"/>
                <w:szCs w:val="20"/>
                <w:b w:val="1"/>
                <w:bCs w:val="1"/>
                <w:color w:val="auto"/>
              </w:rPr>
              <w:t>Objective</w:t>
            </w:r>
          </w:p>
        </w:tc>
        <w:tc>
          <w:tcPr>
            <w:tcW w:w="0" w:type="dxa"/>
            <w:vAlign w:val="bottom"/>
          </w:tcPr>
          <w:p>
            <w:pPr>
              <w:spacing w:after="0"/>
              <w:rPr>
                <w:sz w:val="1"/>
                <w:szCs w:val="1"/>
                <w:color w:val="auto"/>
              </w:rPr>
            </w:pPr>
          </w:p>
        </w:tc>
      </w:tr>
      <w:tr>
        <w:trPr>
          <w:trHeight w:val="162"/>
        </w:trPr>
        <w:tc>
          <w:tcPr>
            <w:tcW w:w="60" w:type="dxa"/>
            <w:vAlign w:val="bottom"/>
          </w:tcPr>
          <w:p>
            <w:pPr>
              <w:spacing w:after="0"/>
              <w:rPr>
                <w:sz w:val="14"/>
                <w:szCs w:val="14"/>
                <w:color w:val="auto"/>
              </w:rPr>
            </w:pPr>
          </w:p>
        </w:tc>
        <w:tc>
          <w:tcPr>
            <w:tcW w:w="740" w:type="dxa"/>
            <w:vAlign w:val="bottom"/>
            <w:vMerge w:val="continue"/>
          </w:tcPr>
          <w:p>
            <w:pPr>
              <w:spacing w:after="0"/>
              <w:rPr>
                <w:sz w:val="14"/>
                <w:szCs w:val="14"/>
                <w:color w:val="auto"/>
              </w:rPr>
            </w:pPr>
          </w:p>
        </w:tc>
        <w:tc>
          <w:tcPr>
            <w:tcW w:w="4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40" w:type="dxa"/>
            <w:vAlign w:val="bottom"/>
            <w:vMerge w:val="restart"/>
          </w:tcPr>
          <w:p>
            <w:pPr>
              <w:spacing w:after="0"/>
              <w:rPr>
                <w:sz w:val="20"/>
                <w:szCs w:val="20"/>
                <w:color w:val="auto"/>
              </w:rPr>
            </w:pPr>
            <w:r>
              <w:rPr>
                <w:rFonts w:ascii="Times New Roman" w:cs="Times New Roman" w:eastAsia="Times New Roman" w:hAnsi="Times New Roman"/>
                <w:sz w:val="20"/>
                <w:szCs w:val="20"/>
                <w:b w:val="1"/>
                <w:bCs w:val="1"/>
                <w:color w:val="auto"/>
              </w:rPr>
              <w:t>Element</w:t>
            </w:r>
          </w:p>
        </w:tc>
        <w:tc>
          <w:tcPr>
            <w:tcW w:w="160" w:type="dxa"/>
            <w:vAlign w:val="bottom"/>
          </w:tcPr>
          <w:p>
            <w:pPr>
              <w:spacing w:after="0"/>
              <w:rPr>
                <w:sz w:val="14"/>
                <w:szCs w:val="14"/>
                <w:color w:val="auto"/>
              </w:rPr>
            </w:pPr>
          </w:p>
        </w:tc>
        <w:tc>
          <w:tcPr>
            <w:tcW w:w="3320" w:type="dxa"/>
            <w:vAlign w:val="bottom"/>
            <w:gridSpan w:val="2"/>
            <w:vMerge w:val="continue"/>
          </w:tcPr>
          <w:p>
            <w:pPr>
              <w:spacing w:after="0"/>
              <w:rPr>
                <w:sz w:val="14"/>
                <w:szCs w:val="14"/>
                <w:color w:val="auto"/>
              </w:rPr>
            </w:pPr>
          </w:p>
        </w:tc>
        <w:tc>
          <w:tcPr>
            <w:tcW w:w="44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12"/>
        </w:trPr>
        <w:tc>
          <w:tcPr>
            <w:tcW w:w="60" w:type="dxa"/>
            <w:vAlign w:val="bottom"/>
          </w:tcPr>
          <w:p>
            <w:pPr>
              <w:spacing w:after="0"/>
              <w:rPr>
                <w:sz w:val="9"/>
                <w:szCs w:val="9"/>
                <w:color w:val="auto"/>
              </w:rPr>
            </w:pPr>
          </w:p>
        </w:tc>
        <w:tc>
          <w:tcPr>
            <w:tcW w:w="740" w:type="dxa"/>
            <w:vAlign w:val="bottom"/>
            <w:tcBorders>
              <w:bottom w:val="single" w:sz="8" w:color="auto"/>
            </w:tcBorders>
          </w:tcPr>
          <w:p>
            <w:pPr>
              <w:spacing w:after="0"/>
              <w:rPr>
                <w:sz w:val="9"/>
                <w:szCs w:val="9"/>
                <w:color w:val="auto"/>
              </w:rPr>
            </w:pPr>
          </w:p>
        </w:tc>
        <w:tc>
          <w:tcPr>
            <w:tcW w:w="400" w:type="dxa"/>
            <w:vAlign w:val="bottom"/>
            <w:tcBorders>
              <w:bottom w:val="single" w:sz="8" w:color="auto"/>
            </w:tcBorders>
          </w:tcPr>
          <w:p>
            <w:pPr>
              <w:spacing w:after="0"/>
              <w:rPr>
                <w:sz w:val="9"/>
                <w:szCs w:val="9"/>
                <w:color w:val="auto"/>
              </w:rPr>
            </w:pPr>
          </w:p>
        </w:tc>
        <w:tc>
          <w:tcPr>
            <w:tcW w:w="180" w:type="dxa"/>
            <w:vAlign w:val="bottom"/>
            <w:tcBorders>
              <w:bottom w:val="single" w:sz="8" w:color="auto"/>
            </w:tcBorders>
          </w:tcPr>
          <w:p>
            <w:pPr>
              <w:spacing w:after="0"/>
              <w:rPr>
                <w:sz w:val="9"/>
                <w:szCs w:val="9"/>
                <w:color w:val="auto"/>
              </w:rPr>
            </w:pPr>
          </w:p>
        </w:tc>
        <w:tc>
          <w:tcPr>
            <w:tcW w:w="940" w:type="dxa"/>
            <w:vAlign w:val="bottom"/>
            <w:tcBorders>
              <w:bottom w:val="single" w:sz="8" w:color="auto"/>
            </w:tcBorders>
            <w:vMerge w:val="continue"/>
          </w:tcPr>
          <w:p>
            <w:pPr>
              <w:spacing w:after="0"/>
              <w:rPr>
                <w:sz w:val="9"/>
                <w:szCs w:val="9"/>
                <w:color w:val="auto"/>
              </w:rPr>
            </w:pPr>
          </w:p>
        </w:tc>
        <w:tc>
          <w:tcPr>
            <w:tcW w:w="160" w:type="dxa"/>
            <w:vAlign w:val="bottom"/>
            <w:tcBorders>
              <w:bottom w:val="single" w:sz="8" w:color="auto"/>
            </w:tcBorders>
          </w:tcPr>
          <w:p>
            <w:pPr>
              <w:spacing w:after="0"/>
              <w:rPr>
                <w:sz w:val="9"/>
                <w:szCs w:val="9"/>
                <w:color w:val="auto"/>
              </w:rPr>
            </w:pPr>
          </w:p>
        </w:tc>
        <w:tc>
          <w:tcPr>
            <w:tcW w:w="3240" w:type="dxa"/>
            <w:vAlign w:val="bottom"/>
            <w:tcBorders>
              <w:bottom w:val="single" w:sz="8" w:color="auto"/>
            </w:tcBorders>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4420" w:type="dxa"/>
            <w:vAlign w:val="bottom"/>
            <w:tcBorders>
              <w:bottom w:val="single" w:sz="8" w:color="auto"/>
            </w:tcBorders>
          </w:tcPr>
          <w:p>
            <w:pPr>
              <w:spacing w:after="0"/>
              <w:rPr>
                <w:sz w:val="9"/>
                <w:szCs w:val="9"/>
                <w:color w:val="auto"/>
              </w:rPr>
            </w:pPr>
          </w:p>
        </w:tc>
        <w:tc>
          <w:tcPr>
            <w:tcW w:w="0" w:type="dxa"/>
            <w:vAlign w:val="bottom"/>
          </w:tcPr>
          <w:p>
            <w:pPr>
              <w:spacing w:after="0"/>
              <w:rPr>
                <w:sz w:val="1"/>
                <w:szCs w:val="1"/>
                <w:color w:val="auto"/>
              </w:rPr>
            </w:pPr>
          </w:p>
        </w:tc>
      </w:tr>
      <w:tr>
        <w:trPr>
          <w:trHeight w:val="206"/>
        </w:trPr>
        <w:tc>
          <w:tcPr>
            <w:tcW w:w="60" w:type="dxa"/>
            <w:vAlign w:val="bottom"/>
            <w:tcBorders>
              <w:right w:val="single" w:sz="8" w:color="DDDDDD"/>
            </w:tcBorders>
          </w:tcPr>
          <w:p>
            <w:pPr>
              <w:spacing w:after="0"/>
              <w:rPr>
                <w:sz w:val="17"/>
                <w:szCs w:val="17"/>
                <w:color w:val="auto"/>
              </w:rPr>
            </w:pPr>
          </w:p>
        </w:tc>
        <w:tc>
          <w:tcPr>
            <w:tcW w:w="1140" w:type="dxa"/>
            <w:vAlign w:val="bottom"/>
            <w:tcBorders>
              <w:top w:val="single" w:sz="8" w:color="DDDDDD"/>
            </w:tcBorders>
            <w:gridSpan w:val="2"/>
            <w:shd w:val="clear" w:color="auto" w:fill="DDDDDD"/>
          </w:tcPr>
          <w:p>
            <w:pPr>
              <w:spacing w:after="0" w:line="206" w:lineRule="exact"/>
              <w:rPr>
                <w:sz w:val="20"/>
                <w:szCs w:val="20"/>
                <w:color w:val="auto"/>
              </w:rPr>
            </w:pPr>
            <w:r>
              <w:rPr>
                <w:rFonts w:ascii="Times New Roman" w:cs="Times New Roman" w:eastAsia="Times New Roman" w:hAnsi="Times New Roman"/>
                <w:sz w:val="18"/>
                <w:szCs w:val="18"/>
                <w:color w:val="auto"/>
              </w:rPr>
              <w:t>Base Salary</w:t>
            </w:r>
          </w:p>
        </w:tc>
        <w:tc>
          <w:tcPr>
            <w:tcW w:w="180" w:type="dxa"/>
            <w:vAlign w:val="bottom"/>
            <w:tcBorders>
              <w:top w:val="single" w:sz="8" w:color="DDDDDD"/>
            </w:tcBorders>
            <w:shd w:val="clear" w:color="auto" w:fill="DDDDDD"/>
          </w:tcPr>
          <w:p>
            <w:pPr>
              <w:spacing w:after="0"/>
              <w:rPr>
                <w:sz w:val="17"/>
                <w:szCs w:val="17"/>
                <w:color w:val="auto"/>
              </w:rPr>
            </w:pPr>
          </w:p>
        </w:tc>
        <w:tc>
          <w:tcPr>
            <w:tcW w:w="940" w:type="dxa"/>
            <w:vAlign w:val="bottom"/>
            <w:tcBorders>
              <w:top w:val="single" w:sz="8" w:color="DDDDDD"/>
            </w:tcBorders>
            <w:shd w:val="clear" w:color="auto" w:fill="DDDDDD"/>
          </w:tcPr>
          <w:p>
            <w:pPr>
              <w:spacing w:after="0" w:line="206" w:lineRule="exact"/>
              <w:rPr>
                <w:sz w:val="20"/>
                <w:szCs w:val="20"/>
                <w:color w:val="auto"/>
              </w:rPr>
            </w:pPr>
            <w:r>
              <w:rPr>
                <w:rFonts w:ascii="Times New Roman" w:cs="Times New Roman" w:eastAsia="Times New Roman" w:hAnsi="Times New Roman"/>
                <w:sz w:val="18"/>
                <w:szCs w:val="18"/>
                <w:color w:val="auto"/>
              </w:rPr>
              <w:t>Fixed</w:t>
            </w:r>
          </w:p>
        </w:tc>
        <w:tc>
          <w:tcPr>
            <w:tcW w:w="160" w:type="dxa"/>
            <w:vAlign w:val="bottom"/>
            <w:tcBorders>
              <w:top w:val="single" w:sz="8" w:color="DDDDDD"/>
            </w:tcBorders>
            <w:shd w:val="clear" w:color="auto" w:fill="DDDDDD"/>
          </w:tcPr>
          <w:p>
            <w:pPr>
              <w:spacing w:after="0"/>
              <w:rPr>
                <w:sz w:val="17"/>
                <w:szCs w:val="17"/>
                <w:color w:val="auto"/>
              </w:rPr>
            </w:pPr>
          </w:p>
        </w:tc>
        <w:tc>
          <w:tcPr>
            <w:tcW w:w="3240" w:type="dxa"/>
            <w:vAlign w:val="bottom"/>
            <w:tcBorders>
              <w:top w:val="single" w:sz="8" w:color="DDDDDD"/>
            </w:tcBorders>
            <w:shd w:val="clear" w:color="auto" w:fill="DDDDDD"/>
          </w:tcPr>
          <w:p>
            <w:pPr>
              <w:spacing w:after="0" w:line="206" w:lineRule="exact"/>
              <w:rPr>
                <w:sz w:val="20"/>
                <w:szCs w:val="20"/>
                <w:color w:val="auto"/>
              </w:rPr>
            </w:pPr>
            <w:r>
              <w:rPr>
                <w:rFonts w:ascii="Times New Roman" w:cs="Times New Roman" w:eastAsia="Times New Roman" w:hAnsi="Times New Roman"/>
                <w:sz w:val="18"/>
                <w:szCs w:val="18"/>
                <w:color w:val="auto"/>
              </w:rPr>
              <w:t>Cash</w:t>
            </w:r>
          </w:p>
        </w:tc>
        <w:tc>
          <w:tcPr>
            <w:tcW w:w="80" w:type="dxa"/>
            <w:vAlign w:val="bottom"/>
            <w:tcBorders>
              <w:top w:val="single" w:sz="8" w:color="DDDDDD"/>
            </w:tcBorders>
            <w:shd w:val="clear" w:color="auto" w:fill="DDDDDD"/>
          </w:tcPr>
          <w:p>
            <w:pPr>
              <w:spacing w:after="0"/>
              <w:rPr>
                <w:sz w:val="17"/>
                <w:szCs w:val="17"/>
                <w:color w:val="auto"/>
              </w:rPr>
            </w:pPr>
          </w:p>
        </w:tc>
        <w:tc>
          <w:tcPr>
            <w:tcW w:w="4420" w:type="dxa"/>
            <w:vAlign w:val="bottom"/>
            <w:tcBorders>
              <w:top w:val="single" w:sz="8" w:color="DDDDDD"/>
            </w:tcBorders>
            <w:shd w:val="clear" w:color="auto" w:fill="DDDDDD"/>
          </w:tcPr>
          <w:p>
            <w:pPr>
              <w:ind w:left="80"/>
              <w:spacing w:after="0" w:line="206" w:lineRule="exact"/>
              <w:rPr>
                <w:sz w:val="20"/>
                <w:szCs w:val="20"/>
                <w:color w:val="auto"/>
              </w:rPr>
            </w:pPr>
            <w:r>
              <w:rPr>
                <w:rFonts w:ascii="Times New Roman" w:cs="Times New Roman" w:eastAsia="Times New Roman" w:hAnsi="Times New Roman"/>
                <w:sz w:val="18"/>
                <w:szCs w:val="18"/>
                <w:color w:val="auto"/>
              </w:rPr>
              <w:t>Designed to attract and retain executives by providing a</w:t>
            </w:r>
          </w:p>
        </w:tc>
        <w:tc>
          <w:tcPr>
            <w:tcW w:w="0" w:type="dxa"/>
            <w:vAlign w:val="bottom"/>
          </w:tcPr>
          <w:p>
            <w:pPr>
              <w:spacing w:after="0"/>
              <w:rPr>
                <w:sz w:val="1"/>
                <w:szCs w:val="1"/>
                <w:color w:val="auto"/>
              </w:rPr>
            </w:pPr>
          </w:p>
        </w:tc>
      </w:tr>
      <w:tr>
        <w:trPr>
          <w:trHeight w:val="209"/>
        </w:trPr>
        <w:tc>
          <w:tcPr>
            <w:tcW w:w="60" w:type="dxa"/>
            <w:vAlign w:val="bottom"/>
            <w:tcBorders>
              <w:right w:val="single" w:sz="8" w:color="DDDDDD"/>
            </w:tcBorders>
          </w:tcPr>
          <w:p>
            <w:pPr>
              <w:spacing w:after="0"/>
              <w:rPr>
                <w:sz w:val="18"/>
                <w:szCs w:val="18"/>
                <w:color w:val="auto"/>
              </w:rPr>
            </w:pPr>
          </w:p>
        </w:tc>
        <w:tc>
          <w:tcPr>
            <w:tcW w:w="740" w:type="dxa"/>
            <w:vAlign w:val="bottom"/>
            <w:shd w:val="clear" w:color="auto" w:fill="DDDDDD"/>
          </w:tcPr>
          <w:p>
            <w:pPr>
              <w:spacing w:after="0"/>
              <w:rPr>
                <w:sz w:val="18"/>
                <w:szCs w:val="18"/>
                <w:color w:val="auto"/>
              </w:rPr>
            </w:pPr>
          </w:p>
        </w:tc>
        <w:tc>
          <w:tcPr>
            <w:tcW w:w="400" w:type="dxa"/>
            <w:vAlign w:val="bottom"/>
            <w:shd w:val="clear" w:color="auto" w:fill="DDDDDD"/>
          </w:tcPr>
          <w:p>
            <w:pPr>
              <w:spacing w:after="0"/>
              <w:rPr>
                <w:sz w:val="18"/>
                <w:szCs w:val="18"/>
                <w:color w:val="auto"/>
              </w:rPr>
            </w:pPr>
          </w:p>
        </w:tc>
        <w:tc>
          <w:tcPr>
            <w:tcW w:w="180" w:type="dxa"/>
            <w:vAlign w:val="bottom"/>
            <w:shd w:val="clear" w:color="auto" w:fill="DDDDDD"/>
          </w:tcPr>
          <w:p>
            <w:pPr>
              <w:spacing w:after="0"/>
              <w:rPr>
                <w:sz w:val="18"/>
                <w:szCs w:val="18"/>
                <w:color w:val="auto"/>
              </w:rPr>
            </w:pPr>
          </w:p>
        </w:tc>
        <w:tc>
          <w:tcPr>
            <w:tcW w:w="940" w:type="dxa"/>
            <w:vAlign w:val="bottom"/>
            <w:shd w:val="clear" w:color="auto" w:fill="DDDDDD"/>
          </w:tcPr>
          <w:p>
            <w:pPr>
              <w:spacing w:after="0"/>
              <w:rPr>
                <w:sz w:val="18"/>
                <w:szCs w:val="18"/>
                <w:color w:val="auto"/>
              </w:rPr>
            </w:pPr>
          </w:p>
        </w:tc>
        <w:tc>
          <w:tcPr>
            <w:tcW w:w="160" w:type="dxa"/>
            <w:vAlign w:val="bottom"/>
            <w:shd w:val="clear" w:color="auto" w:fill="DDDDDD"/>
          </w:tcPr>
          <w:p>
            <w:pPr>
              <w:spacing w:after="0"/>
              <w:rPr>
                <w:sz w:val="18"/>
                <w:szCs w:val="18"/>
                <w:color w:val="auto"/>
              </w:rPr>
            </w:pPr>
          </w:p>
        </w:tc>
        <w:tc>
          <w:tcPr>
            <w:tcW w:w="3240" w:type="dxa"/>
            <w:vAlign w:val="bottom"/>
            <w:shd w:val="clear" w:color="auto" w:fill="DDDDDD"/>
          </w:tcPr>
          <w:p>
            <w:pPr>
              <w:spacing w:after="0"/>
              <w:rPr>
                <w:sz w:val="18"/>
                <w:szCs w:val="18"/>
                <w:color w:val="auto"/>
              </w:rPr>
            </w:pPr>
          </w:p>
        </w:tc>
        <w:tc>
          <w:tcPr>
            <w:tcW w:w="80" w:type="dxa"/>
            <w:vAlign w:val="bottom"/>
            <w:shd w:val="clear" w:color="auto" w:fill="DDDDDD"/>
          </w:tcPr>
          <w:p>
            <w:pPr>
              <w:spacing w:after="0"/>
              <w:rPr>
                <w:sz w:val="18"/>
                <w:szCs w:val="18"/>
                <w:color w:val="auto"/>
              </w:rPr>
            </w:pPr>
          </w:p>
        </w:tc>
        <w:tc>
          <w:tcPr>
            <w:tcW w:w="4420" w:type="dxa"/>
            <w:vAlign w:val="bottom"/>
            <w:shd w:val="clear" w:color="auto" w:fill="DDDDDD"/>
          </w:tcPr>
          <w:p>
            <w:pPr>
              <w:ind w:left="80"/>
              <w:spacing w:after="0"/>
              <w:rPr>
                <w:sz w:val="20"/>
                <w:szCs w:val="20"/>
                <w:color w:val="auto"/>
              </w:rPr>
            </w:pPr>
            <w:r>
              <w:rPr>
                <w:rFonts w:ascii="Times New Roman" w:cs="Times New Roman" w:eastAsia="Times New Roman" w:hAnsi="Times New Roman"/>
                <w:sz w:val="18"/>
                <w:szCs w:val="18"/>
                <w:color w:val="auto"/>
                <w:w w:val="98"/>
              </w:rPr>
              <w:t>competitive fixed amount of cash compensation based on the</w:t>
            </w:r>
          </w:p>
        </w:tc>
        <w:tc>
          <w:tcPr>
            <w:tcW w:w="0" w:type="dxa"/>
            <w:vAlign w:val="bottom"/>
          </w:tcPr>
          <w:p>
            <w:pPr>
              <w:spacing w:after="0"/>
              <w:rPr>
                <w:sz w:val="1"/>
                <w:szCs w:val="1"/>
                <w:color w:val="auto"/>
              </w:rPr>
            </w:pPr>
          </w:p>
        </w:tc>
      </w:tr>
      <w:tr>
        <w:trPr>
          <w:trHeight w:val="209"/>
        </w:trPr>
        <w:tc>
          <w:tcPr>
            <w:tcW w:w="60" w:type="dxa"/>
            <w:vAlign w:val="bottom"/>
            <w:tcBorders>
              <w:right w:val="single" w:sz="8" w:color="DDDDDD"/>
            </w:tcBorders>
          </w:tcPr>
          <w:p>
            <w:pPr>
              <w:spacing w:after="0"/>
              <w:rPr>
                <w:sz w:val="18"/>
                <w:szCs w:val="18"/>
                <w:color w:val="auto"/>
              </w:rPr>
            </w:pPr>
          </w:p>
        </w:tc>
        <w:tc>
          <w:tcPr>
            <w:tcW w:w="740" w:type="dxa"/>
            <w:vAlign w:val="bottom"/>
            <w:shd w:val="clear" w:color="auto" w:fill="DDDDDD"/>
          </w:tcPr>
          <w:p>
            <w:pPr>
              <w:spacing w:after="0"/>
              <w:rPr>
                <w:sz w:val="18"/>
                <w:szCs w:val="18"/>
                <w:color w:val="auto"/>
              </w:rPr>
            </w:pPr>
          </w:p>
        </w:tc>
        <w:tc>
          <w:tcPr>
            <w:tcW w:w="400" w:type="dxa"/>
            <w:vAlign w:val="bottom"/>
            <w:shd w:val="clear" w:color="auto" w:fill="DDDDDD"/>
          </w:tcPr>
          <w:p>
            <w:pPr>
              <w:spacing w:after="0"/>
              <w:rPr>
                <w:sz w:val="18"/>
                <w:szCs w:val="18"/>
                <w:color w:val="auto"/>
              </w:rPr>
            </w:pPr>
          </w:p>
        </w:tc>
        <w:tc>
          <w:tcPr>
            <w:tcW w:w="180" w:type="dxa"/>
            <w:vAlign w:val="bottom"/>
            <w:shd w:val="clear" w:color="auto" w:fill="DDDDDD"/>
          </w:tcPr>
          <w:p>
            <w:pPr>
              <w:spacing w:after="0"/>
              <w:rPr>
                <w:sz w:val="18"/>
                <w:szCs w:val="18"/>
                <w:color w:val="auto"/>
              </w:rPr>
            </w:pPr>
          </w:p>
        </w:tc>
        <w:tc>
          <w:tcPr>
            <w:tcW w:w="940" w:type="dxa"/>
            <w:vAlign w:val="bottom"/>
            <w:shd w:val="clear" w:color="auto" w:fill="DDDDDD"/>
          </w:tcPr>
          <w:p>
            <w:pPr>
              <w:spacing w:after="0"/>
              <w:rPr>
                <w:sz w:val="18"/>
                <w:szCs w:val="18"/>
                <w:color w:val="auto"/>
              </w:rPr>
            </w:pPr>
          </w:p>
        </w:tc>
        <w:tc>
          <w:tcPr>
            <w:tcW w:w="160" w:type="dxa"/>
            <w:vAlign w:val="bottom"/>
            <w:shd w:val="clear" w:color="auto" w:fill="DDDDDD"/>
          </w:tcPr>
          <w:p>
            <w:pPr>
              <w:spacing w:after="0"/>
              <w:rPr>
                <w:sz w:val="18"/>
                <w:szCs w:val="18"/>
                <w:color w:val="auto"/>
              </w:rPr>
            </w:pPr>
          </w:p>
        </w:tc>
        <w:tc>
          <w:tcPr>
            <w:tcW w:w="3240" w:type="dxa"/>
            <w:vAlign w:val="bottom"/>
            <w:shd w:val="clear" w:color="auto" w:fill="DDDDDD"/>
          </w:tcPr>
          <w:p>
            <w:pPr>
              <w:spacing w:after="0"/>
              <w:rPr>
                <w:sz w:val="18"/>
                <w:szCs w:val="18"/>
                <w:color w:val="auto"/>
              </w:rPr>
            </w:pPr>
          </w:p>
        </w:tc>
        <w:tc>
          <w:tcPr>
            <w:tcW w:w="80" w:type="dxa"/>
            <w:vAlign w:val="bottom"/>
            <w:shd w:val="clear" w:color="auto" w:fill="DDDDDD"/>
          </w:tcPr>
          <w:p>
            <w:pPr>
              <w:spacing w:after="0"/>
              <w:rPr>
                <w:sz w:val="18"/>
                <w:szCs w:val="18"/>
                <w:color w:val="auto"/>
              </w:rPr>
            </w:pPr>
          </w:p>
        </w:tc>
        <w:tc>
          <w:tcPr>
            <w:tcW w:w="4420" w:type="dxa"/>
            <w:vAlign w:val="bottom"/>
            <w:shd w:val="clear" w:color="auto" w:fill="DDDDDD"/>
          </w:tcPr>
          <w:p>
            <w:pPr>
              <w:ind w:left="80"/>
              <w:spacing w:after="0"/>
              <w:rPr>
                <w:sz w:val="20"/>
                <w:szCs w:val="20"/>
                <w:color w:val="auto"/>
              </w:rPr>
            </w:pPr>
            <w:r>
              <w:rPr>
                <w:rFonts w:ascii="Times New Roman" w:cs="Times New Roman" w:eastAsia="Times New Roman" w:hAnsi="Times New Roman"/>
                <w:sz w:val="18"/>
                <w:szCs w:val="18"/>
                <w:color w:val="auto"/>
              </w:rPr>
              <w:t>executive’s   role,   prior   experience,   and   expected</w:t>
            </w:r>
          </w:p>
        </w:tc>
        <w:tc>
          <w:tcPr>
            <w:tcW w:w="0" w:type="dxa"/>
            <w:vAlign w:val="bottom"/>
          </w:tcPr>
          <w:p>
            <w:pPr>
              <w:spacing w:after="0"/>
              <w:rPr>
                <w:sz w:val="1"/>
                <w:szCs w:val="1"/>
                <w:color w:val="auto"/>
              </w:rPr>
            </w:pPr>
          </w:p>
        </w:tc>
      </w:tr>
      <w:tr>
        <w:trPr>
          <w:trHeight w:val="248"/>
        </w:trPr>
        <w:tc>
          <w:tcPr>
            <w:tcW w:w="60" w:type="dxa"/>
            <w:vAlign w:val="bottom"/>
            <w:tcBorders>
              <w:right w:val="single" w:sz="8" w:color="DDDDDD"/>
            </w:tcBorders>
          </w:tcPr>
          <w:p>
            <w:pPr>
              <w:spacing w:after="0"/>
              <w:rPr>
                <w:sz w:val="21"/>
                <w:szCs w:val="21"/>
                <w:color w:val="auto"/>
              </w:rPr>
            </w:pPr>
          </w:p>
        </w:tc>
        <w:tc>
          <w:tcPr>
            <w:tcW w:w="740" w:type="dxa"/>
            <w:vAlign w:val="bottom"/>
            <w:tcBorders>
              <w:bottom w:val="single" w:sz="8" w:color="auto"/>
            </w:tcBorders>
            <w:shd w:val="clear" w:color="auto" w:fill="DDDDDD"/>
          </w:tcPr>
          <w:p>
            <w:pPr>
              <w:spacing w:after="0"/>
              <w:rPr>
                <w:sz w:val="21"/>
                <w:szCs w:val="21"/>
                <w:color w:val="auto"/>
              </w:rPr>
            </w:pPr>
          </w:p>
        </w:tc>
        <w:tc>
          <w:tcPr>
            <w:tcW w:w="400" w:type="dxa"/>
            <w:vAlign w:val="bottom"/>
            <w:tcBorders>
              <w:bottom w:val="single" w:sz="8" w:color="auto"/>
            </w:tcBorders>
            <w:shd w:val="clear" w:color="auto" w:fill="DDDDDD"/>
          </w:tcPr>
          <w:p>
            <w:pPr>
              <w:spacing w:after="0"/>
              <w:rPr>
                <w:sz w:val="21"/>
                <w:szCs w:val="21"/>
                <w:color w:val="auto"/>
              </w:rPr>
            </w:pPr>
          </w:p>
        </w:tc>
        <w:tc>
          <w:tcPr>
            <w:tcW w:w="180" w:type="dxa"/>
            <w:vAlign w:val="bottom"/>
            <w:tcBorders>
              <w:bottom w:val="single" w:sz="8" w:color="auto"/>
            </w:tcBorders>
            <w:shd w:val="clear" w:color="auto" w:fill="DDDDDD"/>
          </w:tcPr>
          <w:p>
            <w:pPr>
              <w:spacing w:after="0"/>
              <w:rPr>
                <w:sz w:val="21"/>
                <w:szCs w:val="21"/>
                <w:color w:val="auto"/>
              </w:rPr>
            </w:pPr>
          </w:p>
        </w:tc>
        <w:tc>
          <w:tcPr>
            <w:tcW w:w="940" w:type="dxa"/>
            <w:vAlign w:val="bottom"/>
            <w:tcBorders>
              <w:bottom w:val="single" w:sz="8" w:color="auto"/>
            </w:tcBorders>
            <w:shd w:val="clear" w:color="auto" w:fill="DDDDDD"/>
          </w:tcPr>
          <w:p>
            <w:pPr>
              <w:spacing w:after="0"/>
              <w:rPr>
                <w:sz w:val="21"/>
                <w:szCs w:val="21"/>
                <w:color w:val="auto"/>
              </w:rPr>
            </w:pPr>
          </w:p>
        </w:tc>
        <w:tc>
          <w:tcPr>
            <w:tcW w:w="160" w:type="dxa"/>
            <w:vAlign w:val="bottom"/>
            <w:tcBorders>
              <w:bottom w:val="single" w:sz="8" w:color="auto"/>
            </w:tcBorders>
            <w:shd w:val="clear" w:color="auto" w:fill="DDDDDD"/>
          </w:tcPr>
          <w:p>
            <w:pPr>
              <w:spacing w:after="0"/>
              <w:rPr>
                <w:sz w:val="21"/>
                <w:szCs w:val="21"/>
                <w:color w:val="auto"/>
              </w:rPr>
            </w:pPr>
          </w:p>
        </w:tc>
        <w:tc>
          <w:tcPr>
            <w:tcW w:w="3240" w:type="dxa"/>
            <w:vAlign w:val="bottom"/>
            <w:tcBorders>
              <w:bottom w:val="single" w:sz="8" w:color="auto"/>
            </w:tcBorders>
            <w:shd w:val="clear" w:color="auto" w:fill="DDDDDD"/>
          </w:tcPr>
          <w:p>
            <w:pPr>
              <w:spacing w:after="0"/>
              <w:rPr>
                <w:sz w:val="21"/>
                <w:szCs w:val="21"/>
                <w:color w:val="auto"/>
              </w:rPr>
            </w:pPr>
          </w:p>
        </w:tc>
        <w:tc>
          <w:tcPr>
            <w:tcW w:w="80" w:type="dxa"/>
            <w:vAlign w:val="bottom"/>
            <w:tcBorders>
              <w:bottom w:val="single" w:sz="8" w:color="auto"/>
            </w:tcBorders>
            <w:shd w:val="clear" w:color="auto" w:fill="DDDDDD"/>
          </w:tcPr>
          <w:p>
            <w:pPr>
              <w:spacing w:after="0"/>
              <w:rPr>
                <w:sz w:val="21"/>
                <w:szCs w:val="21"/>
                <w:color w:val="auto"/>
              </w:rPr>
            </w:pPr>
          </w:p>
        </w:tc>
        <w:tc>
          <w:tcPr>
            <w:tcW w:w="4420" w:type="dxa"/>
            <w:vAlign w:val="bottom"/>
            <w:tcBorders>
              <w:bottom w:val="single" w:sz="8" w:color="auto"/>
            </w:tcBorders>
            <w:shd w:val="clear" w:color="auto" w:fill="DDDDDD"/>
          </w:tcPr>
          <w:p>
            <w:pPr>
              <w:ind w:left="80"/>
              <w:spacing w:after="0"/>
              <w:rPr>
                <w:sz w:val="20"/>
                <w:szCs w:val="20"/>
                <w:color w:val="auto"/>
              </w:rPr>
            </w:pPr>
            <w:r>
              <w:rPr>
                <w:rFonts w:ascii="Times New Roman" w:cs="Times New Roman" w:eastAsia="Times New Roman" w:hAnsi="Times New Roman"/>
                <w:sz w:val="18"/>
                <w:szCs w:val="18"/>
                <w:color w:val="auto"/>
              </w:rPr>
              <w:t>contributions to the Company</w:t>
            </w:r>
          </w:p>
        </w:tc>
        <w:tc>
          <w:tcPr>
            <w:tcW w:w="0" w:type="dxa"/>
            <w:vAlign w:val="bottom"/>
          </w:tcPr>
          <w:p>
            <w:pPr>
              <w:spacing w:after="0"/>
              <w:rPr>
                <w:sz w:val="1"/>
                <w:szCs w:val="1"/>
                <w:color w:val="auto"/>
              </w:rPr>
            </w:pPr>
          </w:p>
        </w:tc>
      </w:tr>
      <w:tr>
        <w:trPr>
          <w:trHeight w:val="221"/>
        </w:trPr>
        <w:tc>
          <w:tcPr>
            <w:tcW w:w="60" w:type="dxa"/>
            <w:vAlign w:val="bottom"/>
          </w:tcPr>
          <w:p>
            <w:pPr>
              <w:spacing w:after="0"/>
              <w:rPr>
                <w:sz w:val="19"/>
                <w:szCs w:val="19"/>
                <w:color w:val="auto"/>
              </w:rPr>
            </w:pPr>
          </w:p>
        </w:tc>
        <w:tc>
          <w:tcPr>
            <w:tcW w:w="11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Cash Bonuses</w:t>
            </w:r>
          </w:p>
        </w:tc>
        <w:tc>
          <w:tcPr>
            <w:tcW w:w="180" w:type="dxa"/>
            <w:vAlign w:val="bottom"/>
          </w:tcPr>
          <w:p>
            <w:pPr>
              <w:spacing w:after="0"/>
              <w:rPr>
                <w:sz w:val="19"/>
                <w:szCs w:val="19"/>
                <w:color w:val="auto"/>
              </w:rPr>
            </w:pPr>
          </w:p>
        </w:tc>
        <w:tc>
          <w:tcPr>
            <w:tcW w:w="940" w:type="dxa"/>
            <w:vAlign w:val="bottom"/>
          </w:tcPr>
          <w:p>
            <w:pPr>
              <w:spacing w:after="0"/>
              <w:rPr>
                <w:sz w:val="20"/>
                <w:szCs w:val="20"/>
                <w:color w:val="auto"/>
              </w:rPr>
            </w:pPr>
            <w:r>
              <w:rPr>
                <w:rFonts w:ascii="Times New Roman" w:cs="Times New Roman" w:eastAsia="Times New Roman" w:hAnsi="Times New Roman"/>
                <w:sz w:val="18"/>
                <w:szCs w:val="18"/>
                <w:color w:val="auto"/>
              </w:rPr>
              <w:t>Variable</w:t>
            </w:r>
          </w:p>
        </w:tc>
        <w:tc>
          <w:tcPr>
            <w:tcW w:w="160" w:type="dxa"/>
            <w:vAlign w:val="bottom"/>
          </w:tcPr>
          <w:p>
            <w:pPr>
              <w:spacing w:after="0"/>
              <w:rPr>
                <w:sz w:val="19"/>
                <w:szCs w:val="19"/>
                <w:color w:val="auto"/>
              </w:rPr>
            </w:pPr>
          </w:p>
        </w:tc>
        <w:tc>
          <w:tcPr>
            <w:tcW w:w="33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Cash</w:t>
            </w:r>
          </w:p>
        </w:tc>
        <w:tc>
          <w:tcPr>
            <w:tcW w:w="442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Designed to motivate our executives to achieve business</w:t>
            </w:r>
          </w:p>
        </w:tc>
        <w:tc>
          <w:tcPr>
            <w:tcW w:w="0" w:type="dxa"/>
            <w:vAlign w:val="bottom"/>
          </w:tcPr>
          <w:p>
            <w:pPr>
              <w:spacing w:after="0"/>
              <w:rPr>
                <w:sz w:val="1"/>
                <w:szCs w:val="1"/>
                <w:color w:val="auto"/>
              </w:rPr>
            </w:pPr>
          </w:p>
        </w:tc>
      </w:tr>
      <w:tr>
        <w:trPr>
          <w:trHeight w:val="209"/>
        </w:trPr>
        <w:tc>
          <w:tcPr>
            <w:tcW w:w="6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2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42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objectives tied to specific Company metrics and which are</w:t>
            </w:r>
          </w:p>
        </w:tc>
        <w:tc>
          <w:tcPr>
            <w:tcW w:w="0" w:type="dxa"/>
            <w:vAlign w:val="bottom"/>
          </w:tcPr>
          <w:p>
            <w:pPr>
              <w:spacing w:after="0"/>
              <w:rPr>
                <w:sz w:val="1"/>
                <w:szCs w:val="1"/>
                <w:color w:val="auto"/>
              </w:rPr>
            </w:pPr>
          </w:p>
        </w:tc>
      </w:tr>
      <w:tr>
        <w:trPr>
          <w:trHeight w:val="209"/>
        </w:trPr>
        <w:tc>
          <w:tcPr>
            <w:tcW w:w="6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2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42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aligned to our annual priorities, with the payout opportunity</w:t>
            </w:r>
          </w:p>
        </w:tc>
        <w:tc>
          <w:tcPr>
            <w:tcW w:w="0" w:type="dxa"/>
            <w:vAlign w:val="bottom"/>
          </w:tcPr>
          <w:p>
            <w:pPr>
              <w:spacing w:after="0"/>
              <w:rPr>
                <w:sz w:val="1"/>
                <w:szCs w:val="1"/>
                <w:color w:val="auto"/>
              </w:rPr>
            </w:pPr>
          </w:p>
        </w:tc>
      </w:tr>
      <w:tr>
        <w:trPr>
          <w:trHeight w:val="253"/>
        </w:trPr>
        <w:tc>
          <w:tcPr>
            <w:tcW w:w="60" w:type="dxa"/>
            <w:vAlign w:val="bottom"/>
          </w:tcPr>
          <w:p>
            <w:pPr>
              <w:spacing w:after="0"/>
              <w:rPr>
                <w:sz w:val="21"/>
                <w:szCs w:val="21"/>
                <w:color w:val="auto"/>
              </w:rPr>
            </w:pPr>
          </w:p>
        </w:tc>
        <w:tc>
          <w:tcPr>
            <w:tcW w:w="740" w:type="dxa"/>
            <w:vAlign w:val="bottom"/>
            <w:tcBorders>
              <w:bottom w:val="single" w:sz="8" w:color="auto"/>
            </w:tcBorders>
          </w:tcPr>
          <w:p>
            <w:pPr>
              <w:spacing w:after="0"/>
              <w:rPr>
                <w:sz w:val="21"/>
                <w:szCs w:val="21"/>
                <w:color w:val="auto"/>
              </w:rPr>
            </w:pPr>
          </w:p>
        </w:tc>
        <w:tc>
          <w:tcPr>
            <w:tcW w:w="400" w:type="dxa"/>
            <w:vAlign w:val="bottom"/>
            <w:tcBorders>
              <w:bottom w:val="single" w:sz="8" w:color="auto"/>
            </w:tcBorders>
          </w:tcPr>
          <w:p>
            <w:pPr>
              <w:spacing w:after="0"/>
              <w:rPr>
                <w:sz w:val="21"/>
                <w:szCs w:val="21"/>
                <w:color w:val="auto"/>
              </w:rPr>
            </w:pPr>
          </w:p>
        </w:tc>
        <w:tc>
          <w:tcPr>
            <w:tcW w:w="180" w:type="dxa"/>
            <w:vAlign w:val="bottom"/>
            <w:tcBorders>
              <w:bottom w:val="single" w:sz="8" w:color="auto"/>
            </w:tcBorders>
          </w:tcPr>
          <w:p>
            <w:pPr>
              <w:spacing w:after="0"/>
              <w:rPr>
                <w:sz w:val="21"/>
                <w:szCs w:val="21"/>
                <w:color w:val="auto"/>
              </w:rPr>
            </w:pPr>
          </w:p>
        </w:tc>
        <w:tc>
          <w:tcPr>
            <w:tcW w:w="940" w:type="dxa"/>
            <w:vAlign w:val="bottom"/>
            <w:tcBorders>
              <w:bottom w:val="single" w:sz="8" w:color="auto"/>
            </w:tcBorders>
          </w:tcPr>
          <w:p>
            <w:pPr>
              <w:spacing w:after="0"/>
              <w:rPr>
                <w:sz w:val="21"/>
                <w:szCs w:val="21"/>
                <w:color w:val="auto"/>
              </w:rPr>
            </w:pPr>
          </w:p>
        </w:tc>
        <w:tc>
          <w:tcPr>
            <w:tcW w:w="160" w:type="dxa"/>
            <w:vAlign w:val="bottom"/>
            <w:tcBorders>
              <w:bottom w:val="single" w:sz="8" w:color="auto"/>
            </w:tcBorders>
          </w:tcPr>
          <w:p>
            <w:pPr>
              <w:spacing w:after="0"/>
              <w:rPr>
                <w:sz w:val="21"/>
                <w:szCs w:val="21"/>
                <w:color w:val="auto"/>
              </w:rPr>
            </w:pPr>
          </w:p>
        </w:tc>
        <w:tc>
          <w:tcPr>
            <w:tcW w:w="3240" w:type="dxa"/>
            <w:vAlign w:val="bottom"/>
            <w:tcBorders>
              <w:bottom w:val="single" w:sz="8" w:color="auto"/>
            </w:tcBorders>
          </w:tcPr>
          <w:p>
            <w:pPr>
              <w:spacing w:after="0"/>
              <w:rPr>
                <w:sz w:val="21"/>
                <w:szCs w:val="21"/>
                <w:color w:val="auto"/>
              </w:rPr>
            </w:pPr>
          </w:p>
        </w:tc>
        <w:tc>
          <w:tcPr>
            <w:tcW w:w="80" w:type="dxa"/>
            <w:vAlign w:val="bottom"/>
            <w:tcBorders>
              <w:bottom w:val="single" w:sz="8" w:color="auto"/>
            </w:tcBorders>
          </w:tcPr>
          <w:p>
            <w:pPr>
              <w:spacing w:after="0"/>
              <w:rPr>
                <w:sz w:val="21"/>
                <w:szCs w:val="21"/>
                <w:color w:val="auto"/>
              </w:rPr>
            </w:pPr>
          </w:p>
        </w:tc>
        <w:tc>
          <w:tcPr>
            <w:tcW w:w="4420" w:type="dxa"/>
            <w:vAlign w:val="bottom"/>
            <w:tcBorders>
              <w:bottom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based on Company and individual performance</w:t>
            </w:r>
          </w:p>
        </w:tc>
        <w:tc>
          <w:tcPr>
            <w:tcW w:w="0" w:type="dxa"/>
            <w:vAlign w:val="bottom"/>
          </w:tcPr>
          <w:p>
            <w:pPr>
              <w:spacing w:after="0"/>
              <w:rPr>
                <w:sz w:val="1"/>
                <w:szCs w:val="1"/>
                <w:color w:val="auto"/>
              </w:rPr>
            </w:pPr>
          </w:p>
        </w:tc>
      </w:tr>
      <w:tr>
        <w:trPr>
          <w:trHeight w:val="224"/>
        </w:trPr>
        <w:tc>
          <w:tcPr>
            <w:tcW w:w="60" w:type="dxa"/>
            <w:vAlign w:val="bottom"/>
            <w:tcBorders>
              <w:right w:val="single" w:sz="8" w:color="DDDDDD"/>
            </w:tcBorders>
          </w:tcPr>
          <w:p>
            <w:pPr>
              <w:spacing w:after="0"/>
              <w:rPr>
                <w:sz w:val="19"/>
                <w:szCs w:val="19"/>
                <w:color w:val="auto"/>
              </w:rPr>
            </w:pPr>
          </w:p>
        </w:tc>
        <w:tc>
          <w:tcPr>
            <w:tcW w:w="740" w:type="dxa"/>
            <w:vAlign w:val="bottom"/>
            <w:shd w:val="clear" w:color="auto" w:fill="DDDDDD"/>
          </w:tcPr>
          <w:p>
            <w:pPr>
              <w:spacing w:after="0"/>
              <w:rPr>
                <w:sz w:val="20"/>
                <w:szCs w:val="20"/>
                <w:color w:val="auto"/>
              </w:rPr>
            </w:pPr>
            <w:r>
              <w:rPr>
                <w:rFonts w:ascii="Times New Roman" w:cs="Times New Roman" w:eastAsia="Times New Roman" w:hAnsi="Times New Roman"/>
                <w:sz w:val="18"/>
                <w:szCs w:val="18"/>
                <w:color w:val="auto"/>
              </w:rPr>
              <w:t>Long</w:t>
            </w:r>
          </w:p>
        </w:tc>
        <w:tc>
          <w:tcPr>
            <w:tcW w:w="400" w:type="dxa"/>
            <w:vAlign w:val="bottom"/>
            <w:shd w:val="clear" w:color="auto" w:fill="DDDDDD"/>
          </w:tcPr>
          <w:p>
            <w:pPr>
              <w:ind w:left="20"/>
              <w:spacing w:after="0"/>
              <w:rPr>
                <w:sz w:val="20"/>
                <w:szCs w:val="20"/>
                <w:color w:val="auto"/>
              </w:rPr>
            </w:pPr>
            <w:r>
              <w:rPr>
                <w:rFonts w:ascii="Times New Roman" w:cs="Times New Roman" w:eastAsia="Times New Roman" w:hAnsi="Times New Roman"/>
                <w:sz w:val="18"/>
                <w:szCs w:val="18"/>
                <w:color w:val="auto"/>
                <w:w w:val="92"/>
              </w:rPr>
              <w:t>Term</w:t>
            </w:r>
          </w:p>
        </w:tc>
        <w:tc>
          <w:tcPr>
            <w:tcW w:w="180" w:type="dxa"/>
            <w:vAlign w:val="bottom"/>
            <w:shd w:val="clear" w:color="auto" w:fill="DDDDDD"/>
          </w:tcPr>
          <w:p>
            <w:pPr>
              <w:spacing w:after="0"/>
              <w:rPr>
                <w:sz w:val="19"/>
                <w:szCs w:val="19"/>
                <w:color w:val="auto"/>
              </w:rPr>
            </w:pPr>
          </w:p>
        </w:tc>
        <w:tc>
          <w:tcPr>
            <w:tcW w:w="940" w:type="dxa"/>
            <w:vAlign w:val="bottom"/>
            <w:shd w:val="clear" w:color="auto" w:fill="DDDDDD"/>
          </w:tcPr>
          <w:p>
            <w:pPr>
              <w:spacing w:after="0"/>
              <w:rPr>
                <w:sz w:val="20"/>
                <w:szCs w:val="20"/>
                <w:color w:val="auto"/>
              </w:rPr>
            </w:pPr>
            <w:r>
              <w:rPr>
                <w:rFonts w:ascii="Times New Roman" w:cs="Times New Roman" w:eastAsia="Times New Roman" w:hAnsi="Times New Roman"/>
                <w:sz w:val="18"/>
                <w:szCs w:val="18"/>
                <w:color w:val="auto"/>
              </w:rPr>
              <w:t>Variable</w:t>
            </w:r>
          </w:p>
        </w:tc>
        <w:tc>
          <w:tcPr>
            <w:tcW w:w="160" w:type="dxa"/>
            <w:vAlign w:val="bottom"/>
            <w:shd w:val="clear" w:color="auto" w:fill="DDDDDD"/>
          </w:tcPr>
          <w:p>
            <w:pPr>
              <w:spacing w:after="0"/>
              <w:rPr>
                <w:sz w:val="19"/>
                <w:szCs w:val="19"/>
                <w:color w:val="auto"/>
              </w:rPr>
            </w:pPr>
          </w:p>
        </w:tc>
        <w:tc>
          <w:tcPr>
            <w:tcW w:w="3240" w:type="dxa"/>
            <w:vAlign w:val="bottom"/>
            <w:shd w:val="clear" w:color="auto" w:fill="DDDDDD"/>
          </w:tcPr>
          <w:p>
            <w:pPr>
              <w:spacing w:after="0"/>
              <w:rPr>
                <w:sz w:val="20"/>
                <w:szCs w:val="20"/>
                <w:color w:val="auto"/>
              </w:rPr>
            </w:pPr>
            <w:r>
              <w:rPr>
                <w:rFonts w:ascii="Times New Roman" w:cs="Times New Roman" w:eastAsia="Times New Roman" w:hAnsi="Times New Roman"/>
                <w:sz w:val="18"/>
                <w:szCs w:val="18"/>
                <w:color w:val="auto"/>
              </w:rPr>
              <w:t>Equity awards in the form of RSU awards</w:t>
            </w:r>
          </w:p>
        </w:tc>
        <w:tc>
          <w:tcPr>
            <w:tcW w:w="80" w:type="dxa"/>
            <w:vAlign w:val="bottom"/>
            <w:shd w:val="clear" w:color="auto" w:fill="DDDDDD"/>
          </w:tcPr>
          <w:p>
            <w:pPr>
              <w:spacing w:after="0"/>
              <w:rPr>
                <w:sz w:val="19"/>
                <w:szCs w:val="19"/>
                <w:color w:val="auto"/>
              </w:rPr>
            </w:pPr>
          </w:p>
        </w:tc>
        <w:tc>
          <w:tcPr>
            <w:tcW w:w="4420" w:type="dxa"/>
            <w:vAlign w:val="bottom"/>
            <w:shd w:val="clear" w:color="auto" w:fill="DDDDDD"/>
          </w:tcPr>
          <w:p>
            <w:pPr>
              <w:ind w:left="80"/>
              <w:spacing w:after="0"/>
              <w:rPr>
                <w:sz w:val="20"/>
                <w:szCs w:val="20"/>
                <w:color w:val="auto"/>
              </w:rPr>
            </w:pPr>
            <w:r>
              <w:rPr>
                <w:rFonts w:ascii="Times New Roman" w:cs="Times New Roman" w:eastAsia="Times New Roman" w:hAnsi="Times New Roman"/>
                <w:sz w:val="18"/>
                <w:szCs w:val="18"/>
                <w:color w:val="auto"/>
              </w:rPr>
              <w:t>Designed to align the interests of our executives and our</w:t>
            </w:r>
          </w:p>
        </w:tc>
        <w:tc>
          <w:tcPr>
            <w:tcW w:w="0" w:type="dxa"/>
            <w:vAlign w:val="bottom"/>
          </w:tcPr>
          <w:p>
            <w:pPr>
              <w:spacing w:after="0"/>
              <w:rPr>
                <w:sz w:val="1"/>
                <w:szCs w:val="1"/>
                <w:color w:val="auto"/>
              </w:rPr>
            </w:pPr>
          </w:p>
        </w:tc>
      </w:tr>
      <w:tr>
        <w:trPr>
          <w:trHeight w:val="209"/>
        </w:trPr>
        <w:tc>
          <w:tcPr>
            <w:tcW w:w="60" w:type="dxa"/>
            <w:vAlign w:val="bottom"/>
            <w:tcBorders>
              <w:right w:val="single" w:sz="8" w:color="DDDDDD"/>
            </w:tcBorders>
          </w:tcPr>
          <w:p>
            <w:pPr>
              <w:spacing w:after="0"/>
              <w:rPr>
                <w:sz w:val="18"/>
                <w:szCs w:val="18"/>
                <w:color w:val="auto"/>
              </w:rPr>
            </w:pPr>
          </w:p>
        </w:tc>
        <w:tc>
          <w:tcPr>
            <w:tcW w:w="740" w:type="dxa"/>
            <w:vAlign w:val="bottom"/>
            <w:shd w:val="clear" w:color="auto" w:fill="DDDDDD"/>
          </w:tcPr>
          <w:p>
            <w:pPr>
              <w:spacing w:after="0"/>
              <w:rPr>
                <w:sz w:val="20"/>
                <w:szCs w:val="20"/>
                <w:color w:val="auto"/>
              </w:rPr>
            </w:pPr>
            <w:r>
              <w:rPr>
                <w:rFonts w:ascii="Times New Roman" w:cs="Times New Roman" w:eastAsia="Times New Roman" w:hAnsi="Times New Roman"/>
                <w:sz w:val="18"/>
                <w:szCs w:val="18"/>
                <w:color w:val="auto"/>
              </w:rPr>
              <w:t>Incentive</w:t>
            </w:r>
          </w:p>
        </w:tc>
        <w:tc>
          <w:tcPr>
            <w:tcW w:w="400" w:type="dxa"/>
            <w:vAlign w:val="bottom"/>
            <w:shd w:val="clear" w:color="auto" w:fill="DDDDDD"/>
          </w:tcPr>
          <w:p>
            <w:pPr>
              <w:spacing w:after="0"/>
              <w:rPr>
                <w:sz w:val="18"/>
                <w:szCs w:val="18"/>
                <w:color w:val="auto"/>
              </w:rPr>
            </w:pPr>
          </w:p>
        </w:tc>
        <w:tc>
          <w:tcPr>
            <w:tcW w:w="180" w:type="dxa"/>
            <w:vAlign w:val="bottom"/>
            <w:shd w:val="clear" w:color="auto" w:fill="DDDDDD"/>
          </w:tcPr>
          <w:p>
            <w:pPr>
              <w:spacing w:after="0"/>
              <w:rPr>
                <w:sz w:val="18"/>
                <w:szCs w:val="18"/>
                <w:color w:val="auto"/>
              </w:rPr>
            </w:pPr>
          </w:p>
        </w:tc>
        <w:tc>
          <w:tcPr>
            <w:tcW w:w="940" w:type="dxa"/>
            <w:vAlign w:val="bottom"/>
            <w:shd w:val="clear" w:color="auto" w:fill="DDDDDD"/>
          </w:tcPr>
          <w:p>
            <w:pPr>
              <w:spacing w:after="0"/>
              <w:rPr>
                <w:sz w:val="18"/>
                <w:szCs w:val="18"/>
                <w:color w:val="auto"/>
              </w:rPr>
            </w:pPr>
          </w:p>
        </w:tc>
        <w:tc>
          <w:tcPr>
            <w:tcW w:w="160" w:type="dxa"/>
            <w:vAlign w:val="bottom"/>
            <w:shd w:val="clear" w:color="auto" w:fill="DDDDDD"/>
          </w:tcPr>
          <w:p>
            <w:pPr>
              <w:spacing w:after="0"/>
              <w:rPr>
                <w:sz w:val="18"/>
                <w:szCs w:val="18"/>
                <w:color w:val="auto"/>
              </w:rPr>
            </w:pPr>
          </w:p>
        </w:tc>
        <w:tc>
          <w:tcPr>
            <w:tcW w:w="3240" w:type="dxa"/>
            <w:vAlign w:val="bottom"/>
            <w:shd w:val="clear" w:color="auto" w:fill="DDDDDD"/>
          </w:tcPr>
          <w:p>
            <w:pPr>
              <w:spacing w:after="0"/>
              <w:rPr>
                <w:sz w:val="20"/>
                <w:szCs w:val="20"/>
                <w:color w:val="auto"/>
              </w:rPr>
            </w:pPr>
            <w:r>
              <w:rPr>
                <w:rFonts w:ascii="Times New Roman" w:cs="Times New Roman" w:eastAsia="Times New Roman" w:hAnsi="Times New Roman"/>
                <w:sz w:val="18"/>
                <w:szCs w:val="18"/>
                <w:color w:val="auto"/>
              </w:rPr>
              <w:t>that may be settled for shares of our Class A</w:t>
            </w:r>
          </w:p>
        </w:tc>
        <w:tc>
          <w:tcPr>
            <w:tcW w:w="80" w:type="dxa"/>
            <w:vAlign w:val="bottom"/>
            <w:shd w:val="clear" w:color="auto" w:fill="DDDDDD"/>
          </w:tcPr>
          <w:p>
            <w:pPr>
              <w:spacing w:after="0"/>
              <w:rPr>
                <w:sz w:val="18"/>
                <w:szCs w:val="18"/>
                <w:color w:val="auto"/>
              </w:rPr>
            </w:pPr>
          </w:p>
        </w:tc>
        <w:tc>
          <w:tcPr>
            <w:tcW w:w="4420" w:type="dxa"/>
            <w:vAlign w:val="bottom"/>
            <w:shd w:val="clear" w:color="auto" w:fill="DDDDDD"/>
          </w:tcPr>
          <w:p>
            <w:pPr>
              <w:ind w:left="80"/>
              <w:spacing w:after="0"/>
              <w:rPr>
                <w:sz w:val="20"/>
                <w:szCs w:val="20"/>
                <w:color w:val="auto"/>
              </w:rPr>
            </w:pPr>
            <w:r>
              <w:rPr>
                <w:rFonts w:ascii="Times New Roman" w:cs="Times New Roman" w:eastAsia="Times New Roman" w:hAnsi="Times New Roman"/>
                <w:sz w:val="18"/>
                <w:szCs w:val="18"/>
                <w:color w:val="auto"/>
              </w:rPr>
              <w:t>stockholders while helping to attract and retain talented</w:t>
            </w:r>
          </w:p>
        </w:tc>
        <w:tc>
          <w:tcPr>
            <w:tcW w:w="0" w:type="dxa"/>
            <w:vAlign w:val="bottom"/>
          </w:tcPr>
          <w:p>
            <w:pPr>
              <w:spacing w:after="0"/>
              <w:rPr>
                <w:sz w:val="1"/>
                <w:szCs w:val="1"/>
                <w:color w:val="auto"/>
              </w:rPr>
            </w:pPr>
          </w:p>
        </w:tc>
      </w:tr>
      <w:tr>
        <w:trPr>
          <w:trHeight w:val="202"/>
        </w:trPr>
        <w:tc>
          <w:tcPr>
            <w:tcW w:w="60" w:type="dxa"/>
            <w:vAlign w:val="bottom"/>
            <w:tcBorders>
              <w:right w:val="single" w:sz="8" w:color="DDDDDD"/>
            </w:tcBorders>
          </w:tcPr>
          <w:p>
            <w:pPr>
              <w:spacing w:after="0"/>
              <w:rPr>
                <w:sz w:val="17"/>
                <w:szCs w:val="17"/>
                <w:color w:val="auto"/>
              </w:rPr>
            </w:pPr>
          </w:p>
        </w:tc>
        <w:tc>
          <w:tcPr>
            <w:tcW w:w="1140" w:type="dxa"/>
            <w:vAlign w:val="bottom"/>
            <w:gridSpan w:val="2"/>
            <w:shd w:val="clear" w:color="auto" w:fill="DDDDDD"/>
          </w:tcPr>
          <w:p>
            <w:pPr>
              <w:spacing w:after="0" w:line="201" w:lineRule="exact"/>
              <w:rPr>
                <w:sz w:val="20"/>
                <w:szCs w:val="20"/>
                <w:color w:val="auto"/>
              </w:rPr>
            </w:pPr>
            <w:r>
              <w:rPr>
                <w:rFonts w:ascii="Times New Roman" w:cs="Times New Roman" w:eastAsia="Times New Roman" w:hAnsi="Times New Roman"/>
                <w:sz w:val="18"/>
                <w:szCs w:val="18"/>
                <w:color w:val="auto"/>
              </w:rPr>
              <w:t>Compensation</w:t>
            </w:r>
          </w:p>
        </w:tc>
        <w:tc>
          <w:tcPr>
            <w:tcW w:w="180" w:type="dxa"/>
            <w:vAlign w:val="bottom"/>
            <w:shd w:val="clear" w:color="auto" w:fill="DDDDDD"/>
          </w:tcPr>
          <w:p>
            <w:pPr>
              <w:spacing w:after="0"/>
              <w:rPr>
                <w:sz w:val="17"/>
                <w:szCs w:val="17"/>
                <w:color w:val="auto"/>
              </w:rPr>
            </w:pPr>
          </w:p>
        </w:tc>
        <w:tc>
          <w:tcPr>
            <w:tcW w:w="940" w:type="dxa"/>
            <w:vAlign w:val="bottom"/>
            <w:shd w:val="clear" w:color="auto" w:fill="DDDDDD"/>
          </w:tcPr>
          <w:p>
            <w:pPr>
              <w:spacing w:after="0"/>
              <w:rPr>
                <w:sz w:val="17"/>
                <w:szCs w:val="17"/>
                <w:color w:val="auto"/>
              </w:rPr>
            </w:pPr>
          </w:p>
        </w:tc>
        <w:tc>
          <w:tcPr>
            <w:tcW w:w="160" w:type="dxa"/>
            <w:vAlign w:val="bottom"/>
            <w:shd w:val="clear" w:color="auto" w:fill="DDDDDD"/>
          </w:tcPr>
          <w:p>
            <w:pPr>
              <w:spacing w:after="0"/>
              <w:rPr>
                <w:sz w:val="17"/>
                <w:szCs w:val="17"/>
                <w:color w:val="auto"/>
              </w:rPr>
            </w:pPr>
          </w:p>
        </w:tc>
        <w:tc>
          <w:tcPr>
            <w:tcW w:w="3240" w:type="dxa"/>
            <w:vAlign w:val="bottom"/>
            <w:shd w:val="clear" w:color="auto" w:fill="DDDDDD"/>
          </w:tcPr>
          <w:p>
            <w:pPr>
              <w:spacing w:after="0" w:line="201" w:lineRule="exact"/>
              <w:rPr>
                <w:sz w:val="20"/>
                <w:szCs w:val="20"/>
                <w:color w:val="auto"/>
              </w:rPr>
            </w:pPr>
            <w:r>
              <w:rPr>
                <w:rFonts w:ascii="Times New Roman" w:cs="Times New Roman" w:eastAsia="Times New Roman" w:hAnsi="Times New Roman"/>
                <w:sz w:val="18"/>
                <w:szCs w:val="18"/>
                <w:color w:val="auto"/>
              </w:rPr>
              <w:t>Common Stock and PRSU awards that may</w:t>
            </w:r>
          </w:p>
        </w:tc>
        <w:tc>
          <w:tcPr>
            <w:tcW w:w="80" w:type="dxa"/>
            <w:vAlign w:val="bottom"/>
            <w:shd w:val="clear" w:color="auto" w:fill="DDDDDD"/>
          </w:tcPr>
          <w:p>
            <w:pPr>
              <w:spacing w:after="0"/>
              <w:rPr>
                <w:sz w:val="17"/>
                <w:szCs w:val="17"/>
                <w:color w:val="auto"/>
              </w:rPr>
            </w:pPr>
          </w:p>
        </w:tc>
        <w:tc>
          <w:tcPr>
            <w:tcW w:w="4420" w:type="dxa"/>
            <w:vAlign w:val="bottom"/>
            <w:shd w:val="clear" w:color="auto" w:fill="DDDDDD"/>
          </w:tcPr>
          <w:p>
            <w:pPr>
              <w:ind w:left="80"/>
              <w:spacing w:after="0" w:line="201" w:lineRule="exact"/>
              <w:rPr>
                <w:sz w:val="20"/>
                <w:szCs w:val="20"/>
                <w:color w:val="auto"/>
              </w:rPr>
            </w:pPr>
            <w:r>
              <w:rPr>
                <w:rFonts w:ascii="Times New Roman" w:cs="Times New Roman" w:eastAsia="Times New Roman" w:hAnsi="Times New Roman"/>
                <w:sz w:val="18"/>
                <w:szCs w:val="18"/>
                <w:color w:val="auto"/>
              </w:rPr>
              <w:t>leaders by paying for performance</w:t>
            </w:r>
          </w:p>
        </w:tc>
        <w:tc>
          <w:tcPr>
            <w:tcW w:w="0" w:type="dxa"/>
            <w:vAlign w:val="bottom"/>
          </w:tcPr>
          <w:p>
            <w:pPr>
              <w:spacing w:after="0"/>
              <w:rPr>
                <w:sz w:val="1"/>
                <w:szCs w:val="1"/>
                <w:color w:val="auto"/>
              </w:rPr>
            </w:pPr>
          </w:p>
        </w:tc>
      </w:tr>
      <w:tr>
        <w:trPr>
          <w:trHeight w:val="209"/>
        </w:trPr>
        <w:tc>
          <w:tcPr>
            <w:tcW w:w="60" w:type="dxa"/>
            <w:vAlign w:val="bottom"/>
            <w:tcBorders>
              <w:right w:val="single" w:sz="8" w:color="DDDDDD"/>
            </w:tcBorders>
          </w:tcPr>
          <w:p>
            <w:pPr>
              <w:spacing w:after="0"/>
              <w:rPr>
                <w:sz w:val="18"/>
                <w:szCs w:val="18"/>
                <w:color w:val="auto"/>
              </w:rPr>
            </w:pPr>
          </w:p>
        </w:tc>
        <w:tc>
          <w:tcPr>
            <w:tcW w:w="740" w:type="dxa"/>
            <w:vAlign w:val="bottom"/>
            <w:shd w:val="clear" w:color="auto" w:fill="DDDDDD"/>
          </w:tcPr>
          <w:p>
            <w:pPr>
              <w:spacing w:after="0"/>
              <w:rPr>
                <w:sz w:val="18"/>
                <w:szCs w:val="18"/>
                <w:color w:val="auto"/>
              </w:rPr>
            </w:pPr>
          </w:p>
        </w:tc>
        <w:tc>
          <w:tcPr>
            <w:tcW w:w="400" w:type="dxa"/>
            <w:vAlign w:val="bottom"/>
            <w:shd w:val="clear" w:color="auto" w:fill="DDDDDD"/>
          </w:tcPr>
          <w:p>
            <w:pPr>
              <w:spacing w:after="0"/>
              <w:rPr>
                <w:sz w:val="18"/>
                <w:szCs w:val="18"/>
                <w:color w:val="auto"/>
              </w:rPr>
            </w:pPr>
          </w:p>
        </w:tc>
        <w:tc>
          <w:tcPr>
            <w:tcW w:w="180" w:type="dxa"/>
            <w:vAlign w:val="bottom"/>
            <w:shd w:val="clear" w:color="auto" w:fill="DDDDDD"/>
          </w:tcPr>
          <w:p>
            <w:pPr>
              <w:spacing w:after="0"/>
              <w:rPr>
                <w:sz w:val="18"/>
                <w:szCs w:val="18"/>
                <w:color w:val="auto"/>
              </w:rPr>
            </w:pPr>
          </w:p>
        </w:tc>
        <w:tc>
          <w:tcPr>
            <w:tcW w:w="940" w:type="dxa"/>
            <w:vAlign w:val="bottom"/>
            <w:shd w:val="clear" w:color="auto" w:fill="DDDDDD"/>
          </w:tcPr>
          <w:p>
            <w:pPr>
              <w:spacing w:after="0"/>
              <w:rPr>
                <w:sz w:val="18"/>
                <w:szCs w:val="18"/>
                <w:color w:val="auto"/>
              </w:rPr>
            </w:pPr>
          </w:p>
        </w:tc>
        <w:tc>
          <w:tcPr>
            <w:tcW w:w="160" w:type="dxa"/>
            <w:vAlign w:val="bottom"/>
            <w:shd w:val="clear" w:color="auto" w:fill="DDDDDD"/>
          </w:tcPr>
          <w:p>
            <w:pPr>
              <w:spacing w:after="0"/>
              <w:rPr>
                <w:sz w:val="18"/>
                <w:szCs w:val="18"/>
                <w:color w:val="auto"/>
              </w:rPr>
            </w:pPr>
          </w:p>
        </w:tc>
        <w:tc>
          <w:tcPr>
            <w:tcW w:w="3240" w:type="dxa"/>
            <w:vAlign w:val="bottom"/>
            <w:shd w:val="clear" w:color="auto" w:fill="DDDDDD"/>
          </w:tcPr>
          <w:p>
            <w:pPr>
              <w:spacing w:after="0"/>
              <w:rPr>
                <w:sz w:val="20"/>
                <w:szCs w:val="20"/>
                <w:color w:val="auto"/>
              </w:rPr>
            </w:pPr>
            <w:r>
              <w:rPr>
                <w:rFonts w:ascii="Times New Roman" w:cs="Times New Roman" w:eastAsia="Times New Roman" w:hAnsi="Times New Roman"/>
                <w:sz w:val="18"/>
                <w:szCs w:val="18"/>
                <w:color w:val="auto"/>
              </w:rPr>
              <w:t>be earned and settled for shares of our Class</w:t>
            </w:r>
          </w:p>
        </w:tc>
        <w:tc>
          <w:tcPr>
            <w:tcW w:w="80" w:type="dxa"/>
            <w:vAlign w:val="bottom"/>
            <w:shd w:val="clear" w:color="auto" w:fill="DDDDDD"/>
          </w:tcPr>
          <w:p>
            <w:pPr>
              <w:spacing w:after="0"/>
              <w:rPr>
                <w:sz w:val="18"/>
                <w:szCs w:val="18"/>
                <w:color w:val="auto"/>
              </w:rPr>
            </w:pPr>
          </w:p>
        </w:tc>
        <w:tc>
          <w:tcPr>
            <w:tcW w:w="4420" w:type="dxa"/>
            <w:vAlign w:val="bottom"/>
            <w:shd w:val="clear" w:color="auto" w:fill="DDDDDD"/>
          </w:tcPr>
          <w:p>
            <w:pPr>
              <w:spacing w:after="0"/>
              <w:rPr>
                <w:sz w:val="18"/>
                <w:szCs w:val="18"/>
                <w:color w:val="auto"/>
              </w:rPr>
            </w:pPr>
          </w:p>
        </w:tc>
        <w:tc>
          <w:tcPr>
            <w:tcW w:w="0" w:type="dxa"/>
            <w:vAlign w:val="bottom"/>
          </w:tcPr>
          <w:p>
            <w:pPr>
              <w:spacing w:after="0"/>
              <w:rPr>
                <w:sz w:val="1"/>
                <w:szCs w:val="1"/>
                <w:color w:val="auto"/>
              </w:rPr>
            </w:pPr>
          </w:p>
        </w:tc>
      </w:tr>
      <w:tr>
        <w:trPr>
          <w:trHeight w:val="253"/>
        </w:trPr>
        <w:tc>
          <w:tcPr>
            <w:tcW w:w="60" w:type="dxa"/>
            <w:vAlign w:val="bottom"/>
            <w:tcBorders>
              <w:bottom w:val="single" w:sz="8" w:color="auto"/>
              <w:right w:val="single" w:sz="8" w:color="DDDDDD"/>
            </w:tcBorders>
          </w:tcPr>
          <w:p>
            <w:pPr>
              <w:spacing w:after="0"/>
              <w:rPr>
                <w:sz w:val="21"/>
                <w:szCs w:val="21"/>
                <w:color w:val="auto"/>
              </w:rPr>
            </w:pPr>
          </w:p>
        </w:tc>
        <w:tc>
          <w:tcPr>
            <w:tcW w:w="740" w:type="dxa"/>
            <w:vAlign w:val="bottom"/>
            <w:tcBorders>
              <w:bottom w:val="single" w:sz="8" w:color="auto"/>
            </w:tcBorders>
            <w:shd w:val="clear" w:color="auto" w:fill="DDDDDD"/>
          </w:tcPr>
          <w:p>
            <w:pPr>
              <w:spacing w:after="0"/>
              <w:rPr>
                <w:sz w:val="21"/>
                <w:szCs w:val="21"/>
                <w:color w:val="auto"/>
              </w:rPr>
            </w:pPr>
          </w:p>
        </w:tc>
        <w:tc>
          <w:tcPr>
            <w:tcW w:w="400" w:type="dxa"/>
            <w:vAlign w:val="bottom"/>
            <w:tcBorders>
              <w:bottom w:val="single" w:sz="8" w:color="auto"/>
            </w:tcBorders>
            <w:shd w:val="clear" w:color="auto" w:fill="DDDDDD"/>
          </w:tcPr>
          <w:p>
            <w:pPr>
              <w:spacing w:after="0"/>
              <w:rPr>
                <w:sz w:val="21"/>
                <w:szCs w:val="21"/>
                <w:color w:val="auto"/>
              </w:rPr>
            </w:pPr>
          </w:p>
        </w:tc>
        <w:tc>
          <w:tcPr>
            <w:tcW w:w="180" w:type="dxa"/>
            <w:vAlign w:val="bottom"/>
            <w:tcBorders>
              <w:bottom w:val="single" w:sz="8" w:color="auto"/>
            </w:tcBorders>
            <w:shd w:val="clear" w:color="auto" w:fill="DDDDDD"/>
          </w:tcPr>
          <w:p>
            <w:pPr>
              <w:spacing w:after="0"/>
              <w:rPr>
                <w:sz w:val="21"/>
                <w:szCs w:val="21"/>
                <w:color w:val="auto"/>
              </w:rPr>
            </w:pPr>
          </w:p>
        </w:tc>
        <w:tc>
          <w:tcPr>
            <w:tcW w:w="940" w:type="dxa"/>
            <w:vAlign w:val="bottom"/>
            <w:tcBorders>
              <w:bottom w:val="single" w:sz="8" w:color="auto"/>
            </w:tcBorders>
            <w:shd w:val="clear" w:color="auto" w:fill="DDDDDD"/>
          </w:tcPr>
          <w:p>
            <w:pPr>
              <w:spacing w:after="0"/>
              <w:rPr>
                <w:sz w:val="21"/>
                <w:szCs w:val="21"/>
                <w:color w:val="auto"/>
              </w:rPr>
            </w:pPr>
          </w:p>
        </w:tc>
        <w:tc>
          <w:tcPr>
            <w:tcW w:w="160" w:type="dxa"/>
            <w:vAlign w:val="bottom"/>
            <w:tcBorders>
              <w:bottom w:val="single" w:sz="8" w:color="auto"/>
            </w:tcBorders>
            <w:shd w:val="clear" w:color="auto" w:fill="DDDDDD"/>
          </w:tcPr>
          <w:p>
            <w:pPr>
              <w:spacing w:after="0"/>
              <w:rPr>
                <w:sz w:val="21"/>
                <w:szCs w:val="21"/>
                <w:color w:val="auto"/>
              </w:rPr>
            </w:pPr>
          </w:p>
        </w:tc>
        <w:tc>
          <w:tcPr>
            <w:tcW w:w="3240" w:type="dxa"/>
            <w:vAlign w:val="bottom"/>
            <w:tcBorders>
              <w:bottom w:val="single" w:sz="8" w:color="auto"/>
            </w:tcBorders>
            <w:shd w:val="clear" w:color="auto" w:fill="DDDDDD"/>
          </w:tcPr>
          <w:p>
            <w:pPr>
              <w:spacing w:after="0"/>
              <w:rPr>
                <w:sz w:val="20"/>
                <w:szCs w:val="20"/>
                <w:color w:val="auto"/>
              </w:rPr>
            </w:pPr>
            <w:r>
              <w:rPr>
                <w:rFonts w:ascii="Times New Roman" w:cs="Times New Roman" w:eastAsia="Times New Roman" w:hAnsi="Times New Roman"/>
                <w:sz w:val="18"/>
                <w:szCs w:val="18"/>
                <w:color w:val="auto"/>
              </w:rPr>
              <w:t>A Common Stock</w:t>
            </w:r>
          </w:p>
        </w:tc>
        <w:tc>
          <w:tcPr>
            <w:tcW w:w="80" w:type="dxa"/>
            <w:vAlign w:val="bottom"/>
            <w:tcBorders>
              <w:bottom w:val="single" w:sz="8" w:color="auto"/>
            </w:tcBorders>
            <w:shd w:val="clear" w:color="auto" w:fill="DDDDDD"/>
          </w:tcPr>
          <w:p>
            <w:pPr>
              <w:spacing w:after="0"/>
              <w:rPr>
                <w:sz w:val="21"/>
                <w:szCs w:val="21"/>
                <w:color w:val="auto"/>
              </w:rPr>
            </w:pPr>
          </w:p>
        </w:tc>
        <w:tc>
          <w:tcPr>
            <w:tcW w:w="4420" w:type="dxa"/>
            <w:vAlign w:val="bottom"/>
            <w:tcBorders>
              <w:bottom w:val="single" w:sz="8" w:color="auto"/>
            </w:tcBorders>
            <w:shd w:val="clear" w:color="auto" w:fill="DDDDDD"/>
          </w:tcPr>
          <w:p>
            <w:pPr>
              <w:spacing w:after="0"/>
              <w:rPr>
                <w:sz w:val="21"/>
                <w:szCs w:val="2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8255</wp:posOffset>
                </wp:positionH>
                <wp:positionV relativeFrom="paragraph">
                  <wp:posOffset>-1286510</wp:posOffset>
                </wp:positionV>
                <wp:extent cx="6478905" cy="0"/>
                <wp:wrapNone/>
                <wp:docPr id="23" name="Shape 23"/>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478905" cy="4763"/>
                        </a:xfrm>
                        <a:prstGeom prst="line">
                          <a:avLst/>
                        </a:prstGeom>
                        <a:solidFill>
                          <a:srgbClr val="FFFFFF"/>
                        </a:solidFill>
                        <a:ln w="4572">
                          <a:solidFill>
                            <a:srgbClr val="FFFFFF"/>
                          </a:solidFill>
                          <a:miter lim="800000"/>
                          <a:headEnd/>
                          <a:tailEnd/>
                        </a:ln>
                      </wps:spPr>
                      <wps:bodyPr/>
                    </wps:wsp>
                  </a:graphicData>
                </a:graphic>
              </wp:anchor>
            </w:drawing>
          </mc:Choice>
          <mc:Fallback>
            <w:pict>
              <v:line id="Shape 23" o:spid="_x0000_s1048"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0.65pt,-101.2999pt" to="510.8pt,-101.2999pt" o:allowincell="f" strokecolor="#FFFFFF" strokeweight="0.36pt"/>
            </w:pict>
          </mc:Fallback>
        </mc:AlternateContent>
      </w:r>
    </w:p>
    <w:p>
      <w:pPr>
        <w:spacing w:after="0" w:line="80" w:lineRule="exact"/>
        <w:rPr>
          <w:sz w:val="20"/>
          <w:szCs w:val="20"/>
          <w:color w:val="auto"/>
        </w:rPr>
      </w:pPr>
    </w:p>
    <w:p>
      <w:pPr>
        <w:jc w:val="both"/>
        <w:ind w:left="20"/>
        <w:spacing w:after="0" w:line="301" w:lineRule="auto"/>
        <w:rPr>
          <w:sz w:val="20"/>
          <w:szCs w:val="20"/>
          <w:color w:val="auto"/>
        </w:rPr>
      </w:pPr>
      <w:r>
        <w:rPr>
          <w:rFonts w:ascii="Times New Roman" w:cs="Times New Roman" w:eastAsia="Times New Roman" w:hAnsi="Times New Roman"/>
          <w:sz w:val="20"/>
          <w:szCs w:val="20"/>
          <w:color w:val="auto"/>
        </w:rPr>
        <w:t>We also provide certain post-employment compensation (severance and change-in-control) payments and benefits that are consistent with our view of competitive market practices, and other benefits, such as health and welfare programs, including a Section 401(k) retirement savings plan. In general, our executive officers participate in the standard employee health and welfare benefit programs available to our employees generally.</w:t>
      </w:r>
    </w:p>
    <w:p>
      <w:pPr>
        <w:spacing w:after="0" w:line="200" w:lineRule="exact"/>
        <w:rPr>
          <w:sz w:val="20"/>
          <w:szCs w:val="20"/>
          <w:color w:val="auto"/>
        </w:rPr>
      </w:pPr>
    </w:p>
    <w:p>
      <w:pPr>
        <w:spacing w:after="0" w:line="200" w:lineRule="exact"/>
        <w:rPr>
          <w:sz w:val="20"/>
          <w:szCs w:val="20"/>
          <w:color w:val="auto"/>
        </w:rPr>
      </w:pPr>
    </w:p>
    <w:p>
      <w:pPr>
        <w:spacing w:after="0" w:line="29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88</w:t>
      </w:r>
    </w:p>
    <w:p>
      <w:pPr>
        <w:sectPr>
          <w:pgSz w:w="12240" w:h="15840" w:orient="portrait"/>
          <w:cols w:equalWidth="0" w:num="1">
            <w:col w:w="10280"/>
          </w:cols>
          <w:pgMar w:left="980" w:top="944" w:right="980" w:bottom="222" w:gutter="0" w:footer="0" w:header="0"/>
        </w:sectPr>
      </w:pPr>
    </w:p>
    <w:bookmarkStart w:id="92" w:name="page93"/>
    <w:bookmarkEnd w:id="92"/>
    <w:p>
      <w:pPr>
        <w:ind w:left="20"/>
        <w:spacing w:after="0"/>
        <w:rPr>
          <w:sz w:val="20"/>
          <w:szCs w:val="20"/>
          <w:color w:val="auto"/>
        </w:rPr>
      </w:pPr>
      <w:r>
        <w:rPr>
          <w:rFonts w:ascii="Times New Roman" w:cs="Times New Roman" w:eastAsia="Times New Roman" w:hAnsi="Times New Roman"/>
          <w:sz w:val="20"/>
          <w:szCs w:val="20"/>
          <w:b w:val="1"/>
          <w:bCs w:val="1"/>
          <w:color w:val="auto"/>
        </w:rPr>
        <w:t>Base Salary</w:t>
      </w:r>
    </w:p>
    <w:p>
      <w:pPr>
        <w:spacing w:after="0" w:line="168" w:lineRule="exact"/>
        <w:rPr>
          <w:sz w:val="20"/>
          <w:szCs w:val="20"/>
          <w:color w:val="auto"/>
        </w:rPr>
      </w:pPr>
    </w:p>
    <w:p>
      <w:pPr>
        <w:jc w:val="both"/>
        <w:ind w:left="20"/>
        <w:spacing w:after="0" w:line="297" w:lineRule="auto"/>
        <w:rPr>
          <w:sz w:val="20"/>
          <w:szCs w:val="20"/>
          <w:color w:val="auto"/>
        </w:rPr>
      </w:pPr>
      <w:r>
        <w:rPr>
          <w:rFonts w:ascii="Times New Roman" w:cs="Times New Roman" w:eastAsia="Times New Roman" w:hAnsi="Times New Roman"/>
          <w:sz w:val="20"/>
          <w:szCs w:val="20"/>
          <w:color w:val="auto"/>
        </w:rPr>
        <w:t>Base salary represents the fixed portion of the compensation of our Named Executive Officers and is a critical element of compensation intended to attract and retain highly talented individuals. Generally, the base salary for each Named Executive Officer is intended to provide a fixed amount of cash compensation that is based on the executive’s role, experience, and expected contributions to the Company. Base salary is also designed to provide our Named Executive Officers with steady cash flow during the course of the fiscal year that is not contingent on short-term variations in our corporate performance.</w:t>
      </w:r>
    </w:p>
    <w:p>
      <w:pPr>
        <w:spacing w:after="0" w:line="74"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0"/>
          <w:szCs w:val="20"/>
          <w:color w:val="auto"/>
        </w:rPr>
        <w:t>The annual base salaries of our Named Executive Officers for 2023 were as follows:</w:t>
      </w:r>
    </w:p>
    <w:p>
      <w:pPr>
        <w:spacing w:after="0" w:line="186" w:lineRule="exact"/>
        <w:rPr>
          <w:sz w:val="20"/>
          <w:szCs w:val="20"/>
          <w:color w:val="auto"/>
        </w:rPr>
      </w:pPr>
    </w:p>
    <w:tbl>
      <w:tblPr>
        <w:tblLayout w:type="fixed"/>
        <w:tblInd w:w="0" w:type="dxa"/>
        <w:tblCellMar>
          <w:top w:w="0" w:type="dxa"/>
          <w:left w:w="0" w:type="dxa"/>
          <w:bottom w:w="0" w:type="dxa"/>
          <w:right w:w="0" w:type="dxa"/>
        </w:tblCellMar>
      </w:tblPr>
      <w:tr>
        <w:trPr>
          <w:trHeight w:val="281"/>
        </w:trPr>
        <w:tc>
          <w:tcPr>
            <w:tcW w:w="20" w:type="dxa"/>
            <w:vAlign w:val="bottom"/>
          </w:tcPr>
          <w:p>
            <w:pPr>
              <w:spacing w:after="0"/>
              <w:rPr>
                <w:sz w:val="24"/>
                <w:szCs w:val="24"/>
                <w:color w:val="auto"/>
              </w:rPr>
            </w:pPr>
          </w:p>
        </w:tc>
        <w:tc>
          <w:tcPr>
            <w:tcW w:w="6660" w:type="dxa"/>
            <w:vAlign w:val="bottom"/>
            <w:tcBorders>
              <w:bottom w:val="single" w:sz="8" w:color="auto"/>
            </w:tcBorders>
          </w:tcPr>
          <w:p>
            <w:pPr>
              <w:ind w:left="40"/>
              <w:spacing w:after="0"/>
              <w:rPr>
                <w:sz w:val="20"/>
                <w:szCs w:val="20"/>
                <w:color w:val="auto"/>
              </w:rPr>
            </w:pPr>
            <w:r>
              <w:rPr>
                <w:rFonts w:ascii="Times New Roman" w:cs="Times New Roman" w:eastAsia="Times New Roman" w:hAnsi="Times New Roman"/>
                <w:sz w:val="20"/>
                <w:szCs w:val="20"/>
                <w:b w:val="1"/>
                <w:bCs w:val="1"/>
                <w:color w:val="auto"/>
              </w:rPr>
              <w:t>Named Executive Officer</w:t>
            </w:r>
          </w:p>
        </w:tc>
        <w:tc>
          <w:tcPr>
            <w:tcW w:w="3600" w:type="dxa"/>
            <w:vAlign w:val="bottom"/>
            <w:tcBorders>
              <w:bottom w:val="single" w:sz="8" w:color="auto"/>
            </w:tcBorders>
          </w:tcPr>
          <w:p>
            <w:pPr>
              <w:ind w:left="160"/>
              <w:spacing w:after="0"/>
              <w:rPr>
                <w:sz w:val="20"/>
                <w:szCs w:val="20"/>
                <w:color w:val="auto"/>
              </w:rPr>
            </w:pPr>
            <w:r>
              <w:rPr>
                <w:rFonts w:ascii="Times New Roman" w:cs="Times New Roman" w:eastAsia="Times New Roman" w:hAnsi="Times New Roman"/>
                <w:sz w:val="20"/>
                <w:szCs w:val="20"/>
                <w:b w:val="1"/>
                <w:bCs w:val="1"/>
                <w:color w:val="auto"/>
              </w:rPr>
              <w:t>2023 Base Salary ($)</w:t>
            </w:r>
          </w:p>
        </w:tc>
      </w:tr>
      <w:tr>
        <w:trPr>
          <w:trHeight w:val="293"/>
        </w:trPr>
        <w:tc>
          <w:tcPr>
            <w:tcW w:w="20" w:type="dxa"/>
            <w:vAlign w:val="bottom"/>
          </w:tcPr>
          <w:p>
            <w:pPr>
              <w:spacing w:after="0"/>
              <w:rPr>
                <w:sz w:val="24"/>
                <w:szCs w:val="24"/>
                <w:color w:val="auto"/>
              </w:rPr>
            </w:pPr>
          </w:p>
        </w:tc>
        <w:tc>
          <w:tcPr>
            <w:tcW w:w="6660" w:type="dxa"/>
            <w:vAlign w:val="bottom"/>
            <w:tcBorders>
              <w:bottom w:val="single" w:sz="8" w:color="auto"/>
            </w:tcBorders>
            <w:shd w:val="clear" w:color="auto" w:fill="DDDDDD"/>
          </w:tcPr>
          <w:p>
            <w:pPr>
              <w:ind w:left="40"/>
              <w:spacing w:after="0"/>
              <w:rPr>
                <w:sz w:val="20"/>
                <w:szCs w:val="20"/>
                <w:color w:val="auto"/>
              </w:rPr>
            </w:pPr>
            <w:r>
              <w:rPr>
                <w:rFonts w:ascii="Times New Roman" w:cs="Times New Roman" w:eastAsia="Times New Roman" w:hAnsi="Times New Roman"/>
                <w:sz w:val="20"/>
                <w:szCs w:val="20"/>
                <w:color w:val="auto"/>
              </w:rPr>
              <w:t>Douglas Francis</w:t>
            </w:r>
            <w:r>
              <w:rPr>
                <w:rFonts w:ascii="Times New Roman" w:cs="Times New Roman" w:eastAsia="Times New Roman" w:hAnsi="Times New Roman"/>
                <w:sz w:val="25"/>
                <w:szCs w:val="25"/>
                <w:color w:val="auto"/>
                <w:vertAlign w:val="superscript"/>
              </w:rPr>
              <w:t>(1)</w:t>
            </w:r>
          </w:p>
        </w:tc>
        <w:tc>
          <w:tcPr>
            <w:tcW w:w="3600" w:type="dxa"/>
            <w:vAlign w:val="bottom"/>
            <w:tcBorders>
              <w:bottom w:val="single" w:sz="8" w:color="auto"/>
            </w:tcBorders>
            <w:shd w:val="clear" w:color="auto" w:fill="DDDDDD"/>
          </w:tcPr>
          <w:p>
            <w:pPr>
              <w:ind w:left="160"/>
              <w:spacing w:after="0"/>
              <w:rPr>
                <w:sz w:val="20"/>
                <w:szCs w:val="20"/>
                <w:color w:val="auto"/>
              </w:rPr>
            </w:pPr>
            <w:r>
              <w:rPr>
                <w:rFonts w:ascii="Times New Roman" w:cs="Times New Roman" w:eastAsia="Times New Roman" w:hAnsi="Times New Roman"/>
                <w:sz w:val="20"/>
                <w:szCs w:val="20"/>
                <w:color w:val="auto"/>
              </w:rPr>
              <w:t>$1,020,000</w:t>
            </w:r>
          </w:p>
        </w:tc>
      </w:tr>
      <w:tr>
        <w:trPr>
          <w:trHeight w:val="291"/>
        </w:trPr>
        <w:tc>
          <w:tcPr>
            <w:tcW w:w="20" w:type="dxa"/>
            <w:vAlign w:val="bottom"/>
          </w:tcPr>
          <w:p>
            <w:pPr>
              <w:spacing w:after="0"/>
              <w:rPr>
                <w:sz w:val="24"/>
                <w:szCs w:val="24"/>
                <w:color w:val="auto"/>
              </w:rPr>
            </w:pPr>
          </w:p>
        </w:tc>
        <w:tc>
          <w:tcPr>
            <w:tcW w:w="6660" w:type="dxa"/>
            <w:vAlign w:val="bottom"/>
            <w:tcBorders>
              <w:bottom w:val="single" w:sz="8" w:color="auto"/>
            </w:tcBorders>
          </w:tcPr>
          <w:p>
            <w:pPr>
              <w:ind w:left="40"/>
              <w:spacing w:after="0"/>
              <w:rPr>
                <w:sz w:val="20"/>
                <w:szCs w:val="20"/>
                <w:color w:val="auto"/>
              </w:rPr>
            </w:pPr>
            <w:r>
              <w:rPr>
                <w:rFonts w:ascii="Times New Roman" w:cs="Times New Roman" w:eastAsia="Times New Roman" w:hAnsi="Times New Roman"/>
                <w:sz w:val="20"/>
                <w:szCs w:val="20"/>
                <w:color w:val="auto"/>
              </w:rPr>
              <w:t>Brian Camire</w:t>
            </w:r>
          </w:p>
        </w:tc>
        <w:tc>
          <w:tcPr>
            <w:tcW w:w="3600" w:type="dxa"/>
            <w:vAlign w:val="bottom"/>
            <w:tcBorders>
              <w:bottom w:val="single" w:sz="8" w:color="auto"/>
            </w:tcBorders>
          </w:tcPr>
          <w:p>
            <w:pPr>
              <w:ind w:left="160"/>
              <w:spacing w:after="0"/>
              <w:rPr>
                <w:sz w:val="20"/>
                <w:szCs w:val="20"/>
                <w:color w:val="auto"/>
              </w:rPr>
            </w:pPr>
            <w:r>
              <w:rPr>
                <w:rFonts w:ascii="Times New Roman" w:cs="Times New Roman" w:eastAsia="Times New Roman" w:hAnsi="Times New Roman"/>
                <w:sz w:val="20"/>
                <w:szCs w:val="20"/>
                <w:color w:val="auto"/>
              </w:rPr>
              <w:t>$410,000</w:t>
            </w:r>
          </w:p>
        </w:tc>
      </w:tr>
      <w:tr>
        <w:trPr>
          <w:trHeight w:val="299"/>
        </w:trPr>
        <w:tc>
          <w:tcPr>
            <w:tcW w:w="20" w:type="dxa"/>
            <w:vAlign w:val="bottom"/>
            <w:tcBorders>
              <w:bottom w:val="single" w:sz="8" w:color="auto"/>
            </w:tcBorders>
          </w:tcPr>
          <w:p>
            <w:pPr>
              <w:spacing w:after="0"/>
              <w:rPr>
                <w:sz w:val="24"/>
                <w:szCs w:val="24"/>
                <w:color w:val="auto"/>
              </w:rPr>
            </w:pPr>
          </w:p>
        </w:tc>
        <w:tc>
          <w:tcPr>
            <w:tcW w:w="6660" w:type="dxa"/>
            <w:vAlign w:val="bottom"/>
            <w:tcBorders>
              <w:bottom w:val="single" w:sz="8" w:color="auto"/>
            </w:tcBorders>
            <w:shd w:val="clear" w:color="auto" w:fill="DDDDDD"/>
          </w:tcPr>
          <w:p>
            <w:pPr>
              <w:ind w:left="40"/>
              <w:spacing w:after="0"/>
              <w:rPr>
                <w:sz w:val="20"/>
                <w:szCs w:val="20"/>
                <w:color w:val="auto"/>
              </w:rPr>
            </w:pPr>
            <w:r>
              <w:rPr>
                <w:rFonts w:ascii="Times New Roman" w:cs="Times New Roman" w:eastAsia="Times New Roman" w:hAnsi="Times New Roman"/>
                <w:sz w:val="20"/>
                <w:szCs w:val="20"/>
                <w:color w:val="auto"/>
              </w:rPr>
              <w:t>Duncan Grazier</w:t>
            </w:r>
            <w:r>
              <w:rPr>
                <w:rFonts w:ascii="Times New Roman" w:cs="Times New Roman" w:eastAsia="Times New Roman" w:hAnsi="Times New Roman"/>
                <w:sz w:val="25"/>
                <w:szCs w:val="25"/>
                <w:color w:val="auto"/>
                <w:vertAlign w:val="superscript"/>
              </w:rPr>
              <w:t>(2)</w:t>
            </w:r>
          </w:p>
        </w:tc>
        <w:tc>
          <w:tcPr>
            <w:tcW w:w="3600" w:type="dxa"/>
            <w:vAlign w:val="bottom"/>
            <w:tcBorders>
              <w:bottom w:val="single" w:sz="8" w:color="auto"/>
            </w:tcBorders>
            <w:shd w:val="clear" w:color="auto" w:fill="DDDDDD"/>
          </w:tcPr>
          <w:p>
            <w:pPr>
              <w:ind w:left="160"/>
              <w:spacing w:after="0"/>
              <w:rPr>
                <w:sz w:val="20"/>
                <w:szCs w:val="20"/>
                <w:color w:val="auto"/>
              </w:rPr>
            </w:pPr>
            <w:r>
              <w:rPr>
                <w:rFonts w:ascii="Times New Roman" w:cs="Times New Roman" w:eastAsia="Times New Roman" w:hAnsi="Times New Roman"/>
                <w:sz w:val="20"/>
                <w:szCs w:val="20"/>
                <w:color w:val="auto"/>
              </w:rPr>
              <w:t>$408,171</w:t>
            </w:r>
          </w:p>
        </w:tc>
      </w:tr>
      <w:tr>
        <w:trPr>
          <w:trHeight w:val="219"/>
        </w:trPr>
        <w:tc>
          <w:tcPr>
            <w:tcW w:w="20" w:type="dxa"/>
            <w:vAlign w:val="bottom"/>
          </w:tcPr>
          <w:p>
            <w:pPr>
              <w:spacing w:after="0"/>
              <w:rPr>
                <w:sz w:val="19"/>
                <w:szCs w:val="19"/>
                <w:color w:val="auto"/>
              </w:rPr>
            </w:pPr>
          </w:p>
        </w:tc>
        <w:tc>
          <w:tcPr>
            <w:tcW w:w="6660" w:type="dxa"/>
            <w:vAlign w:val="bottom"/>
          </w:tcPr>
          <w:p>
            <w:pPr>
              <w:spacing w:after="0"/>
              <w:rPr>
                <w:sz w:val="20"/>
                <w:szCs w:val="20"/>
                <w:color w:val="auto"/>
              </w:rPr>
            </w:pPr>
            <w:r>
              <w:rPr>
                <w:rFonts w:ascii="Times New Roman" w:cs="Times New Roman" w:eastAsia="Times New Roman" w:hAnsi="Times New Roman"/>
                <w:sz w:val="16"/>
                <w:szCs w:val="16"/>
                <w:color w:val="auto"/>
              </w:rPr>
              <w:t>___________________________</w:t>
            </w:r>
          </w:p>
        </w:tc>
        <w:tc>
          <w:tcPr>
            <w:tcW w:w="3600" w:type="dxa"/>
            <w:vAlign w:val="bottom"/>
          </w:tcPr>
          <w:p>
            <w:pPr>
              <w:spacing w:after="0"/>
              <w:rPr>
                <w:sz w:val="19"/>
                <w:szCs w:val="19"/>
                <w:color w:val="auto"/>
              </w:rPr>
            </w:pPr>
          </w:p>
        </w:tc>
      </w:tr>
    </w:tbl>
    <w:p>
      <w:pPr>
        <w:spacing w:after="0" w:line="26" w:lineRule="exact"/>
        <w:rPr>
          <w:sz w:val="20"/>
          <w:szCs w:val="20"/>
          <w:color w:val="auto"/>
        </w:rPr>
      </w:pPr>
    </w:p>
    <w:p>
      <w:pPr>
        <w:ind w:left="380" w:hanging="366"/>
        <w:spacing w:after="0"/>
        <w:tabs>
          <w:tab w:leader="none" w:pos="380" w:val="left"/>
        </w:tabs>
        <w:numPr>
          <w:ilvl w:val="0"/>
          <w:numId w:val="49"/>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Mr. Francis’ base salary in 2023 of $1,020,000 became effective on August 15, 2023.</w:t>
      </w:r>
    </w:p>
    <w:p>
      <w:pPr>
        <w:spacing w:after="0" w:line="53" w:lineRule="exact"/>
        <w:rPr>
          <w:rFonts w:ascii="Times New Roman" w:cs="Times New Roman" w:eastAsia="Times New Roman" w:hAnsi="Times New Roman"/>
          <w:sz w:val="16"/>
          <w:szCs w:val="16"/>
          <w:color w:val="auto"/>
        </w:rPr>
      </w:pPr>
    </w:p>
    <w:p>
      <w:pPr>
        <w:ind w:left="380" w:hanging="366"/>
        <w:spacing w:after="0"/>
        <w:tabs>
          <w:tab w:leader="none" w:pos="380" w:val="left"/>
        </w:tabs>
        <w:numPr>
          <w:ilvl w:val="0"/>
          <w:numId w:val="49"/>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Mr. Grazier’s previous annual base salary was $402,500 and was increased to $425,000 on September 30, 2023.</w:t>
      </w:r>
    </w:p>
    <w:p>
      <w:pPr>
        <w:spacing w:after="0" w:line="151" w:lineRule="exact"/>
        <w:rPr>
          <w:sz w:val="20"/>
          <w:szCs w:val="20"/>
          <w:color w:val="auto"/>
        </w:rPr>
      </w:pPr>
    </w:p>
    <w:p>
      <w:pPr>
        <w:jc w:val="both"/>
        <w:ind w:left="20" w:right="60"/>
        <w:spacing w:after="0" w:line="306" w:lineRule="auto"/>
        <w:rPr>
          <w:sz w:val="20"/>
          <w:szCs w:val="20"/>
          <w:color w:val="auto"/>
        </w:rPr>
      </w:pPr>
      <w:r>
        <w:rPr>
          <w:rFonts w:ascii="Times New Roman" w:cs="Times New Roman" w:eastAsia="Times New Roman" w:hAnsi="Times New Roman"/>
          <w:sz w:val="20"/>
          <w:szCs w:val="20"/>
          <w:color w:val="auto"/>
        </w:rPr>
        <w:t>Upon review, the Compensation Committee (i) awarded the annual base salary for Mr. Francis, (ii) made no adjustment to, and confirmed the annual base salary of Mr. Camire, and (iii) increased Mr. Grazier’s annual base salary as part of its annual review of our executive compensation program.</w:t>
      </w:r>
    </w:p>
    <w:p>
      <w:pPr>
        <w:spacing w:after="0" w:line="71" w:lineRule="exact"/>
        <w:rPr>
          <w:sz w:val="20"/>
          <w:szCs w:val="20"/>
          <w:color w:val="auto"/>
        </w:rPr>
      </w:pPr>
    </w:p>
    <w:p>
      <w:pPr>
        <w:jc w:val="both"/>
        <w:ind w:left="20" w:right="20"/>
        <w:spacing w:after="0" w:line="326" w:lineRule="auto"/>
        <w:rPr>
          <w:sz w:val="20"/>
          <w:szCs w:val="20"/>
          <w:color w:val="auto"/>
        </w:rPr>
      </w:pPr>
      <w:r>
        <w:rPr>
          <w:rFonts w:ascii="Times New Roman" w:cs="Times New Roman" w:eastAsia="Times New Roman" w:hAnsi="Times New Roman"/>
          <w:sz w:val="20"/>
          <w:szCs w:val="20"/>
          <w:color w:val="auto"/>
        </w:rPr>
        <w:t>The total base salaries paid to our Named Executive Officers during 2023 are set forth in the “Summary Compensation Table” below.</w:t>
      </w:r>
    </w:p>
    <w:p>
      <w:pPr>
        <w:spacing w:after="0" w:line="43"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0"/>
          <w:szCs w:val="20"/>
          <w:b w:val="1"/>
          <w:bCs w:val="1"/>
          <w:color w:val="auto"/>
        </w:rPr>
        <w:t>Cash Bonuses</w:t>
      </w:r>
    </w:p>
    <w:p>
      <w:pPr>
        <w:spacing w:after="0" w:line="172"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0"/>
          <w:szCs w:val="20"/>
          <w:i w:val="1"/>
          <w:iCs w:val="1"/>
          <w:color w:val="auto"/>
        </w:rPr>
        <w:t>Target Bonus Opportunities</w:t>
      </w:r>
    </w:p>
    <w:p>
      <w:pPr>
        <w:spacing w:after="0" w:line="162" w:lineRule="exact"/>
        <w:rPr>
          <w:sz w:val="20"/>
          <w:szCs w:val="20"/>
          <w:color w:val="auto"/>
        </w:rPr>
      </w:pPr>
    </w:p>
    <w:p>
      <w:pPr>
        <w:jc w:val="both"/>
        <w:ind w:left="20"/>
        <w:spacing w:after="0" w:line="294" w:lineRule="auto"/>
        <w:rPr>
          <w:sz w:val="20"/>
          <w:szCs w:val="20"/>
          <w:color w:val="auto"/>
        </w:rPr>
      </w:pPr>
      <w:r>
        <w:rPr>
          <w:rFonts w:ascii="Times New Roman" w:cs="Times New Roman" w:eastAsia="Times New Roman" w:hAnsi="Times New Roman"/>
          <w:sz w:val="20"/>
          <w:szCs w:val="20"/>
          <w:color w:val="auto"/>
        </w:rPr>
        <w:t>From time to time, our Compensation Committee may adjust a Named Executive Officer’s target cash bonus opportunity after taking into account the Named Executive Officer’s position, role and responsibilities, experience, prior target cash bonus opportunity, the target bonus opportunities of our other Named Executive Officers, and our compensation objectives. Our Compensation Committee also considered information about the target bonus opportunities of similarly situated executives in other companies at a similar stage of development. Upon review, the Compensation Committee (i) awarded Mr. Francis a signing bonus as part of his offer letter, (ii) increased the target cash bonus opportunity of Mr. Camire, and (iii) made no adjustments to Mr. Grazier’s target cash bonus opportunity as part of its annual review of our executive compensation program.</w:t>
      </w:r>
    </w:p>
    <w:p>
      <w:pPr>
        <w:spacing w:after="0" w:line="80" w:lineRule="exact"/>
        <w:rPr>
          <w:sz w:val="20"/>
          <w:szCs w:val="20"/>
          <w:color w:val="auto"/>
        </w:rPr>
      </w:pPr>
    </w:p>
    <w:p>
      <w:pPr>
        <w:jc w:val="both"/>
        <w:ind w:left="20" w:right="20"/>
        <w:spacing w:after="0" w:line="318" w:lineRule="auto"/>
        <w:rPr>
          <w:sz w:val="20"/>
          <w:szCs w:val="20"/>
          <w:color w:val="auto"/>
        </w:rPr>
      </w:pPr>
      <w:r>
        <w:rPr>
          <w:rFonts w:ascii="Times New Roman" w:cs="Times New Roman" w:eastAsia="Times New Roman" w:hAnsi="Times New Roman"/>
          <w:sz w:val="20"/>
          <w:szCs w:val="20"/>
          <w:color w:val="auto"/>
        </w:rPr>
        <w:t>The target cash bonus opportunities of our Named Executive Officers for 2023, as a percentage of annual base salary, were as follows:</w:t>
      </w:r>
    </w:p>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20" w:type="dxa"/>
            <w:vAlign w:val="bottom"/>
          </w:tcPr>
          <w:p>
            <w:pPr>
              <w:spacing w:after="0"/>
              <w:rPr>
                <w:sz w:val="20"/>
                <w:szCs w:val="20"/>
                <w:color w:val="auto"/>
              </w:rPr>
            </w:pPr>
          </w:p>
        </w:tc>
        <w:tc>
          <w:tcPr>
            <w:tcW w:w="3560" w:type="dxa"/>
            <w:vAlign w:val="bottom"/>
            <w:vMerge w:val="restart"/>
          </w:tcPr>
          <w:p>
            <w:pPr>
              <w:ind w:left="40"/>
              <w:spacing w:after="0"/>
              <w:rPr>
                <w:sz w:val="20"/>
                <w:szCs w:val="20"/>
                <w:color w:val="auto"/>
              </w:rPr>
            </w:pPr>
            <w:r>
              <w:rPr>
                <w:rFonts w:ascii="Times New Roman" w:cs="Times New Roman" w:eastAsia="Times New Roman" w:hAnsi="Times New Roman"/>
                <w:sz w:val="20"/>
                <w:szCs w:val="20"/>
                <w:b w:val="1"/>
                <w:bCs w:val="1"/>
                <w:color w:val="auto"/>
              </w:rPr>
              <w:t>Named Executive Officer</w:t>
            </w:r>
          </w:p>
        </w:tc>
        <w:tc>
          <w:tcPr>
            <w:tcW w:w="100" w:type="dxa"/>
            <w:vAlign w:val="bottom"/>
          </w:tcPr>
          <w:p>
            <w:pPr>
              <w:spacing w:after="0"/>
              <w:rPr>
                <w:sz w:val="20"/>
                <w:szCs w:val="20"/>
                <w:color w:val="auto"/>
              </w:rPr>
            </w:pPr>
          </w:p>
        </w:tc>
        <w:tc>
          <w:tcPr>
            <w:tcW w:w="3500" w:type="dxa"/>
            <w:vAlign w:val="bottom"/>
          </w:tcPr>
          <w:p>
            <w:pPr>
              <w:ind w:left="40"/>
              <w:spacing w:after="0"/>
              <w:rPr>
                <w:sz w:val="20"/>
                <w:szCs w:val="20"/>
                <w:color w:val="auto"/>
              </w:rPr>
            </w:pPr>
            <w:r>
              <w:rPr>
                <w:rFonts w:ascii="Times New Roman" w:cs="Times New Roman" w:eastAsia="Times New Roman" w:hAnsi="Times New Roman"/>
                <w:sz w:val="20"/>
                <w:szCs w:val="20"/>
                <w:b w:val="1"/>
                <w:bCs w:val="1"/>
                <w:color w:val="auto"/>
              </w:rPr>
              <w:t>2023 Base Cash Bonus Opportunity (as</w:t>
            </w:r>
          </w:p>
        </w:tc>
        <w:tc>
          <w:tcPr>
            <w:tcW w:w="3100" w:type="dxa"/>
            <w:vAlign w:val="bottom"/>
          </w:tcPr>
          <w:p>
            <w:pPr>
              <w:ind w:left="140"/>
              <w:spacing w:after="0"/>
              <w:rPr>
                <w:sz w:val="20"/>
                <w:szCs w:val="20"/>
                <w:color w:val="auto"/>
              </w:rPr>
            </w:pPr>
            <w:r>
              <w:rPr>
                <w:rFonts w:ascii="Times New Roman" w:cs="Times New Roman" w:eastAsia="Times New Roman" w:hAnsi="Times New Roman"/>
                <w:sz w:val="20"/>
                <w:szCs w:val="20"/>
                <w:b w:val="1"/>
                <w:bCs w:val="1"/>
                <w:color w:val="auto"/>
              </w:rPr>
              <w:t>2023 Target Cash Bonus</w:t>
            </w: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3560" w:type="dxa"/>
            <w:vAlign w:val="bottom"/>
            <w:vMerge w:val="continue"/>
          </w:tcPr>
          <w:p>
            <w:pPr>
              <w:spacing w:after="0"/>
              <w:rPr>
                <w:sz w:val="14"/>
                <w:szCs w:val="14"/>
                <w:color w:val="auto"/>
              </w:rPr>
            </w:pPr>
          </w:p>
        </w:tc>
        <w:tc>
          <w:tcPr>
            <w:tcW w:w="100" w:type="dxa"/>
            <w:vAlign w:val="bottom"/>
          </w:tcPr>
          <w:p>
            <w:pPr>
              <w:spacing w:after="0"/>
              <w:rPr>
                <w:sz w:val="14"/>
                <w:szCs w:val="14"/>
                <w:color w:val="auto"/>
              </w:rPr>
            </w:pPr>
          </w:p>
        </w:tc>
        <w:tc>
          <w:tcPr>
            <w:tcW w:w="3500" w:type="dxa"/>
            <w:vAlign w:val="bottom"/>
            <w:vMerge w:val="restart"/>
          </w:tcPr>
          <w:p>
            <w:pPr>
              <w:ind w:left="40"/>
              <w:spacing w:after="0"/>
              <w:rPr>
                <w:sz w:val="20"/>
                <w:szCs w:val="20"/>
                <w:color w:val="auto"/>
              </w:rPr>
            </w:pPr>
            <w:r>
              <w:rPr>
                <w:rFonts w:ascii="Times New Roman" w:cs="Times New Roman" w:eastAsia="Times New Roman" w:hAnsi="Times New Roman"/>
                <w:sz w:val="20"/>
                <w:szCs w:val="20"/>
                <w:b w:val="1"/>
                <w:bCs w:val="1"/>
                <w:color w:val="auto"/>
              </w:rPr>
              <w:t>a percentage of base salary)</w:t>
            </w:r>
          </w:p>
        </w:tc>
        <w:tc>
          <w:tcPr>
            <w:tcW w:w="3100" w:type="dxa"/>
            <w:vAlign w:val="bottom"/>
            <w:vMerge w:val="restart"/>
          </w:tcPr>
          <w:p>
            <w:pPr>
              <w:ind w:left="140"/>
              <w:spacing w:after="0"/>
              <w:rPr>
                <w:sz w:val="20"/>
                <w:szCs w:val="20"/>
                <w:color w:val="auto"/>
              </w:rPr>
            </w:pPr>
            <w:r>
              <w:rPr>
                <w:rFonts w:ascii="Times New Roman" w:cs="Times New Roman" w:eastAsia="Times New Roman" w:hAnsi="Times New Roman"/>
                <w:sz w:val="20"/>
                <w:szCs w:val="20"/>
                <w:b w:val="1"/>
                <w:bCs w:val="1"/>
                <w:color w:val="auto"/>
              </w:rPr>
              <w:t>Opportunity ($)</w:t>
            </w:r>
          </w:p>
        </w:tc>
        <w:tc>
          <w:tcPr>
            <w:tcW w:w="0" w:type="dxa"/>
            <w:vAlign w:val="bottom"/>
          </w:tcPr>
          <w:p>
            <w:pPr>
              <w:spacing w:after="0"/>
              <w:rPr>
                <w:sz w:val="1"/>
                <w:szCs w:val="1"/>
                <w:color w:val="auto"/>
              </w:rPr>
            </w:pPr>
          </w:p>
        </w:tc>
      </w:tr>
      <w:tr>
        <w:trPr>
          <w:trHeight w:val="113"/>
        </w:trPr>
        <w:tc>
          <w:tcPr>
            <w:tcW w:w="20" w:type="dxa"/>
            <w:vAlign w:val="bottom"/>
          </w:tcPr>
          <w:p>
            <w:pPr>
              <w:spacing w:after="0"/>
              <w:rPr>
                <w:sz w:val="9"/>
                <w:szCs w:val="9"/>
                <w:color w:val="auto"/>
              </w:rPr>
            </w:pPr>
          </w:p>
        </w:tc>
        <w:tc>
          <w:tcPr>
            <w:tcW w:w="3560" w:type="dxa"/>
            <w:vAlign w:val="bottom"/>
            <w:tcBorders>
              <w:bottom w:val="single" w:sz="8" w:color="auto"/>
            </w:tcBorders>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3500" w:type="dxa"/>
            <w:vAlign w:val="bottom"/>
            <w:tcBorders>
              <w:bottom w:val="single" w:sz="8" w:color="auto"/>
            </w:tcBorders>
            <w:vMerge w:val="continue"/>
          </w:tcPr>
          <w:p>
            <w:pPr>
              <w:spacing w:after="0"/>
              <w:rPr>
                <w:sz w:val="9"/>
                <w:szCs w:val="9"/>
                <w:color w:val="auto"/>
              </w:rPr>
            </w:pPr>
          </w:p>
        </w:tc>
        <w:tc>
          <w:tcPr>
            <w:tcW w:w="3100" w:type="dxa"/>
            <w:vAlign w:val="bottom"/>
            <w:tcBorders>
              <w:bottom w:val="single" w:sz="8" w:color="auto"/>
            </w:tcBorders>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70"/>
        </w:trPr>
        <w:tc>
          <w:tcPr>
            <w:tcW w:w="20" w:type="dxa"/>
            <w:vAlign w:val="bottom"/>
          </w:tcPr>
          <w:p>
            <w:pPr>
              <w:spacing w:after="0"/>
              <w:rPr>
                <w:sz w:val="23"/>
                <w:szCs w:val="23"/>
                <w:color w:val="auto"/>
              </w:rPr>
            </w:pPr>
          </w:p>
        </w:tc>
        <w:tc>
          <w:tcPr>
            <w:tcW w:w="3560" w:type="dxa"/>
            <w:vAlign w:val="bottom"/>
            <w:tcBorders>
              <w:top w:val="single" w:sz="8" w:color="DDDDDD"/>
              <w:bottom w:val="single" w:sz="8" w:color="auto"/>
            </w:tcBorders>
            <w:shd w:val="clear" w:color="auto" w:fill="DDDDDD"/>
          </w:tcPr>
          <w:p>
            <w:pPr>
              <w:ind w:left="40"/>
              <w:spacing w:after="0" w:line="270" w:lineRule="exact"/>
              <w:rPr>
                <w:sz w:val="20"/>
                <w:szCs w:val="20"/>
                <w:color w:val="auto"/>
              </w:rPr>
            </w:pPr>
            <w:r>
              <w:rPr>
                <w:rFonts w:ascii="Times New Roman" w:cs="Times New Roman" w:eastAsia="Times New Roman" w:hAnsi="Times New Roman"/>
                <w:sz w:val="20"/>
                <w:szCs w:val="20"/>
                <w:color w:val="auto"/>
              </w:rPr>
              <w:t>Douglas Francis</w:t>
            </w:r>
            <w:r>
              <w:rPr>
                <w:rFonts w:ascii="Times New Roman" w:cs="Times New Roman" w:eastAsia="Times New Roman" w:hAnsi="Times New Roman"/>
                <w:sz w:val="25"/>
                <w:szCs w:val="25"/>
                <w:color w:val="auto"/>
                <w:vertAlign w:val="superscript"/>
              </w:rPr>
              <w:t>(1)</w:t>
            </w:r>
          </w:p>
        </w:tc>
        <w:tc>
          <w:tcPr>
            <w:tcW w:w="100" w:type="dxa"/>
            <w:vAlign w:val="bottom"/>
            <w:tcBorders>
              <w:top w:val="single" w:sz="8" w:color="DDDDDD"/>
              <w:bottom w:val="single" w:sz="8" w:color="auto"/>
            </w:tcBorders>
            <w:shd w:val="clear" w:color="auto" w:fill="DDDDDD"/>
          </w:tcPr>
          <w:p>
            <w:pPr>
              <w:spacing w:after="0"/>
              <w:rPr>
                <w:sz w:val="23"/>
                <w:szCs w:val="23"/>
                <w:color w:val="auto"/>
              </w:rPr>
            </w:pPr>
          </w:p>
        </w:tc>
        <w:tc>
          <w:tcPr>
            <w:tcW w:w="3500" w:type="dxa"/>
            <w:vAlign w:val="bottom"/>
            <w:tcBorders>
              <w:top w:val="single" w:sz="8" w:color="DDDDDD"/>
              <w:bottom w:val="single" w:sz="8" w:color="auto"/>
            </w:tcBorders>
            <w:shd w:val="clear" w:color="auto" w:fill="DDDDDD"/>
          </w:tcPr>
          <w:p>
            <w:pPr>
              <w:ind w:left="40"/>
              <w:spacing w:after="0"/>
              <w:rPr>
                <w:sz w:val="20"/>
                <w:szCs w:val="20"/>
                <w:color w:val="auto"/>
              </w:rPr>
            </w:pPr>
            <w:r>
              <w:rPr>
                <w:rFonts w:ascii="Times New Roman" w:cs="Times New Roman" w:eastAsia="Times New Roman" w:hAnsi="Times New Roman"/>
                <w:sz w:val="20"/>
                <w:szCs w:val="20"/>
                <w:color w:val="auto"/>
              </w:rPr>
              <w:t>—%</w:t>
            </w:r>
          </w:p>
        </w:tc>
        <w:tc>
          <w:tcPr>
            <w:tcW w:w="3100" w:type="dxa"/>
            <w:vAlign w:val="bottom"/>
            <w:tcBorders>
              <w:top w:val="single" w:sz="8" w:color="DDDDDD"/>
              <w:bottom w:val="single" w:sz="8" w:color="auto"/>
            </w:tcBorders>
            <w:shd w:val="clear" w:color="auto" w:fill="DDDDDD"/>
          </w:tcPr>
          <w:p>
            <w:pPr>
              <w:ind w:left="140"/>
              <w:spacing w:after="0"/>
              <w:rPr>
                <w:sz w:val="20"/>
                <w:szCs w:val="20"/>
                <w:color w:val="auto"/>
              </w:rPr>
            </w:pPr>
            <w:r>
              <w:rPr>
                <w:rFonts w:ascii="Times New Roman" w:cs="Times New Roman" w:eastAsia="Times New Roman" w:hAnsi="Times New Roman"/>
                <w:sz w:val="20"/>
                <w:szCs w:val="20"/>
                <w:color w:val="auto"/>
              </w:rPr>
              <w:t>$—</w:t>
            </w:r>
          </w:p>
        </w:tc>
        <w:tc>
          <w:tcPr>
            <w:tcW w:w="0" w:type="dxa"/>
            <w:vAlign w:val="bottom"/>
          </w:tcPr>
          <w:p>
            <w:pPr>
              <w:spacing w:after="0"/>
              <w:rPr>
                <w:sz w:val="1"/>
                <w:szCs w:val="1"/>
                <w:color w:val="auto"/>
              </w:rPr>
            </w:pPr>
          </w:p>
        </w:tc>
      </w:tr>
      <w:tr>
        <w:trPr>
          <w:trHeight w:val="316"/>
        </w:trPr>
        <w:tc>
          <w:tcPr>
            <w:tcW w:w="20" w:type="dxa"/>
            <w:vAlign w:val="bottom"/>
          </w:tcPr>
          <w:p>
            <w:pPr>
              <w:spacing w:after="0"/>
              <w:rPr>
                <w:sz w:val="24"/>
                <w:szCs w:val="24"/>
                <w:color w:val="auto"/>
              </w:rPr>
            </w:pPr>
          </w:p>
        </w:tc>
        <w:tc>
          <w:tcPr>
            <w:tcW w:w="3560" w:type="dxa"/>
            <w:vAlign w:val="bottom"/>
            <w:tcBorders>
              <w:bottom w:val="single" w:sz="8" w:color="auto"/>
            </w:tcBorders>
          </w:tcPr>
          <w:p>
            <w:pPr>
              <w:ind w:left="40"/>
              <w:spacing w:after="0"/>
              <w:rPr>
                <w:sz w:val="20"/>
                <w:szCs w:val="20"/>
                <w:color w:val="auto"/>
              </w:rPr>
            </w:pPr>
            <w:r>
              <w:rPr>
                <w:rFonts w:ascii="Times New Roman" w:cs="Times New Roman" w:eastAsia="Times New Roman" w:hAnsi="Times New Roman"/>
                <w:sz w:val="20"/>
                <w:szCs w:val="20"/>
                <w:color w:val="auto"/>
              </w:rPr>
              <w:t>Brian Camire</w:t>
            </w:r>
          </w:p>
        </w:tc>
        <w:tc>
          <w:tcPr>
            <w:tcW w:w="3600" w:type="dxa"/>
            <w:vAlign w:val="bottom"/>
            <w:tcBorders>
              <w:bottom w:val="single" w:sz="8" w:color="auto"/>
            </w:tcBorders>
            <w:gridSpan w:val="2"/>
          </w:tcPr>
          <w:p>
            <w:pPr>
              <w:ind w:left="140"/>
              <w:spacing w:after="0"/>
              <w:rPr>
                <w:sz w:val="20"/>
                <w:szCs w:val="20"/>
                <w:color w:val="auto"/>
              </w:rPr>
            </w:pPr>
            <w:r>
              <w:rPr>
                <w:rFonts w:ascii="Times New Roman" w:cs="Times New Roman" w:eastAsia="Times New Roman" w:hAnsi="Times New Roman"/>
                <w:sz w:val="20"/>
                <w:szCs w:val="20"/>
                <w:color w:val="auto"/>
              </w:rPr>
              <w:t>50%</w:t>
            </w:r>
          </w:p>
        </w:tc>
        <w:tc>
          <w:tcPr>
            <w:tcW w:w="3100" w:type="dxa"/>
            <w:vAlign w:val="bottom"/>
            <w:tcBorders>
              <w:bottom w:val="single" w:sz="8" w:color="auto"/>
            </w:tcBorders>
          </w:tcPr>
          <w:p>
            <w:pPr>
              <w:ind w:left="140"/>
              <w:spacing w:after="0"/>
              <w:rPr>
                <w:sz w:val="20"/>
                <w:szCs w:val="20"/>
                <w:color w:val="auto"/>
              </w:rPr>
            </w:pPr>
            <w:r>
              <w:rPr>
                <w:rFonts w:ascii="Times New Roman" w:cs="Times New Roman" w:eastAsia="Times New Roman" w:hAnsi="Times New Roman"/>
                <w:sz w:val="20"/>
                <w:szCs w:val="20"/>
                <w:color w:val="auto"/>
              </w:rPr>
              <w:t>$205,000</w:t>
            </w:r>
          </w:p>
        </w:tc>
        <w:tc>
          <w:tcPr>
            <w:tcW w:w="0" w:type="dxa"/>
            <w:vAlign w:val="bottom"/>
          </w:tcPr>
          <w:p>
            <w:pPr>
              <w:spacing w:after="0"/>
              <w:rPr>
                <w:sz w:val="1"/>
                <w:szCs w:val="1"/>
                <w:color w:val="auto"/>
              </w:rPr>
            </w:pPr>
          </w:p>
        </w:tc>
      </w:tr>
      <w:tr>
        <w:trPr>
          <w:trHeight w:val="279"/>
        </w:trPr>
        <w:tc>
          <w:tcPr>
            <w:tcW w:w="20" w:type="dxa"/>
            <w:vAlign w:val="bottom"/>
            <w:tcBorders>
              <w:bottom w:val="single" w:sz="8" w:color="auto"/>
            </w:tcBorders>
          </w:tcPr>
          <w:p>
            <w:pPr>
              <w:spacing w:after="0"/>
              <w:rPr>
                <w:sz w:val="24"/>
                <w:szCs w:val="24"/>
                <w:color w:val="auto"/>
              </w:rPr>
            </w:pPr>
          </w:p>
        </w:tc>
        <w:tc>
          <w:tcPr>
            <w:tcW w:w="3560" w:type="dxa"/>
            <w:vAlign w:val="bottom"/>
            <w:tcBorders>
              <w:top w:val="single" w:sz="8" w:color="DDDDDD"/>
              <w:bottom w:val="single" w:sz="8" w:color="auto"/>
            </w:tcBorders>
            <w:shd w:val="clear" w:color="auto" w:fill="DDDDDD"/>
          </w:tcPr>
          <w:p>
            <w:pPr>
              <w:ind w:left="40"/>
              <w:spacing w:after="0" w:line="275" w:lineRule="exact"/>
              <w:rPr>
                <w:sz w:val="20"/>
                <w:szCs w:val="20"/>
                <w:color w:val="auto"/>
              </w:rPr>
            </w:pPr>
            <w:r>
              <w:rPr>
                <w:rFonts w:ascii="Times New Roman" w:cs="Times New Roman" w:eastAsia="Times New Roman" w:hAnsi="Times New Roman"/>
                <w:sz w:val="20"/>
                <w:szCs w:val="20"/>
                <w:color w:val="auto"/>
              </w:rPr>
              <w:t>Duncan Grazier</w:t>
            </w:r>
            <w:r>
              <w:rPr>
                <w:rFonts w:ascii="Times New Roman" w:cs="Times New Roman" w:eastAsia="Times New Roman" w:hAnsi="Times New Roman"/>
                <w:sz w:val="25"/>
                <w:szCs w:val="25"/>
                <w:color w:val="auto"/>
                <w:vertAlign w:val="superscript"/>
              </w:rPr>
              <w:t>(2)</w:t>
            </w:r>
          </w:p>
        </w:tc>
        <w:tc>
          <w:tcPr>
            <w:tcW w:w="100" w:type="dxa"/>
            <w:vAlign w:val="bottom"/>
            <w:tcBorders>
              <w:top w:val="single" w:sz="8" w:color="DDDDDD"/>
              <w:bottom w:val="single" w:sz="8" w:color="auto"/>
            </w:tcBorders>
            <w:shd w:val="clear" w:color="auto" w:fill="DDDDDD"/>
          </w:tcPr>
          <w:p>
            <w:pPr>
              <w:spacing w:after="0"/>
              <w:rPr>
                <w:sz w:val="24"/>
                <w:szCs w:val="24"/>
                <w:color w:val="auto"/>
              </w:rPr>
            </w:pPr>
          </w:p>
        </w:tc>
        <w:tc>
          <w:tcPr>
            <w:tcW w:w="3500" w:type="dxa"/>
            <w:vAlign w:val="bottom"/>
            <w:tcBorders>
              <w:top w:val="single" w:sz="8" w:color="DDDDDD"/>
              <w:bottom w:val="single" w:sz="8" w:color="auto"/>
            </w:tcBorders>
            <w:shd w:val="clear" w:color="auto" w:fill="DDDDDD"/>
          </w:tcPr>
          <w:p>
            <w:pPr>
              <w:ind w:left="40"/>
              <w:spacing w:after="0"/>
              <w:rPr>
                <w:sz w:val="20"/>
                <w:szCs w:val="20"/>
                <w:color w:val="auto"/>
              </w:rPr>
            </w:pPr>
            <w:r>
              <w:rPr>
                <w:rFonts w:ascii="Times New Roman" w:cs="Times New Roman" w:eastAsia="Times New Roman" w:hAnsi="Times New Roman"/>
                <w:sz w:val="20"/>
                <w:szCs w:val="20"/>
                <w:color w:val="auto"/>
              </w:rPr>
              <w:t>50%</w:t>
            </w:r>
          </w:p>
        </w:tc>
        <w:tc>
          <w:tcPr>
            <w:tcW w:w="3100" w:type="dxa"/>
            <w:vAlign w:val="bottom"/>
            <w:tcBorders>
              <w:top w:val="single" w:sz="8" w:color="DDDDDD"/>
              <w:bottom w:val="single" w:sz="8" w:color="auto"/>
            </w:tcBorders>
            <w:shd w:val="clear" w:color="auto" w:fill="DDDDDD"/>
          </w:tcPr>
          <w:p>
            <w:pPr>
              <w:ind w:left="140"/>
              <w:spacing w:after="0"/>
              <w:rPr>
                <w:sz w:val="20"/>
                <w:szCs w:val="20"/>
                <w:color w:val="auto"/>
              </w:rPr>
            </w:pPr>
            <w:r>
              <w:rPr>
                <w:rFonts w:ascii="Times New Roman" w:cs="Times New Roman" w:eastAsia="Times New Roman" w:hAnsi="Times New Roman"/>
                <w:sz w:val="20"/>
                <w:szCs w:val="20"/>
                <w:color w:val="auto"/>
              </w:rPr>
              <w:t>$212,500</w:t>
            </w:r>
          </w:p>
        </w:tc>
        <w:tc>
          <w:tcPr>
            <w:tcW w:w="0" w:type="dxa"/>
            <w:vAlign w:val="bottom"/>
          </w:tcPr>
          <w:p>
            <w:pPr>
              <w:spacing w:after="0"/>
              <w:rPr>
                <w:sz w:val="1"/>
                <w:szCs w:val="1"/>
                <w:color w:val="auto"/>
              </w:rPr>
            </w:pPr>
          </w:p>
        </w:tc>
      </w:tr>
      <w:tr>
        <w:trPr>
          <w:trHeight w:val="219"/>
        </w:trPr>
        <w:tc>
          <w:tcPr>
            <w:tcW w:w="20" w:type="dxa"/>
            <w:vAlign w:val="bottom"/>
          </w:tcPr>
          <w:p>
            <w:pPr>
              <w:spacing w:after="0"/>
              <w:rPr>
                <w:sz w:val="19"/>
                <w:szCs w:val="19"/>
                <w:color w:val="auto"/>
              </w:rPr>
            </w:pPr>
          </w:p>
        </w:tc>
        <w:tc>
          <w:tcPr>
            <w:tcW w:w="3560" w:type="dxa"/>
            <w:vAlign w:val="bottom"/>
          </w:tcPr>
          <w:p>
            <w:pPr>
              <w:spacing w:after="0"/>
              <w:rPr>
                <w:sz w:val="20"/>
                <w:szCs w:val="20"/>
                <w:color w:val="auto"/>
              </w:rPr>
            </w:pPr>
            <w:r>
              <w:rPr>
                <w:rFonts w:ascii="Times New Roman" w:cs="Times New Roman" w:eastAsia="Times New Roman" w:hAnsi="Times New Roman"/>
                <w:sz w:val="16"/>
                <w:szCs w:val="16"/>
                <w:color w:val="auto"/>
              </w:rPr>
              <w:t>___________________________</w:t>
            </w:r>
          </w:p>
        </w:tc>
        <w:tc>
          <w:tcPr>
            <w:tcW w:w="100" w:type="dxa"/>
            <w:vAlign w:val="bottom"/>
          </w:tcPr>
          <w:p>
            <w:pPr>
              <w:spacing w:after="0"/>
              <w:rPr>
                <w:sz w:val="19"/>
                <w:szCs w:val="19"/>
                <w:color w:val="auto"/>
              </w:rPr>
            </w:pPr>
          </w:p>
        </w:tc>
        <w:tc>
          <w:tcPr>
            <w:tcW w:w="3500" w:type="dxa"/>
            <w:vAlign w:val="bottom"/>
          </w:tcPr>
          <w:p>
            <w:pPr>
              <w:spacing w:after="0"/>
              <w:rPr>
                <w:sz w:val="19"/>
                <w:szCs w:val="19"/>
                <w:color w:val="auto"/>
              </w:rPr>
            </w:pPr>
          </w:p>
        </w:tc>
        <w:tc>
          <w:tcPr>
            <w:tcW w:w="3100" w:type="dxa"/>
            <w:vAlign w:val="bottom"/>
          </w:tcPr>
          <w:p>
            <w:pPr>
              <w:spacing w:after="0"/>
              <w:rPr>
                <w:sz w:val="19"/>
                <w:szCs w:val="1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8255</wp:posOffset>
                </wp:positionH>
                <wp:positionV relativeFrom="paragraph">
                  <wp:posOffset>-539750</wp:posOffset>
                </wp:positionV>
                <wp:extent cx="6515100" cy="0"/>
                <wp:wrapNone/>
                <wp:docPr id="24" name="Shape 24"/>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515100" cy="4763"/>
                        </a:xfrm>
                        <a:prstGeom prst="line">
                          <a:avLst/>
                        </a:prstGeom>
                        <a:solidFill>
                          <a:srgbClr val="FFFFFF"/>
                        </a:solidFill>
                        <a:ln w="4572">
                          <a:solidFill>
                            <a:srgbClr val="FFFFFF"/>
                          </a:solidFill>
                          <a:miter lim="800000"/>
                          <a:headEnd/>
                          <a:tailEnd/>
                        </a:ln>
                      </wps:spPr>
                      <wps:bodyPr/>
                    </wps:wsp>
                  </a:graphicData>
                </a:graphic>
              </wp:anchor>
            </w:drawing>
          </mc:Choice>
          <mc:Fallback>
            <w:pict>
              <v:line id="Shape 24" o:spid="_x0000_s1049"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0.65pt,-42.4999pt" to="513.65pt,-42.4999pt" o:allowincell="f" strokecolor="#FFFFFF" strokeweight="0.36pt"/>
            </w:pict>
          </mc:Fallback>
        </mc:AlternateContent>
      </w:r>
    </w:p>
    <w:p>
      <w:pPr>
        <w:spacing w:after="0" w:line="6" w:lineRule="exact"/>
        <w:rPr>
          <w:sz w:val="20"/>
          <w:szCs w:val="20"/>
          <w:color w:val="auto"/>
        </w:rPr>
      </w:pPr>
    </w:p>
    <w:p>
      <w:pPr>
        <w:ind w:left="380" w:hanging="366"/>
        <w:spacing w:after="0" w:line="300" w:lineRule="auto"/>
        <w:tabs>
          <w:tab w:leader="none" w:pos="380" w:val="left"/>
        </w:tabs>
        <w:numPr>
          <w:ilvl w:val="0"/>
          <w:numId w:val="50"/>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Mr. Francis, was not eligible for a target bonus opportunity in 2023 , but did receive a signing bonus of $700,000 in connection with the entry into his offer letter dated August 15, 2023.</w:t>
      </w:r>
    </w:p>
    <w:p>
      <w:pPr>
        <w:ind w:left="380" w:hanging="366"/>
        <w:spacing w:after="0"/>
        <w:tabs>
          <w:tab w:leader="none" w:pos="380" w:val="left"/>
        </w:tabs>
        <w:numPr>
          <w:ilvl w:val="0"/>
          <w:numId w:val="50"/>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Mr. Grazier’s approved target bonus by the Compensation Committee was based off his increased base salary of $425,000.</w:t>
      </w:r>
    </w:p>
    <w:p>
      <w:pPr>
        <w:spacing w:after="0" w:line="155"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0"/>
          <w:szCs w:val="20"/>
          <w:i w:val="1"/>
          <w:iCs w:val="1"/>
          <w:color w:val="auto"/>
        </w:rPr>
        <w:t>Evaluation of Performance</w:t>
      </w:r>
    </w:p>
    <w:p>
      <w:pPr>
        <w:spacing w:after="0" w:line="155" w:lineRule="exact"/>
        <w:rPr>
          <w:sz w:val="20"/>
          <w:szCs w:val="20"/>
          <w:color w:val="auto"/>
        </w:rPr>
      </w:pPr>
    </w:p>
    <w:p>
      <w:pPr>
        <w:jc w:val="both"/>
        <w:ind w:left="20"/>
        <w:spacing w:after="0" w:line="301" w:lineRule="auto"/>
        <w:rPr>
          <w:sz w:val="20"/>
          <w:szCs w:val="20"/>
          <w:color w:val="auto"/>
        </w:rPr>
      </w:pPr>
      <w:r>
        <w:rPr>
          <w:rFonts w:ascii="Times New Roman" w:cs="Times New Roman" w:eastAsia="Times New Roman" w:hAnsi="Times New Roman"/>
          <w:sz w:val="20"/>
          <w:szCs w:val="20"/>
          <w:color w:val="auto"/>
        </w:rPr>
        <w:t>The formal cash bonus plan for 2023 adopted by the Compensation Committee for Mr. Camire and Mr. Grazier did not have an individual award component and was based on Company performance against Revenue, Adj. EBITDA, and Cash targets for fiscal year 2023 in the same manner as the core bonus plan for the rest of the employees of the Company. See “Cash Bonus Payments” for additional details regarding our cash bonus plan.</w:t>
      </w:r>
    </w:p>
    <w:p>
      <w:pPr>
        <w:spacing w:after="0" w:line="200" w:lineRule="exact"/>
        <w:rPr>
          <w:sz w:val="20"/>
          <w:szCs w:val="20"/>
          <w:color w:val="auto"/>
        </w:rPr>
      </w:pPr>
    </w:p>
    <w:p>
      <w:pPr>
        <w:spacing w:after="0" w:line="26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89</w:t>
      </w:r>
    </w:p>
    <w:p>
      <w:pPr>
        <w:sectPr>
          <w:pgSz w:w="12240" w:h="15840" w:orient="portrait"/>
          <w:cols w:equalWidth="0" w:num="1">
            <w:col w:w="10280"/>
          </w:cols>
          <w:pgMar w:left="980" w:top="882" w:right="980" w:bottom="222" w:gutter="0" w:footer="0" w:header="0"/>
        </w:sectPr>
      </w:pPr>
    </w:p>
    <w:bookmarkStart w:id="93" w:name="page94"/>
    <w:bookmarkEnd w:id="93"/>
    <w:p>
      <w:pPr>
        <w:ind w:left="20"/>
        <w:spacing w:after="0"/>
        <w:rPr>
          <w:sz w:val="20"/>
          <w:szCs w:val="20"/>
          <w:color w:val="auto"/>
        </w:rPr>
      </w:pPr>
      <w:r>
        <w:rPr>
          <w:rFonts w:ascii="Times New Roman" w:cs="Times New Roman" w:eastAsia="Times New Roman" w:hAnsi="Times New Roman"/>
          <w:sz w:val="20"/>
          <w:szCs w:val="20"/>
          <w:i w:val="1"/>
          <w:iCs w:val="1"/>
          <w:color w:val="auto"/>
        </w:rPr>
        <w:t>Cash Bonus Payments</w:t>
      </w:r>
    </w:p>
    <w:p>
      <w:pPr>
        <w:spacing w:after="0" w:line="162" w:lineRule="exact"/>
        <w:rPr>
          <w:sz w:val="20"/>
          <w:szCs w:val="20"/>
          <w:color w:val="auto"/>
        </w:rPr>
      </w:pPr>
    </w:p>
    <w:p>
      <w:pPr>
        <w:jc w:val="both"/>
        <w:ind w:left="20"/>
        <w:spacing w:after="0" w:line="294" w:lineRule="auto"/>
        <w:rPr>
          <w:sz w:val="20"/>
          <w:szCs w:val="20"/>
          <w:color w:val="auto"/>
        </w:rPr>
      </w:pPr>
      <w:r>
        <w:rPr>
          <w:rFonts w:ascii="Times New Roman" w:cs="Times New Roman" w:eastAsia="Times New Roman" w:hAnsi="Times New Roman"/>
          <w:sz w:val="20"/>
          <w:szCs w:val="20"/>
          <w:color w:val="auto"/>
        </w:rPr>
        <w:t>In September 2023 the Compensation Committee approved the short-term incentive plan (STIP) for 2023, which was entirely based on our actual financial performance for the year. The company performance award comprised 100% of the cash bonuses available under the STIP, and was based on (i) fiscal year 2023 Revenue achievement (50% of the company performance award) and (ii) fiscal year 2023 Adj. EBITDA achievement (50% of the company performance award), with a minimum cash component measured as of December 31, 2023 which was a minimum condition to be met in order for any bonus to be paid. The Compensation Committee reviewed and provided input on our Executive Chair’s determinations as to each Named Executive Officer’s cash bonus target.</w:t>
      </w:r>
    </w:p>
    <w:p>
      <w:pPr>
        <w:spacing w:after="0" w:line="80" w:lineRule="exact"/>
        <w:rPr>
          <w:sz w:val="20"/>
          <w:szCs w:val="20"/>
          <w:color w:val="auto"/>
        </w:rPr>
      </w:pPr>
    </w:p>
    <w:p>
      <w:pPr>
        <w:jc w:val="both"/>
        <w:ind w:left="20"/>
        <w:spacing w:after="0" w:line="297" w:lineRule="auto"/>
        <w:rPr>
          <w:sz w:val="20"/>
          <w:szCs w:val="20"/>
          <w:color w:val="auto"/>
        </w:rPr>
      </w:pPr>
      <w:r>
        <w:rPr>
          <w:rFonts w:ascii="Times New Roman" w:cs="Times New Roman" w:eastAsia="Times New Roman" w:hAnsi="Times New Roman"/>
          <w:sz w:val="20"/>
          <w:szCs w:val="20"/>
          <w:color w:val="auto"/>
        </w:rPr>
        <w:t>Based on our Compensation Committee’s assessment of our corporate performance during the fiscal year, our Named Executive Officers 2023 STIP bonus was achieved at 66.5% based on achievement of the 2023 Revenue and 2023 Adjusted EBITDA goals. In May 2024, upon review and consideration of executive performance for 2023, our Compensation Committee determined that a discretionary cash bonus should be paid to Mr. Camire and Mr. Grazier to account for their individual contributions, raising their cash bonus amounts to $181,425 and $188,062, respectively:</w:t>
      </w:r>
    </w:p>
    <w:p>
      <w:pPr>
        <w:spacing w:after="0" w:line="73"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20" w:type="dxa"/>
            <w:vAlign w:val="bottom"/>
          </w:tcPr>
          <w:p>
            <w:pPr>
              <w:spacing w:after="0"/>
              <w:rPr>
                <w:sz w:val="20"/>
                <w:szCs w:val="20"/>
                <w:color w:val="auto"/>
              </w:rPr>
            </w:pPr>
          </w:p>
        </w:tc>
        <w:tc>
          <w:tcPr>
            <w:tcW w:w="3060" w:type="dxa"/>
            <w:vAlign w:val="bottom"/>
            <w:vMerge w:val="restart"/>
          </w:tcPr>
          <w:p>
            <w:pPr>
              <w:ind w:left="40"/>
              <w:spacing w:after="0"/>
              <w:rPr>
                <w:sz w:val="20"/>
                <w:szCs w:val="20"/>
                <w:color w:val="auto"/>
              </w:rPr>
            </w:pPr>
            <w:r>
              <w:rPr>
                <w:rFonts w:ascii="Times New Roman" w:cs="Times New Roman" w:eastAsia="Times New Roman" w:hAnsi="Times New Roman"/>
                <w:sz w:val="20"/>
                <w:szCs w:val="20"/>
                <w:b w:val="1"/>
                <w:bCs w:val="1"/>
                <w:color w:val="auto"/>
              </w:rPr>
              <w:t>Named Executive Officer</w:t>
            </w:r>
          </w:p>
        </w:tc>
        <w:tc>
          <w:tcPr>
            <w:tcW w:w="80" w:type="dxa"/>
            <w:vAlign w:val="bottom"/>
          </w:tcPr>
          <w:p>
            <w:pPr>
              <w:spacing w:after="0"/>
              <w:rPr>
                <w:sz w:val="20"/>
                <w:szCs w:val="20"/>
                <w:color w:val="auto"/>
              </w:rPr>
            </w:pPr>
          </w:p>
        </w:tc>
        <w:tc>
          <w:tcPr>
            <w:tcW w:w="2320" w:type="dxa"/>
            <w:vAlign w:val="bottom"/>
            <w:vMerge w:val="restart"/>
          </w:tcPr>
          <w:p>
            <w:pPr>
              <w:ind w:left="80"/>
              <w:spacing w:after="0"/>
              <w:rPr>
                <w:sz w:val="20"/>
                <w:szCs w:val="20"/>
                <w:color w:val="auto"/>
              </w:rPr>
            </w:pPr>
            <w:r>
              <w:rPr>
                <w:rFonts w:ascii="Times New Roman" w:cs="Times New Roman" w:eastAsia="Times New Roman" w:hAnsi="Times New Roman"/>
                <w:sz w:val="20"/>
                <w:szCs w:val="20"/>
                <w:b w:val="1"/>
                <w:bCs w:val="1"/>
                <w:color w:val="auto"/>
              </w:rPr>
              <w:t>2023 Target Cash Bonus</w:t>
            </w:r>
          </w:p>
        </w:tc>
        <w:tc>
          <w:tcPr>
            <w:tcW w:w="2400" w:type="dxa"/>
            <w:vAlign w:val="bottom"/>
            <w:vMerge w:val="restart"/>
          </w:tcPr>
          <w:p>
            <w:pPr>
              <w:ind w:left="140"/>
              <w:spacing w:after="0"/>
              <w:rPr>
                <w:sz w:val="20"/>
                <w:szCs w:val="20"/>
                <w:color w:val="auto"/>
              </w:rPr>
            </w:pPr>
            <w:r>
              <w:rPr>
                <w:rFonts w:ascii="Times New Roman" w:cs="Times New Roman" w:eastAsia="Times New Roman" w:hAnsi="Times New Roman"/>
                <w:sz w:val="20"/>
                <w:szCs w:val="20"/>
                <w:b w:val="1"/>
                <w:bCs w:val="1"/>
                <w:color w:val="auto"/>
              </w:rPr>
              <w:t>Actual 2023 Cash Bonus</w:t>
            </w:r>
          </w:p>
        </w:tc>
        <w:tc>
          <w:tcPr>
            <w:tcW w:w="100" w:type="dxa"/>
            <w:vAlign w:val="bottom"/>
          </w:tcPr>
          <w:p>
            <w:pPr>
              <w:spacing w:after="0"/>
              <w:rPr>
                <w:sz w:val="20"/>
                <w:szCs w:val="20"/>
                <w:color w:val="auto"/>
              </w:rPr>
            </w:pPr>
          </w:p>
        </w:tc>
        <w:tc>
          <w:tcPr>
            <w:tcW w:w="2300" w:type="dxa"/>
            <w:vAlign w:val="bottom"/>
          </w:tcPr>
          <w:p>
            <w:pPr>
              <w:ind w:left="60"/>
              <w:spacing w:after="0"/>
              <w:rPr>
                <w:sz w:val="20"/>
                <w:szCs w:val="20"/>
                <w:color w:val="auto"/>
              </w:rPr>
            </w:pPr>
            <w:r>
              <w:rPr>
                <w:rFonts w:ascii="Times New Roman" w:cs="Times New Roman" w:eastAsia="Times New Roman" w:hAnsi="Times New Roman"/>
                <w:sz w:val="20"/>
                <w:szCs w:val="20"/>
                <w:b w:val="1"/>
                <w:bCs w:val="1"/>
                <w:color w:val="auto"/>
              </w:rPr>
              <w:t>Actual 2023 Cash Bonus</w:t>
            </w:r>
          </w:p>
        </w:tc>
        <w:tc>
          <w:tcPr>
            <w:tcW w:w="0" w:type="dxa"/>
            <w:vAlign w:val="bottom"/>
          </w:tcPr>
          <w:p>
            <w:pPr>
              <w:spacing w:after="0"/>
              <w:rPr>
                <w:sz w:val="1"/>
                <w:szCs w:val="1"/>
                <w:color w:val="auto"/>
              </w:rPr>
            </w:pPr>
          </w:p>
        </w:tc>
      </w:tr>
      <w:tr>
        <w:trPr>
          <w:trHeight w:val="115"/>
        </w:trPr>
        <w:tc>
          <w:tcPr>
            <w:tcW w:w="20" w:type="dxa"/>
            <w:vAlign w:val="bottom"/>
          </w:tcPr>
          <w:p>
            <w:pPr>
              <w:spacing w:after="0"/>
              <w:rPr>
                <w:sz w:val="10"/>
                <w:szCs w:val="10"/>
                <w:color w:val="auto"/>
              </w:rPr>
            </w:pPr>
          </w:p>
        </w:tc>
        <w:tc>
          <w:tcPr>
            <w:tcW w:w="3060" w:type="dxa"/>
            <w:vAlign w:val="bottom"/>
            <w:vMerge w:val="continue"/>
          </w:tcPr>
          <w:p>
            <w:pPr>
              <w:spacing w:after="0"/>
              <w:rPr>
                <w:sz w:val="10"/>
                <w:szCs w:val="10"/>
                <w:color w:val="auto"/>
              </w:rPr>
            </w:pPr>
          </w:p>
        </w:tc>
        <w:tc>
          <w:tcPr>
            <w:tcW w:w="80" w:type="dxa"/>
            <w:vAlign w:val="bottom"/>
          </w:tcPr>
          <w:p>
            <w:pPr>
              <w:spacing w:after="0"/>
              <w:rPr>
                <w:sz w:val="10"/>
                <w:szCs w:val="10"/>
                <w:color w:val="auto"/>
              </w:rPr>
            </w:pPr>
          </w:p>
        </w:tc>
        <w:tc>
          <w:tcPr>
            <w:tcW w:w="2320" w:type="dxa"/>
            <w:vAlign w:val="bottom"/>
            <w:vMerge w:val="continue"/>
          </w:tcPr>
          <w:p>
            <w:pPr>
              <w:spacing w:after="0"/>
              <w:rPr>
                <w:sz w:val="10"/>
                <w:szCs w:val="10"/>
                <w:color w:val="auto"/>
              </w:rPr>
            </w:pPr>
          </w:p>
        </w:tc>
        <w:tc>
          <w:tcPr>
            <w:tcW w:w="2400" w:type="dxa"/>
            <w:vAlign w:val="bottom"/>
            <w:vMerge w:val="continue"/>
          </w:tcPr>
          <w:p>
            <w:pPr>
              <w:spacing w:after="0"/>
              <w:rPr>
                <w:sz w:val="10"/>
                <w:szCs w:val="10"/>
                <w:color w:val="auto"/>
              </w:rPr>
            </w:pPr>
          </w:p>
        </w:tc>
        <w:tc>
          <w:tcPr>
            <w:tcW w:w="100" w:type="dxa"/>
            <w:vAlign w:val="bottom"/>
          </w:tcPr>
          <w:p>
            <w:pPr>
              <w:spacing w:after="0"/>
              <w:rPr>
                <w:sz w:val="10"/>
                <w:szCs w:val="10"/>
                <w:color w:val="auto"/>
              </w:rPr>
            </w:pPr>
          </w:p>
        </w:tc>
        <w:tc>
          <w:tcPr>
            <w:tcW w:w="2300" w:type="dxa"/>
            <w:vAlign w:val="bottom"/>
            <w:vMerge w:val="restart"/>
          </w:tcPr>
          <w:p>
            <w:pPr>
              <w:ind w:left="60"/>
              <w:spacing w:after="0"/>
              <w:rPr>
                <w:sz w:val="20"/>
                <w:szCs w:val="20"/>
                <w:color w:val="auto"/>
              </w:rPr>
            </w:pPr>
            <w:r>
              <w:rPr>
                <w:rFonts w:ascii="Times New Roman" w:cs="Times New Roman" w:eastAsia="Times New Roman" w:hAnsi="Times New Roman"/>
                <w:sz w:val="20"/>
                <w:szCs w:val="20"/>
                <w:b w:val="1"/>
                <w:bCs w:val="1"/>
                <w:color w:val="auto"/>
              </w:rPr>
              <w:t>(as a percentage of target</w:t>
            </w: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3060" w:type="dxa"/>
            <w:vAlign w:val="bottom"/>
            <w:vMerge w:val="continue"/>
          </w:tcPr>
          <w:p>
            <w:pPr>
              <w:spacing w:after="0"/>
              <w:rPr>
                <w:sz w:val="18"/>
                <w:szCs w:val="18"/>
                <w:color w:val="auto"/>
              </w:rPr>
            </w:pPr>
          </w:p>
        </w:tc>
        <w:tc>
          <w:tcPr>
            <w:tcW w:w="80" w:type="dxa"/>
            <w:vAlign w:val="bottom"/>
          </w:tcPr>
          <w:p>
            <w:pPr>
              <w:spacing w:after="0"/>
              <w:rPr>
                <w:sz w:val="18"/>
                <w:szCs w:val="18"/>
                <w:color w:val="auto"/>
              </w:rPr>
            </w:pPr>
          </w:p>
        </w:tc>
        <w:tc>
          <w:tcPr>
            <w:tcW w:w="2320" w:type="dxa"/>
            <w:vAlign w:val="bottom"/>
          </w:tcPr>
          <w:p>
            <w:pPr>
              <w:ind w:left="80"/>
              <w:spacing w:after="0" w:line="211" w:lineRule="exact"/>
              <w:rPr>
                <w:sz w:val="20"/>
                <w:szCs w:val="20"/>
                <w:color w:val="auto"/>
              </w:rPr>
            </w:pPr>
            <w:r>
              <w:rPr>
                <w:rFonts w:ascii="Times New Roman" w:cs="Times New Roman" w:eastAsia="Times New Roman" w:hAnsi="Times New Roman"/>
                <w:sz w:val="20"/>
                <w:szCs w:val="20"/>
                <w:b w:val="1"/>
                <w:bCs w:val="1"/>
                <w:color w:val="auto"/>
              </w:rPr>
              <w:t>Opportunity ($)</w:t>
            </w:r>
          </w:p>
        </w:tc>
        <w:tc>
          <w:tcPr>
            <w:tcW w:w="2400" w:type="dxa"/>
            <w:vAlign w:val="bottom"/>
          </w:tcPr>
          <w:p>
            <w:pPr>
              <w:ind w:left="140"/>
              <w:spacing w:after="0" w:line="212" w:lineRule="exact"/>
              <w:rPr>
                <w:sz w:val="20"/>
                <w:szCs w:val="20"/>
                <w:color w:val="auto"/>
              </w:rPr>
            </w:pPr>
            <w:r>
              <w:rPr>
                <w:rFonts w:ascii="Times New Roman" w:cs="Times New Roman" w:eastAsia="Times New Roman" w:hAnsi="Times New Roman"/>
                <w:sz w:val="19"/>
                <w:szCs w:val="19"/>
                <w:b w:val="1"/>
                <w:bCs w:val="1"/>
                <w:color w:val="auto"/>
              </w:rPr>
              <w:t>($)</w:t>
            </w:r>
            <w:r>
              <w:rPr>
                <w:rFonts w:ascii="Times New Roman" w:cs="Times New Roman" w:eastAsia="Times New Roman" w:hAnsi="Times New Roman"/>
                <w:sz w:val="24"/>
                <w:szCs w:val="24"/>
                <w:b w:val="1"/>
                <w:bCs w:val="1"/>
                <w:color w:val="auto"/>
                <w:vertAlign w:val="superscript"/>
              </w:rPr>
              <w:t>(2)</w:t>
            </w:r>
          </w:p>
        </w:tc>
        <w:tc>
          <w:tcPr>
            <w:tcW w:w="100" w:type="dxa"/>
            <w:vAlign w:val="bottom"/>
          </w:tcPr>
          <w:p>
            <w:pPr>
              <w:spacing w:after="0"/>
              <w:rPr>
                <w:sz w:val="18"/>
                <w:szCs w:val="18"/>
                <w:color w:val="auto"/>
              </w:rPr>
            </w:pPr>
          </w:p>
        </w:tc>
        <w:tc>
          <w:tcPr>
            <w:tcW w:w="230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183"/>
        </w:trPr>
        <w:tc>
          <w:tcPr>
            <w:tcW w:w="20" w:type="dxa"/>
            <w:vAlign w:val="bottom"/>
          </w:tcPr>
          <w:p>
            <w:pPr>
              <w:spacing w:after="0"/>
              <w:rPr>
                <w:sz w:val="15"/>
                <w:szCs w:val="15"/>
                <w:color w:val="auto"/>
              </w:rPr>
            </w:pPr>
          </w:p>
        </w:tc>
        <w:tc>
          <w:tcPr>
            <w:tcW w:w="3060" w:type="dxa"/>
            <w:vAlign w:val="bottom"/>
            <w:tcBorders>
              <w:bottom w:val="single" w:sz="8" w:color="auto"/>
            </w:tcBorders>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2320" w:type="dxa"/>
            <w:vAlign w:val="bottom"/>
            <w:tcBorders>
              <w:bottom w:val="single" w:sz="8" w:color="auto"/>
            </w:tcBorders>
          </w:tcPr>
          <w:p>
            <w:pPr>
              <w:spacing w:after="0"/>
              <w:rPr>
                <w:sz w:val="15"/>
                <w:szCs w:val="15"/>
                <w:color w:val="auto"/>
              </w:rPr>
            </w:pPr>
          </w:p>
        </w:tc>
        <w:tc>
          <w:tcPr>
            <w:tcW w:w="240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2300" w:type="dxa"/>
            <w:vAlign w:val="bottom"/>
            <w:tcBorders>
              <w:bottom w:val="single" w:sz="8" w:color="auto"/>
            </w:tcBorders>
          </w:tcPr>
          <w:p>
            <w:pPr>
              <w:ind w:left="60"/>
              <w:spacing w:after="0" w:line="158" w:lineRule="exact"/>
              <w:rPr>
                <w:sz w:val="20"/>
                <w:szCs w:val="20"/>
                <w:color w:val="auto"/>
              </w:rPr>
            </w:pPr>
            <w:r>
              <w:rPr>
                <w:rFonts w:ascii="Times New Roman" w:cs="Times New Roman" w:eastAsia="Times New Roman" w:hAnsi="Times New Roman"/>
                <w:sz w:val="18"/>
                <w:szCs w:val="18"/>
                <w:b w:val="1"/>
                <w:bCs w:val="1"/>
                <w:color w:val="auto"/>
              </w:rPr>
              <w:t>cash bonus opportunity)</w:t>
            </w:r>
          </w:p>
        </w:tc>
        <w:tc>
          <w:tcPr>
            <w:tcW w:w="0" w:type="dxa"/>
            <w:vAlign w:val="bottom"/>
          </w:tcPr>
          <w:p>
            <w:pPr>
              <w:spacing w:after="0"/>
              <w:rPr>
                <w:sz w:val="1"/>
                <w:szCs w:val="1"/>
                <w:color w:val="auto"/>
              </w:rPr>
            </w:pPr>
          </w:p>
        </w:tc>
      </w:tr>
      <w:tr>
        <w:trPr>
          <w:trHeight w:val="277"/>
        </w:trPr>
        <w:tc>
          <w:tcPr>
            <w:tcW w:w="20" w:type="dxa"/>
            <w:vAlign w:val="bottom"/>
          </w:tcPr>
          <w:p>
            <w:pPr>
              <w:spacing w:after="0"/>
              <w:rPr>
                <w:sz w:val="24"/>
                <w:szCs w:val="24"/>
                <w:color w:val="auto"/>
              </w:rPr>
            </w:pPr>
          </w:p>
        </w:tc>
        <w:tc>
          <w:tcPr>
            <w:tcW w:w="3060" w:type="dxa"/>
            <w:vAlign w:val="bottom"/>
            <w:tcBorders>
              <w:top w:val="single" w:sz="8" w:color="DDDDDD"/>
              <w:bottom w:val="single" w:sz="8" w:color="auto"/>
            </w:tcBorders>
            <w:shd w:val="clear" w:color="auto" w:fill="DDDDDD"/>
          </w:tcPr>
          <w:p>
            <w:pPr>
              <w:ind w:left="40"/>
              <w:spacing w:after="0" w:line="277" w:lineRule="exact"/>
              <w:rPr>
                <w:sz w:val="20"/>
                <w:szCs w:val="20"/>
                <w:color w:val="auto"/>
              </w:rPr>
            </w:pPr>
            <w:r>
              <w:rPr>
                <w:rFonts w:ascii="Times New Roman" w:cs="Times New Roman" w:eastAsia="Times New Roman" w:hAnsi="Times New Roman"/>
                <w:sz w:val="20"/>
                <w:szCs w:val="20"/>
                <w:color w:val="auto"/>
              </w:rPr>
              <w:t>Douglas Francis</w:t>
            </w:r>
            <w:r>
              <w:rPr>
                <w:rFonts w:ascii="Times New Roman" w:cs="Times New Roman" w:eastAsia="Times New Roman" w:hAnsi="Times New Roman"/>
                <w:sz w:val="25"/>
                <w:szCs w:val="25"/>
                <w:color w:val="auto"/>
                <w:vertAlign w:val="superscript"/>
              </w:rPr>
              <w:t>(1)</w:t>
            </w:r>
          </w:p>
        </w:tc>
        <w:tc>
          <w:tcPr>
            <w:tcW w:w="80" w:type="dxa"/>
            <w:vAlign w:val="bottom"/>
            <w:tcBorders>
              <w:top w:val="single" w:sz="8" w:color="DDDDDD"/>
              <w:bottom w:val="single" w:sz="8" w:color="auto"/>
            </w:tcBorders>
            <w:shd w:val="clear" w:color="auto" w:fill="DDDDDD"/>
          </w:tcPr>
          <w:p>
            <w:pPr>
              <w:spacing w:after="0"/>
              <w:rPr>
                <w:sz w:val="24"/>
                <w:szCs w:val="24"/>
                <w:color w:val="auto"/>
              </w:rPr>
            </w:pPr>
          </w:p>
        </w:tc>
        <w:tc>
          <w:tcPr>
            <w:tcW w:w="2320" w:type="dxa"/>
            <w:vAlign w:val="bottom"/>
            <w:tcBorders>
              <w:top w:val="single" w:sz="8" w:color="DDDDDD"/>
              <w:bottom w:val="single" w:sz="8" w:color="auto"/>
            </w:tcBorders>
            <w:shd w:val="clear" w:color="auto" w:fill="DDDDDD"/>
          </w:tcPr>
          <w:p>
            <w:pPr>
              <w:ind w:left="80"/>
              <w:spacing w:after="0"/>
              <w:rPr>
                <w:sz w:val="20"/>
                <w:szCs w:val="20"/>
                <w:color w:val="auto"/>
              </w:rPr>
            </w:pPr>
            <w:r>
              <w:rPr>
                <w:rFonts w:ascii="Times New Roman" w:cs="Times New Roman" w:eastAsia="Times New Roman" w:hAnsi="Times New Roman"/>
                <w:sz w:val="20"/>
                <w:szCs w:val="20"/>
                <w:color w:val="auto"/>
              </w:rPr>
              <w:t>$—</w:t>
            </w:r>
          </w:p>
        </w:tc>
        <w:tc>
          <w:tcPr>
            <w:tcW w:w="2400" w:type="dxa"/>
            <w:vAlign w:val="bottom"/>
            <w:tcBorders>
              <w:top w:val="single" w:sz="8" w:color="DDDDDD"/>
              <w:bottom w:val="single" w:sz="8" w:color="auto"/>
            </w:tcBorders>
            <w:shd w:val="clear" w:color="auto" w:fill="DDDDDD"/>
          </w:tcPr>
          <w:p>
            <w:pPr>
              <w:ind w:left="140"/>
              <w:spacing w:after="0"/>
              <w:rPr>
                <w:sz w:val="20"/>
                <w:szCs w:val="20"/>
                <w:color w:val="auto"/>
              </w:rPr>
            </w:pPr>
            <w:r>
              <w:rPr>
                <w:rFonts w:ascii="Times New Roman" w:cs="Times New Roman" w:eastAsia="Times New Roman" w:hAnsi="Times New Roman"/>
                <w:sz w:val="20"/>
                <w:szCs w:val="20"/>
                <w:color w:val="auto"/>
              </w:rPr>
              <w:t>$—</w:t>
            </w:r>
          </w:p>
        </w:tc>
        <w:tc>
          <w:tcPr>
            <w:tcW w:w="100" w:type="dxa"/>
            <w:vAlign w:val="bottom"/>
            <w:tcBorders>
              <w:top w:val="single" w:sz="8" w:color="DDDDDD"/>
              <w:bottom w:val="single" w:sz="8" w:color="auto"/>
            </w:tcBorders>
            <w:shd w:val="clear" w:color="auto" w:fill="DDDDDD"/>
          </w:tcPr>
          <w:p>
            <w:pPr>
              <w:spacing w:after="0"/>
              <w:rPr>
                <w:sz w:val="24"/>
                <w:szCs w:val="24"/>
                <w:color w:val="auto"/>
              </w:rPr>
            </w:pPr>
          </w:p>
        </w:tc>
        <w:tc>
          <w:tcPr>
            <w:tcW w:w="2300" w:type="dxa"/>
            <w:vAlign w:val="bottom"/>
            <w:tcBorders>
              <w:top w:val="single" w:sz="8" w:color="DDDDDD"/>
              <w:bottom w:val="single" w:sz="8" w:color="auto"/>
            </w:tcBorders>
            <w:shd w:val="clear" w:color="auto" w:fill="DDDDDD"/>
          </w:tcPr>
          <w:p>
            <w:pPr>
              <w:ind w:left="60"/>
              <w:spacing w:after="0"/>
              <w:rPr>
                <w:sz w:val="20"/>
                <w:szCs w:val="20"/>
                <w:color w:val="auto"/>
              </w:rPr>
            </w:pPr>
            <w:r>
              <w:rPr>
                <w:rFonts w:ascii="Times New Roman" w:cs="Times New Roman" w:eastAsia="Times New Roman" w:hAnsi="Times New Roman"/>
                <w:sz w:val="20"/>
                <w:szCs w:val="20"/>
                <w:b w:val="1"/>
                <w:bCs w:val="1"/>
                <w:color w:val="auto"/>
              </w:rPr>
              <w:t>—%</w:t>
            </w:r>
          </w:p>
        </w:tc>
        <w:tc>
          <w:tcPr>
            <w:tcW w:w="0" w:type="dxa"/>
            <w:vAlign w:val="bottom"/>
          </w:tcPr>
          <w:p>
            <w:pPr>
              <w:spacing w:after="0"/>
              <w:rPr>
                <w:sz w:val="1"/>
                <w:szCs w:val="1"/>
                <w:color w:val="auto"/>
              </w:rPr>
            </w:pPr>
          </w:p>
        </w:tc>
      </w:tr>
      <w:tr>
        <w:trPr>
          <w:trHeight w:val="309"/>
        </w:trPr>
        <w:tc>
          <w:tcPr>
            <w:tcW w:w="20" w:type="dxa"/>
            <w:vAlign w:val="bottom"/>
          </w:tcPr>
          <w:p>
            <w:pPr>
              <w:spacing w:after="0"/>
              <w:rPr>
                <w:sz w:val="24"/>
                <w:szCs w:val="24"/>
                <w:color w:val="auto"/>
              </w:rPr>
            </w:pPr>
          </w:p>
        </w:tc>
        <w:tc>
          <w:tcPr>
            <w:tcW w:w="3060" w:type="dxa"/>
            <w:vAlign w:val="bottom"/>
            <w:tcBorders>
              <w:bottom w:val="single" w:sz="8" w:color="auto"/>
            </w:tcBorders>
          </w:tcPr>
          <w:p>
            <w:pPr>
              <w:ind w:left="40"/>
              <w:spacing w:after="0"/>
              <w:rPr>
                <w:sz w:val="20"/>
                <w:szCs w:val="20"/>
                <w:color w:val="auto"/>
              </w:rPr>
            </w:pPr>
            <w:r>
              <w:rPr>
                <w:rFonts w:ascii="Times New Roman" w:cs="Times New Roman" w:eastAsia="Times New Roman" w:hAnsi="Times New Roman"/>
                <w:sz w:val="20"/>
                <w:szCs w:val="20"/>
                <w:color w:val="auto"/>
              </w:rPr>
              <w:t>Brian Camire</w:t>
            </w:r>
          </w:p>
        </w:tc>
        <w:tc>
          <w:tcPr>
            <w:tcW w:w="2400" w:type="dxa"/>
            <w:vAlign w:val="bottom"/>
            <w:tcBorders>
              <w:bottom w:val="single" w:sz="8" w:color="auto"/>
            </w:tcBorders>
            <w:gridSpan w:val="2"/>
          </w:tcPr>
          <w:p>
            <w:pPr>
              <w:ind w:left="160"/>
              <w:spacing w:after="0"/>
              <w:rPr>
                <w:sz w:val="20"/>
                <w:szCs w:val="20"/>
                <w:color w:val="auto"/>
              </w:rPr>
            </w:pPr>
            <w:r>
              <w:rPr>
                <w:rFonts w:ascii="Times New Roman" w:cs="Times New Roman" w:eastAsia="Times New Roman" w:hAnsi="Times New Roman"/>
                <w:sz w:val="20"/>
                <w:szCs w:val="20"/>
                <w:color w:val="auto"/>
              </w:rPr>
              <w:t>$205,000</w:t>
            </w:r>
          </w:p>
        </w:tc>
        <w:tc>
          <w:tcPr>
            <w:tcW w:w="2400" w:type="dxa"/>
            <w:vAlign w:val="bottom"/>
            <w:tcBorders>
              <w:bottom w:val="single" w:sz="8" w:color="auto"/>
            </w:tcBorders>
          </w:tcPr>
          <w:p>
            <w:pPr>
              <w:ind w:left="140"/>
              <w:spacing w:after="0"/>
              <w:rPr>
                <w:sz w:val="20"/>
                <w:szCs w:val="20"/>
                <w:color w:val="auto"/>
              </w:rPr>
            </w:pPr>
            <w:r>
              <w:rPr>
                <w:rFonts w:ascii="Times New Roman" w:cs="Times New Roman" w:eastAsia="Times New Roman" w:hAnsi="Times New Roman"/>
                <w:sz w:val="20"/>
                <w:szCs w:val="20"/>
                <w:color w:val="auto"/>
              </w:rPr>
              <w:t>$181,425</w:t>
            </w:r>
          </w:p>
        </w:tc>
        <w:tc>
          <w:tcPr>
            <w:tcW w:w="2400" w:type="dxa"/>
            <w:vAlign w:val="bottom"/>
            <w:tcBorders>
              <w:bottom w:val="single" w:sz="8" w:color="auto"/>
            </w:tcBorders>
            <w:gridSpan w:val="2"/>
          </w:tcPr>
          <w:p>
            <w:pPr>
              <w:ind w:left="160"/>
              <w:spacing w:after="0"/>
              <w:rPr>
                <w:sz w:val="20"/>
                <w:szCs w:val="20"/>
                <w:color w:val="auto"/>
              </w:rPr>
            </w:pPr>
            <w:r>
              <w:rPr>
                <w:rFonts w:ascii="Times New Roman" w:cs="Times New Roman" w:eastAsia="Times New Roman" w:hAnsi="Times New Roman"/>
                <w:sz w:val="20"/>
                <w:szCs w:val="20"/>
                <w:color w:val="auto"/>
              </w:rPr>
              <w:t>88.5%</w:t>
            </w:r>
          </w:p>
        </w:tc>
        <w:tc>
          <w:tcPr>
            <w:tcW w:w="0" w:type="dxa"/>
            <w:vAlign w:val="bottom"/>
          </w:tcPr>
          <w:p>
            <w:pPr>
              <w:spacing w:after="0"/>
              <w:rPr>
                <w:sz w:val="1"/>
                <w:szCs w:val="1"/>
                <w:color w:val="auto"/>
              </w:rPr>
            </w:pPr>
          </w:p>
        </w:tc>
      </w:tr>
      <w:tr>
        <w:trPr>
          <w:trHeight w:val="279"/>
        </w:trPr>
        <w:tc>
          <w:tcPr>
            <w:tcW w:w="20" w:type="dxa"/>
            <w:vAlign w:val="bottom"/>
            <w:tcBorders>
              <w:bottom w:val="single" w:sz="8" w:color="auto"/>
            </w:tcBorders>
          </w:tcPr>
          <w:p>
            <w:pPr>
              <w:spacing w:after="0"/>
              <w:rPr>
                <w:sz w:val="24"/>
                <w:szCs w:val="24"/>
                <w:color w:val="auto"/>
              </w:rPr>
            </w:pPr>
          </w:p>
        </w:tc>
        <w:tc>
          <w:tcPr>
            <w:tcW w:w="3060" w:type="dxa"/>
            <w:vAlign w:val="bottom"/>
            <w:tcBorders>
              <w:top w:val="single" w:sz="8" w:color="DDDDDD"/>
              <w:bottom w:val="single" w:sz="8" w:color="auto"/>
            </w:tcBorders>
            <w:shd w:val="clear" w:color="auto" w:fill="DDDDDD"/>
          </w:tcPr>
          <w:p>
            <w:pPr>
              <w:ind w:left="40"/>
              <w:spacing w:after="0" w:line="275" w:lineRule="exact"/>
              <w:rPr>
                <w:sz w:val="20"/>
                <w:szCs w:val="20"/>
                <w:color w:val="auto"/>
              </w:rPr>
            </w:pPr>
            <w:r>
              <w:rPr>
                <w:rFonts w:ascii="Times New Roman" w:cs="Times New Roman" w:eastAsia="Times New Roman" w:hAnsi="Times New Roman"/>
                <w:sz w:val="20"/>
                <w:szCs w:val="20"/>
                <w:color w:val="auto"/>
              </w:rPr>
              <w:t>Duncan Grazier</w:t>
            </w:r>
            <w:r>
              <w:rPr>
                <w:rFonts w:ascii="Times New Roman" w:cs="Times New Roman" w:eastAsia="Times New Roman" w:hAnsi="Times New Roman"/>
                <w:sz w:val="25"/>
                <w:szCs w:val="25"/>
                <w:color w:val="auto"/>
                <w:vertAlign w:val="superscript"/>
              </w:rPr>
              <w:t>(2)</w:t>
            </w:r>
          </w:p>
        </w:tc>
        <w:tc>
          <w:tcPr>
            <w:tcW w:w="80" w:type="dxa"/>
            <w:vAlign w:val="bottom"/>
            <w:tcBorders>
              <w:top w:val="single" w:sz="8" w:color="DDDDDD"/>
            </w:tcBorders>
            <w:shd w:val="clear" w:color="auto" w:fill="DDDDDD"/>
          </w:tcPr>
          <w:p>
            <w:pPr>
              <w:spacing w:after="0"/>
              <w:rPr>
                <w:sz w:val="24"/>
                <w:szCs w:val="24"/>
                <w:color w:val="auto"/>
              </w:rPr>
            </w:pPr>
          </w:p>
        </w:tc>
        <w:tc>
          <w:tcPr>
            <w:tcW w:w="2320" w:type="dxa"/>
            <w:vAlign w:val="bottom"/>
            <w:tcBorders>
              <w:top w:val="single" w:sz="8" w:color="DDDDDD"/>
              <w:bottom w:val="single" w:sz="8" w:color="auto"/>
            </w:tcBorders>
            <w:shd w:val="clear" w:color="auto" w:fill="DDDDDD"/>
          </w:tcPr>
          <w:p>
            <w:pPr>
              <w:ind w:left="80"/>
              <w:spacing w:after="0"/>
              <w:rPr>
                <w:sz w:val="20"/>
                <w:szCs w:val="20"/>
                <w:color w:val="auto"/>
              </w:rPr>
            </w:pPr>
            <w:r>
              <w:rPr>
                <w:rFonts w:ascii="Times New Roman" w:cs="Times New Roman" w:eastAsia="Times New Roman" w:hAnsi="Times New Roman"/>
                <w:sz w:val="20"/>
                <w:szCs w:val="20"/>
                <w:color w:val="auto"/>
              </w:rPr>
              <w:t>$212,500</w:t>
            </w:r>
          </w:p>
        </w:tc>
        <w:tc>
          <w:tcPr>
            <w:tcW w:w="2400" w:type="dxa"/>
            <w:vAlign w:val="bottom"/>
            <w:tcBorders>
              <w:top w:val="single" w:sz="8" w:color="DDDDDD"/>
              <w:bottom w:val="single" w:sz="8" w:color="auto"/>
            </w:tcBorders>
            <w:shd w:val="clear" w:color="auto" w:fill="DDDDDD"/>
          </w:tcPr>
          <w:p>
            <w:pPr>
              <w:ind w:left="140"/>
              <w:spacing w:after="0"/>
              <w:rPr>
                <w:sz w:val="20"/>
                <w:szCs w:val="20"/>
                <w:color w:val="auto"/>
              </w:rPr>
            </w:pPr>
            <w:r>
              <w:rPr>
                <w:rFonts w:ascii="Times New Roman" w:cs="Times New Roman" w:eastAsia="Times New Roman" w:hAnsi="Times New Roman"/>
                <w:sz w:val="20"/>
                <w:szCs w:val="20"/>
                <w:color w:val="auto"/>
              </w:rPr>
              <w:t>$188,062</w:t>
            </w:r>
          </w:p>
        </w:tc>
        <w:tc>
          <w:tcPr>
            <w:tcW w:w="100" w:type="dxa"/>
            <w:vAlign w:val="bottom"/>
            <w:tcBorders>
              <w:top w:val="single" w:sz="8" w:color="DDDDDD"/>
              <w:bottom w:val="single" w:sz="8" w:color="auto"/>
            </w:tcBorders>
            <w:shd w:val="clear" w:color="auto" w:fill="DDDDDD"/>
          </w:tcPr>
          <w:p>
            <w:pPr>
              <w:spacing w:after="0"/>
              <w:rPr>
                <w:sz w:val="24"/>
                <w:szCs w:val="24"/>
                <w:color w:val="auto"/>
              </w:rPr>
            </w:pPr>
          </w:p>
        </w:tc>
        <w:tc>
          <w:tcPr>
            <w:tcW w:w="2300" w:type="dxa"/>
            <w:vAlign w:val="bottom"/>
            <w:tcBorders>
              <w:top w:val="single" w:sz="8" w:color="DDDDDD"/>
              <w:bottom w:val="single" w:sz="8" w:color="auto"/>
            </w:tcBorders>
            <w:shd w:val="clear" w:color="auto" w:fill="DDDDDD"/>
          </w:tcPr>
          <w:p>
            <w:pPr>
              <w:ind w:left="60"/>
              <w:spacing w:after="0"/>
              <w:rPr>
                <w:sz w:val="20"/>
                <w:szCs w:val="20"/>
                <w:color w:val="auto"/>
              </w:rPr>
            </w:pPr>
            <w:r>
              <w:rPr>
                <w:rFonts w:ascii="Times New Roman" w:cs="Times New Roman" w:eastAsia="Times New Roman" w:hAnsi="Times New Roman"/>
                <w:sz w:val="20"/>
                <w:szCs w:val="20"/>
                <w:color w:val="auto"/>
              </w:rPr>
              <w:t>88.5%</w:t>
            </w:r>
          </w:p>
        </w:tc>
        <w:tc>
          <w:tcPr>
            <w:tcW w:w="0" w:type="dxa"/>
            <w:vAlign w:val="bottom"/>
          </w:tcPr>
          <w:p>
            <w:pPr>
              <w:spacing w:after="0"/>
              <w:rPr>
                <w:sz w:val="1"/>
                <w:szCs w:val="1"/>
                <w:color w:val="auto"/>
              </w:rPr>
            </w:pPr>
          </w:p>
        </w:tc>
      </w:tr>
      <w:tr>
        <w:trPr>
          <w:trHeight w:val="268"/>
        </w:trPr>
        <w:tc>
          <w:tcPr>
            <w:tcW w:w="20" w:type="dxa"/>
            <w:vAlign w:val="bottom"/>
          </w:tcPr>
          <w:p>
            <w:pPr>
              <w:spacing w:after="0"/>
              <w:rPr>
                <w:sz w:val="23"/>
                <w:szCs w:val="23"/>
                <w:color w:val="auto"/>
              </w:rPr>
            </w:pPr>
          </w:p>
        </w:tc>
        <w:tc>
          <w:tcPr>
            <w:tcW w:w="3060" w:type="dxa"/>
            <w:vAlign w:val="bottom"/>
          </w:tcPr>
          <w:p>
            <w:pPr>
              <w:spacing w:after="0"/>
              <w:rPr>
                <w:sz w:val="20"/>
                <w:szCs w:val="20"/>
                <w:color w:val="auto"/>
              </w:rPr>
            </w:pPr>
            <w:r>
              <w:rPr>
                <w:rFonts w:ascii="Times New Roman" w:cs="Times New Roman" w:eastAsia="Times New Roman" w:hAnsi="Times New Roman"/>
                <w:sz w:val="20"/>
                <w:szCs w:val="20"/>
                <w:color w:val="auto"/>
              </w:rPr>
              <w:t>___________________________</w:t>
            </w:r>
          </w:p>
        </w:tc>
        <w:tc>
          <w:tcPr>
            <w:tcW w:w="80" w:type="dxa"/>
            <w:vAlign w:val="bottom"/>
          </w:tcPr>
          <w:p>
            <w:pPr>
              <w:spacing w:after="0"/>
              <w:rPr>
                <w:sz w:val="23"/>
                <w:szCs w:val="23"/>
                <w:color w:val="auto"/>
              </w:rPr>
            </w:pPr>
          </w:p>
        </w:tc>
        <w:tc>
          <w:tcPr>
            <w:tcW w:w="2320" w:type="dxa"/>
            <w:vAlign w:val="bottom"/>
          </w:tcPr>
          <w:p>
            <w:pPr>
              <w:spacing w:after="0"/>
              <w:rPr>
                <w:sz w:val="23"/>
                <w:szCs w:val="23"/>
                <w:color w:val="auto"/>
              </w:rPr>
            </w:pPr>
          </w:p>
        </w:tc>
        <w:tc>
          <w:tcPr>
            <w:tcW w:w="24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300" w:type="dxa"/>
            <w:vAlign w:val="bottom"/>
          </w:tcPr>
          <w:p>
            <w:pPr>
              <w:spacing w:after="0"/>
              <w:rPr>
                <w:sz w:val="23"/>
                <w:szCs w:val="23"/>
                <w:color w:val="auto"/>
              </w:rPr>
            </w:pPr>
          </w:p>
        </w:tc>
        <w:tc>
          <w:tcPr>
            <w:tcW w:w="0" w:type="dxa"/>
            <w:vAlign w:val="bottom"/>
          </w:tcPr>
          <w:p>
            <w:pPr>
              <w:spacing w:after="0"/>
              <w:rPr>
                <w:sz w:val="1"/>
                <w:szCs w:val="1"/>
                <w:color w:val="auto"/>
              </w:rPr>
            </w:pPr>
          </w:p>
        </w:tc>
      </w:tr>
    </w:tbl>
    <w:p>
      <w:pPr>
        <w:spacing w:after="0" w:line="114" w:lineRule="exact"/>
        <w:rPr>
          <w:sz w:val="20"/>
          <w:szCs w:val="20"/>
          <w:color w:val="auto"/>
        </w:rPr>
      </w:pPr>
    </w:p>
    <w:p>
      <w:pPr>
        <w:ind w:left="380" w:hanging="366"/>
        <w:spacing w:after="0"/>
        <w:tabs>
          <w:tab w:leader="none" w:pos="380" w:val="left"/>
        </w:tabs>
        <w:numPr>
          <w:ilvl w:val="0"/>
          <w:numId w:val="5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Mr. Francis, was not eligible for a bonus in 2023 other than his signing bonus disclosed in the Summary Compensation Table below.</w:t>
      </w:r>
    </w:p>
    <w:p>
      <w:pPr>
        <w:spacing w:after="0" w:line="60" w:lineRule="exact"/>
        <w:rPr>
          <w:rFonts w:ascii="Times New Roman" w:cs="Times New Roman" w:eastAsia="Times New Roman" w:hAnsi="Times New Roman"/>
          <w:sz w:val="16"/>
          <w:szCs w:val="16"/>
          <w:color w:val="auto"/>
        </w:rPr>
      </w:pPr>
    </w:p>
    <w:p>
      <w:pPr>
        <w:ind w:left="380" w:right="20" w:hanging="366"/>
        <w:spacing w:after="0" w:line="317" w:lineRule="auto"/>
        <w:tabs>
          <w:tab w:leader="none" w:pos="380" w:val="left"/>
        </w:tabs>
        <w:numPr>
          <w:ilvl w:val="0"/>
          <w:numId w:val="5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Actual 2023 Cash Bonus for Mr. Grazier does not include a retention bonus in the amount of $200,000 paid to Mr. Grazier, as set forth in his retention bonus agreement described in the Form 8-K filed by the Company on October 6, 2023.</w:t>
      </w:r>
    </w:p>
    <w:p>
      <w:pPr>
        <w:spacing w:after="0" w:line="65" w:lineRule="exact"/>
        <w:rPr>
          <w:sz w:val="20"/>
          <w:szCs w:val="20"/>
          <w:color w:val="auto"/>
        </w:rPr>
      </w:pPr>
    </w:p>
    <w:p>
      <w:pPr>
        <w:jc w:val="both"/>
        <w:ind w:left="20" w:right="20"/>
        <w:spacing w:after="0" w:line="326" w:lineRule="auto"/>
        <w:rPr>
          <w:sz w:val="20"/>
          <w:szCs w:val="20"/>
          <w:color w:val="auto"/>
        </w:rPr>
      </w:pPr>
      <w:r>
        <w:rPr>
          <w:rFonts w:ascii="Times New Roman" w:cs="Times New Roman" w:eastAsia="Times New Roman" w:hAnsi="Times New Roman"/>
          <w:sz w:val="20"/>
          <w:szCs w:val="20"/>
          <w:color w:val="auto"/>
        </w:rPr>
        <w:t>Going forward, we anticipate the Compensation Committee will design and adopt a similar cash bonus plan for our Named Executive Officers as part of its annual review of our executive compensation program.</w:t>
      </w:r>
    </w:p>
    <w:p>
      <w:pPr>
        <w:spacing w:after="0" w:line="45" w:lineRule="exact"/>
        <w:rPr>
          <w:sz w:val="20"/>
          <w:szCs w:val="20"/>
          <w:color w:val="auto"/>
        </w:rPr>
      </w:pPr>
    </w:p>
    <w:p>
      <w:pPr>
        <w:jc w:val="both"/>
        <w:ind w:left="20" w:right="20"/>
        <w:spacing w:after="0" w:line="326" w:lineRule="auto"/>
        <w:rPr>
          <w:sz w:val="20"/>
          <w:szCs w:val="20"/>
          <w:color w:val="auto"/>
        </w:rPr>
      </w:pPr>
      <w:r>
        <w:rPr>
          <w:rFonts w:ascii="Times New Roman" w:cs="Times New Roman" w:eastAsia="Times New Roman" w:hAnsi="Times New Roman"/>
          <w:sz w:val="20"/>
          <w:szCs w:val="20"/>
          <w:color w:val="auto"/>
        </w:rPr>
        <w:t>The annual bonuses awarded to our Named Executive Officers for 2023 are set forth in the “Summary Compensation Table” below.</w:t>
      </w:r>
    </w:p>
    <w:p>
      <w:pPr>
        <w:spacing w:after="0" w:line="49"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0"/>
          <w:szCs w:val="20"/>
          <w:i w:val="1"/>
          <w:iCs w:val="1"/>
          <w:color w:val="auto"/>
        </w:rPr>
        <w:t>Long-Term Equity Incentive Compensation</w:t>
      </w:r>
    </w:p>
    <w:p>
      <w:pPr>
        <w:spacing w:after="0" w:line="162" w:lineRule="exact"/>
        <w:rPr>
          <w:sz w:val="20"/>
          <w:szCs w:val="20"/>
          <w:color w:val="auto"/>
        </w:rPr>
      </w:pPr>
    </w:p>
    <w:p>
      <w:pPr>
        <w:jc w:val="both"/>
        <w:ind w:left="20"/>
        <w:spacing w:after="0" w:line="294" w:lineRule="auto"/>
        <w:rPr>
          <w:sz w:val="20"/>
          <w:szCs w:val="20"/>
          <w:color w:val="auto"/>
        </w:rPr>
      </w:pPr>
      <w:r>
        <w:rPr>
          <w:rFonts w:ascii="Times New Roman" w:cs="Times New Roman" w:eastAsia="Times New Roman" w:hAnsi="Times New Roman"/>
          <w:sz w:val="20"/>
          <w:szCs w:val="20"/>
          <w:color w:val="auto"/>
        </w:rPr>
        <w:t>We encounter significant competition for qualified personnel, and long-term incentive compensation plays a critical role in our ability to attract, hire, motivate, and reward qualified and experienced executives. The use of long-term incentive compensation in the form of equity awards is necessary for us to compete for qualified executives without significantly increasing cash compensation and is the most important element of our executive compensation program. We use equity awards to incentivize and reward our Named Executive Officers for long-term corporate performance based on the value of our Class A Common Stock and, thereby, align their interests with the interests of our stockholders. The realized value of these equity awards bears a direct relationship to our stock price, and, therefore, these awards are an incentive for our Named Executive Officers to create value for our stockholders. Equity awards also help us retain our Named Executive Officers in a highly competitive market.</w:t>
      </w:r>
    </w:p>
    <w:p>
      <w:pPr>
        <w:spacing w:after="0" w:line="79" w:lineRule="exact"/>
        <w:rPr>
          <w:sz w:val="20"/>
          <w:szCs w:val="20"/>
          <w:color w:val="auto"/>
        </w:rPr>
      </w:pPr>
    </w:p>
    <w:p>
      <w:pPr>
        <w:jc w:val="both"/>
        <w:ind w:left="20"/>
        <w:spacing w:after="0" w:line="309" w:lineRule="auto"/>
        <w:rPr>
          <w:sz w:val="20"/>
          <w:szCs w:val="20"/>
          <w:color w:val="auto"/>
        </w:rPr>
      </w:pPr>
      <w:r>
        <w:rPr>
          <w:rFonts w:ascii="Times New Roman" w:cs="Times New Roman" w:eastAsia="Times New Roman" w:hAnsi="Times New Roman"/>
          <w:sz w:val="19"/>
          <w:szCs w:val="19"/>
          <w:color w:val="auto"/>
        </w:rPr>
        <w:t>In December 2021, we granted time-based RSU awards and PRSU awards, which may be settled for shares of our Class A Common Stock, to motivate and reward our Named Executive Officers for long-term increases in the value of our Class A Common Stock. Mr. Grazier was not a Named Executive Officer at the time, and received time-based RSU awards in August 2021 and March 2022 consistent with other non-executive employees. Mr. Francis did not receive any RSU awards in 2023 in his role as our Executive Chair. We view these equity awards, whether the awards are subject to time-based vesting requirements or are to be earned based on the attainment of specific performance objectives over a multi-year performance period, as inherently variable since the grant date fair value of these awards may not necessarily be indicative of their value when, and if, the stock underlying these awards vest or are earned. Because RSU awards have value to the recipient even in the absence of stock price appreciation, we believe that we are able to incentivize and retain our Named Executive Officers using fewer shares of our Class A Common Stock than would be necessary if we used stock options to provide an equity stake in the Company. Further, since the</w:t>
      </w:r>
    </w:p>
    <w:p>
      <w:pPr>
        <w:spacing w:after="0" w:line="2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90</w:t>
      </w:r>
    </w:p>
    <w:p>
      <w:pPr>
        <w:sectPr>
          <w:pgSz w:w="12240" w:h="15840" w:orient="portrait"/>
          <w:cols w:equalWidth="0" w:num="1">
            <w:col w:w="10280"/>
          </w:cols>
          <w:pgMar w:left="980" w:top="888" w:right="980" w:bottom="222" w:gutter="0" w:footer="0" w:header="0"/>
        </w:sectPr>
      </w:pPr>
    </w:p>
    <w:bookmarkStart w:id="94" w:name="page95"/>
    <w:bookmarkEnd w:id="94"/>
    <w:p>
      <w:pPr>
        <w:jc w:val="both"/>
        <w:ind w:left="20"/>
        <w:spacing w:after="0" w:line="297" w:lineRule="auto"/>
        <w:rPr>
          <w:sz w:val="20"/>
          <w:szCs w:val="20"/>
          <w:color w:val="auto"/>
        </w:rPr>
      </w:pPr>
      <w:r>
        <w:rPr>
          <w:rFonts w:ascii="Times New Roman" w:cs="Times New Roman" w:eastAsia="Times New Roman" w:hAnsi="Times New Roman"/>
          <w:sz w:val="20"/>
          <w:szCs w:val="20"/>
          <w:color w:val="auto"/>
        </w:rPr>
        <w:t>value of RSU awards increases with any increase in the value of the underlying shares, RSU awards also provide incentives to our Named Executive Officers that are aligned with the interests of our stockholders. We believe that PRSU awards also served as an effective source of motivation for our Named Executive Officers to drive our financial performance. In addition, PRSU awards provided a direct link between compensation and stockholder return, thereby motivating our Named Executive Officers to focus on and strive to achieve both our annual and long-term financial and strategic objectives.</w:t>
      </w:r>
    </w:p>
    <w:p>
      <w:pPr>
        <w:spacing w:after="0" w:line="74" w:lineRule="exact"/>
        <w:rPr>
          <w:sz w:val="20"/>
          <w:szCs w:val="20"/>
          <w:color w:val="auto"/>
        </w:rPr>
      </w:pPr>
    </w:p>
    <w:p>
      <w:pPr>
        <w:jc w:val="both"/>
        <w:ind w:left="20" w:right="20"/>
        <w:spacing w:after="0" w:line="296" w:lineRule="auto"/>
        <w:rPr>
          <w:sz w:val="20"/>
          <w:szCs w:val="20"/>
          <w:color w:val="auto"/>
        </w:rPr>
      </w:pPr>
      <w:r>
        <w:rPr>
          <w:rFonts w:ascii="Times New Roman" w:cs="Times New Roman" w:eastAsia="Times New Roman" w:hAnsi="Times New Roman"/>
          <w:sz w:val="20"/>
          <w:szCs w:val="20"/>
          <w:color w:val="auto"/>
        </w:rPr>
        <w:t>The Compensation Committee reviewed and determined the size of the equity awards of our current Named Executive Officers based on a formula that took into account each eligible Named Executive Officer’s position, qualifications, experience and a competitive market analysis prepared by its compensation consultant, and awarded time-based RSU awards to Mr. Grazier and Mr. Camire in September 2023. Based upon these factors, the Compensation Committee determined the size of each equity award at levels considered appropriate to create a meaningful opportunity for reward predicated on the creation of long-term stockholder value.</w:t>
      </w:r>
    </w:p>
    <w:p>
      <w:pPr>
        <w:spacing w:after="0" w:line="76" w:lineRule="exact"/>
        <w:rPr>
          <w:sz w:val="20"/>
          <w:szCs w:val="20"/>
          <w:color w:val="auto"/>
        </w:rPr>
      </w:pPr>
    </w:p>
    <w:p>
      <w:pPr>
        <w:jc w:val="both"/>
        <w:ind w:left="20"/>
        <w:spacing w:after="0" w:line="326" w:lineRule="auto"/>
        <w:rPr>
          <w:sz w:val="20"/>
          <w:szCs w:val="20"/>
          <w:color w:val="auto"/>
        </w:rPr>
      </w:pPr>
      <w:r>
        <w:rPr>
          <w:rFonts w:ascii="Times New Roman" w:cs="Times New Roman" w:eastAsia="Times New Roman" w:hAnsi="Times New Roman"/>
          <w:sz w:val="20"/>
          <w:szCs w:val="20"/>
          <w:color w:val="auto"/>
        </w:rPr>
        <w:t>The equity awards granted to our Named Executive Officers in 2023 under the WM Technology, Inc. 2021 Equity Incentive Plan (the “2021 Equity Plan”), were as follows:</w:t>
      </w:r>
    </w:p>
    <w:p>
      <w:pPr>
        <w:spacing w:after="0" w:line="43"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60" w:type="dxa"/>
            <w:vAlign w:val="bottom"/>
          </w:tcPr>
          <w:p>
            <w:pPr>
              <w:spacing w:after="0"/>
              <w:rPr>
                <w:sz w:val="20"/>
                <w:szCs w:val="20"/>
                <w:color w:val="auto"/>
              </w:rPr>
            </w:pPr>
          </w:p>
        </w:tc>
        <w:tc>
          <w:tcPr>
            <w:tcW w:w="3120" w:type="dxa"/>
            <w:vAlign w:val="bottom"/>
            <w:vMerge w:val="restart"/>
          </w:tcPr>
          <w:p>
            <w:pPr>
              <w:spacing w:after="0"/>
              <w:rPr>
                <w:sz w:val="20"/>
                <w:szCs w:val="20"/>
                <w:color w:val="auto"/>
              </w:rPr>
            </w:pPr>
            <w:r>
              <w:rPr>
                <w:rFonts w:ascii="Times New Roman" w:cs="Times New Roman" w:eastAsia="Times New Roman" w:hAnsi="Times New Roman"/>
                <w:sz w:val="20"/>
                <w:szCs w:val="20"/>
                <w:b w:val="1"/>
                <w:bCs w:val="1"/>
                <w:color w:val="auto"/>
              </w:rPr>
              <w:t>Named Executive Officer</w:t>
            </w:r>
          </w:p>
        </w:tc>
        <w:tc>
          <w:tcPr>
            <w:tcW w:w="180" w:type="dxa"/>
            <w:vAlign w:val="bottom"/>
          </w:tcPr>
          <w:p>
            <w:pPr>
              <w:spacing w:after="0"/>
              <w:rPr>
                <w:sz w:val="20"/>
                <w:szCs w:val="20"/>
                <w:color w:val="auto"/>
              </w:rPr>
            </w:pPr>
          </w:p>
        </w:tc>
        <w:tc>
          <w:tcPr>
            <w:tcW w:w="1620" w:type="dxa"/>
            <w:vAlign w:val="bottom"/>
          </w:tcPr>
          <w:p>
            <w:pPr>
              <w:spacing w:after="0"/>
              <w:rPr>
                <w:sz w:val="20"/>
                <w:szCs w:val="20"/>
                <w:color w:val="auto"/>
              </w:rPr>
            </w:pPr>
            <w:r>
              <w:rPr>
                <w:rFonts w:ascii="Times New Roman" w:cs="Times New Roman" w:eastAsia="Times New Roman" w:hAnsi="Times New Roman"/>
                <w:sz w:val="20"/>
                <w:szCs w:val="20"/>
                <w:b w:val="1"/>
                <w:bCs w:val="1"/>
                <w:color w:val="auto"/>
              </w:rPr>
              <w:t>RSU Awards</w:t>
            </w:r>
          </w:p>
        </w:tc>
        <w:tc>
          <w:tcPr>
            <w:tcW w:w="1740" w:type="dxa"/>
            <w:vAlign w:val="bottom"/>
            <w:gridSpan w:val="2"/>
          </w:tcPr>
          <w:p>
            <w:pPr>
              <w:ind w:left="120"/>
              <w:spacing w:after="0"/>
              <w:rPr>
                <w:sz w:val="20"/>
                <w:szCs w:val="20"/>
                <w:color w:val="auto"/>
              </w:rPr>
            </w:pPr>
            <w:r>
              <w:rPr>
                <w:rFonts w:ascii="Times New Roman" w:cs="Times New Roman" w:eastAsia="Times New Roman" w:hAnsi="Times New Roman"/>
                <w:sz w:val="20"/>
                <w:szCs w:val="20"/>
                <w:b w:val="1"/>
                <w:bCs w:val="1"/>
                <w:color w:val="auto"/>
              </w:rPr>
              <w:t>RSU Awards</w:t>
            </w:r>
          </w:p>
        </w:tc>
        <w:tc>
          <w:tcPr>
            <w:tcW w:w="1780" w:type="dxa"/>
            <w:vAlign w:val="bottom"/>
            <w:gridSpan w:val="2"/>
          </w:tcPr>
          <w:p>
            <w:pPr>
              <w:ind w:left="140"/>
              <w:spacing w:after="0"/>
              <w:rPr>
                <w:sz w:val="20"/>
                <w:szCs w:val="20"/>
                <w:color w:val="auto"/>
              </w:rPr>
            </w:pPr>
            <w:r>
              <w:rPr>
                <w:rFonts w:ascii="Times New Roman" w:cs="Times New Roman" w:eastAsia="Times New Roman" w:hAnsi="Times New Roman"/>
                <w:sz w:val="20"/>
                <w:szCs w:val="20"/>
                <w:b w:val="1"/>
                <w:bCs w:val="1"/>
                <w:color w:val="auto"/>
              </w:rPr>
              <w:t>PRSU Awards</w:t>
            </w:r>
          </w:p>
        </w:tc>
        <w:tc>
          <w:tcPr>
            <w:tcW w:w="1780" w:type="dxa"/>
            <w:vAlign w:val="bottom"/>
            <w:gridSpan w:val="2"/>
          </w:tcPr>
          <w:p>
            <w:pPr>
              <w:ind w:left="140"/>
              <w:spacing w:after="0"/>
              <w:rPr>
                <w:sz w:val="20"/>
                <w:szCs w:val="20"/>
                <w:color w:val="auto"/>
              </w:rPr>
            </w:pPr>
            <w:r>
              <w:rPr>
                <w:rFonts w:ascii="Times New Roman" w:cs="Times New Roman" w:eastAsia="Times New Roman" w:hAnsi="Times New Roman"/>
                <w:sz w:val="20"/>
                <w:szCs w:val="20"/>
                <w:b w:val="1"/>
                <w:bCs w:val="1"/>
                <w:color w:val="auto"/>
              </w:rPr>
              <w:t>PRSU Awards</w:t>
            </w:r>
          </w:p>
        </w:tc>
        <w:tc>
          <w:tcPr>
            <w:tcW w:w="0" w:type="dxa"/>
            <w:vAlign w:val="bottom"/>
          </w:tcPr>
          <w:p>
            <w:pPr>
              <w:spacing w:after="0"/>
              <w:rPr>
                <w:sz w:val="1"/>
                <w:szCs w:val="1"/>
                <w:color w:val="auto"/>
              </w:rPr>
            </w:pPr>
          </w:p>
        </w:tc>
      </w:tr>
      <w:tr>
        <w:trPr>
          <w:trHeight w:val="230"/>
        </w:trPr>
        <w:tc>
          <w:tcPr>
            <w:tcW w:w="60" w:type="dxa"/>
            <w:vAlign w:val="bottom"/>
          </w:tcPr>
          <w:p>
            <w:pPr>
              <w:spacing w:after="0"/>
              <w:rPr>
                <w:sz w:val="20"/>
                <w:szCs w:val="20"/>
                <w:color w:val="auto"/>
              </w:rPr>
            </w:pPr>
          </w:p>
        </w:tc>
        <w:tc>
          <w:tcPr>
            <w:tcW w:w="3120" w:type="dxa"/>
            <w:vAlign w:val="bottom"/>
            <w:vMerge w:val="continue"/>
          </w:tcPr>
          <w:p>
            <w:pPr>
              <w:spacing w:after="0"/>
              <w:rPr>
                <w:sz w:val="20"/>
                <w:szCs w:val="20"/>
                <w:color w:val="auto"/>
              </w:rPr>
            </w:pPr>
          </w:p>
        </w:tc>
        <w:tc>
          <w:tcPr>
            <w:tcW w:w="180" w:type="dxa"/>
            <w:vAlign w:val="bottom"/>
          </w:tcPr>
          <w:p>
            <w:pPr>
              <w:spacing w:after="0"/>
              <w:rPr>
                <w:sz w:val="20"/>
                <w:szCs w:val="20"/>
                <w:color w:val="auto"/>
              </w:rPr>
            </w:pPr>
          </w:p>
        </w:tc>
        <w:tc>
          <w:tcPr>
            <w:tcW w:w="1620" w:type="dxa"/>
            <w:vAlign w:val="bottom"/>
          </w:tcPr>
          <w:p>
            <w:pPr>
              <w:spacing w:after="0"/>
              <w:rPr>
                <w:sz w:val="20"/>
                <w:szCs w:val="20"/>
                <w:color w:val="auto"/>
              </w:rPr>
            </w:pPr>
            <w:r>
              <w:rPr>
                <w:rFonts w:ascii="Times New Roman" w:cs="Times New Roman" w:eastAsia="Times New Roman" w:hAnsi="Times New Roman"/>
                <w:sz w:val="20"/>
                <w:szCs w:val="20"/>
                <w:b w:val="1"/>
                <w:bCs w:val="1"/>
                <w:color w:val="auto"/>
              </w:rPr>
              <w:t>(number of</w:t>
            </w:r>
          </w:p>
        </w:tc>
        <w:tc>
          <w:tcPr>
            <w:tcW w:w="1740" w:type="dxa"/>
            <w:vAlign w:val="bottom"/>
            <w:gridSpan w:val="2"/>
          </w:tcPr>
          <w:p>
            <w:pPr>
              <w:ind w:left="120"/>
              <w:spacing w:after="0"/>
              <w:rPr>
                <w:sz w:val="20"/>
                <w:szCs w:val="20"/>
                <w:color w:val="auto"/>
              </w:rPr>
            </w:pPr>
            <w:r>
              <w:rPr>
                <w:rFonts w:ascii="Times New Roman" w:cs="Times New Roman" w:eastAsia="Times New Roman" w:hAnsi="Times New Roman"/>
                <w:sz w:val="20"/>
                <w:szCs w:val="20"/>
                <w:b w:val="1"/>
                <w:bCs w:val="1"/>
                <w:color w:val="auto"/>
              </w:rPr>
              <w:t>(grant date fair</w:t>
            </w:r>
          </w:p>
        </w:tc>
        <w:tc>
          <w:tcPr>
            <w:tcW w:w="1780" w:type="dxa"/>
            <w:vAlign w:val="bottom"/>
            <w:gridSpan w:val="2"/>
          </w:tcPr>
          <w:p>
            <w:pPr>
              <w:ind w:left="140"/>
              <w:spacing w:after="0"/>
              <w:rPr>
                <w:sz w:val="20"/>
                <w:szCs w:val="20"/>
                <w:color w:val="auto"/>
              </w:rPr>
            </w:pPr>
            <w:r>
              <w:rPr>
                <w:rFonts w:ascii="Times New Roman" w:cs="Times New Roman" w:eastAsia="Times New Roman" w:hAnsi="Times New Roman"/>
                <w:sz w:val="20"/>
                <w:szCs w:val="20"/>
                <w:b w:val="1"/>
                <w:bCs w:val="1"/>
                <w:color w:val="auto"/>
              </w:rPr>
              <w:t>(number of</w:t>
            </w:r>
          </w:p>
        </w:tc>
        <w:tc>
          <w:tcPr>
            <w:tcW w:w="1780" w:type="dxa"/>
            <w:vAlign w:val="bottom"/>
            <w:gridSpan w:val="2"/>
          </w:tcPr>
          <w:p>
            <w:pPr>
              <w:ind w:left="140"/>
              <w:spacing w:after="0"/>
              <w:rPr>
                <w:sz w:val="20"/>
                <w:szCs w:val="20"/>
                <w:color w:val="auto"/>
              </w:rPr>
            </w:pPr>
            <w:r>
              <w:rPr>
                <w:rFonts w:ascii="Times New Roman" w:cs="Times New Roman" w:eastAsia="Times New Roman" w:hAnsi="Times New Roman"/>
                <w:sz w:val="20"/>
                <w:szCs w:val="20"/>
                <w:b w:val="1"/>
                <w:bCs w:val="1"/>
                <w:color w:val="auto"/>
              </w:rPr>
              <w:t>(grant date fair</w:t>
            </w:r>
          </w:p>
        </w:tc>
        <w:tc>
          <w:tcPr>
            <w:tcW w:w="0" w:type="dxa"/>
            <w:vAlign w:val="bottom"/>
          </w:tcPr>
          <w:p>
            <w:pPr>
              <w:spacing w:after="0"/>
              <w:rPr>
                <w:sz w:val="1"/>
                <w:szCs w:val="1"/>
                <w:color w:val="auto"/>
              </w:rPr>
            </w:pPr>
          </w:p>
        </w:tc>
      </w:tr>
      <w:tr>
        <w:trPr>
          <w:trHeight w:val="280"/>
        </w:trPr>
        <w:tc>
          <w:tcPr>
            <w:tcW w:w="60" w:type="dxa"/>
            <w:vAlign w:val="bottom"/>
          </w:tcPr>
          <w:p>
            <w:pPr>
              <w:spacing w:after="0"/>
              <w:rPr>
                <w:sz w:val="23"/>
                <w:szCs w:val="23"/>
                <w:color w:val="auto"/>
              </w:rPr>
            </w:pPr>
          </w:p>
        </w:tc>
        <w:tc>
          <w:tcPr>
            <w:tcW w:w="3120" w:type="dxa"/>
            <w:vAlign w:val="bottom"/>
            <w:tcBorders>
              <w:bottom w:val="single" w:sz="8" w:color="auto"/>
            </w:tcBorders>
          </w:tcPr>
          <w:p>
            <w:pPr>
              <w:spacing w:after="0"/>
              <w:rPr>
                <w:sz w:val="23"/>
                <w:szCs w:val="23"/>
                <w:color w:val="auto"/>
              </w:rPr>
            </w:pPr>
          </w:p>
        </w:tc>
        <w:tc>
          <w:tcPr>
            <w:tcW w:w="180" w:type="dxa"/>
            <w:vAlign w:val="bottom"/>
            <w:tcBorders>
              <w:bottom w:val="single" w:sz="8" w:color="auto"/>
            </w:tcBorders>
          </w:tcPr>
          <w:p>
            <w:pPr>
              <w:spacing w:after="0"/>
              <w:rPr>
                <w:sz w:val="23"/>
                <w:szCs w:val="23"/>
                <w:color w:val="auto"/>
              </w:rPr>
            </w:pPr>
          </w:p>
        </w:tc>
        <w:tc>
          <w:tcPr>
            <w:tcW w:w="162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20"/>
                <w:szCs w:val="20"/>
                <w:b w:val="1"/>
                <w:bCs w:val="1"/>
                <w:color w:val="auto"/>
              </w:rPr>
              <w:t>units)(#)</w:t>
            </w:r>
          </w:p>
        </w:tc>
        <w:tc>
          <w:tcPr>
            <w:tcW w:w="1740" w:type="dxa"/>
            <w:vAlign w:val="bottom"/>
            <w:tcBorders>
              <w:bottom w:val="single" w:sz="8" w:color="auto"/>
            </w:tcBorders>
            <w:gridSpan w:val="2"/>
          </w:tcPr>
          <w:p>
            <w:pPr>
              <w:ind w:left="120"/>
              <w:spacing w:after="0"/>
              <w:rPr>
                <w:sz w:val="20"/>
                <w:szCs w:val="20"/>
                <w:color w:val="auto"/>
              </w:rPr>
            </w:pPr>
            <w:r>
              <w:rPr>
                <w:rFonts w:ascii="Times New Roman" w:cs="Times New Roman" w:eastAsia="Times New Roman" w:hAnsi="Times New Roman"/>
                <w:sz w:val="20"/>
                <w:szCs w:val="20"/>
                <w:b w:val="1"/>
                <w:bCs w:val="1"/>
                <w:color w:val="auto"/>
              </w:rPr>
              <w:t>value) ($)</w:t>
            </w:r>
          </w:p>
        </w:tc>
        <w:tc>
          <w:tcPr>
            <w:tcW w:w="1780" w:type="dxa"/>
            <w:vAlign w:val="bottom"/>
            <w:tcBorders>
              <w:bottom w:val="single" w:sz="8" w:color="auto"/>
            </w:tcBorders>
            <w:gridSpan w:val="2"/>
          </w:tcPr>
          <w:p>
            <w:pPr>
              <w:ind w:left="140"/>
              <w:spacing w:after="0"/>
              <w:rPr>
                <w:sz w:val="20"/>
                <w:szCs w:val="20"/>
                <w:color w:val="auto"/>
              </w:rPr>
            </w:pPr>
            <w:r>
              <w:rPr>
                <w:rFonts w:ascii="Times New Roman" w:cs="Times New Roman" w:eastAsia="Times New Roman" w:hAnsi="Times New Roman"/>
                <w:sz w:val="20"/>
                <w:szCs w:val="20"/>
                <w:b w:val="1"/>
                <w:bCs w:val="1"/>
                <w:color w:val="auto"/>
              </w:rPr>
              <w:t>units)(#)</w:t>
            </w:r>
          </w:p>
        </w:tc>
        <w:tc>
          <w:tcPr>
            <w:tcW w:w="1780" w:type="dxa"/>
            <w:vAlign w:val="bottom"/>
            <w:tcBorders>
              <w:bottom w:val="single" w:sz="8" w:color="auto"/>
            </w:tcBorders>
            <w:gridSpan w:val="2"/>
          </w:tcPr>
          <w:p>
            <w:pPr>
              <w:ind w:left="140"/>
              <w:spacing w:after="0"/>
              <w:rPr>
                <w:sz w:val="20"/>
                <w:szCs w:val="20"/>
                <w:color w:val="auto"/>
              </w:rPr>
            </w:pPr>
            <w:r>
              <w:rPr>
                <w:rFonts w:ascii="Times New Roman" w:cs="Times New Roman" w:eastAsia="Times New Roman" w:hAnsi="Times New Roman"/>
                <w:sz w:val="20"/>
                <w:szCs w:val="20"/>
                <w:b w:val="1"/>
                <w:bCs w:val="1"/>
                <w:color w:val="auto"/>
              </w:rPr>
              <w:t>value) ($)</w:t>
            </w:r>
          </w:p>
        </w:tc>
        <w:tc>
          <w:tcPr>
            <w:tcW w:w="0" w:type="dxa"/>
            <w:vAlign w:val="bottom"/>
          </w:tcPr>
          <w:p>
            <w:pPr>
              <w:spacing w:after="0"/>
              <w:rPr>
                <w:sz w:val="1"/>
                <w:szCs w:val="1"/>
                <w:color w:val="auto"/>
              </w:rPr>
            </w:pPr>
          </w:p>
        </w:tc>
      </w:tr>
      <w:tr>
        <w:trPr>
          <w:trHeight w:val="325"/>
        </w:trPr>
        <w:tc>
          <w:tcPr>
            <w:tcW w:w="60" w:type="dxa"/>
            <w:vAlign w:val="bottom"/>
            <w:tcBorders>
              <w:right w:val="single" w:sz="8" w:color="DDDDDD"/>
            </w:tcBorders>
          </w:tcPr>
          <w:p>
            <w:pPr>
              <w:spacing w:after="0"/>
              <w:rPr>
                <w:sz w:val="24"/>
                <w:szCs w:val="24"/>
                <w:color w:val="auto"/>
              </w:rPr>
            </w:pPr>
          </w:p>
        </w:tc>
        <w:tc>
          <w:tcPr>
            <w:tcW w:w="3120" w:type="dxa"/>
            <w:vAlign w:val="bottom"/>
            <w:tcBorders>
              <w:top w:val="single" w:sz="8" w:color="DDDDDD"/>
              <w:bottom w:val="single" w:sz="8" w:color="DDDDDD"/>
            </w:tcBorders>
            <w:shd w:val="clear" w:color="auto" w:fill="DDDDDD"/>
          </w:tcPr>
          <w:p>
            <w:pPr>
              <w:spacing w:after="0"/>
              <w:rPr>
                <w:sz w:val="20"/>
                <w:szCs w:val="20"/>
                <w:color w:val="auto"/>
              </w:rPr>
            </w:pPr>
            <w:r>
              <w:rPr>
                <w:rFonts w:ascii="Times New Roman" w:cs="Times New Roman" w:eastAsia="Times New Roman" w:hAnsi="Times New Roman"/>
                <w:sz w:val="20"/>
                <w:szCs w:val="20"/>
                <w:color w:val="auto"/>
              </w:rPr>
              <w:t>Douglas Francis</w:t>
            </w:r>
          </w:p>
        </w:tc>
        <w:tc>
          <w:tcPr>
            <w:tcW w:w="180" w:type="dxa"/>
            <w:vAlign w:val="bottom"/>
            <w:tcBorders>
              <w:top w:val="single" w:sz="8" w:color="DDDDDD"/>
              <w:bottom w:val="single" w:sz="8" w:color="DDDDDD"/>
            </w:tcBorders>
            <w:shd w:val="clear" w:color="auto" w:fill="DDDDDD"/>
          </w:tcPr>
          <w:p>
            <w:pPr>
              <w:spacing w:after="0"/>
              <w:rPr>
                <w:sz w:val="24"/>
                <w:szCs w:val="24"/>
                <w:color w:val="auto"/>
              </w:rPr>
            </w:pPr>
          </w:p>
        </w:tc>
        <w:tc>
          <w:tcPr>
            <w:tcW w:w="1620" w:type="dxa"/>
            <w:vAlign w:val="bottom"/>
            <w:tcBorders>
              <w:top w:val="single" w:sz="8" w:color="DDDDDD"/>
              <w:bottom w:val="single" w:sz="8" w:color="DDDDDD"/>
            </w:tcBorders>
            <w:shd w:val="clear" w:color="auto" w:fill="DDDDDD"/>
          </w:tcPr>
          <w:p>
            <w:pPr>
              <w:spacing w:after="0"/>
              <w:rPr>
                <w:sz w:val="20"/>
                <w:szCs w:val="20"/>
                <w:color w:val="auto"/>
              </w:rPr>
            </w:pPr>
            <w:r>
              <w:rPr>
                <w:rFonts w:ascii="Times New Roman" w:cs="Times New Roman" w:eastAsia="Times New Roman" w:hAnsi="Times New Roman"/>
                <w:sz w:val="20"/>
                <w:szCs w:val="20"/>
                <w:color w:val="auto"/>
              </w:rPr>
              <w:t>—</w:t>
            </w:r>
          </w:p>
        </w:tc>
        <w:tc>
          <w:tcPr>
            <w:tcW w:w="120" w:type="dxa"/>
            <w:vAlign w:val="bottom"/>
            <w:tcBorders>
              <w:top w:val="single" w:sz="8" w:color="DDDDDD"/>
              <w:bottom w:val="single" w:sz="8" w:color="DDDDDD"/>
            </w:tcBorders>
            <w:shd w:val="clear" w:color="auto" w:fill="DDDDDD"/>
          </w:tcPr>
          <w:p>
            <w:pPr>
              <w:spacing w:after="0"/>
              <w:rPr>
                <w:sz w:val="24"/>
                <w:szCs w:val="24"/>
                <w:color w:val="auto"/>
              </w:rPr>
            </w:pPr>
          </w:p>
        </w:tc>
        <w:tc>
          <w:tcPr>
            <w:tcW w:w="1620" w:type="dxa"/>
            <w:vAlign w:val="bottom"/>
            <w:tcBorders>
              <w:top w:val="single" w:sz="8" w:color="DDDDDD"/>
              <w:bottom w:val="single" w:sz="8" w:color="DDDDDD"/>
            </w:tcBorders>
            <w:shd w:val="clear" w:color="auto" w:fill="DDDDDD"/>
          </w:tcPr>
          <w:p>
            <w:pPr>
              <w:spacing w:after="0"/>
              <w:rPr>
                <w:sz w:val="20"/>
                <w:szCs w:val="20"/>
                <w:color w:val="auto"/>
              </w:rPr>
            </w:pPr>
            <w:r>
              <w:rPr>
                <w:rFonts w:ascii="Times New Roman" w:cs="Times New Roman" w:eastAsia="Times New Roman" w:hAnsi="Times New Roman"/>
                <w:sz w:val="20"/>
                <w:szCs w:val="20"/>
                <w:color w:val="auto"/>
              </w:rPr>
              <w:t>$—</w:t>
            </w:r>
          </w:p>
        </w:tc>
        <w:tc>
          <w:tcPr>
            <w:tcW w:w="140" w:type="dxa"/>
            <w:vAlign w:val="bottom"/>
            <w:tcBorders>
              <w:top w:val="single" w:sz="8" w:color="DDDDDD"/>
              <w:bottom w:val="single" w:sz="8" w:color="DDDDDD"/>
            </w:tcBorders>
            <w:shd w:val="clear" w:color="auto" w:fill="DDDDDD"/>
          </w:tcPr>
          <w:p>
            <w:pPr>
              <w:spacing w:after="0"/>
              <w:rPr>
                <w:sz w:val="24"/>
                <w:szCs w:val="24"/>
                <w:color w:val="auto"/>
              </w:rPr>
            </w:pPr>
          </w:p>
        </w:tc>
        <w:tc>
          <w:tcPr>
            <w:tcW w:w="1640" w:type="dxa"/>
            <w:vAlign w:val="bottom"/>
            <w:tcBorders>
              <w:top w:val="single" w:sz="8" w:color="DDDDDD"/>
              <w:bottom w:val="single" w:sz="8" w:color="DDDDDD"/>
            </w:tcBorders>
            <w:shd w:val="clear" w:color="auto" w:fill="DDDDDD"/>
          </w:tcPr>
          <w:p>
            <w:pPr>
              <w:spacing w:after="0"/>
              <w:rPr>
                <w:sz w:val="20"/>
                <w:szCs w:val="20"/>
                <w:color w:val="auto"/>
              </w:rPr>
            </w:pPr>
            <w:r>
              <w:rPr>
                <w:rFonts w:ascii="Times New Roman" w:cs="Times New Roman" w:eastAsia="Times New Roman" w:hAnsi="Times New Roman"/>
                <w:sz w:val="20"/>
                <w:szCs w:val="20"/>
                <w:color w:val="auto"/>
              </w:rPr>
              <w:t>—</w:t>
            </w:r>
          </w:p>
        </w:tc>
        <w:tc>
          <w:tcPr>
            <w:tcW w:w="140" w:type="dxa"/>
            <w:vAlign w:val="bottom"/>
            <w:tcBorders>
              <w:top w:val="single" w:sz="8" w:color="DDDDDD"/>
              <w:bottom w:val="single" w:sz="8" w:color="DDDDDD"/>
            </w:tcBorders>
            <w:shd w:val="clear" w:color="auto" w:fill="DDDDDD"/>
          </w:tcPr>
          <w:p>
            <w:pPr>
              <w:spacing w:after="0"/>
              <w:rPr>
                <w:sz w:val="24"/>
                <w:szCs w:val="24"/>
                <w:color w:val="auto"/>
              </w:rPr>
            </w:pPr>
          </w:p>
        </w:tc>
        <w:tc>
          <w:tcPr>
            <w:tcW w:w="1640" w:type="dxa"/>
            <w:vAlign w:val="bottom"/>
            <w:tcBorders>
              <w:top w:val="single" w:sz="8" w:color="DDDDDD"/>
              <w:bottom w:val="single" w:sz="8" w:color="DDDDDD"/>
            </w:tcBorders>
            <w:shd w:val="clear" w:color="auto" w:fill="DDDDDD"/>
          </w:tcPr>
          <w:p>
            <w:pPr>
              <w:spacing w:after="0"/>
              <w:rPr>
                <w:sz w:val="20"/>
                <w:szCs w:val="20"/>
                <w:color w:val="auto"/>
              </w:rPr>
            </w:pPr>
            <w:r>
              <w:rPr>
                <w:rFonts w:ascii="Times New Roman" w:cs="Times New Roman" w:eastAsia="Times New Roman" w:hAnsi="Times New Roman"/>
                <w:sz w:val="20"/>
                <w:szCs w:val="20"/>
                <w:color w:val="auto"/>
              </w:rPr>
              <w:t>$—</w:t>
            </w:r>
          </w:p>
        </w:tc>
        <w:tc>
          <w:tcPr>
            <w:tcW w:w="0" w:type="dxa"/>
            <w:vAlign w:val="bottom"/>
          </w:tcPr>
          <w:p>
            <w:pPr>
              <w:spacing w:after="0"/>
              <w:rPr>
                <w:sz w:val="1"/>
                <w:szCs w:val="1"/>
                <w:color w:val="auto"/>
              </w:rPr>
            </w:pPr>
          </w:p>
        </w:tc>
      </w:tr>
      <w:tr>
        <w:trPr>
          <w:trHeight w:val="285"/>
        </w:trPr>
        <w:tc>
          <w:tcPr>
            <w:tcW w:w="60" w:type="dxa"/>
            <w:vAlign w:val="bottom"/>
          </w:tcPr>
          <w:p>
            <w:pPr>
              <w:spacing w:after="0"/>
              <w:rPr>
                <w:sz w:val="24"/>
                <w:szCs w:val="24"/>
                <w:color w:val="auto"/>
              </w:rPr>
            </w:pPr>
          </w:p>
        </w:tc>
        <w:tc>
          <w:tcPr>
            <w:tcW w:w="3120" w:type="dxa"/>
            <w:vAlign w:val="bottom"/>
            <w:tcBorders>
              <w:top w:val="single" w:sz="8" w:color="auto"/>
            </w:tcBorders>
          </w:tcPr>
          <w:p>
            <w:pPr>
              <w:spacing w:after="0"/>
              <w:rPr>
                <w:sz w:val="20"/>
                <w:szCs w:val="20"/>
                <w:color w:val="auto"/>
              </w:rPr>
            </w:pPr>
            <w:r>
              <w:rPr>
                <w:rFonts w:ascii="Times New Roman" w:cs="Times New Roman" w:eastAsia="Times New Roman" w:hAnsi="Times New Roman"/>
                <w:sz w:val="20"/>
                <w:szCs w:val="20"/>
                <w:color w:val="auto"/>
              </w:rPr>
              <w:t>Duncan Grazier</w:t>
            </w:r>
          </w:p>
        </w:tc>
        <w:tc>
          <w:tcPr>
            <w:tcW w:w="1800" w:type="dxa"/>
            <w:vAlign w:val="bottom"/>
            <w:tcBorders>
              <w:top w:val="single" w:sz="8" w:color="auto"/>
            </w:tcBorders>
            <w:gridSpan w:val="2"/>
          </w:tcPr>
          <w:p>
            <w:pPr>
              <w:ind w:left="180"/>
              <w:spacing w:after="0"/>
              <w:rPr>
                <w:sz w:val="20"/>
                <w:szCs w:val="20"/>
                <w:color w:val="auto"/>
              </w:rPr>
            </w:pPr>
            <w:r>
              <w:rPr>
                <w:rFonts w:ascii="Times New Roman" w:cs="Times New Roman" w:eastAsia="Times New Roman" w:hAnsi="Times New Roman"/>
                <w:sz w:val="20"/>
                <w:szCs w:val="20"/>
                <w:color w:val="auto"/>
              </w:rPr>
              <w:t>692,968</w:t>
            </w:r>
          </w:p>
        </w:tc>
        <w:tc>
          <w:tcPr>
            <w:tcW w:w="1740" w:type="dxa"/>
            <w:vAlign w:val="bottom"/>
            <w:tcBorders>
              <w:top w:val="single" w:sz="8" w:color="auto"/>
            </w:tcBorders>
            <w:gridSpan w:val="2"/>
          </w:tcPr>
          <w:p>
            <w:pPr>
              <w:ind w:left="120"/>
              <w:spacing w:after="0"/>
              <w:rPr>
                <w:sz w:val="20"/>
                <w:szCs w:val="20"/>
                <w:color w:val="auto"/>
              </w:rPr>
            </w:pPr>
            <w:r>
              <w:rPr>
                <w:rFonts w:ascii="Times New Roman" w:cs="Times New Roman" w:eastAsia="Times New Roman" w:hAnsi="Times New Roman"/>
                <w:sz w:val="20"/>
                <w:szCs w:val="20"/>
                <w:color w:val="auto"/>
              </w:rPr>
              <w:t>$914,718</w:t>
            </w:r>
          </w:p>
        </w:tc>
        <w:tc>
          <w:tcPr>
            <w:tcW w:w="1780" w:type="dxa"/>
            <w:vAlign w:val="bottom"/>
            <w:tcBorders>
              <w:top w:val="single" w:sz="8" w:color="auto"/>
            </w:tcBorders>
            <w:gridSpan w:val="2"/>
          </w:tcPr>
          <w:p>
            <w:pPr>
              <w:ind w:left="140"/>
              <w:spacing w:after="0"/>
              <w:rPr>
                <w:sz w:val="20"/>
                <w:szCs w:val="20"/>
                <w:color w:val="auto"/>
              </w:rPr>
            </w:pPr>
            <w:r>
              <w:rPr>
                <w:rFonts w:ascii="Times New Roman" w:cs="Times New Roman" w:eastAsia="Times New Roman" w:hAnsi="Times New Roman"/>
                <w:sz w:val="20"/>
                <w:szCs w:val="20"/>
                <w:color w:val="auto"/>
              </w:rPr>
              <w:t>—</w:t>
            </w:r>
          </w:p>
        </w:tc>
        <w:tc>
          <w:tcPr>
            <w:tcW w:w="1780" w:type="dxa"/>
            <w:vAlign w:val="bottom"/>
            <w:tcBorders>
              <w:top w:val="single" w:sz="8" w:color="auto"/>
            </w:tcBorders>
            <w:gridSpan w:val="2"/>
          </w:tcPr>
          <w:p>
            <w:pPr>
              <w:ind w:left="140"/>
              <w:spacing w:after="0"/>
              <w:rPr>
                <w:sz w:val="20"/>
                <w:szCs w:val="20"/>
                <w:color w:val="auto"/>
              </w:rPr>
            </w:pPr>
            <w:r>
              <w:rPr>
                <w:rFonts w:ascii="Times New Roman" w:cs="Times New Roman" w:eastAsia="Times New Roman" w:hAnsi="Times New Roman"/>
                <w:sz w:val="20"/>
                <w:szCs w:val="20"/>
                <w:color w:val="auto"/>
              </w:rPr>
              <w:t>$—</w:t>
            </w:r>
          </w:p>
        </w:tc>
        <w:tc>
          <w:tcPr>
            <w:tcW w:w="0" w:type="dxa"/>
            <w:vAlign w:val="bottom"/>
          </w:tcPr>
          <w:p>
            <w:pPr>
              <w:spacing w:after="0"/>
              <w:rPr>
                <w:sz w:val="1"/>
                <w:szCs w:val="1"/>
                <w:color w:val="auto"/>
              </w:rPr>
            </w:pPr>
          </w:p>
        </w:tc>
      </w:tr>
      <w:tr>
        <w:trPr>
          <w:trHeight w:val="80"/>
        </w:trPr>
        <w:tc>
          <w:tcPr>
            <w:tcW w:w="60" w:type="dxa"/>
            <w:vAlign w:val="bottom"/>
          </w:tcPr>
          <w:p>
            <w:pPr>
              <w:spacing w:after="0"/>
              <w:rPr>
                <w:sz w:val="6"/>
                <w:szCs w:val="6"/>
                <w:color w:val="auto"/>
              </w:rPr>
            </w:pPr>
          </w:p>
        </w:tc>
        <w:tc>
          <w:tcPr>
            <w:tcW w:w="3120" w:type="dxa"/>
            <w:vAlign w:val="bottom"/>
            <w:tcBorders>
              <w:bottom w:val="single" w:sz="8" w:color="auto"/>
            </w:tcBorders>
          </w:tcPr>
          <w:p>
            <w:pPr>
              <w:spacing w:after="0"/>
              <w:rPr>
                <w:sz w:val="6"/>
                <w:szCs w:val="6"/>
                <w:color w:val="auto"/>
              </w:rPr>
            </w:pPr>
          </w:p>
        </w:tc>
        <w:tc>
          <w:tcPr>
            <w:tcW w:w="1800" w:type="dxa"/>
            <w:vAlign w:val="bottom"/>
            <w:tcBorders>
              <w:bottom w:val="single" w:sz="8" w:color="auto"/>
            </w:tcBorders>
            <w:gridSpan w:val="2"/>
          </w:tcPr>
          <w:p>
            <w:pPr>
              <w:spacing w:after="0"/>
              <w:rPr>
                <w:sz w:val="6"/>
                <w:szCs w:val="6"/>
                <w:color w:val="auto"/>
              </w:rPr>
            </w:pPr>
          </w:p>
        </w:tc>
        <w:tc>
          <w:tcPr>
            <w:tcW w:w="1740" w:type="dxa"/>
            <w:vAlign w:val="bottom"/>
            <w:tcBorders>
              <w:bottom w:val="single" w:sz="8" w:color="auto"/>
            </w:tcBorders>
            <w:gridSpan w:val="2"/>
          </w:tcPr>
          <w:p>
            <w:pPr>
              <w:spacing w:after="0"/>
              <w:rPr>
                <w:sz w:val="6"/>
                <w:szCs w:val="6"/>
                <w:color w:val="auto"/>
              </w:rPr>
            </w:pPr>
          </w:p>
        </w:tc>
        <w:tc>
          <w:tcPr>
            <w:tcW w:w="1780" w:type="dxa"/>
            <w:vAlign w:val="bottom"/>
            <w:tcBorders>
              <w:bottom w:val="single" w:sz="8" w:color="auto"/>
            </w:tcBorders>
            <w:gridSpan w:val="2"/>
          </w:tcPr>
          <w:p>
            <w:pPr>
              <w:spacing w:after="0"/>
              <w:rPr>
                <w:sz w:val="6"/>
                <w:szCs w:val="6"/>
                <w:color w:val="auto"/>
              </w:rPr>
            </w:pPr>
          </w:p>
        </w:tc>
        <w:tc>
          <w:tcPr>
            <w:tcW w:w="1780" w:type="dxa"/>
            <w:vAlign w:val="bottom"/>
            <w:tcBorders>
              <w:bottom w:val="single" w:sz="8" w:color="auto"/>
            </w:tcBorders>
            <w:gridSpan w:val="2"/>
          </w:tcPr>
          <w:p>
            <w:pPr>
              <w:spacing w:after="0"/>
              <w:rPr>
                <w:sz w:val="6"/>
                <w:szCs w:val="6"/>
                <w:color w:val="auto"/>
              </w:rPr>
            </w:pPr>
          </w:p>
        </w:tc>
        <w:tc>
          <w:tcPr>
            <w:tcW w:w="0" w:type="dxa"/>
            <w:vAlign w:val="bottom"/>
          </w:tcPr>
          <w:p>
            <w:pPr>
              <w:spacing w:after="0"/>
              <w:rPr>
                <w:sz w:val="1"/>
                <w:szCs w:val="1"/>
                <w:color w:val="auto"/>
              </w:rPr>
            </w:pPr>
          </w:p>
        </w:tc>
      </w:tr>
      <w:tr>
        <w:trPr>
          <w:trHeight w:val="320"/>
        </w:trPr>
        <w:tc>
          <w:tcPr>
            <w:tcW w:w="60" w:type="dxa"/>
            <w:vAlign w:val="bottom"/>
            <w:tcBorders>
              <w:right w:val="single" w:sz="8" w:color="DDDDDD"/>
            </w:tcBorders>
          </w:tcPr>
          <w:p>
            <w:pPr>
              <w:spacing w:after="0"/>
              <w:rPr>
                <w:sz w:val="24"/>
                <w:szCs w:val="24"/>
                <w:color w:val="auto"/>
              </w:rPr>
            </w:pPr>
          </w:p>
        </w:tc>
        <w:tc>
          <w:tcPr>
            <w:tcW w:w="3120" w:type="dxa"/>
            <w:vAlign w:val="bottom"/>
            <w:tcBorders>
              <w:top w:val="single" w:sz="8" w:color="DDDDDD"/>
              <w:bottom w:val="single" w:sz="8" w:color="DDDDDD"/>
            </w:tcBorders>
            <w:shd w:val="clear" w:color="auto" w:fill="DDDDDD"/>
          </w:tcPr>
          <w:p>
            <w:pPr>
              <w:spacing w:after="0"/>
              <w:rPr>
                <w:sz w:val="20"/>
                <w:szCs w:val="20"/>
                <w:color w:val="auto"/>
              </w:rPr>
            </w:pPr>
            <w:r>
              <w:rPr>
                <w:rFonts w:ascii="Times New Roman" w:cs="Times New Roman" w:eastAsia="Times New Roman" w:hAnsi="Times New Roman"/>
                <w:sz w:val="20"/>
                <w:szCs w:val="20"/>
                <w:color w:val="auto"/>
              </w:rPr>
              <w:t>Brian Camire</w:t>
            </w:r>
          </w:p>
        </w:tc>
        <w:tc>
          <w:tcPr>
            <w:tcW w:w="180" w:type="dxa"/>
            <w:vAlign w:val="bottom"/>
            <w:tcBorders>
              <w:top w:val="single" w:sz="8" w:color="DDDDDD"/>
              <w:bottom w:val="single" w:sz="8" w:color="DDDDDD"/>
            </w:tcBorders>
            <w:shd w:val="clear" w:color="auto" w:fill="DDDDDD"/>
          </w:tcPr>
          <w:p>
            <w:pPr>
              <w:spacing w:after="0"/>
              <w:rPr>
                <w:sz w:val="24"/>
                <w:szCs w:val="24"/>
                <w:color w:val="auto"/>
              </w:rPr>
            </w:pPr>
          </w:p>
        </w:tc>
        <w:tc>
          <w:tcPr>
            <w:tcW w:w="1620" w:type="dxa"/>
            <w:vAlign w:val="bottom"/>
            <w:tcBorders>
              <w:top w:val="single" w:sz="8" w:color="DDDDDD"/>
              <w:bottom w:val="single" w:sz="8" w:color="DDDDDD"/>
            </w:tcBorders>
            <w:shd w:val="clear" w:color="auto" w:fill="DDDDDD"/>
          </w:tcPr>
          <w:p>
            <w:pPr>
              <w:spacing w:after="0"/>
              <w:rPr>
                <w:sz w:val="20"/>
                <w:szCs w:val="20"/>
                <w:color w:val="auto"/>
              </w:rPr>
            </w:pPr>
            <w:r>
              <w:rPr>
                <w:rFonts w:ascii="Times New Roman" w:cs="Times New Roman" w:eastAsia="Times New Roman" w:hAnsi="Times New Roman"/>
                <w:sz w:val="20"/>
                <w:szCs w:val="20"/>
                <w:color w:val="auto"/>
              </w:rPr>
              <w:t>655,468</w:t>
            </w:r>
          </w:p>
        </w:tc>
        <w:tc>
          <w:tcPr>
            <w:tcW w:w="120" w:type="dxa"/>
            <w:vAlign w:val="bottom"/>
            <w:tcBorders>
              <w:top w:val="single" w:sz="8" w:color="DDDDDD"/>
              <w:bottom w:val="single" w:sz="8" w:color="DDDDDD"/>
            </w:tcBorders>
            <w:shd w:val="clear" w:color="auto" w:fill="DDDDDD"/>
          </w:tcPr>
          <w:p>
            <w:pPr>
              <w:spacing w:after="0"/>
              <w:rPr>
                <w:sz w:val="24"/>
                <w:szCs w:val="24"/>
                <w:color w:val="auto"/>
              </w:rPr>
            </w:pPr>
          </w:p>
        </w:tc>
        <w:tc>
          <w:tcPr>
            <w:tcW w:w="1620" w:type="dxa"/>
            <w:vAlign w:val="bottom"/>
            <w:tcBorders>
              <w:top w:val="single" w:sz="8" w:color="DDDDDD"/>
              <w:bottom w:val="single" w:sz="8" w:color="DDDDDD"/>
            </w:tcBorders>
            <w:shd w:val="clear" w:color="auto" w:fill="DDDDDD"/>
          </w:tcPr>
          <w:p>
            <w:pPr>
              <w:spacing w:after="0"/>
              <w:rPr>
                <w:sz w:val="20"/>
                <w:szCs w:val="20"/>
                <w:color w:val="auto"/>
              </w:rPr>
            </w:pPr>
            <w:r>
              <w:rPr>
                <w:rFonts w:ascii="Times New Roman" w:cs="Times New Roman" w:eastAsia="Times New Roman" w:hAnsi="Times New Roman"/>
                <w:sz w:val="20"/>
                <w:szCs w:val="20"/>
                <w:color w:val="auto"/>
              </w:rPr>
              <w:t>$865,218</w:t>
            </w:r>
          </w:p>
        </w:tc>
        <w:tc>
          <w:tcPr>
            <w:tcW w:w="140" w:type="dxa"/>
            <w:vAlign w:val="bottom"/>
            <w:tcBorders>
              <w:top w:val="single" w:sz="8" w:color="DDDDDD"/>
              <w:bottom w:val="single" w:sz="8" w:color="DDDDDD"/>
            </w:tcBorders>
            <w:shd w:val="clear" w:color="auto" w:fill="DDDDDD"/>
          </w:tcPr>
          <w:p>
            <w:pPr>
              <w:spacing w:after="0"/>
              <w:rPr>
                <w:sz w:val="24"/>
                <w:szCs w:val="24"/>
                <w:color w:val="auto"/>
              </w:rPr>
            </w:pPr>
          </w:p>
        </w:tc>
        <w:tc>
          <w:tcPr>
            <w:tcW w:w="1640" w:type="dxa"/>
            <w:vAlign w:val="bottom"/>
            <w:tcBorders>
              <w:top w:val="single" w:sz="8" w:color="DDDDDD"/>
              <w:bottom w:val="single" w:sz="8" w:color="DDDDDD"/>
            </w:tcBorders>
            <w:shd w:val="clear" w:color="auto" w:fill="DDDDDD"/>
          </w:tcPr>
          <w:p>
            <w:pPr>
              <w:spacing w:after="0"/>
              <w:rPr>
                <w:sz w:val="20"/>
                <w:szCs w:val="20"/>
                <w:color w:val="auto"/>
              </w:rPr>
            </w:pPr>
            <w:r>
              <w:rPr>
                <w:rFonts w:ascii="Times New Roman" w:cs="Times New Roman" w:eastAsia="Times New Roman" w:hAnsi="Times New Roman"/>
                <w:sz w:val="20"/>
                <w:szCs w:val="20"/>
                <w:color w:val="auto"/>
              </w:rPr>
              <w:t>—</w:t>
            </w:r>
          </w:p>
        </w:tc>
        <w:tc>
          <w:tcPr>
            <w:tcW w:w="140" w:type="dxa"/>
            <w:vAlign w:val="bottom"/>
            <w:tcBorders>
              <w:top w:val="single" w:sz="8" w:color="DDDDDD"/>
              <w:bottom w:val="single" w:sz="8" w:color="DDDDDD"/>
            </w:tcBorders>
            <w:shd w:val="clear" w:color="auto" w:fill="DDDDDD"/>
          </w:tcPr>
          <w:p>
            <w:pPr>
              <w:spacing w:after="0"/>
              <w:rPr>
                <w:sz w:val="24"/>
                <w:szCs w:val="24"/>
                <w:color w:val="auto"/>
              </w:rPr>
            </w:pPr>
          </w:p>
        </w:tc>
        <w:tc>
          <w:tcPr>
            <w:tcW w:w="1640" w:type="dxa"/>
            <w:vAlign w:val="bottom"/>
            <w:tcBorders>
              <w:top w:val="single" w:sz="8" w:color="DDDDDD"/>
              <w:bottom w:val="single" w:sz="8" w:color="DDDDDD"/>
            </w:tcBorders>
            <w:shd w:val="clear" w:color="auto" w:fill="DDDDDD"/>
          </w:tcPr>
          <w:p>
            <w:pPr>
              <w:spacing w:after="0"/>
              <w:rPr>
                <w:sz w:val="20"/>
                <w:szCs w:val="20"/>
                <w:color w:val="auto"/>
              </w:rPr>
            </w:pPr>
            <w:r>
              <w:rPr>
                <w:rFonts w:ascii="Times New Roman" w:cs="Times New Roman" w:eastAsia="Times New Roman" w:hAnsi="Times New Roman"/>
                <w:sz w:val="20"/>
                <w:szCs w:val="20"/>
                <w:color w:val="auto"/>
              </w:rPr>
              <w:t>$—</w:t>
            </w:r>
          </w:p>
        </w:tc>
        <w:tc>
          <w:tcPr>
            <w:tcW w:w="0" w:type="dxa"/>
            <w:vAlign w:val="bottom"/>
          </w:tcPr>
          <w:p>
            <w:pPr>
              <w:spacing w:after="0"/>
              <w:rPr>
                <w:sz w:val="1"/>
                <w:szCs w:val="1"/>
                <w:color w:val="auto"/>
              </w:rPr>
            </w:pPr>
          </w:p>
        </w:tc>
      </w:tr>
      <w:tr>
        <w:trPr>
          <w:trHeight w:val="364"/>
        </w:trPr>
        <w:tc>
          <w:tcPr>
            <w:tcW w:w="60" w:type="dxa"/>
            <w:vAlign w:val="bottom"/>
            <w:tcBorders>
              <w:top w:val="single" w:sz="8" w:color="auto"/>
            </w:tcBorders>
          </w:tcPr>
          <w:p>
            <w:pPr>
              <w:spacing w:after="0"/>
              <w:rPr>
                <w:sz w:val="24"/>
                <w:szCs w:val="24"/>
                <w:color w:val="auto"/>
              </w:rPr>
            </w:pPr>
          </w:p>
        </w:tc>
        <w:tc>
          <w:tcPr>
            <w:tcW w:w="3120" w:type="dxa"/>
            <w:vAlign w:val="bottom"/>
            <w:tcBorders>
              <w:top w:val="single" w:sz="8" w:color="auto"/>
            </w:tcBorders>
          </w:tcPr>
          <w:p>
            <w:pPr>
              <w:spacing w:after="0"/>
              <w:rPr>
                <w:sz w:val="20"/>
                <w:szCs w:val="20"/>
                <w:color w:val="auto"/>
              </w:rPr>
            </w:pPr>
            <w:r>
              <w:rPr>
                <w:rFonts w:ascii="Times New Roman" w:cs="Times New Roman" w:eastAsia="Times New Roman" w:hAnsi="Times New Roman"/>
                <w:sz w:val="20"/>
                <w:szCs w:val="20"/>
                <w:b w:val="1"/>
                <w:bCs w:val="1"/>
                <w:i w:val="1"/>
                <w:iCs w:val="1"/>
                <w:color w:val="auto"/>
              </w:rPr>
              <w:t>RSU Awards</w:t>
            </w:r>
          </w:p>
        </w:tc>
        <w:tc>
          <w:tcPr>
            <w:tcW w:w="180" w:type="dxa"/>
            <w:vAlign w:val="bottom"/>
            <w:tcBorders>
              <w:top w:val="single" w:sz="8" w:color="auto"/>
            </w:tcBorders>
          </w:tcPr>
          <w:p>
            <w:pPr>
              <w:spacing w:after="0"/>
              <w:rPr>
                <w:sz w:val="24"/>
                <w:szCs w:val="24"/>
                <w:color w:val="auto"/>
              </w:rPr>
            </w:pPr>
          </w:p>
        </w:tc>
        <w:tc>
          <w:tcPr>
            <w:tcW w:w="1620" w:type="dxa"/>
            <w:vAlign w:val="bottom"/>
            <w:tcBorders>
              <w:top w:val="single" w:sz="8" w:color="auto"/>
            </w:tcBorders>
          </w:tcPr>
          <w:p>
            <w:pPr>
              <w:spacing w:after="0"/>
              <w:rPr>
                <w:sz w:val="24"/>
                <w:szCs w:val="24"/>
                <w:color w:val="auto"/>
              </w:rPr>
            </w:pPr>
          </w:p>
        </w:tc>
        <w:tc>
          <w:tcPr>
            <w:tcW w:w="120" w:type="dxa"/>
            <w:vAlign w:val="bottom"/>
            <w:tcBorders>
              <w:top w:val="single" w:sz="8" w:color="auto"/>
            </w:tcBorders>
          </w:tcPr>
          <w:p>
            <w:pPr>
              <w:spacing w:after="0"/>
              <w:rPr>
                <w:sz w:val="24"/>
                <w:szCs w:val="24"/>
                <w:color w:val="auto"/>
              </w:rPr>
            </w:pPr>
          </w:p>
        </w:tc>
        <w:tc>
          <w:tcPr>
            <w:tcW w:w="1620" w:type="dxa"/>
            <w:vAlign w:val="bottom"/>
            <w:tcBorders>
              <w:top w:val="single" w:sz="8" w:color="auto"/>
            </w:tcBorders>
          </w:tcPr>
          <w:p>
            <w:pPr>
              <w:spacing w:after="0"/>
              <w:rPr>
                <w:sz w:val="24"/>
                <w:szCs w:val="24"/>
                <w:color w:val="auto"/>
              </w:rPr>
            </w:pPr>
          </w:p>
        </w:tc>
        <w:tc>
          <w:tcPr>
            <w:tcW w:w="140" w:type="dxa"/>
            <w:vAlign w:val="bottom"/>
            <w:tcBorders>
              <w:top w:val="single" w:sz="8" w:color="auto"/>
            </w:tcBorders>
          </w:tcPr>
          <w:p>
            <w:pPr>
              <w:spacing w:after="0"/>
              <w:rPr>
                <w:sz w:val="24"/>
                <w:szCs w:val="24"/>
                <w:color w:val="auto"/>
              </w:rPr>
            </w:pPr>
          </w:p>
        </w:tc>
        <w:tc>
          <w:tcPr>
            <w:tcW w:w="1640" w:type="dxa"/>
            <w:vAlign w:val="bottom"/>
            <w:tcBorders>
              <w:top w:val="single" w:sz="8" w:color="auto"/>
            </w:tcBorders>
          </w:tcPr>
          <w:p>
            <w:pPr>
              <w:spacing w:after="0"/>
              <w:rPr>
                <w:sz w:val="24"/>
                <w:szCs w:val="24"/>
                <w:color w:val="auto"/>
              </w:rPr>
            </w:pPr>
          </w:p>
        </w:tc>
        <w:tc>
          <w:tcPr>
            <w:tcW w:w="140" w:type="dxa"/>
            <w:vAlign w:val="bottom"/>
            <w:tcBorders>
              <w:top w:val="single" w:sz="8" w:color="auto"/>
            </w:tcBorders>
          </w:tcPr>
          <w:p>
            <w:pPr>
              <w:spacing w:after="0"/>
              <w:rPr>
                <w:sz w:val="24"/>
                <w:szCs w:val="24"/>
                <w:color w:val="auto"/>
              </w:rPr>
            </w:pPr>
          </w:p>
        </w:tc>
        <w:tc>
          <w:tcPr>
            <w:tcW w:w="1640" w:type="dxa"/>
            <w:vAlign w:val="bottom"/>
            <w:tcBorders>
              <w:top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126" w:lineRule="exact"/>
        <w:rPr>
          <w:sz w:val="20"/>
          <w:szCs w:val="20"/>
          <w:color w:val="auto"/>
        </w:rPr>
      </w:pPr>
    </w:p>
    <w:p>
      <w:pPr>
        <w:jc w:val="both"/>
        <w:ind w:left="20"/>
        <w:spacing w:after="0" w:line="301" w:lineRule="auto"/>
        <w:rPr>
          <w:sz w:val="20"/>
          <w:szCs w:val="20"/>
          <w:color w:val="auto"/>
        </w:rPr>
      </w:pPr>
      <w:r>
        <w:rPr>
          <w:rFonts w:ascii="Times New Roman" w:cs="Times New Roman" w:eastAsia="Times New Roman" w:hAnsi="Times New Roman"/>
          <w:sz w:val="20"/>
          <w:szCs w:val="20"/>
          <w:color w:val="auto"/>
        </w:rPr>
        <w:t>The RSU awards granted to Mr. Camire in 2021, and to Mr. Grazier and Mr. Camire in September 2023 each vest in equal quarterly installments over three years following the vesting commencement date, and vesting terminates upon the Named Executive Officer’s termination of continuous service with us. Each unit granted pursuant to these RSU awards represents a contingent right to receive one share of our Class A Common Stock for each unit that vests.</w:t>
      </w:r>
    </w:p>
    <w:p>
      <w:pPr>
        <w:spacing w:after="0" w:line="70" w:lineRule="exact"/>
        <w:rPr>
          <w:sz w:val="20"/>
          <w:szCs w:val="20"/>
          <w:color w:val="auto"/>
        </w:rPr>
      </w:pPr>
    </w:p>
    <w:p>
      <w:pPr>
        <w:jc w:val="both"/>
        <w:ind w:left="20" w:right="20"/>
        <w:spacing w:after="0" w:line="296" w:lineRule="auto"/>
        <w:rPr>
          <w:sz w:val="20"/>
          <w:szCs w:val="20"/>
          <w:color w:val="auto"/>
        </w:rPr>
      </w:pPr>
      <w:r>
        <w:rPr>
          <w:rFonts w:ascii="Times New Roman" w:cs="Times New Roman" w:eastAsia="Times New Roman" w:hAnsi="Times New Roman"/>
          <w:sz w:val="20"/>
          <w:szCs w:val="20"/>
          <w:color w:val="auto"/>
        </w:rPr>
        <w:t>The RSU awards originally granted to Mr. Grazier in August 2021 and March 2022 vest in equal quarterly installments over four years commencing on the first vest date (except that 25% of Mr. Grazier’s first grant vests on a one-year cliff first vest date), and vesting terminates upon Mr. Grazier’s termination of continuous service with us. Each unit granted pursuant to these RSU awards represents a contingent right to receive one share of our Class A Common Stock for each unit that vests. The RSU awards granted to Mr. Francis in previous years in his capacity as a director of the Company, are as described in the section titled “Director Compensation” below.</w:t>
      </w:r>
    </w:p>
    <w:p>
      <w:pPr>
        <w:spacing w:after="0" w:line="78"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0"/>
          <w:szCs w:val="20"/>
          <w:b w:val="1"/>
          <w:bCs w:val="1"/>
          <w:i w:val="1"/>
          <w:iCs w:val="1"/>
          <w:color w:val="auto"/>
        </w:rPr>
        <w:t>PRSU Awards</w:t>
      </w:r>
    </w:p>
    <w:p>
      <w:pPr>
        <w:spacing w:after="0" w:line="164" w:lineRule="exact"/>
        <w:rPr>
          <w:sz w:val="20"/>
          <w:szCs w:val="20"/>
          <w:color w:val="auto"/>
        </w:rPr>
      </w:pPr>
    </w:p>
    <w:p>
      <w:pPr>
        <w:jc w:val="both"/>
        <w:ind w:left="20"/>
        <w:spacing w:after="0" w:line="295" w:lineRule="auto"/>
        <w:rPr>
          <w:sz w:val="20"/>
          <w:szCs w:val="20"/>
          <w:color w:val="auto"/>
        </w:rPr>
      </w:pPr>
      <w:r>
        <w:rPr>
          <w:rFonts w:ascii="Times New Roman" w:cs="Times New Roman" w:eastAsia="Times New Roman" w:hAnsi="Times New Roman"/>
          <w:sz w:val="20"/>
          <w:szCs w:val="20"/>
          <w:color w:val="auto"/>
        </w:rPr>
        <w:t>The PRSUs granted to Mr. Camire vested only if we achieved specified performance goals during the performance period beginning on January 1, 2022 and ending on December 31, 2023. The actual number of PRSUs vested was determined based upon the following calculation: (i) the sum of (A) the Revenue CAGR Percentage (as defined in the PRSU award agreement) multiplied by 0.75, plus (B) the Adjusted EBITDA Margin Percentage (as defined in the PRSU award agreement) multiplied by 0.25, then multiplied by (ii) the target Number of PRSUs granted to the Named Executive Officer, with the resulting number of PRSUs rounded down to the nearest whole unit.</w:t>
      </w:r>
    </w:p>
    <w:p>
      <w:pPr>
        <w:spacing w:after="0" w:line="75" w:lineRule="exact"/>
        <w:rPr>
          <w:sz w:val="20"/>
          <w:szCs w:val="20"/>
          <w:color w:val="auto"/>
        </w:rPr>
      </w:pPr>
    </w:p>
    <w:p>
      <w:pPr>
        <w:jc w:val="both"/>
        <w:ind w:left="20" w:right="20"/>
        <w:spacing w:after="0" w:line="334" w:lineRule="auto"/>
        <w:rPr>
          <w:sz w:val="20"/>
          <w:szCs w:val="20"/>
          <w:color w:val="auto"/>
        </w:rPr>
      </w:pPr>
      <w:r>
        <w:rPr>
          <w:rFonts w:ascii="Times New Roman" w:cs="Times New Roman" w:eastAsia="Times New Roman" w:hAnsi="Times New Roman"/>
          <w:sz w:val="20"/>
          <w:szCs w:val="20"/>
          <w:color w:val="auto"/>
        </w:rPr>
        <w:t>The number of PRSUs that vested was determined by our Compensation Committee on May 23, 2024. Each eligible recipient must remain employed by us through the determination date for the PRSU award to vest.</w:t>
      </w:r>
    </w:p>
    <w:p>
      <w:pPr>
        <w:spacing w:after="0" w:line="37" w:lineRule="exact"/>
        <w:rPr>
          <w:sz w:val="20"/>
          <w:szCs w:val="20"/>
          <w:color w:val="auto"/>
        </w:rPr>
      </w:pPr>
    </w:p>
    <w:p>
      <w:pPr>
        <w:jc w:val="both"/>
        <w:ind w:left="20" w:right="20"/>
        <w:spacing w:after="0" w:line="297" w:lineRule="auto"/>
        <w:rPr>
          <w:sz w:val="20"/>
          <w:szCs w:val="20"/>
          <w:color w:val="auto"/>
        </w:rPr>
      </w:pPr>
      <w:r>
        <w:rPr>
          <w:rFonts w:ascii="Times New Roman" w:cs="Times New Roman" w:eastAsia="Times New Roman" w:hAnsi="Times New Roman"/>
          <w:sz w:val="20"/>
          <w:szCs w:val="20"/>
          <w:color w:val="auto"/>
        </w:rPr>
        <w:t>Threshold achievement of the Revenue CAGR performance metric would have resulted in a 50% Revenue CAGR Percentage, target achievement of the Revenue CAGR performance metric would have resulted in a 100% Revenue CAGR Percentage, and maximum achievement of the Revenue CAGR performance metric would have resulted in a 200% Revenue CAGR Percentage, with the Revenue CAGR Percentage interpolated linearly and rounded up the nearest percentage point between these level after threshold performance was attained.</w:t>
      </w:r>
    </w:p>
    <w:p>
      <w:pPr>
        <w:spacing w:after="0" w:line="200" w:lineRule="exact"/>
        <w:rPr>
          <w:sz w:val="20"/>
          <w:szCs w:val="20"/>
          <w:color w:val="auto"/>
        </w:rPr>
      </w:pPr>
    </w:p>
    <w:p>
      <w:pPr>
        <w:spacing w:after="0" w:line="2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91</w:t>
      </w:r>
    </w:p>
    <w:p>
      <w:pPr>
        <w:sectPr>
          <w:pgSz w:w="12240" w:h="15840" w:orient="portrait"/>
          <w:cols w:equalWidth="0" w:num="1">
            <w:col w:w="10280"/>
          </w:cols>
          <w:pgMar w:left="980" w:top="884" w:right="980" w:bottom="222" w:gutter="0" w:footer="0" w:header="0"/>
        </w:sectPr>
      </w:pPr>
    </w:p>
    <w:bookmarkStart w:id="95" w:name="page96"/>
    <w:bookmarkEnd w:id="95"/>
    <w:p>
      <w:pPr>
        <w:jc w:val="both"/>
        <w:spacing w:after="0" w:line="297" w:lineRule="auto"/>
        <w:rPr>
          <w:sz w:val="20"/>
          <w:szCs w:val="20"/>
          <w:color w:val="auto"/>
        </w:rPr>
      </w:pPr>
      <w:r>
        <w:rPr>
          <w:rFonts w:ascii="Times New Roman" w:cs="Times New Roman" w:eastAsia="Times New Roman" w:hAnsi="Times New Roman"/>
          <w:sz w:val="20"/>
          <w:szCs w:val="20"/>
          <w:color w:val="auto"/>
        </w:rPr>
        <w:t>Threshold achievement of the Adjusted EBITDA Margin performance metric would have resulted in a 50% Adjusted EBITDA Margin Percentage, target achievement of the Adjusted EBITDA Margin performance metric would have resulted in a 100% Adjusted EBITDA Margin Percentage, and maximum achievement of the Adjusted EBITDA Margin performance metric would have resulted in a 200% Adjusted EBITDA Margin Percentage, with the Adjusted EBITDA Margin Percentage interpolated linearly and rounded up the nearest percentage point between these level after threshold performance is attained.</w:t>
      </w:r>
    </w:p>
    <w:p>
      <w:pPr>
        <w:spacing w:after="0" w:line="74" w:lineRule="exact"/>
        <w:rPr>
          <w:sz w:val="20"/>
          <w:szCs w:val="20"/>
          <w:color w:val="auto"/>
        </w:rPr>
      </w:pPr>
    </w:p>
    <w:p>
      <w:pPr>
        <w:jc w:val="both"/>
        <w:ind w:right="20"/>
        <w:spacing w:after="0" w:line="301" w:lineRule="auto"/>
        <w:rPr>
          <w:sz w:val="20"/>
          <w:szCs w:val="20"/>
          <w:color w:val="auto"/>
        </w:rPr>
      </w:pPr>
      <w:r>
        <w:rPr>
          <w:rFonts w:ascii="Times New Roman" w:cs="Times New Roman" w:eastAsia="Times New Roman" w:hAnsi="Times New Roman"/>
          <w:sz w:val="20"/>
          <w:szCs w:val="20"/>
          <w:color w:val="auto"/>
        </w:rPr>
        <w:t>During the performance period beginning on January 1, 2022 and ending on December 31, 2023, the Company did not achieve the threshold Revenue CAGR performance metric, resulting in a 0% Revenue CAGR Percentage and reached a 100% achievement of the Adjusted EBITDA Margin performance metric, representing a 100% Adjusted EBITDA Margin Percentage. In the aggregate, this resulted in vesting of 25% of the granted units for Mr. Camire.</w:t>
      </w:r>
    </w:p>
    <w:p>
      <w:pPr>
        <w:spacing w:after="0" w:line="70" w:lineRule="exact"/>
        <w:rPr>
          <w:sz w:val="20"/>
          <w:szCs w:val="20"/>
          <w:color w:val="auto"/>
        </w:rPr>
      </w:pPr>
    </w:p>
    <w:p>
      <w:pPr>
        <w:jc w:val="both"/>
        <w:ind w:right="20"/>
        <w:spacing w:after="0" w:line="334" w:lineRule="auto"/>
        <w:rPr>
          <w:sz w:val="20"/>
          <w:szCs w:val="20"/>
          <w:color w:val="auto"/>
        </w:rPr>
      </w:pPr>
      <w:r>
        <w:rPr>
          <w:rFonts w:ascii="Times New Roman" w:cs="Times New Roman" w:eastAsia="Times New Roman" w:hAnsi="Times New Roman"/>
          <w:sz w:val="20"/>
          <w:szCs w:val="20"/>
          <w:color w:val="auto"/>
        </w:rPr>
        <w:t>The equity awards vested to our Named Executive Officers during the performance period are set forth in the “Summary Compensation Table” below.</w:t>
      </w:r>
    </w:p>
    <w:p>
      <w:pPr>
        <w:spacing w:after="0" w:line="39"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Health and Welfare Benefits</w:t>
      </w:r>
    </w:p>
    <w:p>
      <w:pPr>
        <w:spacing w:after="0" w:line="164" w:lineRule="exact"/>
        <w:rPr>
          <w:sz w:val="20"/>
          <w:szCs w:val="20"/>
          <w:color w:val="auto"/>
        </w:rPr>
      </w:pPr>
    </w:p>
    <w:p>
      <w:pPr>
        <w:jc w:val="both"/>
        <w:spacing w:after="0" w:line="297" w:lineRule="auto"/>
        <w:rPr>
          <w:sz w:val="20"/>
          <w:szCs w:val="20"/>
          <w:color w:val="auto"/>
        </w:rPr>
      </w:pPr>
      <w:r>
        <w:rPr>
          <w:rFonts w:ascii="Times New Roman" w:cs="Times New Roman" w:eastAsia="Times New Roman" w:hAnsi="Times New Roman"/>
          <w:sz w:val="20"/>
          <w:szCs w:val="20"/>
          <w:color w:val="auto"/>
        </w:rPr>
        <w:t>Our Named Executive Officers are generally eligible to participate in the same employee benefit plans, and on the same terms and conditions, as all our other eligible employees. These benefits include medical, dental, and vision insurance, vacation, personal holidays, and sick days, basic life insurance and supplemental life insurance, short-term and long-term disability insurance, and a Section 401(k) retirement savings plan. In addition, our executives are eligible for life insurance and disability benefits paid for by us.</w:t>
      </w:r>
    </w:p>
    <w:p>
      <w:pPr>
        <w:spacing w:after="0" w:line="7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Section 401(k) Plan</w:t>
      </w:r>
    </w:p>
    <w:p>
      <w:pPr>
        <w:spacing w:after="0" w:line="164" w:lineRule="exact"/>
        <w:rPr>
          <w:sz w:val="20"/>
          <w:szCs w:val="20"/>
          <w:color w:val="auto"/>
        </w:rPr>
      </w:pPr>
    </w:p>
    <w:p>
      <w:pPr>
        <w:jc w:val="both"/>
        <w:spacing w:after="0" w:line="291" w:lineRule="auto"/>
        <w:rPr>
          <w:sz w:val="20"/>
          <w:szCs w:val="20"/>
          <w:color w:val="auto"/>
        </w:rPr>
      </w:pPr>
      <w:r>
        <w:rPr>
          <w:rFonts w:ascii="Times New Roman" w:cs="Times New Roman" w:eastAsia="Times New Roman" w:hAnsi="Times New Roman"/>
          <w:sz w:val="20"/>
          <w:szCs w:val="20"/>
          <w:color w:val="auto"/>
        </w:rPr>
        <w:t>We maintain a tax-qualified Section 401(k) retirement savings plan (the “Section 401(k) Plan”) that provides our employees, including our Named Executive Officers, who satisfy certain eligibility requirements, with an opportunity to save for retirement on a tax advantaged basis. Eligible employees are able to participate in the Section 401(k) Plan as of the first day of the month following the day they complete three months of employment and participants are able to defer, either on a pre-tax basis or on an after-tax (Roth) basis through contributions to the Section 401(k) Plan, up to 90% of their eligible compensation, but within the limits prescribed by the Internal Revenue Code (the “Code”). All participants’ interests in their deferrals are 100% vested when contributed. Under the Section 401(k) Plan, we make matching contributions of 100% of each participant’s elective deferrals of the first 1% of such participant’s eligible compensation plus 50% of each participant’s elective deferrals of the next 2% to 6% of such participant’s eligible compensation, up to a maximum matching contribution of 3.5% of eligible compensation. The Section 401(k) Plan is intended to be qualified under Section 401(a) of the Code with the Section 401(k) Plan’s related trust intended to be tax exempt under Section 501(a) of the Code.</w:t>
      </w:r>
    </w:p>
    <w:p>
      <w:pPr>
        <w:spacing w:after="0" w:line="86" w:lineRule="exact"/>
        <w:rPr>
          <w:sz w:val="20"/>
          <w:szCs w:val="20"/>
          <w:color w:val="auto"/>
        </w:rPr>
      </w:pPr>
    </w:p>
    <w:p>
      <w:pPr>
        <w:jc w:val="both"/>
        <w:spacing w:after="0" w:line="301" w:lineRule="auto"/>
        <w:rPr>
          <w:sz w:val="20"/>
          <w:szCs w:val="20"/>
          <w:color w:val="auto"/>
        </w:rPr>
      </w:pPr>
      <w:r>
        <w:rPr>
          <w:rFonts w:ascii="Times New Roman" w:cs="Times New Roman" w:eastAsia="Times New Roman" w:hAnsi="Times New Roman"/>
          <w:sz w:val="20"/>
          <w:szCs w:val="20"/>
          <w:color w:val="auto"/>
        </w:rPr>
        <w:t>We believe these benefits are generally consistent with those offered by other companies and specifically those companies with which we compete for employees. We design our employee benefits programs to be affordable and competitive in relation to the market as well as compliant with applicable laws and practices. We adjust our employee benefits programs as needed based upon regular monitoring of applicable laws and practices and the competitive market.</w:t>
      </w:r>
    </w:p>
    <w:p>
      <w:pPr>
        <w:spacing w:after="0" w:line="72"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Perquisites and Other Personal Benefits</w:t>
      </w:r>
    </w:p>
    <w:p>
      <w:pPr>
        <w:spacing w:after="0" w:line="164" w:lineRule="exact"/>
        <w:rPr>
          <w:sz w:val="20"/>
          <w:szCs w:val="20"/>
          <w:color w:val="auto"/>
        </w:rPr>
      </w:pPr>
    </w:p>
    <w:p>
      <w:pPr>
        <w:jc w:val="both"/>
        <w:spacing w:after="0" w:line="296" w:lineRule="auto"/>
        <w:rPr>
          <w:sz w:val="20"/>
          <w:szCs w:val="20"/>
          <w:color w:val="auto"/>
        </w:rPr>
      </w:pPr>
      <w:r>
        <w:rPr>
          <w:rFonts w:ascii="Times New Roman" w:cs="Times New Roman" w:eastAsia="Times New Roman" w:hAnsi="Times New Roman"/>
          <w:sz w:val="20"/>
          <w:szCs w:val="20"/>
          <w:color w:val="auto"/>
        </w:rPr>
        <w:t>Currently, we do not view perquisites or other personal benefits as a significant component of our executive compensation program. Accordingly, we do not generally provide perquisites or other personal benefits to our Named Executive Officers except as generally made available to our employees or in situations where we believe it is appropriate to assist an individual in the performance of his duties, to make them more efficient and effective, and for recruitment and retention purposes. During 2023, our Named Executive Officers did not receive perquisites or other personal benefits that were, in the aggregate, $10,000 or more for each individual.</w:t>
      </w:r>
    </w:p>
    <w:p>
      <w:pPr>
        <w:spacing w:after="0" w:line="76" w:lineRule="exact"/>
        <w:rPr>
          <w:sz w:val="20"/>
          <w:szCs w:val="20"/>
          <w:color w:val="auto"/>
        </w:rPr>
      </w:pPr>
    </w:p>
    <w:p>
      <w:pPr>
        <w:jc w:val="both"/>
        <w:spacing w:after="0" w:line="309" w:lineRule="auto"/>
        <w:rPr>
          <w:sz w:val="20"/>
          <w:szCs w:val="20"/>
          <w:color w:val="auto"/>
        </w:rPr>
      </w:pPr>
      <w:r>
        <w:rPr>
          <w:rFonts w:ascii="Times New Roman" w:cs="Times New Roman" w:eastAsia="Times New Roman" w:hAnsi="Times New Roman"/>
          <w:sz w:val="20"/>
          <w:szCs w:val="20"/>
          <w:color w:val="auto"/>
        </w:rPr>
        <w:t>In the future, we may provide perquisites or other personal benefits in limited circumstances, such as those described in the preceding paragraph. All future practices with respect to perquisites or other personal benefits will be approved and subject to periodic review by the Compensation Committee.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20"/>
          <w:szCs w:val="20"/>
          <w:color w:val="auto"/>
        </w:rPr>
        <w:t>92</w:t>
      </w:r>
    </w:p>
    <w:p>
      <w:pPr>
        <w:sectPr>
          <w:pgSz w:w="12240" w:h="15840" w:orient="portrait"/>
          <w:cols w:equalWidth="0" w:num="1">
            <w:col w:w="10260"/>
          </w:cols>
          <w:pgMar w:left="1000" w:top="884" w:right="980" w:bottom="222" w:gutter="0" w:footer="0" w:header="0"/>
        </w:sectPr>
      </w:pPr>
    </w:p>
    <w:bookmarkStart w:id="96" w:name="page97"/>
    <w:bookmarkEnd w:id="96"/>
    <w:p>
      <w:pPr>
        <w:ind w:left="6"/>
        <w:spacing w:after="0"/>
        <w:rPr>
          <w:sz w:val="20"/>
          <w:szCs w:val="20"/>
          <w:color w:val="auto"/>
        </w:rPr>
      </w:pPr>
      <w:r>
        <w:rPr>
          <w:rFonts w:ascii="Times New Roman" w:cs="Times New Roman" w:eastAsia="Times New Roman" w:hAnsi="Times New Roman"/>
          <w:sz w:val="20"/>
          <w:szCs w:val="20"/>
          <w:b w:val="1"/>
          <w:bCs w:val="1"/>
          <w:color w:val="auto"/>
        </w:rPr>
        <w:t>Equity Award Grant Policy</w:t>
      </w:r>
    </w:p>
    <w:p>
      <w:pPr>
        <w:spacing w:after="0" w:line="168" w:lineRule="exact"/>
        <w:rPr>
          <w:sz w:val="20"/>
          <w:szCs w:val="20"/>
          <w:color w:val="auto"/>
        </w:rPr>
      </w:pPr>
    </w:p>
    <w:p>
      <w:pPr>
        <w:jc w:val="both"/>
        <w:ind w:left="6" w:right="20"/>
        <w:spacing w:after="0" w:line="301" w:lineRule="auto"/>
        <w:rPr>
          <w:sz w:val="20"/>
          <w:szCs w:val="20"/>
          <w:color w:val="auto"/>
        </w:rPr>
      </w:pPr>
      <w:r>
        <w:rPr>
          <w:rFonts w:ascii="Times New Roman" w:cs="Times New Roman" w:eastAsia="Times New Roman" w:hAnsi="Times New Roman"/>
          <w:sz w:val="20"/>
          <w:szCs w:val="20"/>
          <w:color w:val="auto"/>
        </w:rPr>
        <w:t>The Compensation Committee has adopted an equity award grant policy to ensure the integrity and efficiency of our equity award process. The Board has delegated to the Compensation Committee the express authority to serve as administrator of the 2021 Equity Plan, although such delegation of authority is not exclusive as the Board retains concurrent rights to grant equity awards under the 2021 Equity Plan.</w:t>
      </w:r>
    </w:p>
    <w:p>
      <w:pPr>
        <w:spacing w:after="0" w:line="70" w:lineRule="exact"/>
        <w:rPr>
          <w:sz w:val="20"/>
          <w:szCs w:val="20"/>
          <w:color w:val="auto"/>
        </w:rPr>
      </w:pPr>
    </w:p>
    <w:p>
      <w:pPr>
        <w:jc w:val="both"/>
        <w:ind w:left="6"/>
        <w:spacing w:after="0" w:line="297" w:lineRule="auto"/>
        <w:rPr>
          <w:sz w:val="20"/>
          <w:szCs w:val="20"/>
          <w:color w:val="auto"/>
        </w:rPr>
      </w:pPr>
      <w:r>
        <w:rPr>
          <w:rFonts w:ascii="Times New Roman" w:cs="Times New Roman" w:eastAsia="Times New Roman" w:hAnsi="Times New Roman"/>
          <w:sz w:val="20"/>
          <w:szCs w:val="20"/>
          <w:color w:val="auto"/>
        </w:rPr>
        <w:t>The Compensation Committee has delegated to the Equity Grant Committee (which consists of our principal executive officer, General Counsel, and Chief Financial Officer) (the “EGC”) the nonexclusive authority to grant equity awards to employees who are not “officers” as defined in Rule 16a-1 of the Exchange Act. Further, the EGC may not grant any equity award to a member of the EGC, any member of the Board, or any consultant. At least annually, the EGC will provide the Compensation Committee with a report summarizing the equity awards granted by the EGC during the applicable period.</w:t>
      </w:r>
    </w:p>
    <w:p>
      <w:pPr>
        <w:spacing w:after="0" w:line="74" w:lineRule="exact"/>
        <w:rPr>
          <w:sz w:val="20"/>
          <w:szCs w:val="20"/>
          <w:color w:val="auto"/>
        </w:rPr>
      </w:pPr>
    </w:p>
    <w:p>
      <w:pPr>
        <w:jc w:val="both"/>
        <w:ind w:left="6" w:right="20"/>
        <w:spacing w:after="0" w:line="334" w:lineRule="auto"/>
        <w:rPr>
          <w:sz w:val="20"/>
          <w:szCs w:val="20"/>
          <w:color w:val="auto"/>
        </w:rPr>
      </w:pPr>
      <w:r>
        <w:rPr>
          <w:rFonts w:ascii="Times New Roman" w:cs="Times New Roman" w:eastAsia="Times New Roman" w:hAnsi="Times New Roman"/>
          <w:sz w:val="20"/>
          <w:szCs w:val="20"/>
          <w:color w:val="auto"/>
        </w:rPr>
        <w:t>It is also our intent that no equity awards will be backdated, nor will the timing of the public release of material information or of the grant of an equity award be manipulated with the intent of benefiting an award recipient.</w:t>
      </w:r>
    </w:p>
    <w:p>
      <w:pPr>
        <w:spacing w:after="0" w:line="35" w:lineRule="exact"/>
        <w:rPr>
          <w:sz w:val="20"/>
          <w:szCs w:val="20"/>
          <w:color w:val="auto"/>
        </w:rPr>
      </w:pPr>
    </w:p>
    <w:p>
      <w:pPr>
        <w:ind w:left="6"/>
        <w:spacing w:after="0"/>
        <w:rPr>
          <w:sz w:val="20"/>
          <w:szCs w:val="20"/>
          <w:color w:val="auto"/>
        </w:rPr>
      </w:pPr>
      <w:r>
        <w:rPr>
          <w:rFonts w:ascii="Times New Roman" w:cs="Times New Roman" w:eastAsia="Times New Roman" w:hAnsi="Times New Roman"/>
          <w:sz w:val="20"/>
          <w:szCs w:val="20"/>
          <w:b w:val="1"/>
          <w:bCs w:val="1"/>
          <w:color w:val="auto"/>
        </w:rPr>
        <w:t>Summary Compensation Table</w:t>
      </w:r>
    </w:p>
    <w:p>
      <w:pPr>
        <w:spacing w:after="0" w:line="168" w:lineRule="exact"/>
        <w:rPr>
          <w:sz w:val="20"/>
          <w:szCs w:val="20"/>
          <w:color w:val="auto"/>
        </w:rPr>
      </w:pPr>
    </w:p>
    <w:p>
      <w:pPr>
        <w:jc w:val="both"/>
        <w:ind w:left="6" w:right="20"/>
        <w:spacing w:after="0" w:line="301" w:lineRule="auto"/>
        <w:rPr>
          <w:sz w:val="20"/>
          <w:szCs w:val="20"/>
          <w:color w:val="auto"/>
        </w:rPr>
      </w:pPr>
      <w:r>
        <w:rPr>
          <w:rFonts w:ascii="Times New Roman" w:cs="Times New Roman" w:eastAsia="Times New Roman" w:hAnsi="Times New Roman"/>
          <w:sz w:val="20"/>
          <w:szCs w:val="20"/>
          <w:color w:val="auto"/>
        </w:rPr>
        <w:t>The following table shows compensation awarded or paid to, or earned by, our Named Executive Officers with respect to the years ended 2023 and 2022. The amounts in the “Stock awards” column reflect our accounting expense for these equity awards, as further described in the footnotes to the table, and do not necessarily represent the actual economic value that was realized in the stated year or may be realized by the Named Executive Officers.</w:t>
      </w:r>
    </w:p>
    <w:p>
      <w:pPr>
        <w:spacing w:after="0" w:line="70" w:lineRule="exact"/>
        <w:rPr>
          <w:sz w:val="20"/>
          <w:szCs w:val="20"/>
          <w:color w:val="auto"/>
        </w:rPr>
      </w:pPr>
    </w:p>
    <w:p>
      <w:pPr>
        <w:ind w:left="6"/>
        <w:spacing w:after="0"/>
        <w:rPr>
          <w:sz w:val="20"/>
          <w:szCs w:val="20"/>
          <w:color w:val="auto"/>
        </w:rPr>
      </w:pPr>
      <w:r>
        <w:rPr>
          <w:rFonts w:ascii="Times New Roman" w:cs="Times New Roman" w:eastAsia="Times New Roman" w:hAnsi="Times New Roman"/>
          <w:sz w:val="20"/>
          <w:szCs w:val="20"/>
          <w:color w:val="auto"/>
        </w:rPr>
        <w:t>For 2023, our Named Executive Officers were:</w:t>
      </w:r>
    </w:p>
    <w:p>
      <w:pPr>
        <w:spacing w:after="0" w:line="166" w:lineRule="exact"/>
        <w:rPr>
          <w:sz w:val="20"/>
          <w:szCs w:val="20"/>
          <w:color w:val="auto"/>
        </w:rPr>
      </w:pPr>
    </w:p>
    <w:p>
      <w:pPr>
        <w:ind w:left="726" w:hanging="367"/>
        <w:spacing w:after="0"/>
        <w:tabs>
          <w:tab w:leader="none" w:pos="726" w:val="left"/>
        </w:tabs>
        <w:numPr>
          <w:ilvl w:val="0"/>
          <w:numId w:val="5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Douglas Francis, our principal executive officer and Executive Chair</w:t>
      </w:r>
    </w:p>
    <w:p>
      <w:pPr>
        <w:spacing w:after="0" w:line="165" w:lineRule="exact"/>
        <w:rPr>
          <w:rFonts w:ascii="Times New Roman" w:cs="Times New Roman" w:eastAsia="Times New Roman" w:hAnsi="Times New Roman"/>
          <w:sz w:val="20"/>
          <w:szCs w:val="20"/>
          <w:color w:val="auto"/>
        </w:rPr>
      </w:pPr>
    </w:p>
    <w:p>
      <w:pPr>
        <w:ind w:left="726" w:hanging="367"/>
        <w:spacing w:after="0"/>
        <w:tabs>
          <w:tab w:leader="none" w:pos="726" w:val="left"/>
        </w:tabs>
        <w:numPr>
          <w:ilvl w:val="0"/>
          <w:numId w:val="5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Brian Camire, our General Counsel and Secretary</w:t>
      </w:r>
    </w:p>
    <w:p>
      <w:pPr>
        <w:spacing w:after="0" w:line="165" w:lineRule="exact"/>
        <w:rPr>
          <w:rFonts w:ascii="Times New Roman" w:cs="Times New Roman" w:eastAsia="Times New Roman" w:hAnsi="Times New Roman"/>
          <w:sz w:val="20"/>
          <w:szCs w:val="20"/>
          <w:color w:val="auto"/>
        </w:rPr>
      </w:pPr>
    </w:p>
    <w:p>
      <w:pPr>
        <w:ind w:left="726" w:hanging="367"/>
        <w:spacing w:after="0"/>
        <w:tabs>
          <w:tab w:leader="none" w:pos="726" w:val="left"/>
        </w:tabs>
        <w:numPr>
          <w:ilvl w:val="0"/>
          <w:numId w:val="5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Duncan Grazier, our Chief Technology Officer</w:t>
      </w:r>
    </w:p>
    <w:p>
      <w:pPr>
        <w:spacing w:after="0" w:line="166" w:lineRule="exact"/>
        <w:rPr>
          <w:sz w:val="20"/>
          <w:szCs w:val="20"/>
          <w:color w:val="auto"/>
        </w:rPr>
      </w:pPr>
    </w:p>
    <w:tbl>
      <w:tblPr>
        <w:tblLayout w:type="fixed"/>
        <w:tblInd w:w="6" w:type="dxa"/>
        <w:tblCellMar>
          <w:top w:w="0" w:type="dxa"/>
          <w:left w:w="0" w:type="dxa"/>
          <w:bottom w:w="0" w:type="dxa"/>
          <w:right w:w="0" w:type="dxa"/>
        </w:tblCellMar>
      </w:tblPr>
      <w:tr>
        <w:trPr>
          <w:trHeight w:val="209"/>
        </w:trPr>
        <w:tc>
          <w:tcPr>
            <w:tcW w:w="12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260" w:type="dxa"/>
            <w:vAlign w:val="bottom"/>
            <w:gridSpan w:val="2"/>
            <w:vMerge w:val="restart"/>
          </w:tcPr>
          <w:p>
            <w:pPr>
              <w:ind w:left="120"/>
              <w:spacing w:after="0"/>
              <w:rPr>
                <w:sz w:val="20"/>
                <w:szCs w:val="20"/>
                <w:color w:val="auto"/>
              </w:rPr>
            </w:pPr>
            <w:r>
              <w:rPr>
                <w:rFonts w:ascii="Times New Roman" w:cs="Times New Roman" w:eastAsia="Times New Roman" w:hAnsi="Times New Roman"/>
                <w:sz w:val="18"/>
                <w:szCs w:val="18"/>
                <w:b w:val="1"/>
                <w:bCs w:val="1"/>
                <w:color w:val="auto"/>
              </w:rPr>
              <w:t>Non-equity</w:t>
            </w:r>
          </w:p>
        </w:tc>
        <w:tc>
          <w:tcPr>
            <w:tcW w:w="1260" w:type="dxa"/>
            <w:vAlign w:val="bottom"/>
            <w:gridSpan w:val="2"/>
          </w:tcPr>
          <w:p>
            <w:pPr>
              <w:ind w:left="120"/>
              <w:spacing w:after="0"/>
              <w:rPr>
                <w:sz w:val="20"/>
                <w:szCs w:val="20"/>
                <w:color w:val="auto"/>
              </w:rPr>
            </w:pPr>
            <w:r>
              <w:rPr>
                <w:rFonts w:ascii="Times New Roman" w:cs="Times New Roman" w:eastAsia="Times New Roman" w:hAnsi="Times New Roman"/>
                <w:sz w:val="18"/>
                <w:szCs w:val="18"/>
                <w:b w:val="1"/>
                <w:bCs w:val="1"/>
                <w:color w:val="auto"/>
              </w:rPr>
              <w:t>Change in</w:t>
            </w:r>
          </w:p>
        </w:tc>
        <w:tc>
          <w:tcPr>
            <w:tcW w:w="12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12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260" w:type="dxa"/>
            <w:vAlign w:val="bottom"/>
            <w:gridSpan w:val="2"/>
            <w:vMerge w:val="continue"/>
          </w:tcPr>
          <w:p>
            <w:pPr>
              <w:spacing w:after="0"/>
              <w:rPr>
                <w:sz w:val="18"/>
                <w:szCs w:val="18"/>
                <w:color w:val="auto"/>
              </w:rPr>
            </w:pPr>
          </w:p>
        </w:tc>
        <w:tc>
          <w:tcPr>
            <w:tcW w:w="1260" w:type="dxa"/>
            <w:vAlign w:val="bottom"/>
            <w:gridSpan w:val="2"/>
          </w:tcPr>
          <w:p>
            <w:pPr>
              <w:ind w:left="120"/>
              <w:spacing w:after="0"/>
              <w:rPr>
                <w:sz w:val="20"/>
                <w:szCs w:val="20"/>
                <w:color w:val="auto"/>
              </w:rPr>
            </w:pPr>
            <w:r>
              <w:rPr>
                <w:rFonts w:ascii="Times New Roman" w:cs="Times New Roman" w:eastAsia="Times New Roman" w:hAnsi="Times New Roman"/>
                <w:sz w:val="18"/>
                <w:szCs w:val="18"/>
                <w:b w:val="1"/>
                <w:bCs w:val="1"/>
                <w:color w:val="auto"/>
              </w:rPr>
              <w:t>pension value</w:t>
            </w:r>
          </w:p>
        </w:tc>
        <w:tc>
          <w:tcPr>
            <w:tcW w:w="12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1260" w:type="dxa"/>
            <w:vAlign w:val="bottom"/>
          </w:tcPr>
          <w:p>
            <w:pPr>
              <w:ind w:left="40"/>
              <w:spacing w:after="0"/>
              <w:rPr>
                <w:sz w:val="20"/>
                <w:szCs w:val="20"/>
                <w:color w:val="auto"/>
              </w:rPr>
            </w:pPr>
            <w:r>
              <w:rPr>
                <w:rFonts w:ascii="Times New Roman" w:cs="Times New Roman" w:eastAsia="Times New Roman" w:hAnsi="Times New Roman"/>
                <w:sz w:val="18"/>
                <w:szCs w:val="18"/>
                <w:b w:val="1"/>
                <w:bCs w:val="1"/>
                <w:color w:val="auto"/>
              </w:rPr>
              <w:t>Named</w:t>
            </w:r>
          </w:p>
        </w:tc>
        <w:tc>
          <w:tcPr>
            <w:tcW w:w="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80" w:type="dxa"/>
            <w:vAlign w:val="bottom"/>
            <w:vMerge w:val="restart"/>
          </w:tcPr>
          <w:p>
            <w:pPr>
              <w:spacing w:after="0"/>
              <w:rPr>
                <w:sz w:val="20"/>
                <w:szCs w:val="20"/>
                <w:color w:val="auto"/>
              </w:rPr>
            </w:pPr>
            <w:r>
              <w:rPr>
                <w:rFonts w:ascii="Times New Roman" w:cs="Times New Roman" w:eastAsia="Times New Roman" w:hAnsi="Times New Roman"/>
                <w:sz w:val="18"/>
                <w:szCs w:val="18"/>
                <w:b w:val="1"/>
                <w:bCs w:val="1"/>
                <w:color w:val="auto"/>
              </w:rPr>
              <w:t>Salary</w:t>
            </w:r>
          </w:p>
        </w:tc>
        <w:tc>
          <w:tcPr>
            <w:tcW w:w="120" w:type="dxa"/>
            <w:vAlign w:val="bottom"/>
          </w:tcPr>
          <w:p>
            <w:pPr>
              <w:spacing w:after="0"/>
              <w:rPr>
                <w:sz w:val="18"/>
                <w:szCs w:val="18"/>
                <w:color w:val="auto"/>
              </w:rPr>
            </w:pPr>
          </w:p>
        </w:tc>
        <w:tc>
          <w:tcPr>
            <w:tcW w:w="780" w:type="dxa"/>
            <w:vAlign w:val="bottom"/>
            <w:vMerge w:val="restart"/>
          </w:tcPr>
          <w:p>
            <w:pPr>
              <w:spacing w:after="0"/>
              <w:rPr>
                <w:sz w:val="20"/>
                <w:szCs w:val="20"/>
                <w:color w:val="auto"/>
              </w:rPr>
            </w:pPr>
            <w:r>
              <w:rPr>
                <w:rFonts w:ascii="Times New Roman" w:cs="Times New Roman" w:eastAsia="Times New Roman" w:hAnsi="Times New Roman"/>
                <w:sz w:val="18"/>
                <w:szCs w:val="18"/>
                <w:b w:val="1"/>
                <w:bCs w:val="1"/>
                <w:color w:val="auto"/>
              </w:rPr>
              <w:t>Bonus</w:t>
            </w:r>
          </w:p>
        </w:tc>
        <w:tc>
          <w:tcPr>
            <w:tcW w:w="120" w:type="dxa"/>
            <w:vAlign w:val="bottom"/>
          </w:tcPr>
          <w:p>
            <w:pPr>
              <w:spacing w:after="0"/>
              <w:rPr>
                <w:sz w:val="18"/>
                <w:szCs w:val="18"/>
                <w:color w:val="auto"/>
              </w:rPr>
            </w:pPr>
          </w:p>
        </w:tc>
        <w:tc>
          <w:tcPr>
            <w:tcW w:w="7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Stock</w:t>
            </w:r>
          </w:p>
        </w:tc>
        <w:tc>
          <w:tcPr>
            <w:tcW w:w="900" w:type="dxa"/>
            <w:vAlign w:val="bottom"/>
            <w:gridSpan w:val="2"/>
          </w:tcPr>
          <w:p>
            <w:pPr>
              <w:ind w:left="120"/>
              <w:spacing w:after="0"/>
              <w:rPr>
                <w:sz w:val="20"/>
                <w:szCs w:val="20"/>
                <w:color w:val="auto"/>
              </w:rPr>
            </w:pPr>
            <w:r>
              <w:rPr>
                <w:rFonts w:ascii="Times New Roman" w:cs="Times New Roman" w:eastAsia="Times New Roman" w:hAnsi="Times New Roman"/>
                <w:sz w:val="18"/>
                <w:szCs w:val="18"/>
                <w:b w:val="1"/>
                <w:bCs w:val="1"/>
                <w:color w:val="auto"/>
              </w:rPr>
              <w:t>Option</w:t>
            </w:r>
          </w:p>
        </w:tc>
        <w:tc>
          <w:tcPr>
            <w:tcW w:w="1260" w:type="dxa"/>
            <w:vAlign w:val="bottom"/>
            <w:gridSpan w:val="2"/>
          </w:tcPr>
          <w:p>
            <w:pPr>
              <w:ind w:left="120"/>
              <w:spacing w:after="0"/>
              <w:rPr>
                <w:sz w:val="20"/>
                <w:szCs w:val="20"/>
                <w:color w:val="auto"/>
              </w:rPr>
            </w:pPr>
            <w:r>
              <w:rPr>
                <w:rFonts w:ascii="Times New Roman" w:cs="Times New Roman" w:eastAsia="Times New Roman" w:hAnsi="Times New Roman"/>
                <w:sz w:val="18"/>
                <w:szCs w:val="18"/>
                <w:b w:val="1"/>
                <w:bCs w:val="1"/>
                <w:color w:val="auto"/>
              </w:rPr>
              <w:t>Incentive</w:t>
            </w:r>
          </w:p>
        </w:tc>
        <w:tc>
          <w:tcPr>
            <w:tcW w:w="1260" w:type="dxa"/>
            <w:vAlign w:val="bottom"/>
            <w:gridSpan w:val="2"/>
          </w:tcPr>
          <w:p>
            <w:pPr>
              <w:ind w:left="120"/>
              <w:spacing w:after="0"/>
              <w:rPr>
                <w:sz w:val="20"/>
                <w:szCs w:val="20"/>
                <w:color w:val="auto"/>
              </w:rPr>
            </w:pPr>
            <w:r>
              <w:rPr>
                <w:rFonts w:ascii="Times New Roman" w:cs="Times New Roman" w:eastAsia="Times New Roman" w:hAnsi="Times New Roman"/>
                <w:sz w:val="18"/>
                <w:szCs w:val="18"/>
                <w:b w:val="1"/>
                <w:bCs w:val="1"/>
                <w:color w:val="auto"/>
              </w:rPr>
              <w:t>and</w:t>
            </w:r>
          </w:p>
        </w:tc>
        <w:tc>
          <w:tcPr>
            <w:tcW w:w="1300" w:type="dxa"/>
            <w:vAlign w:val="bottom"/>
            <w:gridSpan w:val="2"/>
          </w:tcPr>
          <w:p>
            <w:pPr>
              <w:ind w:left="120"/>
              <w:spacing w:after="0"/>
              <w:rPr>
                <w:sz w:val="20"/>
                <w:szCs w:val="20"/>
                <w:color w:val="auto"/>
              </w:rPr>
            </w:pPr>
            <w:r>
              <w:rPr>
                <w:rFonts w:ascii="Times New Roman" w:cs="Times New Roman" w:eastAsia="Times New Roman" w:hAnsi="Times New Roman"/>
                <w:sz w:val="18"/>
                <w:szCs w:val="18"/>
                <w:b w:val="1"/>
                <w:bCs w:val="1"/>
                <w:color w:val="auto"/>
              </w:rPr>
              <w:t>All other</w:t>
            </w:r>
          </w:p>
        </w:tc>
        <w:tc>
          <w:tcPr>
            <w:tcW w:w="12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88"/>
        </w:trPr>
        <w:tc>
          <w:tcPr>
            <w:tcW w:w="1260" w:type="dxa"/>
            <w:vAlign w:val="bottom"/>
            <w:vMerge w:val="restart"/>
          </w:tcPr>
          <w:p>
            <w:pPr>
              <w:ind w:left="40"/>
              <w:spacing w:after="0" w:line="189" w:lineRule="exact"/>
              <w:rPr>
                <w:sz w:val="20"/>
                <w:szCs w:val="20"/>
                <w:color w:val="auto"/>
              </w:rPr>
            </w:pPr>
            <w:r>
              <w:rPr>
                <w:rFonts w:ascii="Times New Roman" w:cs="Times New Roman" w:eastAsia="Times New Roman" w:hAnsi="Times New Roman"/>
                <w:sz w:val="18"/>
                <w:szCs w:val="18"/>
                <w:b w:val="1"/>
                <w:bCs w:val="1"/>
                <w:color w:val="auto"/>
              </w:rPr>
              <w:t>Executive</w:t>
            </w:r>
          </w:p>
        </w:tc>
        <w:tc>
          <w:tcPr>
            <w:tcW w:w="60" w:type="dxa"/>
            <w:vAlign w:val="bottom"/>
          </w:tcPr>
          <w:p>
            <w:pPr>
              <w:spacing w:after="0"/>
              <w:rPr>
                <w:sz w:val="7"/>
                <w:szCs w:val="7"/>
                <w:color w:val="auto"/>
              </w:rPr>
            </w:pPr>
          </w:p>
        </w:tc>
        <w:tc>
          <w:tcPr>
            <w:tcW w:w="40" w:type="dxa"/>
            <w:vAlign w:val="bottom"/>
          </w:tcPr>
          <w:p>
            <w:pPr>
              <w:spacing w:after="0"/>
              <w:rPr>
                <w:sz w:val="7"/>
                <w:szCs w:val="7"/>
                <w:color w:val="auto"/>
              </w:rPr>
            </w:pPr>
          </w:p>
        </w:tc>
        <w:tc>
          <w:tcPr>
            <w:tcW w:w="460" w:type="dxa"/>
            <w:vAlign w:val="bottom"/>
            <w:vMerge w:val="restart"/>
          </w:tcPr>
          <w:p>
            <w:pPr>
              <w:spacing w:after="0" w:line="189" w:lineRule="exact"/>
              <w:rPr>
                <w:sz w:val="20"/>
                <w:szCs w:val="20"/>
                <w:color w:val="auto"/>
              </w:rPr>
            </w:pPr>
            <w:r>
              <w:rPr>
                <w:rFonts w:ascii="Times New Roman" w:cs="Times New Roman" w:eastAsia="Times New Roman" w:hAnsi="Times New Roman"/>
                <w:sz w:val="18"/>
                <w:szCs w:val="18"/>
                <w:b w:val="1"/>
                <w:bCs w:val="1"/>
                <w:color w:val="auto"/>
              </w:rPr>
              <w:t>Year</w:t>
            </w:r>
          </w:p>
        </w:tc>
        <w:tc>
          <w:tcPr>
            <w:tcW w:w="160" w:type="dxa"/>
            <w:vAlign w:val="bottom"/>
          </w:tcPr>
          <w:p>
            <w:pPr>
              <w:spacing w:after="0"/>
              <w:rPr>
                <w:sz w:val="7"/>
                <w:szCs w:val="7"/>
                <w:color w:val="auto"/>
              </w:rPr>
            </w:pPr>
          </w:p>
        </w:tc>
        <w:tc>
          <w:tcPr>
            <w:tcW w:w="780" w:type="dxa"/>
            <w:vAlign w:val="bottom"/>
            <w:vMerge w:val="continue"/>
          </w:tcPr>
          <w:p>
            <w:pPr>
              <w:spacing w:after="0"/>
              <w:rPr>
                <w:sz w:val="7"/>
                <w:szCs w:val="7"/>
                <w:color w:val="auto"/>
              </w:rPr>
            </w:pPr>
          </w:p>
        </w:tc>
        <w:tc>
          <w:tcPr>
            <w:tcW w:w="120" w:type="dxa"/>
            <w:vAlign w:val="bottom"/>
          </w:tcPr>
          <w:p>
            <w:pPr>
              <w:spacing w:after="0"/>
              <w:rPr>
                <w:sz w:val="7"/>
                <w:szCs w:val="7"/>
                <w:color w:val="auto"/>
              </w:rPr>
            </w:pPr>
          </w:p>
        </w:tc>
        <w:tc>
          <w:tcPr>
            <w:tcW w:w="780" w:type="dxa"/>
            <w:vAlign w:val="bottom"/>
            <w:vMerge w:val="continue"/>
          </w:tcPr>
          <w:p>
            <w:pPr>
              <w:spacing w:after="0"/>
              <w:rPr>
                <w:sz w:val="7"/>
                <w:szCs w:val="7"/>
                <w:color w:val="auto"/>
              </w:rPr>
            </w:pPr>
          </w:p>
        </w:tc>
        <w:tc>
          <w:tcPr>
            <w:tcW w:w="120" w:type="dxa"/>
            <w:vAlign w:val="bottom"/>
          </w:tcPr>
          <w:p>
            <w:pPr>
              <w:spacing w:after="0"/>
              <w:rPr>
                <w:sz w:val="7"/>
                <w:szCs w:val="7"/>
                <w:color w:val="auto"/>
              </w:rPr>
            </w:pPr>
          </w:p>
        </w:tc>
        <w:tc>
          <w:tcPr>
            <w:tcW w:w="780" w:type="dxa"/>
            <w:vAlign w:val="bottom"/>
            <w:vMerge w:val="restart"/>
          </w:tcPr>
          <w:p>
            <w:pPr>
              <w:spacing w:after="0" w:line="189" w:lineRule="exact"/>
              <w:rPr>
                <w:sz w:val="20"/>
                <w:szCs w:val="20"/>
                <w:color w:val="auto"/>
              </w:rPr>
            </w:pPr>
            <w:r>
              <w:rPr>
                <w:rFonts w:ascii="Times New Roman" w:cs="Times New Roman" w:eastAsia="Times New Roman" w:hAnsi="Times New Roman"/>
                <w:sz w:val="18"/>
                <w:szCs w:val="18"/>
                <w:b w:val="1"/>
                <w:bCs w:val="1"/>
                <w:color w:val="auto"/>
              </w:rPr>
              <w:t>Awards</w:t>
            </w:r>
          </w:p>
        </w:tc>
        <w:tc>
          <w:tcPr>
            <w:tcW w:w="900" w:type="dxa"/>
            <w:vAlign w:val="bottom"/>
            <w:gridSpan w:val="2"/>
            <w:vMerge w:val="restart"/>
          </w:tcPr>
          <w:p>
            <w:pPr>
              <w:ind w:left="120"/>
              <w:spacing w:after="0" w:line="189" w:lineRule="exact"/>
              <w:rPr>
                <w:sz w:val="20"/>
                <w:szCs w:val="20"/>
                <w:color w:val="auto"/>
              </w:rPr>
            </w:pPr>
            <w:r>
              <w:rPr>
                <w:rFonts w:ascii="Times New Roman" w:cs="Times New Roman" w:eastAsia="Times New Roman" w:hAnsi="Times New Roman"/>
                <w:sz w:val="18"/>
                <w:szCs w:val="18"/>
                <w:b w:val="1"/>
                <w:bCs w:val="1"/>
                <w:color w:val="auto"/>
              </w:rPr>
              <w:t>Awards</w:t>
            </w:r>
          </w:p>
        </w:tc>
        <w:tc>
          <w:tcPr>
            <w:tcW w:w="1260" w:type="dxa"/>
            <w:vAlign w:val="bottom"/>
            <w:gridSpan w:val="2"/>
            <w:vMerge w:val="restart"/>
          </w:tcPr>
          <w:p>
            <w:pPr>
              <w:ind w:left="120"/>
              <w:spacing w:after="0" w:line="189" w:lineRule="exact"/>
              <w:rPr>
                <w:sz w:val="20"/>
                <w:szCs w:val="20"/>
                <w:color w:val="auto"/>
              </w:rPr>
            </w:pPr>
            <w:r>
              <w:rPr>
                <w:rFonts w:ascii="Times New Roman" w:cs="Times New Roman" w:eastAsia="Times New Roman" w:hAnsi="Times New Roman"/>
                <w:sz w:val="18"/>
                <w:szCs w:val="18"/>
                <w:b w:val="1"/>
                <w:bCs w:val="1"/>
                <w:color w:val="auto"/>
              </w:rPr>
              <w:t>Plan</w:t>
            </w:r>
          </w:p>
        </w:tc>
        <w:tc>
          <w:tcPr>
            <w:tcW w:w="1260" w:type="dxa"/>
            <w:vAlign w:val="bottom"/>
            <w:gridSpan w:val="2"/>
            <w:vMerge w:val="restart"/>
          </w:tcPr>
          <w:p>
            <w:pPr>
              <w:ind w:left="120"/>
              <w:spacing w:after="0" w:line="189" w:lineRule="exact"/>
              <w:rPr>
                <w:sz w:val="20"/>
                <w:szCs w:val="20"/>
                <w:color w:val="auto"/>
              </w:rPr>
            </w:pPr>
            <w:r>
              <w:rPr>
                <w:rFonts w:ascii="Times New Roman" w:cs="Times New Roman" w:eastAsia="Times New Roman" w:hAnsi="Times New Roman"/>
                <w:sz w:val="18"/>
                <w:szCs w:val="18"/>
                <w:b w:val="1"/>
                <w:bCs w:val="1"/>
                <w:color w:val="auto"/>
              </w:rPr>
              <w:t>nonqualified</w:t>
            </w:r>
          </w:p>
        </w:tc>
        <w:tc>
          <w:tcPr>
            <w:tcW w:w="1300" w:type="dxa"/>
            <w:vAlign w:val="bottom"/>
            <w:gridSpan w:val="2"/>
            <w:vMerge w:val="restart"/>
          </w:tcPr>
          <w:p>
            <w:pPr>
              <w:ind w:left="120"/>
              <w:spacing w:after="0" w:line="189" w:lineRule="exact"/>
              <w:rPr>
                <w:sz w:val="20"/>
                <w:szCs w:val="20"/>
                <w:color w:val="auto"/>
              </w:rPr>
            </w:pPr>
            <w:r>
              <w:rPr>
                <w:rFonts w:ascii="Times New Roman" w:cs="Times New Roman" w:eastAsia="Times New Roman" w:hAnsi="Times New Roman"/>
                <w:sz w:val="18"/>
                <w:szCs w:val="18"/>
                <w:b w:val="1"/>
                <w:bCs w:val="1"/>
                <w:color w:val="auto"/>
              </w:rPr>
              <w:t>Compensation</w:t>
            </w:r>
          </w:p>
        </w:tc>
        <w:tc>
          <w:tcPr>
            <w:tcW w:w="980" w:type="dxa"/>
            <w:vAlign w:val="bottom"/>
            <w:gridSpan w:val="2"/>
            <w:vMerge w:val="restart"/>
          </w:tcPr>
          <w:p>
            <w:pPr>
              <w:ind w:left="120"/>
              <w:spacing w:after="0" w:line="189" w:lineRule="exact"/>
              <w:rPr>
                <w:sz w:val="20"/>
                <w:szCs w:val="20"/>
                <w:color w:val="auto"/>
              </w:rPr>
            </w:pPr>
            <w:r>
              <w:rPr>
                <w:rFonts w:ascii="Times New Roman" w:cs="Times New Roman" w:eastAsia="Times New Roman" w:hAnsi="Times New Roman"/>
                <w:sz w:val="18"/>
                <w:szCs w:val="18"/>
                <w:b w:val="1"/>
                <w:bCs w:val="1"/>
                <w:color w:val="auto"/>
              </w:rPr>
              <w:t>Total ($)</w:t>
            </w:r>
          </w:p>
        </w:tc>
        <w:tc>
          <w:tcPr>
            <w:tcW w:w="0" w:type="dxa"/>
            <w:vAlign w:val="bottom"/>
          </w:tcPr>
          <w:p>
            <w:pPr>
              <w:spacing w:after="0"/>
              <w:rPr>
                <w:sz w:val="1"/>
                <w:szCs w:val="1"/>
                <w:color w:val="auto"/>
              </w:rPr>
            </w:pPr>
          </w:p>
        </w:tc>
      </w:tr>
      <w:tr>
        <w:trPr>
          <w:trHeight w:val="100"/>
        </w:trPr>
        <w:tc>
          <w:tcPr>
            <w:tcW w:w="1260" w:type="dxa"/>
            <w:vAlign w:val="bottom"/>
            <w:vMerge w:val="continue"/>
          </w:tcPr>
          <w:p>
            <w:pPr>
              <w:spacing w:after="0"/>
              <w:rPr>
                <w:sz w:val="8"/>
                <w:szCs w:val="8"/>
                <w:color w:val="auto"/>
              </w:rPr>
            </w:pPr>
          </w:p>
        </w:tc>
        <w:tc>
          <w:tcPr>
            <w:tcW w:w="60" w:type="dxa"/>
            <w:vAlign w:val="bottom"/>
          </w:tcPr>
          <w:p>
            <w:pPr>
              <w:spacing w:after="0"/>
              <w:rPr>
                <w:sz w:val="8"/>
                <w:szCs w:val="8"/>
                <w:color w:val="auto"/>
              </w:rPr>
            </w:pPr>
          </w:p>
        </w:tc>
        <w:tc>
          <w:tcPr>
            <w:tcW w:w="40" w:type="dxa"/>
            <w:vAlign w:val="bottom"/>
          </w:tcPr>
          <w:p>
            <w:pPr>
              <w:spacing w:after="0"/>
              <w:rPr>
                <w:sz w:val="8"/>
                <w:szCs w:val="8"/>
                <w:color w:val="auto"/>
              </w:rPr>
            </w:pPr>
          </w:p>
        </w:tc>
        <w:tc>
          <w:tcPr>
            <w:tcW w:w="460" w:type="dxa"/>
            <w:vAlign w:val="bottom"/>
            <w:vMerge w:val="continue"/>
          </w:tcPr>
          <w:p>
            <w:pPr>
              <w:spacing w:after="0"/>
              <w:rPr>
                <w:sz w:val="8"/>
                <w:szCs w:val="8"/>
                <w:color w:val="auto"/>
              </w:rPr>
            </w:pPr>
          </w:p>
        </w:tc>
        <w:tc>
          <w:tcPr>
            <w:tcW w:w="160" w:type="dxa"/>
            <w:vAlign w:val="bottom"/>
          </w:tcPr>
          <w:p>
            <w:pPr>
              <w:spacing w:after="0"/>
              <w:rPr>
                <w:sz w:val="8"/>
                <w:szCs w:val="8"/>
                <w:color w:val="auto"/>
              </w:rPr>
            </w:pPr>
          </w:p>
        </w:tc>
        <w:tc>
          <w:tcPr>
            <w:tcW w:w="780" w:type="dxa"/>
            <w:vAlign w:val="bottom"/>
          </w:tcPr>
          <w:p>
            <w:pPr>
              <w:spacing w:after="0"/>
              <w:rPr>
                <w:sz w:val="8"/>
                <w:szCs w:val="8"/>
                <w:color w:val="auto"/>
              </w:rPr>
            </w:pPr>
          </w:p>
        </w:tc>
        <w:tc>
          <w:tcPr>
            <w:tcW w:w="900" w:type="dxa"/>
            <w:vAlign w:val="bottom"/>
            <w:gridSpan w:val="2"/>
          </w:tcPr>
          <w:p>
            <w:pPr>
              <w:jc w:val="right"/>
              <w:ind w:right="330"/>
              <w:spacing w:after="0" w:line="101" w:lineRule="exact"/>
              <w:rPr>
                <w:sz w:val="20"/>
                <w:szCs w:val="20"/>
                <w:color w:val="auto"/>
              </w:rPr>
            </w:pPr>
            <w:r>
              <w:rPr>
                <w:rFonts w:ascii="Times New Roman" w:cs="Times New Roman" w:eastAsia="Times New Roman" w:hAnsi="Times New Roman"/>
                <w:sz w:val="11"/>
                <w:szCs w:val="11"/>
                <w:b w:val="1"/>
                <w:bCs w:val="1"/>
                <w:color w:val="auto"/>
              </w:rPr>
              <w:t>(2)</w:t>
            </w:r>
          </w:p>
        </w:tc>
        <w:tc>
          <w:tcPr>
            <w:tcW w:w="120" w:type="dxa"/>
            <w:vAlign w:val="bottom"/>
          </w:tcPr>
          <w:p>
            <w:pPr>
              <w:spacing w:after="0"/>
              <w:rPr>
                <w:sz w:val="8"/>
                <w:szCs w:val="8"/>
                <w:color w:val="auto"/>
              </w:rPr>
            </w:pPr>
          </w:p>
        </w:tc>
        <w:tc>
          <w:tcPr>
            <w:tcW w:w="780" w:type="dxa"/>
            <w:vAlign w:val="bottom"/>
            <w:vMerge w:val="continue"/>
          </w:tcPr>
          <w:p>
            <w:pPr>
              <w:spacing w:after="0"/>
              <w:rPr>
                <w:sz w:val="8"/>
                <w:szCs w:val="8"/>
                <w:color w:val="auto"/>
              </w:rPr>
            </w:pPr>
          </w:p>
        </w:tc>
        <w:tc>
          <w:tcPr>
            <w:tcW w:w="900" w:type="dxa"/>
            <w:vAlign w:val="bottom"/>
            <w:gridSpan w:val="2"/>
            <w:vMerge w:val="continue"/>
          </w:tcPr>
          <w:p>
            <w:pPr>
              <w:spacing w:after="0"/>
              <w:rPr>
                <w:sz w:val="8"/>
                <w:szCs w:val="8"/>
                <w:color w:val="auto"/>
              </w:rPr>
            </w:pPr>
          </w:p>
        </w:tc>
        <w:tc>
          <w:tcPr>
            <w:tcW w:w="1260" w:type="dxa"/>
            <w:vAlign w:val="bottom"/>
            <w:gridSpan w:val="2"/>
            <w:vMerge w:val="continue"/>
          </w:tcPr>
          <w:p>
            <w:pPr>
              <w:spacing w:after="0"/>
              <w:rPr>
                <w:sz w:val="8"/>
                <w:szCs w:val="8"/>
                <w:color w:val="auto"/>
              </w:rPr>
            </w:pPr>
          </w:p>
        </w:tc>
        <w:tc>
          <w:tcPr>
            <w:tcW w:w="1260" w:type="dxa"/>
            <w:vAlign w:val="bottom"/>
            <w:gridSpan w:val="2"/>
            <w:vMerge w:val="continue"/>
          </w:tcPr>
          <w:p>
            <w:pPr>
              <w:spacing w:after="0"/>
              <w:rPr>
                <w:sz w:val="8"/>
                <w:szCs w:val="8"/>
                <w:color w:val="auto"/>
              </w:rPr>
            </w:pPr>
          </w:p>
        </w:tc>
        <w:tc>
          <w:tcPr>
            <w:tcW w:w="1300" w:type="dxa"/>
            <w:vAlign w:val="bottom"/>
            <w:gridSpan w:val="2"/>
            <w:vMerge w:val="continue"/>
          </w:tcPr>
          <w:p>
            <w:pPr>
              <w:spacing w:after="0"/>
              <w:rPr>
                <w:sz w:val="8"/>
                <w:szCs w:val="8"/>
                <w:color w:val="auto"/>
              </w:rPr>
            </w:pPr>
          </w:p>
        </w:tc>
        <w:tc>
          <w:tcPr>
            <w:tcW w:w="980" w:type="dxa"/>
            <w:vAlign w:val="bottom"/>
            <w:gridSpan w:val="2"/>
            <w:vMerge w:val="continue"/>
          </w:tcPr>
          <w:p>
            <w:pPr>
              <w:spacing w:after="0"/>
              <w:rPr>
                <w:sz w:val="8"/>
                <w:szCs w:val="8"/>
                <w:color w:val="auto"/>
              </w:rPr>
            </w:pPr>
          </w:p>
        </w:tc>
        <w:tc>
          <w:tcPr>
            <w:tcW w:w="0" w:type="dxa"/>
            <w:vAlign w:val="bottom"/>
          </w:tcPr>
          <w:p>
            <w:pPr>
              <w:spacing w:after="0"/>
              <w:rPr>
                <w:sz w:val="1"/>
                <w:szCs w:val="1"/>
                <w:color w:val="auto"/>
              </w:rPr>
            </w:pPr>
          </w:p>
        </w:tc>
      </w:tr>
      <w:tr>
        <w:trPr>
          <w:trHeight w:val="209"/>
        </w:trPr>
        <w:tc>
          <w:tcPr>
            <w:tcW w:w="1260" w:type="dxa"/>
            <w:vAlign w:val="bottom"/>
          </w:tcPr>
          <w:p>
            <w:pPr>
              <w:ind w:left="40"/>
              <w:spacing w:after="0"/>
              <w:rPr>
                <w:sz w:val="20"/>
                <w:szCs w:val="20"/>
                <w:color w:val="auto"/>
              </w:rPr>
            </w:pPr>
            <w:r>
              <w:rPr>
                <w:rFonts w:ascii="Times New Roman" w:cs="Times New Roman" w:eastAsia="Times New Roman" w:hAnsi="Times New Roman"/>
                <w:sz w:val="18"/>
                <w:szCs w:val="18"/>
                <w:b w:val="1"/>
                <w:bCs w:val="1"/>
                <w:color w:val="auto"/>
              </w:rPr>
              <w:t>Officer</w:t>
            </w:r>
          </w:p>
        </w:tc>
        <w:tc>
          <w:tcPr>
            <w:tcW w:w="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940" w:type="dxa"/>
            <w:vAlign w:val="bottom"/>
            <w:gridSpan w:val="2"/>
          </w:tcPr>
          <w:p>
            <w:pPr>
              <w:ind w:left="160"/>
              <w:spacing w:after="0"/>
              <w:rPr>
                <w:sz w:val="20"/>
                <w:szCs w:val="20"/>
                <w:color w:val="auto"/>
              </w:rPr>
            </w:pPr>
            <w:r>
              <w:rPr>
                <w:rFonts w:ascii="Times New Roman" w:cs="Times New Roman" w:eastAsia="Times New Roman" w:hAnsi="Times New Roman"/>
                <w:sz w:val="18"/>
                <w:szCs w:val="18"/>
                <w:b w:val="1"/>
                <w:bCs w:val="1"/>
                <w:color w:val="auto"/>
              </w:rPr>
              <w:t>($)</w:t>
            </w:r>
          </w:p>
        </w:tc>
        <w:tc>
          <w:tcPr>
            <w:tcW w:w="900" w:type="dxa"/>
            <w:vAlign w:val="bottom"/>
            <w:gridSpan w:val="2"/>
          </w:tcPr>
          <w:p>
            <w:pPr>
              <w:ind w:left="120"/>
              <w:spacing w:after="0"/>
              <w:rPr>
                <w:sz w:val="20"/>
                <w:szCs w:val="20"/>
                <w:color w:val="auto"/>
              </w:rPr>
            </w:pPr>
            <w:r>
              <w:rPr>
                <w:rFonts w:ascii="Times New Roman" w:cs="Times New Roman" w:eastAsia="Times New Roman" w:hAnsi="Times New Roman"/>
                <w:sz w:val="18"/>
                <w:szCs w:val="18"/>
                <w:b w:val="1"/>
                <w:bCs w:val="1"/>
                <w:color w:val="auto"/>
              </w:rPr>
              <w:t>($)</w:t>
            </w:r>
          </w:p>
        </w:tc>
        <w:tc>
          <w:tcPr>
            <w:tcW w:w="900" w:type="dxa"/>
            <w:vAlign w:val="bottom"/>
            <w:gridSpan w:val="2"/>
          </w:tcPr>
          <w:p>
            <w:pPr>
              <w:ind w:left="120"/>
              <w:spacing w:after="0" w:line="210" w:lineRule="exact"/>
              <w:rPr>
                <w:sz w:val="20"/>
                <w:szCs w:val="20"/>
                <w:color w:val="auto"/>
              </w:rPr>
            </w:pP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24"/>
                <w:szCs w:val="24"/>
                <w:b w:val="1"/>
                <w:bCs w:val="1"/>
                <w:color w:val="auto"/>
                <w:vertAlign w:val="superscript"/>
              </w:rPr>
              <w:t>(3)</w:t>
            </w:r>
          </w:p>
        </w:tc>
        <w:tc>
          <w:tcPr>
            <w:tcW w:w="900" w:type="dxa"/>
            <w:vAlign w:val="bottom"/>
            <w:gridSpan w:val="2"/>
          </w:tcPr>
          <w:p>
            <w:pPr>
              <w:ind w:left="120"/>
              <w:spacing w:after="0"/>
              <w:rPr>
                <w:sz w:val="20"/>
                <w:szCs w:val="20"/>
                <w:color w:val="auto"/>
              </w:rPr>
            </w:pPr>
            <w:r>
              <w:rPr>
                <w:rFonts w:ascii="Times New Roman" w:cs="Times New Roman" w:eastAsia="Times New Roman" w:hAnsi="Times New Roman"/>
                <w:sz w:val="18"/>
                <w:szCs w:val="18"/>
                <w:b w:val="1"/>
                <w:bCs w:val="1"/>
                <w:color w:val="auto"/>
              </w:rPr>
              <w:t>($)</w:t>
            </w:r>
          </w:p>
        </w:tc>
        <w:tc>
          <w:tcPr>
            <w:tcW w:w="1260" w:type="dxa"/>
            <w:vAlign w:val="bottom"/>
            <w:gridSpan w:val="2"/>
          </w:tcPr>
          <w:p>
            <w:pPr>
              <w:ind w:left="120"/>
              <w:spacing w:after="0"/>
              <w:rPr>
                <w:sz w:val="20"/>
                <w:szCs w:val="20"/>
                <w:color w:val="auto"/>
              </w:rPr>
            </w:pPr>
            <w:r>
              <w:rPr>
                <w:rFonts w:ascii="Times New Roman" w:cs="Times New Roman" w:eastAsia="Times New Roman" w:hAnsi="Times New Roman"/>
                <w:sz w:val="18"/>
                <w:szCs w:val="18"/>
                <w:b w:val="1"/>
                <w:bCs w:val="1"/>
                <w:color w:val="auto"/>
              </w:rPr>
              <w:t>compensation</w:t>
            </w:r>
          </w:p>
        </w:tc>
        <w:tc>
          <w:tcPr>
            <w:tcW w:w="1260" w:type="dxa"/>
            <w:vAlign w:val="bottom"/>
            <w:gridSpan w:val="2"/>
          </w:tcPr>
          <w:p>
            <w:pPr>
              <w:ind w:left="120"/>
              <w:spacing w:after="0"/>
              <w:rPr>
                <w:sz w:val="20"/>
                <w:szCs w:val="20"/>
                <w:color w:val="auto"/>
              </w:rPr>
            </w:pPr>
            <w:r>
              <w:rPr>
                <w:rFonts w:ascii="Times New Roman" w:cs="Times New Roman" w:eastAsia="Times New Roman" w:hAnsi="Times New Roman"/>
                <w:sz w:val="18"/>
                <w:szCs w:val="18"/>
                <w:b w:val="1"/>
                <w:bCs w:val="1"/>
                <w:color w:val="auto"/>
              </w:rPr>
              <w:t>deferred</w:t>
            </w:r>
          </w:p>
        </w:tc>
        <w:tc>
          <w:tcPr>
            <w:tcW w:w="1300" w:type="dxa"/>
            <w:vAlign w:val="bottom"/>
            <w:gridSpan w:val="2"/>
          </w:tcPr>
          <w:p>
            <w:pPr>
              <w:ind w:left="120"/>
              <w:spacing w:after="0" w:line="210" w:lineRule="exact"/>
              <w:rPr>
                <w:sz w:val="20"/>
                <w:szCs w:val="20"/>
                <w:color w:val="auto"/>
              </w:rPr>
            </w:pP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24"/>
                <w:szCs w:val="24"/>
                <w:b w:val="1"/>
                <w:bCs w:val="1"/>
                <w:color w:val="auto"/>
                <w:vertAlign w:val="superscript"/>
              </w:rPr>
              <w:t>(5)</w:t>
            </w:r>
          </w:p>
        </w:tc>
        <w:tc>
          <w:tcPr>
            <w:tcW w:w="12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1"/>
        </w:trPr>
        <w:tc>
          <w:tcPr>
            <w:tcW w:w="12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1260" w:type="dxa"/>
            <w:vAlign w:val="bottom"/>
            <w:gridSpan w:val="2"/>
          </w:tcPr>
          <w:p>
            <w:pPr>
              <w:ind w:left="120"/>
              <w:spacing w:after="0" w:line="221" w:lineRule="exact"/>
              <w:rPr>
                <w:sz w:val="20"/>
                <w:szCs w:val="20"/>
                <w:color w:val="auto"/>
              </w:rPr>
            </w:pPr>
            <w:r>
              <w:rPr>
                <w:rFonts w:ascii="Times New Roman" w:cs="Times New Roman" w:eastAsia="Times New Roman" w:hAnsi="Times New Roman"/>
                <w:sz w:val="25"/>
                <w:szCs w:val="25"/>
                <w:b w:val="1"/>
                <w:bCs w:val="1"/>
                <w:color w:val="auto"/>
                <w:vertAlign w:val="subscript"/>
              </w:rPr>
              <w:t>($)</w:t>
            </w:r>
            <w:r>
              <w:rPr>
                <w:rFonts w:ascii="Times New Roman" w:cs="Times New Roman" w:eastAsia="Times New Roman" w:hAnsi="Times New Roman"/>
                <w:sz w:val="11"/>
                <w:szCs w:val="11"/>
                <w:b w:val="1"/>
                <w:bCs w:val="1"/>
                <w:color w:val="auto"/>
              </w:rPr>
              <w:t>(4)</w:t>
            </w:r>
          </w:p>
        </w:tc>
        <w:tc>
          <w:tcPr>
            <w:tcW w:w="1260" w:type="dxa"/>
            <w:vAlign w:val="bottom"/>
            <w:gridSpan w:val="2"/>
          </w:tcPr>
          <w:p>
            <w:pPr>
              <w:ind w:left="120"/>
              <w:spacing w:after="0"/>
              <w:rPr>
                <w:sz w:val="20"/>
                <w:szCs w:val="20"/>
                <w:color w:val="auto"/>
              </w:rPr>
            </w:pPr>
            <w:r>
              <w:rPr>
                <w:rFonts w:ascii="Times New Roman" w:cs="Times New Roman" w:eastAsia="Times New Roman" w:hAnsi="Times New Roman"/>
                <w:sz w:val="18"/>
                <w:szCs w:val="18"/>
                <w:b w:val="1"/>
                <w:bCs w:val="1"/>
                <w:color w:val="auto"/>
              </w:rPr>
              <w:t>compensation</w:t>
            </w:r>
          </w:p>
        </w:tc>
        <w:tc>
          <w:tcPr>
            <w:tcW w:w="12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49"/>
        </w:trPr>
        <w:tc>
          <w:tcPr>
            <w:tcW w:w="1260" w:type="dxa"/>
            <w:vAlign w:val="bottom"/>
            <w:tcBorders>
              <w:bottom w:val="single" w:sz="8" w:color="auto"/>
            </w:tcBorders>
          </w:tcPr>
          <w:p>
            <w:pPr>
              <w:spacing w:after="0"/>
              <w:rPr>
                <w:sz w:val="21"/>
                <w:szCs w:val="21"/>
                <w:color w:val="auto"/>
              </w:rPr>
            </w:pPr>
          </w:p>
        </w:tc>
        <w:tc>
          <w:tcPr>
            <w:tcW w:w="60" w:type="dxa"/>
            <w:vAlign w:val="bottom"/>
            <w:tcBorders>
              <w:bottom w:val="single" w:sz="8" w:color="auto"/>
            </w:tcBorders>
          </w:tcPr>
          <w:p>
            <w:pPr>
              <w:spacing w:after="0"/>
              <w:rPr>
                <w:sz w:val="21"/>
                <w:szCs w:val="21"/>
                <w:color w:val="auto"/>
              </w:rPr>
            </w:pPr>
          </w:p>
        </w:tc>
        <w:tc>
          <w:tcPr>
            <w:tcW w:w="40" w:type="dxa"/>
            <w:vAlign w:val="bottom"/>
            <w:tcBorders>
              <w:bottom w:val="single" w:sz="8" w:color="auto"/>
            </w:tcBorders>
          </w:tcPr>
          <w:p>
            <w:pPr>
              <w:spacing w:after="0"/>
              <w:rPr>
                <w:sz w:val="21"/>
                <w:szCs w:val="21"/>
                <w:color w:val="auto"/>
              </w:rPr>
            </w:pPr>
          </w:p>
        </w:tc>
        <w:tc>
          <w:tcPr>
            <w:tcW w:w="460" w:type="dxa"/>
            <w:vAlign w:val="bottom"/>
            <w:tcBorders>
              <w:bottom w:val="single" w:sz="8" w:color="auto"/>
            </w:tcBorders>
          </w:tcPr>
          <w:p>
            <w:pPr>
              <w:spacing w:after="0"/>
              <w:rPr>
                <w:sz w:val="21"/>
                <w:szCs w:val="21"/>
                <w:color w:val="auto"/>
              </w:rPr>
            </w:pPr>
          </w:p>
        </w:tc>
        <w:tc>
          <w:tcPr>
            <w:tcW w:w="160" w:type="dxa"/>
            <w:vAlign w:val="bottom"/>
            <w:tcBorders>
              <w:bottom w:val="single" w:sz="8" w:color="auto"/>
            </w:tcBorders>
          </w:tcPr>
          <w:p>
            <w:pPr>
              <w:spacing w:after="0"/>
              <w:rPr>
                <w:sz w:val="21"/>
                <w:szCs w:val="21"/>
                <w:color w:val="auto"/>
              </w:rPr>
            </w:pPr>
          </w:p>
        </w:tc>
        <w:tc>
          <w:tcPr>
            <w:tcW w:w="780" w:type="dxa"/>
            <w:vAlign w:val="bottom"/>
            <w:tcBorders>
              <w:bottom w:val="single" w:sz="8" w:color="auto"/>
            </w:tcBorders>
          </w:tcPr>
          <w:p>
            <w:pPr>
              <w:spacing w:after="0"/>
              <w:rPr>
                <w:sz w:val="21"/>
                <w:szCs w:val="21"/>
                <w:color w:val="auto"/>
              </w:rPr>
            </w:pPr>
          </w:p>
        </w:tc>
        <w:tc>
          <w:tcPr>
            <w:tcW w:w="120" w:type="dxa"/>
            <w:vAlign w:val="bottom"/>
            <w:tcBorders>
              <w:bottom w:val="single" w:sz="8" w:color="auto"/>
            </w:tcBorders>
          </w:tcPr>
          <w:p>
            <w:pPr>
              <w:spacing w:after="0"/>
              <w:rPr>
                <w:sz w:val="21"/>
                <w:szCs w:val="21"/>
                <w:color w:val="auto"/>
              </w:rPr>
            </w:pPr>
          </w:p>
        </w:tc>
        <w:tc>
          <w:tcPr>
            <w:tcW w:w="780" w:type="dxa"/>
            <w:vAlign w:val="bottom"/>
            <w:tcBorders>
              <w:bottom w:val="single" w:sz="8" w:color="auto"/>
            </w:tcBorders>
          </w:tcPr>
          <w:p>
            <w:pPr>
              <w:spacing w:after="0"/>
              <w:rPr>
                <w:sz w:val="21"/>
                <w:szCs w:val="21"/>
                <w:color w:val="auto"/>
              </w:rPr>
            </w:pPr>
          </w:p>
        </w:tc>
        <w:tc>
          <w:tcPr>
            <w:tcW w:w="120" w:type="dxa"/>
            <w:vAlign w:val="bottom"/>
            <w:tcBorders>
              <w:bottom w:val="single" w:sz="8" w:color="auto"/>
            </w:tcBorders>
          </w:tcPr>
          <w:p>
            <w:pPr>
              <w:spacing w:after="0"/>
              <w:rPr>
                <w:sz w:val="21"/>
                <w:szCs w:val="21"/>
                <w:color w:val="auto"/>
              </w:rPr>
            </w:pPr>
          </w:p>
        </w:tc>
        <w:tc>
          <w:tcPr>
            <w:tcW w:w="780" w:type="dxa"/>
            <w:vAlign w:val="bottom"/>
            <w:tcBorders>
              <w:bottom w:val="single" w:sz="8" w:color="auto"/>
            </w:tcBorders>
          </w:tcPr>
          <w:p>
            <w:pPr>
              <w:spacing w:after="0"/>
              <w:rPr>
                <w:sz w:val="21"/>
                <w:szCs w:val="21"/>
                <w:color w:val="auto"/>
              </w:rPr>
            </w:pPr>
          </w:p>
        </w:tc>
        <w:tc>
          <w:tcPr>
            <w:tcW w:w="120" w:type="dxa"/>
            <w:vAlign w:val="bottom"/>
            <w:tcBorders>
              <w:bottom w:val="single" w:sz="8" w:color="auto"/>
            </w:tcBorders>
          </w:tcPr>
          <w:p>
            <w:pPr>
              <w:spacing w:after="0"/>
              <w:rPr>
                <w:sz w:val="21"/>
                <w:szCs w:val="21"/>
                <w:color w:val="auto"/>
              </w:rPr>
            </w:pPr>
          </w:p>
        </w:tc>
        <w:tc>
          <w:tcPr>
            <w:tcW w:w="780" w:type="dxa"/>
            <w:vAlign w:val="bottom"/>
            <w:tcBorders>
              <w:bottom w:val="single" w:sz="8" w:color="auto"/>
            </w:tcBorders>
          </w:tcPr>
          <w:p>
            <w:pPr>
              <w:spacing w:after="0"/>
              <w:rPr>
                <w:sz w:val="21"/>
                <w:szCs w:val="21"/>
                <w:color w:val="auto"/>
              </w:rPr>
            </w:pPr>
          </w:p>
        </w:tc>
        <w:tc>
          <w:tcPr>
            <w:tcW w:w="120" w:type="dxa"/>
            <w:vAlign w:val="bottom"/>
            <w:tcBorders>
              <w:bottom w:val="single" w:sz="8" w:color="auto"/>
            </w:tcBorders>
          </w:tcPr>
          <w:p>
            <w:pPr>
              <w:spacing w:after="0"/>
              <w:rPr>
                <w:sz w:val="21"/>
                <w:szCs w:val="21"/>
                <w:color w:val="auto"/>
              </w:rPr>
            </w:pPr>
          </w:p>
        </w:tc>
        <w:tc>
          <w:tcPr>
            <w:tcW w:w="1140" w:type="dxa"/>
            <w:vAlign w:val="bottom"/>
            <w:tcBorders>
              <w:bottom w:val="single" w:sz="8" w:color="auto"/>
            </w:tcBorders>
          </w:tcPr>
          <w:p>
            <w:pPr>
              <w:spacing w:after="0"/>
              <w:rPr>
                <w:sz w:val="21"/>
                <w:szCs w:val="21"/>
                <w:color w:val="auto"/>
              </w:rPr>
            </w:pPr>
          </w:p>
        </w:tc>
        <w:tc>
          <w:tcPr>
            <w:tcW w:w="1260" w:type="dxa"/>
            <w:vAlign w:val="bottom"/>
            <w:tcBorders>
              <w:bottom w:val="single" w:sz="8" w:color="auto"/>
            </w:tcBorders>
            <w:gridSpan w:val="2"/>
          </w:tcPr>
          <w:p>
            <w:pPr>
              <w:ind w:left="120"/>
              <w:spacing w:after="0"/>
              <w:rPr>
                <w:sz w:val="20"/>
                <w:szCs w:val="20"/>
                <w:color w:val="auto"/>
              </w:rPr>
            </w:pPr>
            <w:r>
              <w:rPr>
                <w:rFonts w:ascii="Times New Roman" w:cs="Times New Roman" w:eastAsia="Times New Roman" w:hAnsi="Times New Roman"/>
                <w:sz w:val="18"/>
                <w:szCs w:val="18"/>
                <w:b w:val="1"/>
                <w:bCs w:val="1"/>
                <w:color w:val="auto"/>
              </w:rPr>
              <w:t>earnings ($)</w:t>
            </w:r>
          </w:p>
        </w:tc>
        <w:tc>
          <w:tcPr>
            <w:tcW w:w="120" w:type="dxa"/>
            <w:vAlign w:val="bottom"/>
            <w:tcBorders>
              <w:bottom w:val="single" w:sz="8" w:color="auto"/>
            </w:tcBorders>
          </w:tcPr>
          <w:p>
            <w:pPr>
              <w:spacing w:after="0"/>
              <w:rPr>
                <w:sz w:val="21"/>
                <w:szCs w:val="21"/>
                <w:color w:val="auto"/>
              </w:rPr>
            </w:pPr>
          </w:p>
        </w:tc>
        <w:tc>
          <w:tcPr>
            <w:tcW w:w="1180" w:type="dxa"/>
            <w:vAlign w:val="bottom"/>
            <w:tcBorders>
              <w:bottom w:val="single" w:sz="8" w:color="auto"/>
            </w:tcBorders>
          </w:tcPr>
          <w:p>
            <w:pPr>
              <w:spacing w:after="0"/>
              <w:rPr>
                <w:sz w:val="21"/>
                <w:szCs w:val="21"/>
                <w:color w:val="auto"/>
              </w:rPr>
            </w:pPr>
          </w:p>
        </w:tc>
        <w:tc>
          <w:tcPr>
            <w:tcW w:w="120" w:type="dxa"/>
            <w:vAlign w:val="bottom"/>
            <w:tcBorders>
              <w:bottom w:val="single" w:sz="8" w:color="auto"/>
            </w:tcBorders>
          </w:tcPr>
          <w:p>
            <w:pPr>
              <w:spacing w:after="0"/>
              <w:rPr>
                <w:sz w:val="21"/>
                <w:szCs w:val="21"/>
                <w:color w:val="auto"/>
              </w:rPr>
            </w:pPr>
          </w:p>
        </w:tc>
        <w:tc>
          <w:tcPr>
            <w:tcW w:w="860" w:type="dxa"/>
            <w:vAlign w:val="bottom"/>
            <w:tcBorders>
              <w:bottom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255"/>
        </w:trPr>
        <w:tc>
          <w:tcPr>
            <w:tcW w:w="1260" w:type="dxa"/>
            <w:vAlign w:val="bottom"/>
            <w:tcBorders>
              <w:top w:val="single" w:sz="8" w:color="DDDDDD"/>
              <w:bottom w:val="single" w:sz="8" w:color="DDDDDD"/>
            </w:tcBorders>
            <w:shd w:val="clear" w:color="auto" w:fill="DDDDDD"/>
          </w:tcPr>
          <w:p>
            <w:pPr>
              <w:ind w:left="40"/>
              <w:spacing w:after="0" w:line="206" w:lineRule="exact"/>
              <w:rPr>
                <w:sz w:val="20"/>
                <w:szCs w:val="20"/>
                <w:color w:val="auto"/>
              </w:rPr>
            </w:pPr>
            <w:r>
              <w:rPr>
                <w:rFonts w:ascii="Times New Roman" w:cs="Times New Roman" w:eastAsia="Times New Roman" w:hAnsi="Times New Roman"/>
                <w:sz w:val="18"/>
                <w:szCs w:val="18"/>
                <w:color w:val="auto"/>
              </w:rPr>
              <w:t>Douglas</w:t>
            </w:r>
          </w:p>
        </w:tc>
        <w:tc>
          <w:tcPr>
            <w:tcW w:w="60" w:type="dxa"/>
            <w:vAlign w:val="bottom"/>
            <w:tcBorders>
              <w:top w:val="single" w:sz="8" w:color="DDDDDD"/>
              <w:bottom w:val="single" w:sz="8" w:color="DDDDDD"/>
            </w:tcBorders>
            <w:shd w:val="clear" w:color="auto" w:fill="DDDDDD"/>
          </w:tcPr>
          <w:p>
            <w:pPr>
              <w:spacing w:after="0"/>
              <w:rPr>
                <w:sz w:val="22"/>
                <w:szCs w:val="22"/>
                <w:color w:val="auto"/>
              </w:rPr>
            </w:pPr>
          </w:p>
        </w:tc>
        <w:tc>
          <w:tcPr>
            <w:tcW w:w="40" w:type="dxa"/>
            <w:vAlign w:val="bottom"/>
            <w:tcBorders>
              <w:top w:val="single" w:sz="8" w:color="DDDDDD"/>
              <w:bottom w:val="single" w:sz="8" w:color="DDDDDD"/>
            </w:tcBorders>
            <w:shd w:val="clear" w:color="auto" w:fill="DDDDDD"/>
          </w:tcPr>
          <w:p>
            <w:pPr>
              <w:spacing w:after="0"/>
              <w:rPr>
                <w:sz w:val="22"/>
                <w:szCs w:val="22"/>
                <w:color w:val="auto"/>
              </w:rPr>
            </w:pPr>
          </w:p>
        </w:tc>
        <w:tc>
          <w:tcPr>
            <w:tcW w:w="460" w:type="dxa"/>
            <w:vAlign w:val="bottom"/>
            <w:tcBorders>
              <w:top w:val="single" w:sz="8" w:color="DDDDDD"/>
              <w:bottom w:val="single" w:sz="8" w:color="DDDDDD"/>
            </w:tcBorders>
            <w:shd w:val="clear" w:color="auto" w:fill="DDDDDD"/>
          </w:tcPr>
          <w:p>
            <w:pPr>
              <w:spacing w:after="0" w:line="206" w:lineRule="exact"/>
              <w:rPr>
                <w:sz w:val="20"/>
                <w:szCs w:val="20"/>
                <w:color w:val="auto"/>
              </w:rPr>
            </w:pPr>
            <w:r>
              <w:rPr>
                <w:rFonts w:ascii="Times New Roman" w:cs="Times New Roman" w:eastAsia="Times New Roman" w:hAnsi="Times New Roman"/>
                <w:sz w:val="18"/>
                <w:szCs w:val="18"/>
                <w:color w:val="auto"/>
                <w:highlight w:val="lightGray"/>
              </w:rPr>
              <w:t>2023</w:t>
            </w:r>
          </w:p>
        </w:tc>
        <w:tc>
          <w:tcPr>
            <w:tcW w:w="160" w:type="dxa"/>
            <w:vAlign w:val="bottom"/>
            <w:tcBorders>
              <w:top w:val="single" w:sz="8" w:color="DDDDDD"/>
              <w:bottom w:val="single" w:sz="8" w:color="DDDDDD"/>
            </w:tcBorders>
            <w:shd w:val="clear" w:color="auto" w:fill="DDDDDD"/>
          </w:tcPr>
          <w:p>
            <w:pPr>
              <w:spacing w:after="0"/>
              <w:rPr>
                <w:sz w:val="22"/>
                <w:szCs w:val="22"/>
                <w:color w:val="auto"/>
              </w:rPr>
            </w:pPr>
          </w:p>
        </w:tc>
        <w:tc>
          <w:tcPr>
            <w:tcW w:w="780" w:type="dxa"/>
            <w:vAlign w:val="bottom"/>
            <w:tcBorders>
              <w:top w:val="single" w:sz="8" w:color="DDDDDD"/>
              <w:bottom w:val="single" w:sz="8" w:color="DDDDDD"/>
            </w:tcBorders>
            <w:shd w:val="clear" w:color="auto" w:fill="DDDDDD"/>
          </w:tcPr>
          <w:p>
            <w:pPr>
              <w:spacing w:after="0" w:line="206" w:lineRule="exact"/>
              <w:rPr>
                <w:sz w:val="20"/>
                <w:szCs w:val="20"/>
                <w:color w:val="auto"/>
              </w:rPr>
            </w:pPr>
            <w:r>
              <w:rPr>
                <w:rFonts w:ascii="Times New Roman" w:cs="Times New Roman" w:eastAsia="Times New Roman" w:hAnsi="Times New Roman"/>
                <w:sz w:val="18"/>
                <w:szCs w:val="18"/>
                <w:color w:val="auto"/>
              </w:rPr>
              <w:t>388,384</w:t>
            </w:r>
          </w:p>
        </w:tc>
        <w:tc>
          <w:tcPr>
            <w:tcW w:w="120" w:type="dxa"/>
            <w:vAlign w:val="bottom"/>
            <w:tcBorders>
              <w:top w:val="single" w:sz="8" w:color="DDDDDD"/>
              <w:bottom w:val="single" w:sz="8" w:color="DDDDDD"/>
            </w:tcBorders>
            <w:shd w:val="clear" w:color="auto" w:fill="DDDDDD"/>
          </w:tcPr>
          <w:p>
            <w:pPr>
              <w:spacing w:after="0"/>
              <w:rPr>
                <w:sz w:val="22"/>
                <w:szCs w:val="22"/>
                <w:color w:val="auto"/>
              </w:rPr>
            </w:pPr>
          </w:p>
        </w:tc>
        <w:tc>
          <w:tcPr>
            <w:tcW w:w="780" w:type="dxa"/>
            <w:vAlign w:val="bottom"/>
            <w:tcBorders>
              <w:top w:val="single" w:sz="8" w:color="DDDDDD"/>
              <w:bottom w:val="single" w:sz="8" w:color="DDDDDD"/>
            </w:tcBorders>
            <w:shd w:val="clear" w:color="auto" w:fill="DDDDDD"/>
          </w:tcPr>
          <w:p>
            <w:pPr>
              <w:spacing w:after="0" w:line="206" w:lineRule="exact"/>
              <w:rPr>
                <w:sz w:val="20"/>
                <w:szCs w:val="20"/>
                <w:color w:val="auto"/>
              </w:rPr>
            </w:pPr>
            <w:r>
              <w:rPr>
                <w:rFonts w:ascii="Times New Roman" w:cs="Times New Roman" w:eastAsia="Times New Roman" w:hAnsi="Times New Roman"/>
                <w:sz w:val="18"/>
                <w:szCs w:val="18"/>
                <w:color w:val="auto"/>
              </w:rPr>
              <w:t>700,000</w:t>
            </w:r>
          </w:p>
        </w:tc>
        <w:tc>
          <w:tcPr>
            <w:tcW w:w="120" w:type="dxa"/>
            <w:vAlign w:val="bottom"/>
            <w:tcBorders>
              <w:top w:val="single" w:sz="8" w:color="DDDDDD"/>
              <w:bottom w:val="single" w:sz="8" w:color="DDDDDD"/>
            </w:tcBorders>
            <w:shd w:val="clear" w:color="auto" w:fill="DDDDDD"/>
          </w:tcPr>
          <w:p>
            <w:pPr>
              <w:spacing w:after="0"/>
              <w:rPr>
                <w:sz w:val="22"/>
                <w:szCs w:val="22"/>
                <w:color w:val="auto"/>
              </w:rPr>
            </w:pPr>
          </w:p>
        </w:tc>
        <w:tc>
          <w:tcPr>
            <w:tcW w:w="780" w:type="dxa"/>
            <w:vAlign w:val="bottom"/>
            <w:tcBorders>
              <w:top w:val="single" w:sz="8" w:color="DDDDDD"/>
              <w:bottom w:val="single" w:sz="8" w:color="DDDDDD"/>
            </w:tcBorders>
            <w:shd w:val="clear" w:color="auto" w:fill="DDDDDD"/>
          </w:tcPr>
          <w:p>
            <w:pPr>
              <w:spacing w:after="0" w:line="206" w:lineRule="exact"/>
              <w:rPr>
                <w:sz w:val="20"/>
                <w:szCs w:val="20"/>
                <w:color w:val="auto"/>
              </w:rPr>
            </w:pPr>
            <w:r>
              <w:rPr>
                <w:rFonts w:ascii="Times New Roman" w:cs="Times New Roman" w:eastAsia="Times New Roman" w:hAnsi="Times New Roman"/>
                <w:sz w:val="18"/>
                <w:szCs w:val="18"/>
                <w:color w:val="auto"/>
              </w:rPr>
              <w:t>—</w:t>
            </w:r>
          </w:p>
        </w:tc>
        <w:tc>
          <w:tcPr>
            <w:tcW w:w="120" w:type="dxa"/>
            <w:vAlign w:val="bottom"/>
            <w:tcBorders>
              <w:top w:val="single" w:sz="8" w:color="DDDDDD"/>
              <w:bottom w:val="single" w:sz="8" w:color="DDDDDD"/>
            </w:tcBorders>
            <w:shd w:val="clear" w:color="auto" w:fill="DDDDDD"/>
          </w:tcPr>
          <w:p>
            <w:pPr>
              <w:spacing w:after="0"/>
              <w:rPr>
                <w:sz w:val="22"/>
                <w:szCs w:val="22"/>
                <w:color w:val="auto"/>
              </w:rPr>
            </w:pPr>
          </w:p>
        </w:tc>
        <w:tc>
          <w:tcPr>
            <w:tcW w:w="780" w:type="dxa"/>
            <w:vAlign w:val="bottom"/>
            <w:tcBorders>
              <w:top w:val="single" w:sz="8" w:color="DDDDDD"/>
              <w:bottom w:val="single" w:sz="8" w:color="DDDDDD"/>
            </w:tcBorders>
            <w:shd w:val="clear" w:color="auto" w:fill="DDDDDD"/>
          </w:tcPr>
          <w:p>
            <w:pPr>
              <w:spacing w:after="0" w:line="206" w:lineRule="exact"/>
              <w:rPr>
                <w:sz w:val="20"/>
                <w:szCs w:val="20"/>
                <w:color w:val="auto"/>
              </w:rPr>
            </w:pPr>
            <w:r>
              <w:rPr>
                <w:rFonts w:ascii="Times New Roman" w:cs="Times New Roman" w:eastAsia="Times New Roman" w:hAnsi="Times New Roman"/>
                <w:sz w:val="18"/>
                <w:szCs w:val="18"/>
                <w:color w:val="auto"/>
              </w:rPr>
              <w:t>—</w:t>
            </w:r>
          </w:p>
        </w:tc>
        <w:tc>
          <w:tcPr>
            <w:tcW w:w="120" w:type="dxa"/>
            <w:vAlign w:val="bottom"/>
            <w:tcBorders>
              <w:top w:val="single" w:sz="8" w:color="DDDDDD"/>
              <w:bottom w:val="single" w:sz="8" w:color="DDDDDD"/>
            </w:tcBorders>
            <w:shd w:val="clear" w:color="auto" w:fill="DDDDDD"/>
          </w:tcPr>
          <w:p>
            <w:pPr>
              <w:spacing w:after="0"/>
              <w:rPr>
                <w:sz w:val="22"/>
                <w:szCs w:val="22"/>
                <w:color w:val="auto"/>
              </w:rPr>
            </w:pPr>
          </w:p>
        </w:tc>
        <w:tc>
          <w:tcPr>
            <w:tcW w:w="1140" w:type="dxa"/>
            <w:vAlign w:val="bottom"/>
            <w:tcBorders>
              <w:top w:val="single" w:sz="8" w:color="DDDDDD"/>
              <w:bottom w:val="single" w:sz="8" w:color="DDDDDD"/>
            </w:tcBorders>
            <w:shd w:val="clear" w:color="auto" w:fill="DDDDDD"/>
          </w:tcPr>
          <w:p>
            <w:pPr>
              <w:spacing w:after="0" w:line="206" w:lineRule="exact"/>
              <w:rPr>
                <w:sz w:val="20"/>
                <w:szCs w:val="20"/>
                <w:color w:val="auto"/>
              </w:rPr>
            </w:pPr>
            <w:r>
              <w:rPr>
                <w:rFonts w:ascii="Times New Roman" w:cs="Times New Roman" w:eastAsia="Times New Roman" w:hAnsi="Times New Roman"/>
                <w:sz w:val="18"/>
                <w:szCs w:val="18"/>
                <w:color w:val="auto"/>
              </w:rPr>
              <w:t>—</w:t>
            </w:r>
          </w:p>
        </w:tc>
        <w:tc>
          <w:tcPr>
            <w:tcW w:w="120" w:type="dxa"/>
            <w:vAlign w:val="bottom"/>
            <w:tcBorders>
              <w:top w:val="single" w:sz="8" w:color="DDDDDD"/>
              <w:bottom w:val="single" w:sz="8" w:color="DDDDDD"/>
            </w:tcBorders>
            <w:shd w:val="clear" w:color="auto" w:fill="DDDDDD"/>
          </w:tcPr>
          <w:p>
            <w:pPr>
              <w:spacing w:after="0"/>
              <w:rPr>
                <w:sz w:val="22"/>
                <w:szCs w:val="22"/>
                <w:color w:val="auto"/>
              </w:rPr>
            </w:pPr>
          </w:p>
        </w:tc>
        <w:tc>
          <w:tcPr>
            <w:tcW w:w="1140" w:type="dxa"/>
            <w:vAlign w:val="bottom"/>
            <w:tcBorders>
              <w:top w:val="single" w:sz="8" w:color="DDDDDD"/>
              <w:bottom w:val="single" w:sz="8" w:color="DDDDDD"/>
            </w:tcBorders>
            <w:shd w:val="clear" w:color="auto" w:fill="DDDDDD"/>
          </w:tcPr>
          <w:p>
            <w:pPr>
              <w:spacing w:after="0" w:line="206" w:lineRule="exact"/>
              <w:rPr>
                <w:sz w:val="20"/>
                <w:szCs w:val="20"/>
                <w:color w:val="auto"/>
              </w:rPr>
            </w:pPr>
            <w:r>
              <w:rPr>
                <w:rFonts w:ascii="Times New Roman" w:cs="Times New Roman" w:eastAsia="Times New Roman" w:hAnsi="Times New Roman"/>
                <w:sz w:val="18"/>
                <w:szCs w:val="18"/>
                <w:color w:val="auto"/>
              </w:rPr>
              <w:t>—</w:t>
            </w:r>
          </w:p>
        </w:tc>
        <w:tc>
          <w:tcPr>
            <w:tcW w:w="120" w:type="dxa"/>
            <w:vAlign w:val="bottom"/>
            <w:tcBorders>
              <w:top w:val="single" w:sz="8" w:color="DDDDDD"/>
              <w:bottom w:val="single" w:sz="8" w:color="DDDDDD"/>
            </w:tcBorders>
            <w:shd w:val="clear" w:color="auto" w:fill="DDDDDD"/>
          </w:tcPr>
          <w:p>
            <w:pPr>
              <w:spacing w:after="0"/>
              <w:rPr>
                <w:sz w:val="22"/>
                <w:szCs w:val="22"/>
                <w:color w:val="auto"/>
              </w:rPr>
            </w:pPr>
          </w:p>
        </w:tc>
        <w:tc>
          <w:tcPr>
            <w:tcW w:w="1180" w:type="dxa"/>
            <w:vAlign w:val="bottom"/>
            <w:tcBorders>
              <w:top w:val="single" w:sz="8" w:color="DDDDDD"/>
              <w:bottom w:val="single" w:sz="8" w:color="DDDDDD"/>
            </w:tcBorders>
            <w:shd w:val="clear" w:color="auto" w:fill="DDDDDD"/>
          </w:tcPr>
          <w:p>
            <w:pPr>
              <w:spacing w:after="0" w:line="206" w:lineRule="exact"/>
              <w:rPr>
                <w:sz w:val="20"/>
                <w:szCs w:val="20"/>
                <w:color w:val="auto"/>
              </w:rPr>
            </w:pPr>
            <w:r>
              <w:rPr>
                <w:rFonts w:ascii="Times New Roman" w:cs="Times New Roman" w:eastAsia="Times New Roman" w:hAnsi="Times New Roman"/>
                <w:sz w:val="18"/>
                <w:szCs w:val="18"/>
                <w:color w:val="auto"/>
              </w:rPr>
              <w:t>82,607</w:t>
            </w:r>
          </w:p>
        </w:tc>
        <w:tc>
          <w:tcPr>
            <w:tcW w:w="120" w:type="dxa"/>
            <w:vAlign w:val="bottom"/>
            <w:tcBorders>
              <w:top w:val="single" w:sz="8" w:color="DDDDDD"/>
              <w:bottom w:val="single" w:sz="8" w:color="DDDDDD"/>
            </w:tcBorders>
            <w:shd w:val="clear" w:color="auto" w:fill="DDDDDD"/>
          </w:tcPr>
          <w:p>
            <w:pPr>
              <w:spacing w:after="0"/>
              <w:rPr>
                <w:sz w:val="22"/>
                <w:szCs w:val="22"/>
                <w:color w:val="auto"/>
              </w:rPr>
            </w:pPr>
          </w:p>
        </w:tc>
        <w:tc>
          <w:tcPr>
            <w:tcW w:w="860" w:type="dxa"/>
            <w:vAlign w:val="bottom"/>
            <w:tcBorders>
              <w:top w:val="single" w:sz="8" w:color="DDDDDD"/>
              <w:bottom w:val="single" w:sz="8" w:color="DDDDDD"/>
            </w:tcBorders>
            <w:shd w:val="clear" w:color="auto" w:fill="DDDDDD"/>
          </w:tcPr>
          <w:p>
            <w:pPr>
              <w:spacing w:after="0" w:line="206" w:lineRule="exact"/>
              <w:rPr>
                <w:sz w:val="20"/>
                <w:szCs w:val="20"/>
                <w:color w:val="auto"/>
              </w:rPr>
            </w:pPr>
            <w:r>
              <w:rPr>
                <w:rFonts w:ascii="Times New Roman" w:cs="Times New Roman" w:eastAsia="Times New Roman" w:hAnsi="Times New Roman"/>
                <w:sz w:val="18"/>
                <w:szCs w:val="18"/>
                <w:color w:val="auto"/>
                <w:highlight w:val="lightGray"/>
              </w:rPr>
              <w:t>1,170,991</w:t>
            </w:r>
          </w:p>
        </w:tc>
        <w:tc>
          <w:tcPr>
            <w:tcW w:w="0" w:type="dxa"/>
            <w:vAlign w:val="bottom"/>
          </w:tcPr>
          <w:p>
            <w:pPr>
              <w:spacing w:after="0"/>
              <w:rPr>
                <w:sz w:val="1"/>
                <w:szCs w:val="1"/>
                <w:color w:val="auto"/>
              </w:rPr>
            </w:pPr>
          </w:p>
        </w:tc>
      </w:tr>
      <w:tr>
        <w:trPr>
          <w:trHeight w:val="132"/>
        </w:trPr>
        <w:tc>
          <w:tcPr>
            <w:tcW w:w="1260" w:type="dxa"/>
            <w:vAlign w:val="bottom"/>
            <w:tcBorders>
              <w:top w:val="single" w:sz="8" w:color="DDDDDD"/>
            </w:tcBorders>
            <w:shd w:val="clear" w:color="auto" w:fill="DDDDDD"/>
          </w:tcPr>
          <w:p>
            <w:pPr>
              <w:ind w:left="40"/>
              <w:spacing w:after="0" w:line="132" w:lineRule="exact"/>
              <w:rPr>
                <w:sz w:val="20"/>
                <w:szCs w:val="20"/>
                <w:color w:val="auto"/>
              </w:rPr>
            </w:pPr>
            <w:r>
              <w:rPr>
                <w:rFonts w:ascii="Times New Roman" w:cs="Times New Roman" w:eastAsia="Times New Roman" w:hAnsi="Times New Roman"/>
                <w:sz w:val="15"/>
                <w:szCs w:val="15"/>
                <w:color w:val="auto"/>
              </w:rPr>
              <w:t>Francis,</w:t>
            </w:r>
          </w:p>
        </w:tc>
        <w:tc>
          <w:tcPr>
            <w:tcW w:w="60" w:type="dxa"/>
            <w:vAlign w:val="bottom"/>
            <w:vMerge w:val="restart"/>
          </w:tcPr>
          <w:p>
            <w:pPr>
              <w:spacing w:after="0"/>
              <w:rPr>
                <w:sz w:val="11"/>
                <w:szCs w:val="11"/>
                <w:color w:val="auto"/>
              </w:rPr>
            </w:pPr>
          </w:p>
        </w:tc>
        <w:tc>
          <w:tcPr>
            <w:tcW w:w="500" w:type="dxa"/>
            <w:vAlign w:val="bottom"/>
            <w:tcBorders>
              <w:top w:val="single" w:sz="8" w:color="auto"/>
            </w:tcBorders>
            <w:gridSpan w:val="2"/>
            <w:vMerge w:val="restart"/>
          </w:tcPr>
          <w:p>
            <w:pPr>
              <w:ind w:left="40"/>
              <w:spacing w:after="0"/>
              <w:rPr>
                <w:sz w:val="20"/>
                <w:szCs w:val="20"/>
                <w:color w:val="auto"/>
              </w:rPr>
            </w:pPr>
            <w:r>
              <w:rPr>
                <w:rFonts w:ascii="Times New Roman" w:cs="Times New Roman" w:eastAsia="Times New Roman" w:hAnsi="Times New Roman"/>
                <w:sz w:val="18"/>
                <w:szCs w:val="18"/>
                <w:color w:val="auto"/>
              </w:rPr>
              <w:t>2022</w:t>
            </w:r>
          </w:p>
        </w:tc>
        <w:tc>
          <w:tcPr>
            <w:tcW w:w="160" w:type="dxa"/>
            <w:vAlign w:val="bottom"/>
            <w:tcBorders>
              <w:top w:val="single" w:sz="8" w:color="auto"/>
            </w:tcBorders>
          </w:tcPr>
          <w:p>
            <w:pPr>
              <w:spacing w:after="0"/>
              <w:rPr>
                <w:sz w:val="11"/>
                <w:szCs w:val="11"/>
                <w:color w:val="auto"/>
              </w:rPr>
            </w:pPr>
          </w:p>
        </w:tc>
        <w:tc>
          <w:tcPr>
            <w:tcW w:w="780" w:type="dxa"/>
            <w:vAlign w:val="bottom"/>
            <w:tcBorders>
              <w:top w:val="single" w:sz="8" w:color="auto"/>
            </w:tcBorders>
            <w:vMerge w:val="restart"/>
          </w:tcPr>
          <w:p>
            <w:pPr>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Borders>
              <w:top w:val="single" w:sz="8" w:color="auto"/>
            </w:tcBorders>
          </w:tcPr>
          <w:p>
            <w:pPr>
              <w:spacing w:after="0"/>
              <w:rPr>
                <w:sz w:val="11"/>
                <w:szCs w:val="11"/>
                <w:color w:val="auto"/>
              </w:rPr>
            </w:pPr>
          </w:p>
        </w:tc>
        <w:tc>
          <w:tcPr>
            <w:tcW w:w="780" w:type="dxa"/>
            <w:vAlign w:val="bottom"/>
            <w:tcBorders>
              <w:top w:val="single" w:sz="8" w:color="auto"/>
            </w:tcBorders>
            <w:vMerge w:val="restart"/>
          </w:tcPr>
          <w:p>
            <w:pPr>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Borders>
              <w:top w:val="single" w:sz="8" w:color="auto"/>
            </w:tcBorders>
            <w:gridSpan w:val="2"/>
            <w:vMerge w:val="restart"/>
          </w:tcPr>
          <w:p>
            <w:pPr>
              <w:ind w:left="120"/>
              <w:spacing w:after="0"/>
              <w:rPr>
                <w:sz w:val="20"/>
                <w:szCs w:val="20"/>
                <w:color w:val="auto"/>
              </w:rPr>
            </w:pPr>
            <w:r>
              <w:rPr>
                <w:rFonts w:ascii="Times New Roman" w:cs="Times New Roman" w:eastAsia="Times New Roman" w:hAnsi="Times New Roman"/>
                <w:sz w:val="18"/>
                <w:szCs w:val="18"/>
                <w:color w:val="auto"/>
              </w:rPr>
              <w:t>193,357</w:t>
            </w:r>
          </w:p>
        </w:tc>
        <w:tc>
          <w:tcPr>
            <w:tcW w:w="900" w:type="dxa"/>
            <w:vAlign w:val="bottom"/>
            <w:tcBorders>
              <w:top w:val="single" w:sz="8" w:color="auto"/>
            </w:tcBorders>
            <w:gridSpan w:val="2"/>
            <w:vMerge w:val="restart"/>
          </w:tcPr>
          <w:p>
            <w:pPr>
              <w:ind w:left="12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tcBorders>
              <w:top w:val="single" w:sz="8" w:color="auto"/>
            </w:tcBorders>
            <w:gridSpan w:val="2"/>
            <w:vMerge w:val="restart"/>
          </w:tcPr>
          <w:p>
            <w:pPr>
              <w:ind w:left="12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tcBorders>
              <w:top w:val="single" w:sz="8" w:color="auto"/>
            </w:tcBorders>
            <w:gridSpan w:val="2"/>
            <w:vMerge w:val="restart"/>
          </w:tcPr>
          <w:p>
            <w:pPr>
              <w:ind w:left="120"/>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tcBorders>
              <w:top w:val="single" w:sz="8" w:color="auto"/>
            </w:tcBorders>
            <w:gridSpan w:val="2"/>
            <w:vMerge w:val="restart"/>
          </w:tcPr>
          <w:p>
            <w:pPr>
              <w:ind w:left="120"/>
              <w:spacing w:after="0"/>
              <w:rPr>
                <w:sz w:val="20"/>
                <w:szCs w:val="20"/>
                <w:color w:val="auto"/>
              </w:rPr>
            </w:pPr>
            <w:r>
              <w:rPr>
                <w:rFonts w:ascii="Times New Roman" w:cs="Times New Roman" w:eastAsia="Times New Roman" w:hAnsi="Times New Roman"/>
                <w:sz w:val="18"/>
                <w:szCs w:val="18"/>
                <w:color w:val="auto"/>
              </w:rPr>
              <w:t>69,701</w:t>
            </w:r>
          </w:p>
        </w:tc>
        <w:tc>
          <w:tcPr>
            <w:tcW w:w="980" w:type="dxa"/>
            <w:vAlign w:val="bottom"/>
            <w:tcBorders>
              <w:top w:val="single" w:sz="8" w:color="auto"/>
            </w:tcBorders>
            <w:gridSpan w:val="2"/>
            <w:vMerge w:val="restart"/>
          </w:tcPr>
          <w:p>
            <w:pPr>
              <w:ind w:left="120"/>
              <w:spacing w:after="0"/>
              <w:rPr>
                <w:sz w:val="20"/>
                <w:szCs w:val="20"/>
                <w:color w:val="auto"/>
              </w:rPr>
            </w:pPr>
            <w:r>
              <w:rPr>
                <w:rFonts w:ascii="Times New Roman" w:cs="Times New Roman" w:eastAsia="Times New Roman" w:hAnsi="Times New Roman"/>
                <w:sz w:val="18"/>
                <w:szCs w:val="18"/>
                <w:color w:val="auto"/>
              </w:rPr>
              <w:t>263,058</w:t>
            </w:r>
          </w:p>
        </w:tc>
        <w:tc>
          <w:tcPr>
            <w:tcW w:w="0" w:type="dxa"/>
            <w:vAlign w:val="bottom"/>
          </w:tcPr>
          <w:p>
            <w:pPr>
              <w:spacing w:after="0"/>
              <w:rPr>
                <w:sz w:val="1"/>
                <w:szCs w:val="1"/>
                <w:color w:val="auto"/>
              </w:rPr>
            </w:pPr>
          </w:p>
        </w:tc>
      </w:tr>
      <w:tr>
        <w:trPr>
          <w:trHeight w:val="125"/>
        </w:trPr>
        <w:tc>
          <w:tcPr>
            <w:tcW w:w="1260" w:type="dxa"/>
            <w:vAlign w:val="bottom"/>
            <w:vMerge w:val="restart"/>
            <w:shd w:val="clear" w:color="auto" w:fill="DDDDDD"/>
          </w:tcPr>
          <w:p>
            <w:pPr>
              <w:ind w:left="40"/>
              <w:spacing w:after="0"/>
              <w:rPr>
                <w:sz w:val="20"/>
                <w:szCs w:val="20"/>
                <w:color w:val="auto"/>
              </w:rPr>
            </w:pPr>
            <w:r>
              <w:rPr>
                <w:rFonts w:ascii="Times New Roman" w:cs="Times New Roman" w:eastAsia="Times New Roman" w:hAnsi="Times New Roman"/>
                <w:sz w:val="18"/>
                <w:szCs w:val="18"/>
                <w:color w:val="auto"/>
              </w:rPr>
              <w:t>Executive</w:t>
            </w:r>
          </w:p>
        </w:tc>
        <w:tc>
          <w:tcPr>
            <w:tcW w:w="60" w:type="dxa"/>
            <w:vAlign w:val="bottom"/>
            <w:vMerge w:val="continue"/>
          </w:tcPr>
          <w:p>
            <w:pPr>
              <w:spacing w:after="0"/>
              <w:rPr>
                <w:sz w:val="10"/>
                <w:szCs w:val="10"/>
                <w:color w:val="auto"/>
              </w:rPr>
            </w:pPr>
          </w:p>
        </w:tc>
        <w:tc>
          <w:tcPr>
            <w:tcW w:w="500" w:type="dxa"/>
            <w:vAlign w:val="bottom"/>
            <w:gridSpan w:val="2"/>
            <w:vMerge w:val="continue"/>
          </w:tcPr>
          <w:p>
            <w:pPr>
              <w:spacing w:after="0"/>
              <w:rPr>
                <w:sz w:val="10"/>
                <w:szCs w:val="10"/>
                <w:color w:val="auto"/>
              </w:rPr>
            </w:pPr>
          </w:p>
        </w:tc>
        <w:tc>
          <w:tcPr>
            <w:tcW w:w="160" w:type="dxa"/>
            <w:vAlign w:val="bottom"/>
          </w:tcPr>
          <w:p>
            <w:pPr>
              <w:spacing w:after="0"/>
              <w:rPr>
                <w:sz w:val="10"/>
                <w:szCs w:val="10"/>
                <w:color w:val="auto"/>
              </w:rPr>
            </w:pPr>
          </w:p>
        </w:tc>
        <w:tc>
          <w:tcPr>
            <w:tcW w:w="780" w:type="dxa"/>
            <w:vAlign w:val="bottom"/>
            <w:vMerge w:val="continue"/>
          </w:tcPr>
          <w:p>
            <w:pPr>
              <w:spacing w:after="0"/>
              <w:rPr>
                <w:sz w:val="10"/>
                <w:szCs w:val="10"/>
                <w:color w:val="auto"/>
              </w:rPr>
            </w:pPr>
          </w:p>
        </w:tc>
        <w:tc>
          <w:tcPr>
            <w:tcW w:w="120" w:type="dxa"/>
            <w:vAlign w:val="bottom"/>
          </w:tcPr>
          <w:p>
            <w:pPr>
              <w:spacing w:after="0"/>
              <w:rPr>
                <w:sz w:val="10"/>
                <w:szCs w:val="10"/>
                <w:color w:val="auto"/>
              </w:rPr>
            </w:pPr>
          </w:p>
        </w:tc>
        <w:tc>
          <w:tcPr>
            <w:tcW w:w="780" w:type="dxa"/>
            <w:vAlign w:val="bottom"/>
            <w:vMerge w:val="continue"/>
          </w:tcPr>
          <w:p>
            <w:pPr>
              <w:spacing w:after="0"/>
              <w:rPr>
                <w:sz w:val="10"/>
                <w:szCs w:val="10"/>
                <w:color w:val="auto"/>
              </w:rPr>
            </w:pPr>
          </w:p>
        </w:tc>
        <w:tc>
          <w:tcPr>
            <w:tcW w:w="900" w:type="dxa"/>
            <w:vAlign w:val="bottom"/>
            <w:gridSpan w:val="2"/>
            <w:vMerge w:val="continue"/>
          </w:tcPr>
          <w:p>
            <w:pPr>
              <w:spacing w:after="0"/>
              <w:rPr>
                <w:sz w:val="10"/>
                <w:szCs w:val="10"/>
                <w:color w:val="auto"/>
              </w:rPr>
            </w:pPr>
          </w:p>
        </w:tc>
        <w:tc>
          <w:tcPr>
            <w:tcW w:w="900" w:type="dxa"/>
            <w:vAlign w:val="bottom"/>
            <w:gridSpan w:val="2"/>
            <w:vMerge w:val="continue"/>
          </w:tcPr>
          <w:p>
            <w:pPr>
              <w:spacing w:after="0"/>
              <w:rPr>
                <w:sz w:val="10"/>
                <w:szCs w:val="10"/>
                <w:color w:val="auto"/>
              </w:rPr>
            </w:pPr>
          </w:p>
        </w:tc>
        <w:tc>
          <w:tcPr>
            <w:tcW w:w="1260" w:type="dxa"/>
            <w:vAlign w:val="bottom"/>
            <w:gridSpan w:val="2"/>
            <w:vMerge w:val="continue"/>
          </w:tcPr>
          <w:p>
            <w:pPr>
              <w:spacing w:after="0"/>
              <w:rPr>
                <w:sz w:val="10"/>
                <w:szCs w:val="10"/>
                <w:color w:val="auto"/>
              </w:rPr>
            </w:pPr>
          </w:p>
        </w:tc>
        <w:tc>
          <w:tcPr>
            <w:tcW w:w="1260" w:type="dxa"/>
            <w:vAlign w:val="bottom"/>
            <w:gridSpan w:val="2"/>
            <w:vMerge w:val="continue"/>
          </w:tcPr>
          <w:p>
            <w:pPr>
              <w:spacing w:after="0"/>
              <w:rPr>
                <w:sz w:val="10"/>
                <w:szCs w:val="10"/>
                <w:color w:val="auto"/>
              </w:rPr>
            </w:pPr>
          </w:p>
        </w:tc>
        <w:tc>
          <w:tcPr>
            <w:tcW w:w="1300" w:type="dxa"/>
            <w:vAlign w:val="bottom"/>
            <w:gridSpan w:val="2"/>
            <w:vMerge w:val="continue"/>
          </w:tcPr>
          <w:p>
            <w:pPr>
              <w:spacing w:after="0"/>
              <w:rPr>
                <w:sz w:val="10"/>
                <w:szCs w:val="10"/>
                <w:color w:val="auto"/>
              </w:rPr>
            </w:pPr>
          </w:p>
        </w:tc>
        <w:tc>
          <w:tcPr>
            <w:tcW w:w="980" w:type="dxa"/>
            <w:vAlign w:val="bottom"/>
            <w:gridSpan w:val="2"/>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84"/>
        </w:trPr>
        <w:tc>
          <w:tcPr>
            <w:tcW w:w="1260" w:type="dxa"/>
            <w:vAlign w:val="bottom"/>
            <w:vMerge w:val="continue"/>
            <w:shd w:val="clear" w:color="auto" w:fill="DDDDDD"/>
          </w:tcPr>
          <w:p>
            <w:pPr>
              <w:spacing w:after="0"/>
              <w:rPr>
                <w:sz w:val="7"/>
                <w:szCs w:val="7"/>
                <w:color w:val="auto"/>
              </w:rPr>
            </w:pPr>
          </w:p>
        </w:tc>
        <w:tc>
          <w:tcPr>
            <w:tcW w:w="60" w:type="dxa"/>
            <w:vAlign w:val="bottom"/>
          </w:tcPr>
          <w:p>
            <w:pPr>
              <w:spacing w:after="0"/>
              <w:rPr>
                <w:sz w:val="7"/>
                <w:szCs w:val="7"/>
                <w:color w:val="auto"/>
              </w:rPr>
            </w:pPr>
          </w:p>
        </w:tc>
        <w:tc>
          <w:tcPr>
            <w:tcW w:w="40" w:type="dxa"/>
            <w:vAlign w:val="bottom"/>
          </w:tcPr>
          <w:p>
            <w:pPr>
              <w:spacing w:after="0"/>
              <w:rPr>
                <w:sz w:val="7"/>
                <w:szCs w:val="7"/>
                <w:color w:val="auto"/>
              </w:rPr>
            </w:pPr>
          </w:p>
        </w:tc>
        <w:tc>
          <w:tcPr>
            <w:tcW w:w="460" w:type="dxa"/>
            <w:vAlign w:val="bottom"/>
          </w:tcPr>
          <w:p>
            <w:pPr>
              <w:spacing w:after="0"/>
              <w:rPr>
                <w:sz w:val="7"/>
                <w:szCs w:val="7"/>
                <w:color w:val="auto"/>
              </w:rPr>
            </w:pPr>
          </w:p>
        </w:tc>
        <w:tc>
          <w:tcPr>
            <w:tcW w:w="160" w:type="dxa"/>
            <w:vAlign w:val="bottom"/>
          </w:tcPr>
          <w:p>
            <w:pPr>
              <w:spacing w:after="0"/>
              <w:rPr>
                <w:sz w:val="7"/>
                <w:szCs w:val="7"/>
                <w:color w:val="auto"/>
              </w:rPr>
            </w:pPr>
          </w:p>
        </w:tc>
        <w:tc>
          <w:tcPr>
            <w:tcW w:w="780" w:type="dxa"/>
            <w:vAlign w:val="bottom"/>
          </w:tcPr>
          <w:p>
            <w:pPr>
              <w:spacing w:after="0"/>
              <w:rPr>
                <w:sz w:val="7"/>
                <w:szCs w:val="7"/>
                <w:color w:val="auto"/>
              </w:rPr>
            </w:pPr>
          </w:p>
        </w:tc>
        <w:tc>
          <w:tcPr>
            <w:tcW w:w="120" w:type="dxa"/>
            <w:vAlign w:val="bottom"/>
          </w:tcPr>
          <w:p>
            <w:pPr>
              <w:spacing w:after="0"/>
              <w:rPr>
                <w:sz w:val="7"/>
                <w:szCs w:val="7"/>
                <w:color w:val="auto"/>
              </w:rPr>
            </w:pPr>
          </w:p>
        </w:tc>
        <w:tc>
          <w:tcPr>
            <w:tcW w:w="780" w:type="dxa"/>
            <w:vAlign w:val="bottom"/>
          </w:tcPr>
          <w:p>
            <w:pPr>
              <w:spacing w:after="0"/>
              <w:rPr>
                <w:sz w:val="7"/>
                <w:szCs w:val="7"/>
                <w:color w:val="auto"/>
              </w:rPr>
            </w:pPr>
          </w:p>
        </w:tc>
        <w:tc>
          <w:tcPr>
            <w:tcW w:w="120" w:type="dxa"/>
            <w:vAlign w:val="bottom"/>
          </w:tcPr>
          <w:p>
            <w:pPr>
              <w:spacing w:after="0"/>
              <w:rPr>
                <w:sz w:val="7"/>
                <w:szCs w:val="7"/>
                <w:color w:val="auto"/>
              </w:rPr>
            </w:pPr>
          </w:p>
        </w:tc>
        <w:tc>
          <w:tcPr>
            <w:tcW w:w="780" w:type="dxa"/>
            <w:vAlign w:val="bottom"/>
          </w:tcPr>
          <w:p>
            <w:pPr>
              <w:spacing w:after="0"/>
              <w:rPr>
                <w:sz w:val="7"/>
                <w:szCs w:val="7"/>
                <w:color w:val="auto"/>
              </w:rPr>
            </w:pPr>
          </w:p>
        </w:tc>
        <w:tc>
          <w:tcPr>
            <w:tcW w:w="120" w:type="dxa"/>
            <w:vAlign w:val="bottom"/>
          </w:tcPr>
          <w:p>
            <w:pPr>
              <w:spacing w:after="0"/>
              <w:rPr>
                <w:sz w:val="7"/>
                <w:szCs w:val="7"/>
                <w:color w:val="auto"/>
              </w:rPr>
            </w:pPr>
          </w:p>
        </w:tc>
        <w:tc>
          <w:tcPr>
            <w:tcW w:w="780" w:type="dxa"/>
            <w:vAlign w:val="bottom"/>
          </w:tcPr>
          <w:p>
            <w:pPr>
              <w:spacing w:after="0"/>
              <w:rPr>
                <w:sz w:val="7"/>
                <w:szCs w:val="7"/>
                <w:color w:val="auto"/>
              </w:rPr>
            </w:pPr>
          </w:p>
        </w:tc>
        <w:tc>
          <w:tcPr>
            <w:tcW w:w="120" w:type="dxa"/>
            <w:vAlign w:val="bottom"/>
          </w:tcPr>
          <w:p>
            <w:pPr>
              <w:spacing w:after="0"/>
              <w:rPr>
                <w:sz w:val="7"/>
                <w:szCs w:val="7"/>
                <w:color w:val="auto"/>
              </w:rPr>
            </w:pPr>
          </w:p>
        </w:tc>
        <w:tc>
          <w:tcPr>
            <w:tcW w:w="1140" w:type="dxa"/>
            <w:vAlign w:val="bottom"/>
          </w:tcPr>
          <w:p>
            <w:pPr>
              <w:spacing w:after="0"/>
              <w:rPr>
                <w:sz w:val="7"/>
                <w:szCs w:val="7"/>
                <w:color w:val="auto"/>
              </w:rPr>
            </w:pPr>
          </w:p>
        </w:tc>
        <w:tc>
          <w:tcPr>
            <w:tcW w:w="120" w:type="dxa"/>
            <w:vAlign w:val="bottom"/>
          </w:tcPr>
          <w:p>
            <w:pPr>
              <w:spacing w:after="0"/>
              <w:rPr>
                <w:sz w:val="7"/>
                <w:szCs w:val="7"/>
                <w:color w:val="auto"/>
              </w:rPr>
            </w:pPr>
          </w:p>
        </w:tc>
        <w:tc>
          <w:tcPr>
            <w:tcW w:w="1140" w:type="dxa"/>
            <w:vAlign w:val="bottom"/>
          </w:tcPr>
          <w:p>
            <w:pPr>
              <w:spacing w:after="0"/>
              <w:rPr>
                <w:sz w:val="7"/>
                <w:szCs w:val="7"/>
                <w:color w:val="auto"/>
              </w:rPr>
            </w:pPr>
          </w:p>
        </w:tc>
        <w:tc>
          <w:tcPr>
            <w:tcW w:w="120" w:type="dxa"/>
            <w:vAlign w:val="bottom"/>
          </w:tcPr>
          <w:p>
            <w:pPr>
              <w:spacing w:after="0"/>
              <w:rPr>
                <w:sz w:val="7"/>
                <w:szCs w:val="7"/>
                <w:color w:val="auto"/>
              </w:rPr>
            </w:pPr>
          </w:p>
        </w:tc>
        <w:tc>
          <w:tcPr>
            <w:tcW w:w="1180" w:type="dxa"/>
            <w:vAlign w:val="bottom"/>
          </w:tcPr>
          <w:p>
            <w:pPr>
              <w:spacing w:after="0"/>
              <w:rPr>
                <w:sz w:val="7"/>
                <w:szCs w:val="7"/>
                <w:color w:val="auto"/>
              </w:rPr>
            </w:pPr>
          </w:p>
        </w:tc>
        <w:tc>
          <w:tcPr>
            <w:tcW w:w="120" w:type="dxa"/>
            <w:vAlign w:val="bottom"/>
          </w:tcPr>
          <w:p>
            <w:pPr>
              <w:spacing w:after="0"/>
              <w:rPr>
                <w:sz w:val="7"/>
                <w:szCs w:val="7"/>
                <w:color w:val="auto"/>
              </w:rPr>
            </w:pPr>
          </w:p>
        </w:tc>
        <w:tc>
          <w:tcPr>
            <w:tcW w:w="86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48"/>
        </w:trPr>
        <w:tc>
          <w:tcPr>
            <w:tcW w:w="1260" w:type="dxa"/>
            <w:vAlign w:val="bottom"/>
            <w:tcBorders>
              <w:bottom w:val="single" w:sz="8" w:color="auto"/>
            </w:tcBorders>
            <w:shd w:val="clear" w:color="auto" w:fill="DDDDDD"/>
          </w:tcPr>
          <w:p>
            <w:pPr>
              <w:ind w:left="40"/>
              <w:spacing w:after="0"/>
              <w:rPr>
                <w:sz w:val="20"/>
                <w:szCs w:val="20"/>
                <w:color w:val="auto"/>
              </w:rPr>
            </w:pPr>
            <w:r>
              <w:rPr>
                <w:rFonts w:ascii="Times New Roman" w:cs="Times New Roman" w:eastAsia="Times New Roman" w:hAnsi="Times New Roman"/>
                <w:sz w:val="18"/>
                <w:szCs w:val="18"/>
                <w:color w:val="auto"/>
              </w:rPr>
              <w:t>Chair</w:t>
            </w:r>
          </w:p>
        </w:tc>
        <w:tc>
          <w:tcPr>
            <w:tcW w:w="60" w:type="dxa"/>
            <w:vAlign w:val="bottom"/>
            <w:tcBorders>
              <w:bottom w:val="single" w:sz="8" w:color="auto"/>
            </w:tcBorders>
          </w:tcPr>
          <w:p>
            <w:pPr>
              <w:spacing w:after="0"/>
              <w:rPr>
                <w:sz w:val="21"/>
                <w:szCs w:val="21"/>
                <w:color w:val="auto"/>
              </w:rPr>
            </w:pPr>
          </w:p>
        </w:tc>
        <w:tc>
          <w:tcPr>
            <w:tcW w:w="40" w:type="dxa"/>
            <w:vAlign w:val="bottom"/>
            <w:tcBorders>
              <w:bottom w:val="single" w:sz="8" w:color="auto"/>
            </w:tcBorders>
          </w:tcPr>
          <w:p>
            <w:pPr>
              <w:spacing w:after="0"/>
              <w:rPr>
                <w:sz w:val="21"/>
                <w:szCs w:val="21"/>
                <w:color w:val="auto"/>
              </w:rPr>
            </w:pPr>
          </w:p>
        </w:tc>
        <w:tc>
          <w:tcPr>
            <w:tcW w:w="460" w:type="dxa"/>
            <w:vAlign w:val="bottom"/>
            <w:tcBorders>
              <w:bottom w:val="single" w:sz="8" w:color="auto"/>
            </w:tcBorders>
          </w:tcPr>
          <w:p>
            <w:pPr>
              <w:spacing w:after="0"/>
              <w:rPr>
                <w:sz w:val="21"/>
                <w:szCs w:val="21"/>
                <w:color w:val="auto"/>
              </w:rPr>
            </w:pPr>
          </w:p>
        </w:tc>
        <w:tc>
          <w:tcPr>
            <w:tcW w:w="160" w:type="dxa"/>
            <w:vAlign w:val="bottom"/>
            <w:tcBorders>
              <w:bottom w:val="single" w:sz="8" w:color="auto"/>
            </w:tcBorders>
          </w:tcPr>
          <w:p>
            <w:pPr>
              <w:spacing w:after="0"/>
              <w:rPr>
                <w:sz w:val="21"/>
                <w:szCs w:val="21"/>
                <w:color w:val="auto"/>
              </w:rPr>
            </w:pPr>
          </w:p>
        </w:tc>
        <w:tc>
          <w:tcPr>
            <w:tcW w:w="780" w:type="dxa"/>
            <w:vAlign w:val="bottom"/>
            <w:tcBorders>
              <w:bottom w:val="single" w:sz="8" w:color="auto"/>
            </w:tcBorders>
          </w:tcPr>
          <w:p>
            <w:pPr>
              <w:spacing w:after="0"/>
              <w:rPr>
                <w:sz w:val="21"/>
                <w:szCs w:val="21"/>
                <w:color w:val="auto"/>
              </w:rPr>
            </w:pPr>
          </w:p>
        </w:tc>
        <w:tc>
          <w:tcPr>
            <w:tcW w:w="120" w:type="dxa"/>
            <w:vAlign w:val="bottom"/>
            <w:tcBorders>
              <w:bottom w:val="single" w:sz="8" w:color="auto"/>
            </w:tcBorders>
          </w:tcPr>
          <w:p>
            <w:pPr>
              <w:spacing w:after="0"/>
              <w:rPr>
                <w:sz w:val="21"/>
                <w:szCs w:val="21"/>
                <w:color w:val="auto"/>
              </w:rPr>
            </w:pPr>
          </w:p>
        </w:tc>
        <w:tc>
          <w:tcPr>
            <w:tcW w:w="780" w:type="dxa"/>
            <w:vAlign w:val="bottom"/>
            <w:tcBorders>
              <w:bottom w:val="single" w:sz="8" w:color="auto"/>
            </w:tcBorders>
          </w:tcPr>
          <w:p>
            <w:pPr>
              <w:spacing w:after="0"/>
              <w:rPr>
                <w:sz w:val="21"/>
                <w:szCs w:val="21"/>
                <w:color w:val="auto"/>
              </w:rPr>
            </w:pPr>
          </w:p>
        </w:tc>
        <w:tc>
          <w:tcPr>
            <w:tcW w:w="120" w:type="dxa"/>
            <w:vAlign w:val="bottom"/>
            <w:tcBorders>
              <w:bottom w:val="single" w:sz="8" w:color="auto"/>
            </w:tcBorders>
          </w:tcPr>
          <w:p>
            <w:pPr>
              <w:spacing w:after="0"/>
              <w:rPr>
                <w:sz w:val="21"/>
                <w:szCs w:val="21"/>
                <w:color w:val="auto"/>
              </w:rPr>
            </w:pPr>
          </w:p>
        </w:tc>
        <w:tc>
          <w:tcPr>
            <w:tcW w:w="780" w:type="dxa"/>
            <w:vAlign w:val="bottom"/>
            <w:tcBorders>
              <w:bottom w:val="single" w:sz="8" w:color="auto"/>
            </w:tcBorders>
          </w:tcPr>
          <w:p>
            <w:pPr>
              <w:spacing w:after="0"/>
              <w:rPr>
                <w:sz w:val="21"/>
                <w:szCs w:val="21"/>
                <w:color w:val="auto"/>
              </w:rPr>
            </w:pPr>
          </w:p>
        </w:tc>
        <w:tc>
          <w:tcPr>
            <w:tcW w:w="120" w:type="dxa"/>
            <w:vAlign w:val="bottom"/>
            <w:tcBorders>
              <w:bottom w:val="single" w:sz="8" w:color="auto"/>
            </w:tcBorders>
          </w:tcPr>
          <w:p>
            <w:pPr>
              <w:spacing w:after="0"/>
              <w:rPr>
                <w:sz w:val="21"/>
                <w:szCs w:val="21"/>
                <w:color w:val="auto"/>
              </w:rPr>
            </w:pPr>
          </w:p>
        </w:tc>
        <w:tc>
          <w:tcPr>
            <w:tcW w:w="780" w:type="dxa"/>
            <w:vAlign w:val="bottom"/>
            <w:tcBorders>
              <w:bottom w:val="single" w:sz="8" w:color="auto"/>
            </w:tcBorders>
          </w:tcPr>
          <w:p>
            <w:pPr>
              <w:spacing w:after="0"/>
              <w:rPr>
                <w:sz w:val="21"/>
                <w:szCs w:val="21"/>
                <w:color w:val="auto"/>
              </w:rPr>
            </w:pPr>
          </w:p>
        </w:tc>
        <w:tc>
          <w:tcPr>
            <w:tcW w:w="120" w:type="dxa"/>
            <w:vAlign w:val="bottom"/>
            <w:tcBorders>
              <w:bottom w:val="single" w:sz="8" w:color="auto"/>
            </w:tcBorders>
          </w:tcPr>
          <w:p>
            <w:pPr>
              <w:spacing w:after="0"/>
              <w:rPr>
                <w:sz w:val="21"/>
                <w:szCs w:val="21"/>
                <w:color w:val="auto"/>
              </w:rPr>
            </w:pPr>
          </w:p>
        </w:tc>
        <w:tc>
          <w:tcPr>
            <w:tcW w:w="1140" w:type="dxa"/>
            <w:vAlign w:val="bottom"/>
            <w:tcBorders>
              <w:bottom w:val="single" w:sz="8" w:color="auto"/>
            </w:tcBorders>
          </w:tcPr>
          <w:p>
            <w:pPr>
              <w:spacing w:after="0"/>
              <w:rPr>
                <w:sz w:val="21"/>
                <w:szCs w:val="21"/>
                <w:color w:val="auto"/>
              </w:rPr>
            </w:pPr>
          </w:p>
        </w:tc>
        <w:tc>
          <w:tcPr>
            <w:tcW w:w="120" w:type="dxa"/>
            <w:vAlign w:val="bottom"/>
            <w:tcBorders>
              <w:bottom w:val="single" w:sz="8" w:color="auto"/>
            </w:tcBorders>
          </w:tcPr>
          <w:p>
            <w:pPr>
              <w:spacing w:after="0"/>
              <w:rPr>
                <w:sz w:val="21"/>
                <w:szCs w:val="21"/>
                <w:color w:val="auto"/>
              </w:rPr>
            </w:pPr>
          </w:p>
        </w:tc>
        <w:tc>
          <w:tcPr>
            <w:tcW w:w="1140" w:type="dxa"/>
            <w:vAlign w:val="bottom"/>
            <w:tcBorders>
              <w:bottom w:val="single" w:sz="8" w:color="auto"/>
            </w:tcBorders>
          </w:tcPr>
          <w:p>
            <w:pPr>
              <w:spacing w:after="0"/>
              <w:rPr>
                <w:sz w:val="21"/>
                <w:szCs w:val="21"/>
                <w:color w:val="auto"/>
              </w:rPr>
            </w:pPr>
          </w:p>
        </w:tc>
        <w:tc>
          <w:tcPr>
            <w:tcW w:w="120" w:type="dxa"/>
            <w:vAlign w:val="bottom"/>
            <w:tcBorders>
              <w:bottom w:val="single" w:sz="8" w:color="auto"/>
            </w:tcBorders>
          </w:tcPr>
          <w:p>
            <w:pPr>
              <w:spacing w:after="0"/>
              <w:rPr>
                <w:sz w:val="21"/>
                <w:szCs w:val="21"/>
                <w:color w:val="auto"/>
              </w:rPr>
            </w:pPr>
          </w:p>
        </w:tc>
        <w:tc>
          <w:tcPr>
            <w:tcW w:w="1180" w:type="dxa"/>
            <w:vAlign w:val="bottom"/>
            <w:tcBorders>
              <w:bottom w:val="single" w:sz="8" w:color="auto"/>
            </w:tcBorders>
          </w:tcPr>
          <w:p>
            <w:pPr>
              <w:spacing w:after="0"/>
              <w:rPr>
                <w:sz w:val="21"/>
                <w:szCs w:val="21"/>
                <w:color w:val="auto"/>
              </w:rPr>
            </w:pPr>
          </w:p>
        </w:tc>
        <w:tc>
          <w:tcPr>
            <w:tcW w:w="120" w:type="dxa"/>
            <w:vAlign w:val="bottom"/>
            <w:tcBorders>
              <w:bottom w:val="single" w:sz="8" w:color="auto"/>
            </w:tcBorders>
          </w:tcPr>
          <w:p>
            <w:pPr>
              <w:spacing w:after="0"/>
              <w:rPr>
                <w:sz w:val="21"/>
                <w:szCs w:val="21"/>
                <w:color w:val="auto"/>
              </w:rPr>
            </w:pPr>
          </w:p>
        </w:tc>
        <w:tc>
          <w:tcPr>
            <w:tcW w:w="860" w:type="dxa"/>
            <w:vAlign w:val="bottom"/>
            <w:tcBorders>
              <w:bottom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1260" w:type="dxa"/>
            <w:vAlign w:val="bottom"/>
            <w:vMerge w:val="restart"/>
            <w:shd w:val="clear" w:color="auto" w:fill="DDDDDD"/>
          </w:tcPr>
          <w:p>
            <w:pPr>
              <w:ind w:left="40"/>
              <w:spacing w:after="0"/>
              <w:rPr>
                <w:sz w:val="20"/>
                <w:szCs w:val="20"/>
                <w:color w:val="auto"/>
              </w:rPr>
            </w:pPr>
            <w:r>
              <w:rPr>
                <w:rFonts w:ascii="Times New Roman" w:cs="Times New Roman" w:eastAsia="Times New Roman" w:hAnsi="Times New Roman"/>
                <w:sz w:val="18"/>
                <w:szCs w:val="18"/>
                <w:color w:val="auto"/>
              </w:rPr>
              <w:t>Brian Camire,</w:t>
            </w:r>
          </w:p>
        </w:tc>
        <w:tc>
          <w:tcPr>
            <w:tcW w:w="60" w:type="dxa"/>
            <w:vAlign w:val="bottom"/>
            <w:vMerge w:val="restart"/>
            <w:shd w:val="clear" w:color="auto" w:fill="DDDDDD"/>
          </w:tcPr>
          <w:p>
            <w:pPr>
              <w:spacing w:after="0" w:line="20" w:lineRule="exact"/>
              <w:rPr>
                <w:sz w:val="1"/>
                <w:szCs w:val="1"/>
                <w:color w:val="auto"/>
              </w:rPr>
            </w:pPr>
          </w:p>
        </w:tc>
        <w:tc>
          <w:tcPr>
            <w:tcW w:w="500" w:type="dxa"/>
            <w:vAlign w:val="bottom"/>
            <w:gridSpan w:val="2"/>
            <w:vMerge w:val="restart"/>
            <w:shd w:val="clear" w:color="auto" w:fill="DDDDDD"/>
          </w:tcPr>
          <w:p>
            <w:pPr>
              <w:ind w:left="40"/>
              <w:spacing w:after="0"/>
              <w:rPr>
                <w:sz w:val="20"/>
                <w:szCs w:val="20"/>
                <w:color w:val="auto"/>
              </w:rPr>
            </w:pPr>
            <w:r>
              <w:rPr>
                <w:rFonts w:ascii="Times New Roman" w:cs="Times New Roman" w:eastAsia="Times New Roman" w:hAnsi="Times New Roman"/>
                <w:sz w:val="18"/>
                <w:szCs w:val="18"/>
                <w:color w:val="auto"/>
              </w:rPr>
              <w:t>2023</w:t>
            </w:r>
          </w:p>
        </w:tc>
        <w:tc>
          <w:tcPr>
            <w:tcW w:w="940" w:type="dxa"/>
            <w:vAlign w:val="bottom"/>
            <w:gridSpan w:val="2"/>
            <w:vMerge w:val="restart"/>
            <w:shd w:val="clear" w:color="auto" w:fill="DDDDDD"/>
          </w:tcPr>
          <w:p>
            <w:pPr>
              <w:ind w:left="160"/>
              <w:spacing w:after="0"/>
              <w:rPr>
                <w:sz w:val="20"/>
                <w:szCs w:val="20"/>
                <w:color w:val="auto"/>
              </w:rPr>
            </w:pPr>
            <w:r>
              <w:rPr>
                <w:rFonts w:ascii="Times New Roman" w:cs="Times New Roman" w:eastAsia="Times New Roman" w:hAnsi="Times New Roman"/>
                <w:sz w:val="18"/>
                <w:szCs w:val="18"/>
                <w:color w:val="auto"/>
              </w:rPr>
              <w:t>410,000</w:t>
            </w:r>
          </w:p>
        </w:tc>
        <w:tc>
          <w:tcPr>
            <w:tcW w:w="900" w:type="dxa"/>
            <w:vAlign w:val="bottom"/>
            <w:gridSpan w:val="2"/>
            <w:vMerge w:val="restart"/>
            <w:shd w:val="clear" w:color="auto" w:fill="DDDDDD"/>
          </w:tcPr>
          <w:p>
            <w:pPr>
              <w:ind w:left="120"/>
              <w:spacing w:after="0"/>
              <w:rPr>
                <w:sz w:val="20"/>
                <w:szCs w:val="20"/>
                <w:color w:val="auto"/>
              </w:rPr>
            </w:pPr>
            <w:r>
              <w:rPr>
                <w:rFonts w:ascii="Times New Roman" w:cs="Times New Roman" w:eastAsia="Times New Roman" w:hAnsi="Times New Roman"/>
                <w:sz w:val="18"/>
                <w:szCs w:val="18"/>
                <w:color w:val="auto"/>
              </w:rPr>
              <w:t>45,100</w:t>
            </w:r>
          </w:p>
        </w:tc>
        <w:tc>
          <w:tcPr>
            <w:tcW w:w="900" w:type="dxa"/>
            <w:vAlign w:val="bottom"/>
            <w:gridSpan w:val="2"/>
            <w:vMerge w:val="restart"/>
            <w:shd w:val="clear" w:color="auto" w:fill="DDDDDD"/>
          </w:tcPr>
          <w:p>
            <w:pPr>
              <w:ind w:left="120"/>
              <w:spacing w:after="0"/>
              <w:rPr>
                <w:sz w:val="20"/>
                <w:szCs w:val="20"/>
                <w:color w:val="auto"/>
              </w:rPr>
            </w:pPr>
            <w:r>
              <w:rPr>
                <w:rFonts w:ascii="Times New Roman" w:cs="Times New Roman" w:eastAsia="Times New Roman" w:hAnsi="Times New Roman"/>
                <w:sz w:val="18"/>
                <w:szCs w:val="18"/>
                <w:color w:val="auto"/>
              </w:rPr>
              <w:t>865,218</w:t>
            </w:r>
          </w:p>
        </w:tc>
        <w:tc>
          <w:tcPr>
            <w:tcW w:w="900" w:type="dxa"/>
            <w:vAlign w:val="bottom"/>
            <w:gridSpan w:val="2"/>
            <w:vMerge w:val="restart"/>
            <w:shd w:val="clear" w:color="auto" w:fill="DDDDDD"/>
          </w:tcPr>
          <w:p>
            <w:pPr>
              <w:ind w:left="12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gridSpan w:val="2"/>
            <w:vMerge w:val="restart"/>
            <w:shd w:val="clear" w:color="auto" w:fill="DDDDDD"/>
          </w:tcPr>
          <w:p>
            <w:pPr>
              <w:ind w:left="120"/>
              <w:spacing w:after="0"/>
              <w:rPr>
                <w:sz w:val="20"/>
                <w:szCs w:val="20"/>
                <w:color w:val="auto"/>
              </w:rPr>
            </w:pPr>
            <w:r>
              <w:rPr>
                <w:rFonts w:ascii="Times New Roman" w:cs="Times New Roman" w:eastAsia="Times New Roman" w:hAnsi="Times New Roman"/>
                <w:sz w:val="18"/>
                <w:szCs w:val="18"/>
                <w:color w:val="auto"/>
              </w:rPr>
              <w:t>136,325</w:t>
            </w:r>
          </w:p>
        </w:tc>
        <w:tc>
          <w:tcPr>
            <w:tcW w:w="1260" w:type="dxa"/>
            <w:vAlign w:val="bottom"/>
            <w:gridSpan w:val="2"/>
            <w:vMerge w:val="restart"/>
            <w:shd w:val="clear" w:color="auto" w:fill="DDDDDD"/>
          </w:tcPr>
          <w:p>
            <w:pPr>
              <w:ind w:left="120"/>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gridSpan w:val="2"/>
            <w:vMerge w:val="restart"/>
            <w:shd w:val="clear" w:color="auto" w:fill="DDDDDD"/>
          </w:tcPr>
          <w:p>
            <w:pPr>
              <w:ind w:left="120"/>
              <w:spacing w:after="0"/>
              <w:rPr>
                <w:sz w:val="20"/>
                <w:szCs w:val="20"/>
                <w:color w:val="auto"/>
              </w:rPr>
            </w:pPr>
            <w:r>
              <w:rPr>
                <w:rFonts w:ascii="Times New Roman" w:cs="Times New Roman" w:eastAsia="Times New Roman" w:hAnsi="Times New Roman"/>
                <w:sz w:val="18"/>
                <w:szCs w:val="18"/>
                <w:color w:val="auto"/>
              </w:rPr>
              <w:t>12,111</w:t>
            </w:r>
          </w:p>
        </w:tc>
        <w:tc>
          <w:tcPr>
            <w:tcW w:w="980" w:type="dxa"/>
            <w:vAlign w:val="bottom"/>
            <w:gridSpan w:val="2"/>
            <w:vMerge w:val="restart"/>
            <w:shd w:val="clear" w:color="auto" w:fill="DDDDDD"/>
          </w:tcPr>
          <w:p>
            <w:pPr>
              <w:ind w:left="120"/>
              <w:spacing w:after="0"/>
              <w:rPr>
                <w:sz w:val="20"/>
                <w:szCs w:val="20"/>
                <w:color w:val="auto"/>
              </w:rPr>
            </w:pPr>
            <w:r>
              <w:rPr>
                <w:rFonts w:ascii="Times New Roman" w:cs="Times New Roman" w:eastAsia="Times New Roman" w:hAnsi="Times New Roman"/>
                <w:sz w:val="18"/>
                <w:szCs w:val="18"/>
                <w:color w:val="auto"/>
              </w:rPr>
              <w:t>1,468,754</w:t>
            </w:r>
          </w:p>
        </w:tc>
        <w:tc>
          <w:tcPr>
            <w:tcW w:w="0" w:type="dxa"/>
            <w:vAlign w:val="bottom"/>
          </w:tcPr>
          <w:p>
            <w:pPr>
              <w:spacing w:after="0" w:line="20" w:lineRule="exact"/>
              <w:rPr>
                <w:sz w:val="1"/>
                <w:szCs w:val="1"/>
                <w:color w:val="auto"/>
              </w:rPr>
            </w:pPr>
          </w:p>
        </w:tc>
      </w:tr>
      <w:tr>
        <w:trPr>
          <w:trHeight w:val="258"/>
        </w:trPr>
        <w:tc>
          <w:tcPr>
            <w:tcW w:w="1260" w:type="dxa"/>
            <w:vAlign w:val="bottom"/>
            <w:tcBorders>
              <w:bottom w:val="single" w:sz="8" w:color="DDDDDD"/>
            </w:tcBorders>
            <w:vMerge w:val="continue"/>
            <w:shd w:val="clear" w:color="auto" w:fill="DDDDDD"/>
          </w:tcPr>
          <w:p>
            <w:pPr>
              <w:spacing w:after="0"/>
              <w:rPr>
                <w:sz w:val="22"/>
                <w:szCs w:val="22"/>
                <w:color w:val="auto"/>
              </w:rPr>
            </w:pPr>
          </w:p>
        </w:tc>
        <w:tc>
          <w:tcPr>
            <w:tcW w:w="60" w:type="dxa"/>
            <w:vAlign w:val="bottom"/>
            <w:tcBorders>
              <w:bottom w:val="single" w:sz="8" w:color="DDDDDD"/>
            </w:tcBorders>
            <w:vMerge w:val="continue"/>
            <w:shd w:val="clear" w:color="auto" w:fill="DDDDDD"/>
          </w:tcPr>
          <w:p>
            <w:pPr>
              <w:spacing w:after="0"/>
              <w:rPr>
                <w:sz w:val="22"/>
                <w:szCs w:val="22"/>
                <w:color w:val="auto"/>
              </w:rPr>
            </w:pPr>
          </w:p>
        </w:tc>
        <w:tc>
          <w:tcPr>
            <w:tcW w:w="500" w:type="dxa"/>
            <w:vAlign w:val="bottom"/>
            <w:tcBorders>
              <w:bottom w:val="single" w:sz="8" w:color="DDDDDD"/>
            </w:tcBorders>
            <w:gridSpan w:val="2"/>
            <w:vMerge w:val="continue"/>
            <w:shd w:val="clear" w:color="auto" w:fill="DDDDDD"/>
          </w:tcPr>
          <w:p>
            <w:pPr>
              <w:spacing w:after="0"/>
              <w:rPr>
                <w:sz w:val="22"/>
                <w:szCs w:val="22"/>
                <w:color w:val="auto"/>
              </w:rPr>
            </w:pPr>
          </w:p>
        </w:tc>
        <w:tc>
          <w:tcPr>
            <w:tcW w:w="940" w:type="dxa"/>
            <w:vAlign w:val="bottom"/>
            <w:tcBorders>
              <w:bottom w:val="single" w:sz="8" w:color="DDDDDD"/>
            </w:tcBorders>
            <w:gridSpan w:val="2"/>
            <w:vMerge w:val="continue"/>
            <w:shd w:val="clear" w:color="auto" w:fill="DDDDDD"/>
          </w:tcPr>
          <w:p>
            <w:pPr>
              <w:spacing w:after="0"/>
              <w:rPr>
                <w:sz w:val="22"/>
                <w:szCs w:val="22"/>
                <w:color w:val="auto"/>
              </w:rPr>
            </w:pPr>
          </w:p>
        </w:tc>
        <w:tc>
          <w:tcPr>
            <w:tcW w:w="900" w:type="dxa"/>
            <w:vAlign w:val="bottom"/>
            <w:tcBorders>
              <w:bottom w:val="single" w:sz="8" w:color="DDDDDD"/>
            </w:tcBorders>
            <w:gridSpan w:val="2"/>
            <w:vMerge w:val="continue"/>
            <w:shd w:val="clear" w:color="auto" w:fill="DDDDDD"/>
          </w:tcPr>
          <w:p>
            <w:pPr>
              <w:spacing w:after="0"/>
              <w:rPr>
                <w:sz w:val="22"/>
                <w:szCs w:val="22"/>
                <w:color w:val="auto"/>
              </w:rPr>
            </w:pPr>
          </w:p>
        </w:tc>
        <w:tc>
          <w:tcPr>
            <w:tcW w:w="900" w:type="dxa"/>
            <w:vAlign w:val="bottom"/>
            <w:tcBorders>
              <w:bottom w:val="single" w:sz="8" w:color="DDDDDD"/>
            </w:tcBorders>
            <w:gridSpan w:val="2"/>
            <w:vMerge w:val="continue"/>
            <w:shd w:val="clear" w:color="auto" w:fill="DDDDDD"/>
          </w:tcPr>
          <w:p>
            <w:pPr>
              <w:spacing w:after="0"/>
              <w:rPr>
                <w:sz w:val="22"/>
                <w:szCs w:val="22"/>
                <w:color w:val="auto"/>
              </w:rPr>
            </w:pPr>
          </w:p>
        </w:tc>
        <w:tc>
          <w:tcPr>
            <w:tcW w:w="900" w:type="dxa"/>
            <w:vAlign w:val="bottom"/>
            <w:tcBorders>
              <w:bottom w:val="single" w:sz="8" w:color="DDDDDD"/>
            </w:tcBorders>
            <w:gridSpan w:val="2"/>
            <w:vMerge w:val="continue"/>
            <w:shd w:val="clear" w:color="auto" w:fill="DDDDDD"/>
          </w:tcPr>
          <w:p>
            <w:pPr>
              <w:spacing w:after="0"/>
              <w:rPr>
                <w:sz w:val="22"/>
                <w:szCs w:val="22"/>
                <w:color w:val="auto"/>
              </w:rPr>
            </w:pPr>
          </w:p>
        </w:tc>
        <w:tc>
          <w:tcPr>
            <w:tcW w:w="1260" w:type="dxa"/>
            <w:vAlign w:val="bottom"/>
            <w:tcBorders>
              <w:bottom w:val="single" w:sz="8" w:color="DDDDDD"/>
            </w:tcBorders>
            <w:gridSpan w:val="2"/>
            <w:vMerge w:val="continue"/>
            <w:shd w:val="clear" w:color="auto" w:fill="DDDDDD"/>
          </w:tcPr>
          <w:p>
            <w:pPr>
              <w:spacing w:after="0"/>
              <w:rPr>
                <w:sz w:val="22"/>
                <w:szCs w:val="22"/>
                <w:color w:val="auto"/>
              </w:rPr>
            </w:pPr>
          </w:p>
        </w:tc>
        <w:tc>
          <w:tcPr>
            <w:tcW w:w="1260" w:type="dxa"/>
            <w:vAlign w:val="bottom"/>
            <w:tcBorders>
              <w:bottom w:val="single" w:sz="8" w:color="DDDDDD"/>
            </w:tcBorders>
            <w:gridSpan w:val="2"/>
            <w:vMerge w:val="continue"/>
            <w:shd w:val="clear" w:color="auto" w:fill="DDDDDD"/>
          </w:tcPr>
          <w:p>
            <w:pPr>
              <w:spacing w:after="0"/>
              <w:rPr>
                <w:sz w:val="22"/>
                <w:szCs w:val="22"/>
                <w:color w:val="auto"/>
              </w:rPr>
            </w:pPr>
          </w:p>
        </w:tc>
        <w:tc>
          <w:tcPr>
            <w:tcW w:w="1300" w:type="dxa"/>
            <w:vAlign w:val="bottom"/>
            <w:tcBorders>
              <w:bottom w:val="single" w:sz="8" w:color="DDDDDD"/>
            </w:tcBorders>
            <w:gridSpan w:val="2"/>
            <w:vMerge w:val="continue"/>
            <w:shd w:val="clear" w:color="auto" w:fill="DDDDDD"/>
          </w:tcPr>
          <w:p>
            <w:pPr>
              <w:spacing w:after="0"/>
              <w:rPr>
                <w:sz w:val="22"/>
                <w:szCs w:val="22"/>
                <w:color w:val="auto"/>
              </w:rPr>
            </w:pPr>
          </w:p>
        </w:tc>
        <w:tc>
          <w:tcPr>
            <w:tcW w:w="980" w:type="dxa"/>
            <w:vAlign w:val="bottom"/>
            <w:tcBorders>
              <w:bottom w:val="single" w:sz="8" w:color="DDDDDD"/>
            </w:tcBorders>
            <w:gridSpan w:val="2"/>
            <w:vMerge w:val="continue"/>
            <w:shd w:val="clear" w:color="auto" w:fill="DDDDDD"/>
          </w:tcPr>
          <w:p>
            <w:pPr>
              <w:spacing w:after="0"/>
              <w:rPr>
                <w:sz w:val="22"/>
                <w:szCs w:val="22"/>
                <w:color w:val="auto"/>
              </w:rPr>
            </w:pPr>
          </w:p>
        </w:tc>
        <w:tc>
          <w:tcPr>
            <w:tcW w:w="0" w:type="dxa"/>
            <w:vAlign w:val="bottom"/>
          </w:tcPr>
          <w:p>
            <w:pPr>
              <w:spacing w:after="0"/>
              <w:rPr>
                <w:sz w:val="1"/>
                <w:szCs w:val="1"/>
                <w:color w:val="auto"/>
              </w:rPr>
            </w:pPr>
          </w:p>
        </w:tc>
      </w:tr>
      <w:tr>
        <w:trPr>
          <w:trHeight w:val="139"/>
        </w:trPr>
        <w:tc>
          <w:tcPr>
            <w:tcW w:w="1260" w:type="dxa"/>
            <w:vAlign w:val="bottom"/>
            <w:tcBorders>
              <w:top w:val="single" w:sz="8" w:color="DDDDDD"/>
            </w:tcBorders>
            <w:shd w:val="clear" w:color="auto" w:fill="DDDDDD"/>
          </w:tcPr>
          <w:p>
            <w:pPr>
              <w:ind w:left="40"/>
              <w:spacing w:after="0" w:line="139" w:lineRule="exact"/>
              <w:rPr>
                <w:sz w:val="20"/>
                <w:szCs w:val="20"/>
                <w:color w:val="auto"/>
              </w:rPr>
            </w:pPr>
            <w:r>
              <w:rPr>
                <w:rFonts w:ascii="Times New Roman" w:cs="Times New Roman" w:eastAsia="Times New Roman" w:hAnsi="Times New Roman"/>
                <w:sz w:val="16"/>
                <w:szCs w:val="16"/>
                <w:color w:val="auto"/>
              </w:rPr>
              <w:t>General</w:t>
            </w:r>
          </w:p>
        </w:tc>
        <w:tc>
          <w:tcPr>
            <w:tcW w:w="60" w:type="dxa"/>
            <w:vAlign w:val="bottom"/>
            <w:vMerge w:val="restart"/>
          </w:tcPr>
          <w:p>
            <w:pPr>
              <w:spacing w:after="0"/>
              <w:rPr>
                <w:sz w:val="12"/>
                <w:szCs w:val="12"/>
                <w:color w:val="auto"/>
              </w:rPr>
            </w:pPr>
          </w:p>
        </w:tc>
        <w:tc>
          <w:tcPr>
            <w:tcW w:w="500" w:type="dxa"/>
            <w:vAlign w:val="bottom"/>
            <w:tcBorders>
              <w:top w:val="single" w:sz="8" w:color="auto"/>
            </w:tcBorders>
            <w:gridSpan w:val="2"/>
            <w:vMerge w:val="restart"/>
          </w:tcPr>
          <w:p>
            <w:pPr>
              <w:ind w:left="40"/>
              <w:spacing w:after="0"/>
              <w:rPr>
                <w:sz w:val="20"/>
                <w:szCs w:val="20"/>
                <w:color w:val="auto"/>
              </w:rPr>
            </w:pPr>
            <w:r>
              <w:rPr>
                <w:rFonts w:ascii="Times New Roman" w:cs="Times New Roman" w:eastAsia="Times New Roman" w:hAnsi="Times New Roman"/>
                <w:sz w:val="18"/>
                <w:szCs w:val="18"/>
                <w:color w:val="auto"/>
              </w:rPr>
              <w:t>2022</w:t>
            </w:r>
          </w:p>
        </w:tc>
        <w:tc>
          <w:tcPr>
            <w:tcW w:w="940" w:type="dxa"/>
            <w:vAlign w:val="bottom"/>
            <w:tcBorders>
              <w:top w:val="single" w:sz="8" w:color="auto"/>
            </w:tcBorders>
            <w:gridSpan w:val="2"/>
            <w:vMerge w:val="restart"/>
          </w:tcPr>
          <w:p>
            <w:pPr>
              <w:ind w:left="160"/>
              <w:spacing w:after="0"/>
              <w:rPr>
                <w:sz w:val="20"/>
                <w:szCs w:val="20"/>
                <w:color w:val="auto"/>
              </w:rPr>
            </w:pPr>
            <w:r>
              <w:rPr>
                <w:rFonts w:ascii="Times New Roman" w:cs="Times New Roman" w:eastAsia="Times New Roman" w:hAnsi="Times New Roman"/>
                <w:sz w:val="18"/>
                <w:szCs w:val="18"/>
                <w:color w:val="auto"/>
              </w:rPr>
              <w:t>410,000</w:t>
            </w:r>
          </w:p>
        </w:tc>
        <w:tc>
          <w:tcPr>
            <w:tcW w:w="120" w:type="dxa"/>
            <w:vAlign w:val="bottom"/>
            <w:tcBorders>
              <w:top w:val="single" w:sz="8" w:color="auto"/>
            </w:tcBorders>
          </w:tcPr>
          <w:p>
            <w:pPr>
              <w:spacing w:after="0"/>
              <w:rPr>
                <w:sz w:val="12"/>
                <w:szCs w:val="12"/>
                <w:color w:val="auto"/>
              </w:rPr>
            </w:pPr>
          </w:p>
        </w:tc>
        <w:tc>
          <w:tcPr>
            <w:tcW w:w="780" w:type="dxa"/>
            <w:vAlign w:val="bottom"/>
            <w:tcBorders>
              <w:top w:val="single" w:sz="8" w:color="auto"/>
            </w:tcBorders>
            <w:vMerge w:val="restart"/>
          </w:tcPr>
          <w:p>
            <w:pPr>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Borders>
              <w:top w:val="single" w:sz="8" w:color="auto"/>
            </w:tcBorders>
          </w:tcPr>
          <w:p>
            <w:pPr>
              <w:spacing w:after="0"/>
              <w:rPr>
                <w:sz w:val="12"/>
                <w:szCs w:val="12"/>
                <w:color w:val="auto"/>
              </w:rPr>
            </w:pPr>
          </w:p>
        </w:tc>
        <w:tc>
          <w:tcPr>
            <w:tcW w:w="780" w:type="dxa"/>
            <w:vAlign w:val="bottom"/>
            <w:tcBorders>
              <w:top w:val="single" w:sz="8" w:color="auto"/>
            </w:tcBorders>
            <w:vMerge w:val="restart"/>
          </w:tcPr>
          <w:p>
            <w:pPr>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Borders>
              <w:top w:val="single" w:sz="8" w:color="auto"/>
            </w:tcBorders>
            <w:gridSpan w:val="2"/>
            <w:vMerge w:val="restart"/>
          </w:tcPr>
          <w:p>
            <w:pPr>
              <w:ind w:left="12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tcBorders>
              <w:top w:val="single" w:sz="8" w:color="auto"/>
            </w:tcBorders>
            <w:gridSpan w:val="2"/>
            <w:vMerge w:val="restart"/>
          </w:tcPr>
          <w:p>
            <w:pPr>
              <w:ind w:left="120"/>
              <w:spacing w:after="0"/>
              <w:rPr>
                <w:sz w:val="20"/>
                <w:szCs w:val="20"/>
                <w:color w:val="auto"/>
              </w:rPr>
            </w:pPr>
            <w:r>
              <w:rPr>
                <w:rFonts w:ascii="Times New Roman" w:cs="Times New Roman" w:eastAsia="Times New Roman" w:hAnsi="Times New Roman"/>
                <w:sz w:val="18"/>
                <w:szCs w:val="18"/>
                <w:color w:val="auto"/>
              </w:rPr>
              <w:t>11,531</w:t>
            </w:r>
          </w:p>
        </w:tc>
        <w:tc>
          <w:tcPr>
            <w:tcW w:w="1260" w:type="dxa"/>
            <w:vAlign w:val="bottom"/>
            <w:tcBorders>
              <w:top w:val="single" w:sz="8" w:color="auto"/>
            </w:tcBorders>
            <w:gridSpan w:val="2"/>
            <w:vMerge w:val="restart"/>
          </w:tcPr>
          <w:p>
            <w:pPr>
              <w:ind w:left="120"/>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tcBorders>
              <w:top w:val="single" w:sz="8" w:color="auto"/>
            </w:tcBorders>
            <w:gridSpan w:val="2"/>
            <w:vMerge w:val="restart"/>
          </w:tcPr>
          <w:p>
            <w:pPr>
              <w:ind w:left="120"/>
              <w:spacing w:after="0"/>
              <w:rPr>
                <w:sz w:val="20"/>
                <w:szCs w:val="20"/>
                <w:color w:val="auto"/>
              </w:rPr>
            </w:pPr>
            <w:r>
              <w:rPr>
                <w:rFonts w:ascii="Times New Roman" w:cs="Times New Roman" w:eastAsia="Times New Roman" w:hAnsi="Times New Roman"/>
                <w:sz w:val="18"/>
                <w:szCs w:val="18"/>
                <w:color w:val="auto"/>
              </w:rPr>
              <w:t>13,384</w:t>
            </w:r>
          </w:p>
        </w:tc>
        <w:tc>
          <w:tcPr>
            <w:tcW w:w="980" w:type="dxa"/>
            <w:vAlign w:val="bottom"/>
            <w:tcBorders>
              <w:top w:val="single" w:sz="8" w:color="auto"/>
            </w:tcBorders>
            <w:gridSpan w:val="2"/>
            <w:vMerge w:val="restart"/>
          </w:tcPr>
          <w:p>
            <w:pPr>
              <w:ind w:left="120"/>
              <w:spacing w:after="0"/>
              <w:rPr>
                <w:sz w:val="20"/>
                <w:szCs w:val="20"/>
                <w:color w:val="auto"/>
              </w:rPr>
            </w:pPr>
            <w:r>
              <w:rPr>
                <w:rFonts w:ascii="Times New Roman" w:cs="Times New Roman" w:eastAsia="Times New Roman" w:hAnsi="Times New Roman"/>
                <w:sz w:val="18"/>
                <w:szCs w:val="18"/>
                <w:color w:val="auto"/>
              </w:rPr>
              <w:t>434,915</w:t>
            </w:r>
          </w:p>
        </w:tc>
        <w:tc>
          <w:tcPr>
            <w:tcW w:w="0" w:type="dxa"/>
            <w:vAlign w:val="bottom"/>
          </w:tcPr>
          <w:p>
            <w:pPr>
              <w:spacing w:after="0"/>
              <w:rPr>
                <w:sz w:val="1"/>
                <w:szCs w:val="1"/>
                <w:color w:val="auto"/>
              </w:rPr>
            </w:pPr>
          </w:p>
        </w:tc>
      </w:tr>
      <w:tr>
        <w:trPr>
          <w:trHeight w:val="118"/>
        </w:trPr>
        <w:tc>
          <w:tcPr>
            <w:tcW w:w="1260" w:type="dxa"/>
            <w:vAlign w:val="bottom"/>
            <w:vMerge w:val="restart"/>
            <w:shd w:val="clear" w:color="auto" w:fill="DDDDDD"/>
          </w:tcPr>
          <w:p>
            <w:pPr>
              <w:ind w:left="40"/>
              <w:spacing w:after="0"/>
              <w:rPr>
                <w:sz w:val="20"/>
                <w:szCs w:val="20"/>
                <w:color w:val="auto"/>
              </w:rPr>
            </w:pPr>
            <w:r>
              <w:rPr>
                <w:rFonts w:ascii="Times New Roman" w:cs="Times New Roman" w:eastAsia="Times New Roman" w:hAnsi="Times New Roman"/>
                <w:sz w:val="18"/>
                <w:szCs w:val="18"/>
                <w:color w:val="auto"/>
              </w:rPr>
              <w:t>Counsel and</w:t>
            </w:r>
          </w:p>
        </w:tc>
        <w:tc>
          <w:tcPr>
            <w:tcW w:w="60" w:type="dxa"/>
            <w:vAlign w:val="bottom"/>
            <w:vMerge w:val="continue"/>
          </w:tcPr>
          <w:p>
            <w:pPr>
              <w:spacing w:after="0"/>
              <w:rPr>
                <w:sz w:val="10"/>
                <w:szCs w:val="10"/>
                <w:color w:val="auto"/>
              </w:rPr>
            </w:pPr>
          </w:p>
        </w:tc>
        <w:tc>
          <w:tcPr>
            <w:tcW w:w="500" w:type="dxa"/>
            <w:vAlign w:val="bottom"/>
            <w:gridSpan w:val="2"/>
            <w:vMerge w:val="continue"/>
          </w:tcPr>
          <w:p>
            <w:pPr>
              <w:spacing w:after="0"/>
              <w:rPr>
                <w:sz w:val="10"/>
                <w:szCs w:val="10"/>
                <w:color w:val="auto"/>
              </w:rPr>
            </w:pPr>
          </w:p>
        </w:tc>
        <w:tc>
          <w:tcPr>
            <w:tcW w:w="940" w:type="dxa"/>
            <w:vAlign w:val="bottom"/>
            <w:gridSpan w:val="2"/>
            <w:vMerge w:val="continue"/>
          </w:tcPr>
          <w:p>
            <w:pPr>
              <w:spacing w:after="0"/>
              <w:rPr>
                <w:sz w:val="10"/>
                <w:szCs w:val="10"/>
                <w:color w:val="auto"/>
              </w:rPr>
            </w:pPr>
          </w:p>
        </w:tc>
        <w:tc>
          <w:tcPr>
            <w:tcW w:w="120" w:type="dxa"/>
            <w:vAlign w:val="bottom"/>
          </w:tcPr>
          <w:p>
            <w:pPr>
              <w:spacing w:after="0"/>
              <w:rPr>
                <w:sz w:val="10"/>
                <w:szCs w:val="10"/>
                <w:color w:val="auto"/>
              </w:rPr>
            </w:pPr>
          </w:p>
        </w:tc>
        <w:tc>
          <w:tcPr>
            <w:tcW w:w="780" w:type="dxa"/>
            <w:vAlign w:val="bottom"/>
            <w:vMerge w:val="continue"/>
          </w:tcPr>
          <w:p>
            <w:pPr>
              <w:spacing w:after="0"/>
              <w:rPr>
                <w:sz w:val="10"/>
                <w:szCs w:val="10"/>
                <w:color w:val="auto"/>
              </w:rPr>
            </w:pPr>
          </w:p>
        </w:tc>
        <w:tc>
          <w:tcPr>
            <w:tcW w:w="120" w:type="dxa"/>
            <w:vAlign w:val="bottom"/>
          </w:tcPr>
          <w:p>
            <w:pPr>
              <w:spacing w:after="0"/>
              <w:rPr>
                <w:sz w:val="10"/>
                <w:szCs w:val="10"/>
                <w:color w:val="auto"/>
              </w:rPr>
            </w:pPr>
          </w:p>
        </w:tc>
        <w:tc>
          <w:tcPr>
            <w:tcW w:w="780" w:type="dxa"/>
            <w:vAlign w:val="bottom"/>
            <w:vMerge w:val="continue"/>
          </w:tcPr>
          <w:p>
            <w:pPr>
              <w:spacing w:after="0"/>
              <w:rPr>
                <w:sz w:val="10"/>
                <w:szCs w:val="10"/>
                <w:color w:val="auto"/>
              </w:rPr>
            </w:pPr>
          </w:p>
        </w:tc>
        <w:tc>
          <w:tcPr>
            <w:tcW w:w="900" w:type="dxa"/>
            <w:vAlign w:val="bottom"/>
            <w:gridSpan w:val="2"/>
            <w:vMerge w:val="continue"/>
          </w:tcPr>
          <w:p>
            <w:pPr>
              <w:spacing w:after="0"/>
              <w:rPr>
                <w:sz w:val="10"/>
                <w:szCs w:val="10"/>
                <w:color w:val="auto"/>
              </w:rPr>
            </w:pPr>
          </w:p>
        </w:tc>
        <w:tc>
          <w:tcPr>
            <w:tcW w:w="1260" w:type="dxa"/>
            <w:vAlign w:val="bottom"/>
            <w:gridSpan w:val="2"/>
            <w:vMerge w:val="continue"/>
          </w:tcPr>
          <w:p>
            <w:pPr>
              <w:spacing w:after="0"/>
              <w:rPr>
                <w:sz w:val="10"/>
                <w:szCs w:val="10"/>
                <w:color w:val="auto"/>
              </w:rPr>
            </w:pPr>
          </w:p>
        </w:tc>
        <w:tc>
          <w:tcPr>
            <w:tcW w:w="1260" w:type="dxa"/>
            <w:vAlign w:val="bottom"/>
            <w:gridSpan w:val="2"/>
            <w:vMerge w:val="continue"/>
          </w:tcPr>
          <w:p>
            <w:pPr>
              <w:spacing w:after="0"/>
              <w:rPr>
                <w:sz w:val="10"/>
                <w:szCs w:val="10"/>
                <w:color w:val="auto"/>
              </w:rPr>
            </w:pPr>
          </w:p>
        </w:tc>
        <w:tc>
          <w:tcPr>
            <w:tcW w:w="1300" w:type="dxa"/>
            <w:vAlign w:val="bottom"/>
            <w:gridSpan w:val="2"/>
            <w:vMerge w:val="continue"/>
          </w:tcPr>
          <w:p>
            <w:pPr>
              <w:spacing w:after="0"/>
              <w:rPr>
                <w:sz w:val="10"/>
                <w:szCs w:val="10"/>
                <w:color w:val="auto"/>
              </w:rPr>
            </w:pPr>
          </w:p>
        </w:tc>
        <w:tc>
          <w:tcPr>
            <w:tcW w:w="980" w:type="dxa"/>
            <w:vAlign w:val="bottom"/>
            <w:gridSpan w:val="2"/>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91"/>
        </w:trPr>
        <w:tc>
          <w:tcPr>
            <w:tcW w:w="1260" w:type="dxa"/>
            <w:vAlign w:val="bottom"/>
            <w:vMerge w:val="continue"/>
            <w:shd w:val="clear" w:color="auto" w:fill="DDDDDD"/>
          </w:tcPr>
          <w:p>
            <w:pPr>
              <w:spacing w:after="0"/>
              <w:rPr>
                <w:sz w:val="7"/>
                <w:szCs w:val="7"/>
                <w:color w:val="auto"/>
              </w:rPr>
            </w:pPr>
          </w:p>
        </w:tc>
        <w:tc>
          <w:tcPr>
            <w:tcW w:w="60" w:type="dxa"/>
            <w:vAlign w:val="bottom"/>
          </w:tcPr>
          <w:p>
            <w:pPr>
              <w:spacing w:after="0"/>
              <w:rPr>
                <w:sz w:val="7"/>
                <w:szCs w:val="7"/>
                <w:color w:val="auto"/>
              </w:rPr>
            </w:pPr>
          </w:p>
        </w:tc>
        <w:tc>
          <w:tcPr>
            <w:tcW w:w="40" w:type="dxa"/>
            <w:vAlign w:val="bottom"/>
          </w:tcPr>
          <w:p>
            <w:pPr>
              <w:spacing w:after="0"/>
              <w:rPr>
                <w:sz w:val="7"/>
                <w:szCs w:val="7"/>
                <w:color w:val="auto"/>
              </w:rPr>
            </w:pPr>
          </w:p>
        </w:tc>
        <w:tc>
          <w:tcPr>
            <w:tcW w:w="460" w:type="dxa"/>
            <w:vAlign w:val="bottom"/>
          </w:tcPr>
          <w:p>
            <w:pPr>
              <w:spacing w:after="0"/>
              <w:rPr>
                <w:sz w:val="7"/>
                <w:szCs w:val="7"/>
                <w:color w:val="auto"/>
              </w:rPr>
            </w:pPr>
          </w:p>
        </w:tc>
        <w:tc>
          <w:tcPr>
            <w:tcW w:w="160" w:type="dxa"/>
            <w:vAlign w:val="bottom"/>
          </w:tcPr>
          <w:p>
            <w:pPr>
              <w:spacing w:after="0"/>
              <w:rPr>
                <w:sz w:val="7"/>
                <w:szCs w:val="7"/>
                <w:color w:val="auto"/>
              </w:rPr>
            </w:pPr>
          </w:p>
        </w:tc>
        <w:tc>
          <w:tcPr>
            <w:tcW w:w="780" w:type="dxa"/>
            <w:vAlign w:val="bottom"/>
          </w:tcPr>
          <w:p>
            <w:pPr>
              <w:spacing w:after="0"/>
              <w:rPr>
                <w:sz w:val="7"/>
                <w:szCs w:val="7"/>
                <w:color w:val="auto"/>
              </w:rPr>
            </w:pPr>
          </w:p>
        </w:tc>
        <w:tc>
          <w:tcPr>
            <w:tcW w:w="120" w:type="dxa"/>
            <w:vAlign w:val="bottom"/>
          </w:tcPr>
          <w:p>
            <w:pPr>
              <w:spacing w:after="0"/>
              <w:rPr>
                <w:sz w:val="7"/>
                <w:szCs w:val="7"/>
                <w:color w:val="auto"/>
              </w:rPr>
            </w:pPr>
          </w:p>
        </w:tc>
        <w:tc>
          <w:tcPr>
            <w:tcW w:w="780" w:type="dxa"/>
            <w:vAlign w:val="bottom"/>
          </w:tcPr>
          <w:p>
            <w:pPr>
              <w:spacing w:after="0"/>
              <w:rPr>
                <w:sz w:val="7"/>
                <w:szCs w:val="7"/>
                <w:color w:val="auto"/>
              </w:rPr>
            </w:pPr>
          </w:p>
        </w:tc>
        <w:tc>
          <w:tcPr>
            <w:tcW w:w="120" w:type="dxa"/>
            <w:vAlign w:val="bottom"/>
          </w:tcPr>
          <w:p>
            <w:pPr>
              <w:spacing w:after="0"/>
              <w:rPr>
                <w:sz w:val="7"/>
                <w:szCs w:val="7"/>
                <w:color w:val="auto"/>
              </w:rPr>
            </w:pPr>
          </w:p>
        </w:tc>
        <w:tc>
          <w:tcPr>
            <w:tcW w:w="780" w:type="dxa"/>
            <w:vAlign w:val="bottom"/>
          </w:tcPr>
          <w:p>
            <w:pPr>
              <w:spacing w:after="0"/>
              <w:rPr>
                <w:sz w:val="7"/>
                <w:szCs w:val="7"/>
                <w:color w:val="auto"/>
              </w:rPr>
            </w:pPr>
          </w:p>
        </w:tc>
        <w:tc>
          <w:tcPr>
            <w:tcW w:w="120" w:type="dxa"/>
            <w:vAlign w:val="bottom"/>
          </w:tcPr>
          <w:p>
            <w:pPr>
              <w:spacing w:after="0"/>
              <w:rPr>
                <w:sz w:val="7"/>
                <w:szCs w:val="7"/>
                <w:color w:val="auto"/>
              </w:rPr>
            </w:pPr>
          </w:p>
        </w:tc>
        <w:tc>
          <w:tcPr>
            <w:tcW w:w="780" w:type="dxa"/>
            <w:vAlign w:val="bottom"/>
          </w:tcPr>
          <w:p>
            <w:pPr>
              <w:spacing w:after="0"/>
              <w:rPr>
                <w:sz w:val="7"/>
                <w:szCs w:val="7"/>
                <w:color w:val="auto"/>
              </w:rPr>
            </w:pPr>
          </w:p>
        </w:tc>
        <w:tc>
          <w:tcPr>
            <w:tcW w:w="120" w:type="dxa"/>
            <w:vAlign w:val="bottom"/>
          </w:tcPr>
          <w:p>
            <w:pPr>
              <w:spacing w:after="0"/>
              <w:rPr>
                <w:sz w:val="7"/>
                <w:szCs w:val="7"/>
                <w:color w:val="auto"/>
              </w:rPr>
            </w:pPr>
          </w:p>
        </w:tc>
        <w:tc>
          <w:tcPr>
            <w:tcW w:w="1140" w:type="dxa"/>
            <w:vAlign w:val="bottom"/>
          </w:tcPr>
          <w:p>
            <w:pPr>
              <w:spacing w:after="0"/>
              <w:rPr>
                <w:sz w:val="7"/>
                <w:szCs w:val="7"/>
                <w:color w:val="auto"/>
              </w:rPr>
            </w:pPr>
          </w:p>
        </w:tc>
        <w:tc>
          <w:tcPr>
            <w:tcW w:w="120" w:type="dxa"/>
            <w:vAlign w:val="bottom"/>
          </w:tcPr>
          <w:p>
            <w:pPr>
              <w:spacing w:after="0"/>
              <w:rPr>
                <w:sz w:val="7"/>
                <w:szCs w:val="7"/>
                <w:color w:val="auto"/>
              </w:rPr>
            </w:pPr>
          </w:p>
        </w:tc>
        <w:tc>
          <w:tcPr>
            <w:tcW w:w="1140" w:type="dxa"/>
            <w:vAlign w:val="bottom"/>
          </w:tcPr>
          <w:p>
            <w:pPr>
              <w:spacing w:after="0"/>
              <w:rPr>
                <w:sz w:val="7"/>
                <w:szCs w:val="7"/>
                <w:color w:val="auto"/>
              </w:rPr>
            </w:pPr>
          </w:p>
        </w:tc>
        <w:tc>
          <w:tcPr>
            <w:tcW w:w="120" w:type="dxa"/>
            <w:vAlign w:val="bottom"/>
          </w:tcPr>
          <w:p>
            <w:pPr>
              <w:spacing w:after="0"/>
              <w:rPr>
                <w:sz w:val="7"/>
                <w:szCs w:val="7"/>
                <w:color w:val="auto"/>
              </w:rPr>
            </w:pPr>
          </w:p>
        </w:tc>
        <w:tc>
          <w:tcPr>
            <w:tcW w:w="1180" w:type="dxa"/>
            <w:vAlign w:val="bottom"/>
          </w:tcPr>
          <w:p>
            <w:pPr>
              <w:spacing w:after="0"/>
              <w:rPr>
                <w:sz w:val="7"/>
                <w:szCs w:val="7"/>
                <w:color w:val="auto"/>
              </w:rPr>
            </w:pPr>
          </w:p>
        </w:tc>
        <w:tc>
          <w:tcPr>
            <w:tcW w:w="120" w:type="dxa"/>
            <w:vAlign w:val="bottom"/>
          </w:tcPr>
          <w:p>
            <w:pPr>
              <w:spacing w:after="0"/>
              <w:rPr>
                <w:sz w:val="7"/>
                <w:szCs w:val="7"/>
                <w:color w:val="auto"/>
              </w:rPr>
            </w:pPr>
          </w:p>
        </w:tc>
        <w:tc>
          <w:tcPr>
            <w:tcW w:w="86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71"/>
        </w:trPr>
        <w:tc>
          <w:tcPr>
            <w:tcW w:w="1260" w:type="dxa"/>
            <w:vAlign w:val="bottom"/>
            <w:tcBorders>
              <w:bottom w:val="single" w:sz="8" w:color="auto"/>
            </w:tcBorders>
            <w:shd w:val="clear" w:color="auto" w:fill="DDDDDD"/>
          </w:tcPr>
          <w:p>
            <w:pPr>
              <w:ind w:left="40"/>
              <w:spacing w:after="0"/>
              <w:rPr>
                <w:sz w:val="20"/>
                <w:szCs w:val="20"/>
                <w:color w:val="auto"/>
              </w:rPr>
            </w:pPr>
            <w:r>
              <w:rPr>
                <w:rFonts w:ascii="Times New Roman" w:cs="Times New Roman" w:eastAsia="Times New Roman" w:hAnsi="Times New Roman"/>
                <w:sz w:val="18"/>
                <w:szCs w:val="18"/>
                <w:color w:val="auto"/>
              </w:rPr>
              <w:t>Secretary</w:t>
            </w:r>
          </w:p>
        </w:tc>
        <w:tc>
          <w:tcPr>
            <w:tcW w:w="60" w:type="dxa"/>
            <w:vAlign w:val="bottom"/>
            <w:tcBorders>
              <w:bottom w:val="single" w:sz="8" w:color="auto"/>
            </w:tcBorders>
          </w:tcPr>
          <w:p>
            <w:pPr>
              <w:spacing w:after="0"/>
              <w:rPr>
                <w:sz w:val="23"/>
                <w:szCs w:val="23"/>
                <w:color w:val="auto"/>
              </w:rPr>
            </w:pPr>
          </w:p>
        </w:tc>
        <w:tc>
          <w:tcPr>
            <w:tcW w:w="40" w:type="dxa"/>
            <w:vAlign w:val="bottom"/>
            <w:tcBorders>
              <w:bottom w:val="single" w:sz="8" w:color="auto"/>
            </w:tcBorders>
          </w:tcPr>
          <w:p>
            <w:pPr>
              <w:spacing w:after="0"/>
              <w:rPr>
                <w:sz w:val="23"/>
                <w:szCs w:val="23"/>
                <w:color w:val="auto"/>
              </w:rPr>
            </w:pPr>
          </w:p>
        </w:tc>
        <w:tc>
          <w:tcPr>
            <w:tcW w:w="460" w:type="dxa"/>
            <w:vAlign w:val="bottom"/>
            <w:tcBorders>
              <w:bottom w:val="single" w:sz="8" w:color="auto"/>
            </w:tcBorders>
          </w:tcPr>
          <w:p>
            <w:pPr>
              <w:spacing w:after="0"/>
              <w:rPr>
                <w:sz w:val="23"/>
                <w:szCs w:val="23"/>
                <w:color w:val="auto"/>
              </w:rPr>
            </w:pPr>
          </w:p>
        </w:tc>
        <w:tc>
          <w:tcPr>
            <w:tcW w:w="160" w:type="dxa"/>
            <w:vAlign w:val="bottom"/>
            <w:tcBorders>
              <w:bottom w:val="single" w:sz="8" w:color="auto"/>
            </w:tcBorders>
          </w:tcPr>
          <w:p>
            <w:pPr>
              <w:spacing w:after="0"/>
              <w:rPr>
                <w:sz w:val="23"/>
                <w:szCs w:val="23"/>
                <w:color w:val="auto"/>
              </w:rPr>
            </w:pPr>
          </w:p>
        </w:tc>
        <w:tc>
          <w:tcPr>
            <w:tcW w:w="780" w:type="dxa"/>
            <w:vAlign w:val="bottom"/>
            <w:tcBorders>
              <w:bottom w:val="single" w:sz="8" w:color="auto"/>
            </w:tcBorders>
          </w:tcPr>
          <w:p>
            <w:pPr>
              <w:spacing w:after="0"/>
              <w:rPr>
                <w:sz w:val="23"/>
                <w:szCs w:val="23"/>
                <w:color w:val="auto"/>
              </w:rPr>
            </w:pPr>
          </w:p>
        </w:tc>
        <w:tc>
          <w:tcPr>
            <w:tcW w:w="120" w:type="dxa"/>
            <w:vAlign w:val="bottom"/>
            <w:tcBorders>
              <w:bottom w:val="single" w:sz="8" w:color="auto"/>
            </w:tcBorders>
          </w:tcPr>
          <w:p>
            <w:pPr>
              <w:spacing w:after="0"/>
              <w:rPr>
                <w:sz w:val="23"/>
                <w:szCs w:val="23"/>
                <w:color w:val="auto"/>
              </w:rPr>
            </w:pPr>
          </w:p>
        </w:tc>
        <w:tc>
          <w:tcPr>
            <w:tcW w:w="780" w:type="dxa"/>
            <w:vAlign w:val="bottom"/>
            <w:tcBorders>
              <w:bottom w:val="single" w:sz="8" w:color="auto"/>
            </w:tcBorders>
          </w:tcPr>
          <w:p>
            <w:pPr>
              <w:spacing w:after="0"/>
              <w:rPr>
                <w:sz w:val="23"/>
                <w:szCs w:val="23"/>
                <w:color w:val="auto"/>
              </w:rPr>
            </w:pPr>
          </w:p>
        </w:tc>
        <w:tc>
          <w:tcPr>
            <w:tcW w:w="120" w:type="dxa"/>
            <w:vAlign w:val="bottom"/>
            <w:tcBorders>
              <w:bottom w:val="single" w:sz="8" w:color="auto"/>
            </w:tcBorders>
          </w:tcPr>
          <w:p>
            <w:pPr>
              <w:spacing w:after="0"/>
              <w:rPr>
                <w:sz w:val="23"/>
                <w:szCs w:val="23"/>
                <w:color w:val="auto"/>
              </w:rPr>
            </w:pPr>
          </w:p>
        </w:tc>
        <w:tc>
          <w:tcPr>
            <w:tcW w:w="780" w:type="dxa"/>
            <w:vAlign w:val="bottom"/>
            <w:tcBorders>
              <w:bottom w:val="single" w:sz="8" w:color="auto"/>
            </w:tcBorders>
          </w:tcPr>
          <w:p>
            <w:pPr>
              <w:spacing w:after="0"/>
              <w:rPr>
                <w:sz w:val="23"/>
                <w:szCs w:val="23"/>
                <w:color w:val="auto"/>
              </w:rPr>
            </w:pPr>
          </w:p>
        </w:tc>
        <w:tc>
          <w:tcPr>
            <w:tcW w:w="120" w:type="dxa"/>
            <w:vAlign w:val="bottom"/>
            <w:tcBorders>
              <w:bottom w:val="single" w:sz="8" w:color="auto"/>
            </w:tcBorders>
          </w:tcPr>
          <w:p>
            <w:pPr>
              <w:spacing w:after="0"/>
              <w:rPr>
                <w:sz w:val="23"/>
                <w:szCs w:val="23"/>
                <w:color w:val="auto"/>
              </w:rPr>
            </w:pPr>
          </w:p>
        </w:tc>
        <w:tc>
          <w:tcPr>
            <w:tcW w:w="780" w:type="dxa"/>
            <w:vAlign w:val="bottom"/>
            <w:tcBorders>
              <w:bottom w:val="single" w:sz="8" w:color="auto"/>
            </w:tcBorders>
          </w:tcPr>
          <w:p>
            <w:pPr>
              <w:spacing w:after="0"/>
              <w:rPr>
                <w:sz w:val="23"/>
                <w:szCs w:val="23"/>
                <w:color w:val="auto"/>
              </w:rPr>
            </w:pPr>
          </w:p>
        </w:tc>
        <w:tc>
          <w:tcPr>
            <w:tcW w:w="120" w:type="dxa"/>
            <w:vAlign w:val="bottom"/>
            <w:tcBorders>
              <w:bottom w:val="single" w:sz="8" w:color="auto"/>
            </w:tcBorders>
          </w:tcPr>
          <w:p>
            <w:pPr>
              <w:spacing w:after="0"/>
              <w:rPr>
                <w:sz w:val="23"/>
                <w:szCs w:val="23"/>
                <w:color w:val="auto"/>
              </w:rPr>
            </w:pPr>
          </w:p>
        </w:tc>
        <w:tc>
          <w:tcPr>
            <w:tcW w:w="1140" w:type="dxa"/>
            <w:vAlign w:val="bottom"/>
            <w:tcBorders>
              <w:bottom w:val="single" w:sz="8" w:color="auto"/>
            </w:tcBorders>
          </w:tcPr>
          <w:p>
            <w:pPr>
              <w:spacing w:after="0"/>
              <w:rPr>
                <w:sz w:val="23"/>
                <w:szCs w:val="23"/>
                <w:color w:val="auto"/>
              </w:rPr>
            </w:pPr>
          </w:p>
        </w:tc>
        <w:tc>
          <w:tcPr>
            <w:tcW w:w="120" w:type="dxa"/>
            <w:vAlign w:val="bottom"/>
            <w:tcBorders>
              <w:bottom w:val="single" w:sz="8" w:color="auto"/>
            </w:tcBorders>
          </w:tcPr>
          <w:p>
            <w:pPr>
              <w:spacing w:after="0"/>
              <w:rPr>
                <w:sz w:val="23"/>
                <w:szCs w:val="23"/>
                <w:color w:val="auto"/>
              </w:rPr>
            </w:pPr>
          </w:p>
        </w:tc>
        <w:tc>
          <w:tcPr>
            <w:tcW w:w="1140" w:type="dxa"/>
            <w:vAlign w:val="bottom"/>
            <w:tcBorders>
              <w:bottom w:val="single" w:sz="8" w:color="auto"/>
            </w:tcBorders>
          </w:tcPr>
          <w:p>
            <w:pPr>
              <w:spacing w:after="0"/>
              <w:rPr>
                <w:sz w:val="23"/>
                <w:szCs w:val="23"/>
                <w:color w:val="auto"/>
              </w:rPr>
            </w:pPr>
          </w:p>
        </w:tc>
        <w:tc>
          <w:tcPr>
            <w:tcW w:w="120" w:type="dxa"/>
            <w:vAlign w:val="bottom"/>
            <w:tcBorders>
              <w:bottom w:val="single" w:sz="8" w:color="auto"/>
            </w:tcBorders>
          </w:tcPr>
          <w:p>
            <w:pPr>
              <w:spacing w:after="0"/>
              <w:rPr>
                <w:sz w:val="23"/>
                <w:szCs w:val="23"/>
                <w:color w:val="auto"/>
              </w:rPr>
            </w:pPr>
          </w:p>
        </w:tc>
        <w:tc>
          <w:tcPr>
            <w:tcW w:w="1180" w:type="dxa"/>
            <w:vAlign w:val="bottom"/>
            <w:tcBorders>
              <w:bottom w:val="single" w:sz="8" w:color="auto"/>
            </w:tcBorders>
          </w:tcPr>
          <w:p>
            <w:pPr>
              <w:spacing w:after="0"/>
              <w:rPr>
                <w:sz w:val="23"/>
                <w:szCs w:val="23"/>
                <w:color w:val="auto"/>
              </w:rPr>
            </w:pPr>
          </w:p>
        </w:tc>
        <w:tc>
          <w:tcPr>
            <w:tcW w:w="120" w:type="dxa"/>
            <w:vAlign w:val="bottom"/>
            <w:tcBorders>
              <w:bottom w:val="single" w:sz="8" w:color="auto"/>
            </w:tcBorders>
          </w:tcPr>
          <w:p>
            <w:pPr>
              <w:spacing w:after="0"/>
              <w:rPr>
                <w:sz w:val="23"/>
                <w:szCs w:val="23"/>
                <w:color w:val="auto"/>
              </w:rPr>
            </w:pPr>
          </w:p>
        </w:tc>
        <w:tc>
          <w:tcPr>
            <w:tcW w:w="860" w:type="dxa"/>
            <w:vAlign w:val="bottom"/>
            <w:tcBorders>
              <w:bottom w:val="single" w:sz="8" w:color="auto"/>
            </w:tcBorders>
          </w:tcPr>
          <w:p>
            <w:pPr>
              <w:spacing w:after="0"/>
              <w:rPr>
                <w:sz w:val="23"/>
                <w:szCs w:val="23"/>
                <w:color w:val="auto"/>
              </w:rPr>
            </w:pPr>
          </w:p>
        </w:tc>
        <w:tc>
          <w:tcPr>
            <w:tcW w:w="0" w:type="dxa"/>
            <w:vAlign w:val="bottom"/>
          </w:tcPr>
          <w:p>
            <w:pPr>
              <w:spacing w:after="0"/>
              <w:rPr>
                <w:sz w:val="1"/>
                <w:szCs w:val="1"/>
                <w:color w:val="auto"/>
              </w:rPr>
            </w:pPr>
          </w:p>
        </w:tc>
      </w:tr>
      <w:tr>
        <w:trPr>
          <w:trHeight w:val="266"/>
        </w:trPr>
        <w:tc>
          <w:tcPr>
            <w:tcW w:w="1260" w:type="dxa"/>
            <w:vAlign w:val="bottom"/>
            <w:tcBorders>
              <w:top w:val="single" w:sz="8" w:color="DDDDDD"/>
              <w:bottom w:val="single" w:sz="8" w:color="DDDDDD"/>
            </w:tcBorders>
            <w:shd w:val="clear" w:color="auto" w:fill="DDDDDD"/>
          </w:tcPr>
          <w:p>
            <w:pPr>
              <w:ind w:left="40"/>
              <w:spacing w:after="0"/>
              <w:rPr>
                <w:sz w:val="20"/>
                <w:szCs w:val="20"/>
                <w:color w:val="auto"/>
              </w:rPr>
            </w:pPr>
            <w:r>
              <w:rPr>
                <w:rFonts w:ascii="Times New Roman" w:cs="Times New Roman" w:eastAsia="Times New Roman" w:hAnsi="Times New Roman"/>
                <w:sz w:val="18"/>
                <w:szCs w:val="18"/>
                <w:color w:val="auto"/>
              </w:rPr>
              <w:t>Duncan</w:t>
            </w:r>
          </w:p>
        </w:tc>
        <w:tc>
          <w:tcPr>
            <w:tcW w:w="60" w:type="dxa"/>
            <w:vAlign w:val="bottom"/>
            <w:tcBorders>
              <w:top w:val="single" w:sz="8" w:color="DDDDDD"/>
              <w:bottom w:val="single" w:sz="8" w:color="DDDDDD"/>
            </w:tcBorders>
            <w:shd w:val="clear" w:color="auto" w:fill="DDDDDD"/>
          </w:tcPr>
          <w:p>
            <w:pPr>
              <w:spacing w:after="0"/>
              <w:rPr>
                <w:sz w:val="22"/>
                <w:szCs w:val="22"/>
                <w:color w:val="auto"/>
              </w:rPr>
            </w:pPr>
          </w:p>
        </w:tc>
        <w:tc>
          <w:tcPr>
            <w:tcW w:w="40" w:type="dxa"/>
            <w:vAlign w:val="bottom"/>
            <w:tcBorders>
              <w:top w:val="single" w:sz="8" w:color="DDDDDD"/>
              <w:bottom w:val="single" w:sz="8" w:color="DDDDDD"/>
            </w:tcBorders>
            <w:shd w:val="clear" w:color="auto" w:fill="DDDDDD"/>
          </w:tcPr>
          <w:p>
            <w:pPr>
              <w:spacing w:after="0"/>
              <w:rPr>
                <w:sz w:val="22"/>
                <w:szCs w:val="22"/>
                <w:color w:val="auto"/>
              </w:rPr>
            </w:pPr>
          </w:p>
        </w:tc>
        <w:tc>
          <w:tcPr>
            <w:tcW w:w="460" w:type="dxa"/>
            <w:vAlign w:val="bottom"/>
            <w:tcBorders>
              <w:top w:val="single" w:sz="8" w:color="DDDDDD"/>
              <w:bottom w:val="single" w:sz="8" w:color="DDDDDD"/>
            </w:tcBorders>
            <w:shd w:val="clear" w:color="auto" w:fill="DDDDDD"/>
          </w:tcPr>
          <w:p>
            <w:pPr>
              <w:spacing w:after="0"/>
              <w:rPr>
                <w:sz w:val="20"/>
                <w:szCs w:val="20"/>
                <w:color w:val="auto"/>
              </w:rPr>
            </w:pPr>
            <w:r>
              <w:rPr>
                <w:rFonts w:ascii="Times New Roman" w:cs="Times New Roman" w:eastAsia="Times New Roman" w:hAnsi="Times New Roman"/>
                <w:sz w:val="18"/>
                <w:szCs w:val="18"/>
                <w:color w:val="auto"/>
                <w:highlight w:val="lightGray"/>
              </w:rPr>
              <w:t>2023</w:t>
            </w:r>
          </w:p>
        </w:tc>
        <w:tc>
          <w:tcPr>
            <w:tcW w:w="160" w:type="dxa"/>
            <w:vAlign w:val="bottom"/>
            <w:tcBorders>
              <w:top w:val="single" w:sz="8" w:color="DDDDDD"/>
              <w:bottom w:val="single" w:sz="8" w:color="DDDDDD"/>
            </w:tcBorders>
            <w:shd w:val="clear" w:color="auto" w:fill="DDDDDD"/>
          </w:tcPr>
          <w:p>
            <w:pPr>
              <w:spacing w:after="0"/>
              <w:rPr>
                <w:sz w:val="22"/>
                <w:szCs w:val="22"/>
                <w:color w:val="auto"/>
              </w:rPr>
            </w:pPr>
          </w:p>
        </w:tc>
        <w:tc>
          <w:tcPr>
            <w:tcW w:w="780" w:type="dxa"/>
            <w:vAlign w:val="bottom"/>
            <w:tcBorders>
              <w:top w:val="single" w:sz="8" w:color="DDDDDD"/>
              <w:bottom w:val="single" w:sz="8" w:color="DDDDDD"/>
            </w:tcBorders>
            <w:shd w:val="clear" w:color="auto" w:fill="DDDDDD"/>
          </w:tcPr>
          <w:p>
            <w:pPr>
              <w:spacing w:after="0"/>
              <w:rPr>
                <w:sz w:val="20"/>
                <w:szCs w:val="20"/>
                <w:color w:val="auto"/>
              </w:rPr>
            </w:pPr>
            <w:r>
              <w:rPr>
                <w:rFonts w:ascii="Times New Roman" w:cs="Times New Roman" w:eastAsia="Times New Roman" w:hAnsi="Times New Roman"/>
                <w:sz w:val="18"/>
                <w:szCs w:val="18"/>
                <w:color w:val="auto"/>
              </w:rPr>
              <w:t>391,779</w:t>
            </w:r>
          </w:p>
        </w:tc>
        <w:tc>
          <w:tcPr>
            <w:tcW w:w="120" w:type="dxa"/>
            <w:vAlign w:val="bottom"/>
            <w:tcBorders>
              <w:top w:val="single" w:sz="8" w:color="DDDDDD"/>
              <w:bottom w:val="single" w:sz="8" w:color="DDDDDD"/>
            </w:tcBorders>
            <w:shd w:val="clear" w:color="auto" w:fill="DDDDDD"/>
          </w:tcPr>
          <w:p>
            <w:pPr>
              <w:spacing w:after="0"/>
              <w:rPr>
                <w:sz w:val="22"/>
                <w:szCs w:val="22"/>
                <w:color w:val="auto"/>
              </w:rPr>
            </w:pPr>
          </w:p>
        </w:tc>
        <w:tc>
          <w:tcPr>
            <w:tcW w:w="780" w:type="dxa"/>
            <w:vAlign w:val="bottom"/>
            <w:tcBorders>
              <w:top w:val="single" w:sz="8" w:color="DDDDDD"/>
              <w:bottom w:val="single" w:sz="8" w:color="DDDDDD"/>
            </w:tcBorders>
            <w:shd w:val="clear" w:color="auto" w:fill="DDDDDD"/>
          </w:tcPr>
          <w:p>
            <w:pPr>
              <w:spacing w:after="0"/>
              <w:rPr>
                <w:sz w:val="20"/>
                <w:szCs w:val="20"/>
                <w:color w:val="auto"/>
              </w:rPr>
            </w:pPr>
            <w:r>
              <w:rPr>
                <w:rFonts w:ascii="Times New Roman" w:cs="Times New Roman" w:eastAsia="Times New Roman" w:hAnsi="Times New Roman"/>
                <w:sz w:val="18"/>
                <w:szCs w:val="18"/>
                <w:color w:val="auto"/>
              </w:rPr>
              <w:t>246,750</w:t>
            </w:r>
          </w:p>
        </w:tc>
        <w:tc>
          <w:tcPr>
            <w:tcW w:w="120" w:type="dxa"/>
            <w:vAlign w:val="bottom"/>
            <w:tcBorders>
              <w:top w:val="single" w:sz="8" w:color="DDDDDD"/>
              <w:bottom w:val="single" w:sz="8" w:color="DDDDDD"/>
            </w:tcBorders>
            <w:shd w:val="clear" w:color="auto" w:fill="DDDDDD"/>
          </w:tcPr>
          <w:p>
            <w:pPr>
              <w:spacing w:after="0"/>
              <w:rPr>
                <w:sz w:val="22"/>
                <w:szCs w:val="22"/>
                <w:color w:val="auto"/>
              </w:rPr>
            </w:pPr>
          </w:p>
        </w:tc>
        <w:tc>
          <w:tcPr>
            <w:tcW w:w="780" w:type="dxa"/>
            <w:vAlign w:val="bottom"/>
            <w:tcBorders>
              <w:top w:val="single" w:sz="8" w:color="DDDDDD"/>
              <w:bottom w:val="single" w:sz="8" w:color="DDDDDD"/>
            </w:tcBorders>
            <w:shd w:val="clear" w:color="auto" w:fill="DDDDDD"/>
          </w:tcPr>
          <w:p>
            <w:pPr>
              <w:spacing w:after="0"/>
              <w:rPr>
                <w:sz w:val="20"/>
                <w:szCs w:val="20"/>
                <w:color w:val="auto"/>
              </w:rPr>
            </w:pPr>
            <w:r>
              <w:rPr>
                <w:rFonts w:ascii="Times New Roman" w:cs="Times New Roman" w:eastAsia="Times New Roman" w:hAnsi="Times New Roman"/>
                <w:sz w:val="18"/>
                <w:szCs w:val="18"/>
                <w:color w:val="auto"/>
              </w:rPr>
              <w:t>914,718</w:t>
            </w:r>
          </w:p>
        </w:tc>
        <w:tc>
          <w:tcPr>
            <w:tcW w:w="120" w:type="dxa"/>
            <w:vAlign w:val="bottom"/>
            <w:tcBorders>
              <w:top w:val="single" w:sz="8" w:color="DDDDDD"/>
              <w:bottom w:val="single" w:sz="8" w:color="DDDDDD"/>
            </w:tcBorders>
            <w:shd w:val="clear" w:color="auto" w:fill="DDDDDD"/>
          </w:tcPr>
          <w:p>
            <w:pPr>
              <w:spacing w:after="0"/>
              <w:rPr>
                <w:sz w:val="22"/>
                <w:szCs w:val="22"/>
                <w:color w:val="auto"/>
              </w:rPr>
            </w:pPr>
          </w:p>
        </w:tc>
        <w:tc>
          <w:tcPr>
            <w:tcW w:w="780" w:type="dxa"/>
            <w:vAlign w:val="bottom"/>
            <w:tcBorders>
              <w:top w:val="single" w:sz="8" w:color="DDDDDD"/>
              <w:bottom w:val="single" w:sz="8" w:color="DDDDDD"/>
            </w:tcBorders>
            <w:shd w:val="clear" w:color="auto" w:fill="DDDDDD"/>
          </w:tcPr>
          <w:p>
            <w:pPr>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Borders>
              <w:top w:val="single" w:sz="8" w:color="DDDDDD"/>
              <w:bottom w:val="single" w:sz="8" w:color="DDDDDD"/>
            </w:tcBorders>
            <w:shd w:val="clear" w:color="auto" w:fill="DDDDDD"/>
          </w:tcPr>
          <w:p>
            <w:pPr>
              <w:spacing w:after="0"/>
              <w:rPr>
                <w:sz w:val="22"/>
                <w:szCs w:val="22"/>
                <w:color w:val="auto"/>
              </w:rPr>
            </w:pPr>
          </w:p>
        </w:tc>
        <w:tc>
          <w:tcPr>
            <w:tcW w:w="1140" w:type="dxa"/>
            <w:vAlign w:val="bottom"/>
            <w:tcBorders>
              <w:top w:val="single" w:sz="8" w:color="DDDDDD"/>
              <w:bottom w:val="single" w:sz="8" w:color="DDDDDD"/>
            </w:tcBorders>
            <w:shd w:val="clear" w:color="auto" w:fill="DDDDDD"/>
          </w:tcPr>
          <w:p>
            <w:pPr>
              <w:spacing w:after="0"/>
              <w:rPr>
                <w:sz w:val="20"/>
                <w:szCs w:val="20"/>
                <w:color w:val="auto"/>
              </w:rPr>
            </w:pPr>
            <w:r>
              <w:rPr>
                <w:rFonts w:ascii="Times New Roman" w:cs="Times New Roman" w:eastAsia="Times New Roman" w:hAnsi="Times New Roman"/>
                <w:sz w:val="18"/>
                <w:szCs w:val="18"/>
                <w:color w:val="auto"/>
              </w:rPr>
              <w:t>141,312</w:t>
            </w:r>
          </w:p>
        </w:tc>
        <w:tc>
          <w:tcPr>
            <w:tcW w:w="120" w:type="dxa"/>
            <w:vAlign w:val="bottom"/>
            <w:tcBorders>
              <w:top w:val="single" w:sz="8" w:color="DDDDDD"/>
              <w:bottom w:val="single" w:sz="8" w:color="DDDDDD"/>
            </w:tcBorders>
            <w:shd w:val="clear" w:color="auto" w:fill="DDDDDD"/>
          </w:tcPr>
          <w:p>
            <w:pPr>
              <w:spacing w:after="0"/>
              <w:rPr>
                <w:sz w:val="22"/>
                <w:szCs w:val="22"/>
                <w:color w:val="auto"/>
              </w:rPr>
            </w:pPr>
          </w:p>
        </w:tc>
        <w:tc>
          <w:tcPr>
            <w:tcW w:w="1140" w:type="dxa"/>
            <w:vAlign w:val="bottom"/>
            <w:tcBorders>
              <w:top w:val="single" w:sz="8" w:color="DDDDDD"/>
              <w:bottom w:val="single" w:sz="8" w:color="DDDDDD"/>
            </w:tcBorders>
            <w:shd w:val="clear" w:color="auto" w:fill="DDDDDD"/>
          </w:tcPr>
          <w:p>
            <w:pPr>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Borders>
              <w:top w:val="single" w:sz="8" w:color="DDDDDD"/>
              <w:bottom w:val="single" w:sz="8" w:color="DDDDDD"/>
            </w:tcBorders>
            <w:shd w:val="clear" w:color="auto" w:fill="DDDDDD"/>
          </w:tcPr>
          <w:p>
            <w:pPr>
              <w:spacing w:after="0"/>
              <w:rPr>
                <w:sz w:val="22"/>
                <w:szCs w:val="22"/>
                <w:color w:val="auto"/>
              </w:rPr>
            </w:pPr>
          </w:p>
        </w:tc>
        <w:tc>
          <w:tcPr>
            <w:tcW w:w="1180" w:type="dxa"/>
            <w:vAlign w:val="bottom"/>
            <w:tcBorders>
              <w:top w:val="single" w:sz="8" w:color="DDDDDD"/>
              <w:bottom w:val="single" w:sz="8" w:color="DDDDDD"/>
            </w:tcBorders>
            <w:shd w:val="clear" w:color="auto" w:fill="DDDDDD"/>
          </w:tcPr>
          <w:p>
            <w:pPr>
              <w:spacing w:after="0"/>
              <w:rPr>
                <w:sz w:val="20"/>
                <w:szCs w:val="20"/>
                <w:color w:val="auto"/>
              </w:rPr>
            </w:pPr>
            <w:r>
              <w:rPr>
                <w:rFonts w:ascii="Times New Roman" w:cs="Times New Roman" w:eastAsia="Times New Roman" w:hAnsi="Times New Roman"/>
                <w:sz w:val="18"/>
                <w:szCs w:val="18"/>
                <w:color w:val="auto"/>
              </w:rPr>
              <w:t>24,658</w:t>
            </w:r>
          </w:p>
        </w:tc>
        <w:tc>
          <w:tcPr>
            <w:tcW w:w="120" w:type="dxa"/>
            <w:vAlign w:val="bottom"/>
            <w:tcBorders>
              <w:top w:val="single" w:sz="8" w:color="DDDDDD"/>
              <w:bottom w:val="single" w:sz="8" w:color="DDDDDD"/>
            </w:tcBorders>
            <w:shd w:val="clear" w:color="auto" w:fill="DDDDDD"/>
          </w:tcPr>
          <w:p>
            <w:pPr>
              <w:spacing w:after="0"/>
              <w:rPr>
                <w:sz w:val="22"/>
                <w:szCs w:val="22"/>
                <w:color w:val="auto"/>
              </w:rPr>
            </w:pPr>
          </w:p>
        </w:tc>
        <w:tc>
          <w:tcPr>
            <w:tcW w:w="860" w:type="dxa"/>
            <w:vAlign w:val="bottom"/>
            <w:tcBorders>
              <w:top w:val="single" w:sz="8" w:color="DDDDDD"/>
              <w:bottom w:val="single" w:sz="8" w:color="DDDDDD"/>
            </w:tcBorders>
            <w:shd w:val="clear" w:color="auto" w:fill="DDDDDD"/>
          </w:tcPr>
          <w:p>
            <w:pPr>
              <w:spacing w:after="0"/>
              <w:rPr>
                <w:sz w:val="20"/>
                <w:szCs w:val="20"/>
                <w:color w:val="auto"/>
              </w:rPr>
            </w:pPr>
            <w:r>
              <w:rPr>
                <w:rFonts w:ascii="Times New Roman" w:cs="Times New Roman" w:eastAsia="Times New Roman" w:hAnsi="Times New Roman"/>
                <w:sz w:val="18"/>
                <w:szCs w:val="18"/>
                <w:color w:val="auto"/>
                <w:highlight w:val="lightGray"/>
              </w:rPr>
              <w:t>1,719,217</w:t>
            </w:r>
          </w:p>
        </w:tc>
        <w:tc>
          <w:tcPr>
            <w:tcW w:w="0" w:type="dxa"/>
            <w:vAlign w:val="bottom"/>
          </w:tcPr>
          <w:p>
            <w:pPr>
              <w:spacing w:after="0"/>
              <w:rPr>
                <w:sz w:val="1"/>
                <w:szCs w:val="1"/>
                <w:color w:val="auto"/>
              </w:rPr>
            </w:pPr>
          </w:p>
        </w:tc>
      </w:tr>
      <w:tr>
        <w:trPr>
          <w:trHeight w:val="132"/>
        </w:trPr>
        <w:tc>
          <w:tcPr>
            <w:tcW w:w="1260" w:type="dxa"/>
            <w:vAlign w:val="bottom"/>
            <w:tcBorders>
              <w:top w:val="single" w:sz="8" w:color="DDDDDD"/>
            </w:tcBorders>
            <w:shd w:val="clear" w:color="auto" w:fill="DDDDDD"/>
          </w:tcPr>
          <w:p>
            <w:pPr>
              <w:ind w:left="40"/>
              <w:spacing w:after="0" w:line="132" w:lineRule="exact"/>
              <w:rPr>
                <w:sz w:val="20"/>
                <w:szCs w:val="20"/>
                <w:color w:val="auto"/>
              </w:rPr>
            </w:pPr>
            <w:r>
              <w:rPr>
                <w:rFonts w:ascii="Times New Roman" w:cs="Times New Roman" w:eastAsia="Times New Roman" w:hAnsi="Times New Roman"/>
                <w:sz w:val="15"/>
                <w:szCs w:val="15"/>
                <w:color w:val="auto"/>
              </w:rPr>
              <w:t>Grazier, Chief</w:t>
            </w:r>
          </w:p>
        </w:tc>
        <w:tc>
          <w:tcPr>
            <w:tcW w:w="60" w:type="dxa"/>
            <w:vAlign w:val="bottom"/>
            <w:tcBorders>
              <w:top w:val="single" w:sz="8" w:color="DDDDDD"/>
            </w:tcBorders>
            <w:vMerge w:val="restart"/>
          </w:tcPr>
          <w:p>
            <w:pPr>
              <w:spacing w:after="0"/>
              <w:rPr>
                <w:sz w:val="11"/>
                <w:szCs w:val="11"/>
                <w:color w:val="auto"/>
              </w:rPr>
            </w:pPr>
          </w:p>
        </w:tc>
        <w:tc>
          <w:tcPr>
            <w:tcW w:w="500" w:type="dxa"/>
            <w:vAlign w:val="bottom"/>
            <w:tcBorders>
              <w:top w:val="single" w:sz="8" w:color="auto"/>
            </w:tcBorders>
            <w:gridSpan w:val="2"/>
            <w:vMerge w:val="restart"/>
          </w:tcPr>
          <w:p>
            <w:pPr>
              <w:ind w:left="40"/>
              <w:spacing w:after="0"/>
              <w:rPr>
                <w:sz w:val="20"/>
                <w:szCs w:val="20"/>
                <w:color w:val="auto"/>
              </w:rPr>
            </w:pPr>
            <w:r>
              <w:rPr>
                <w:rFonts w:ascii="Times New Roman" w:cs="Times New Roman" w:eastAsia="Times New Roman" w:hAnsi="Times New Roman"/>
                <w:sz w:val="18"/>
                <w:szCs w:val="18"/>
                <w:color w:val="auto"/>
              </w:rPr>
              <w:t>2022</w:t>
            </w:r>
          </w:p>
        </w:tc>
        <w:tc>
          <w:tcPr>
            <w:tcW w:w="940" w:type="dxa"/>
            <w:vAlign w:val="bottom"/>
            <w:tcBorders>
              <w:top w:val="single" w:sz="8" w:color="auto"/>
            </w:tcBorders>
            <w:gridSpan w:val="2"/>
            <w:vMerge w:val="restart"/>
          </w:tcPr>
          <w:p>
            <w:pPr>
              <w:ind w:left="160"/>
              <w:spacing w:after="0"/>
              <w:rPr>
                <w:sz w:val="20"/>
                <w:szCs w:val="20"/>
                <w:color w:val="auto"/>
              </w:rPr>
            </w:pPr>
            <w:r>
              <w:rPr>
                <w:rFonts w:ascii="Times New Roman" w:cs="Times New Roman" w:eastAsia="Times New Roman" w:hAnsi="Times New Roman"/>
                <w:sz w:val="18"/>
                <w:szCs w:val="18"/>
                <w:color w:val="auto"/>
              </w:rPr>
              <w:t>394,221</w:t>
            </w:r>
          </w:p>
        </w:tc>
        <w:tc>
          <w:tcPr>
            <w:tcW w:w="900" w:type="dxa"/>
            <w:vAlign w:val="bottom"/>
            <w:tcBorders>
              <w:top w:val="single" w:sz="8" w:color="auto"/>
            </w:tcBorders>
            <w:gridSpan w:val="2"/>
            <w:vMerge w:val="restart"/>
          </w:tcPr>
          <w:p>
            <w:pPr>
              <w:ind w:left="120"/>
              <w:spacing w:after="0"/>
              <w:rPr>
                <w:sz w:val="20"/>
                <w:szCs w:val="20"/>
                <w:color w:val="auto"/>
              </w:rPr>
            </w:pPr>
            <w:r>
              <w:rPr>
                <w:rFonts w:ascii="Times New Roman" w:cs="Times New Roman" w:eastAsia="Times New Roman" w:hAnsi="Times New Roman"/>
                <w:sz w:val="18"/>
                <w:szCs w:val="18"/>
                <w:color w:val="auto"/>
              </w:rPr>
              <w:t>162,592</w:t>
            </w:r>
          </w:p>
        </w:tc>
        <w:tc>
          <w:tcPr>
            <w:tcW w:w="900" w:type="dxa"/>
            <w:vAlign w:val="bottom"/>
            <w:tcBorders>
              <w:top w:val="single" w:sz="8" w:color="auto"/>
            </w:tcBorders>
            <w:gridSpan w:val="2"/>
            <w:vMerge w:val="restart"/>
          </w:tcPr>
          <w:p>
            <w:pPr>
              <w:ind w:left="120"/>
              <w:spacing w:after="0"/>
              <w:rPr>
                <w:sz w:val="20"/>
                <w:szCs w:val="20"/>
                <w:color w:val="auto"/>
              </w:rPr>
            </w:pPr>
            <w:r>
              <w:rPr>
                <w:rFonts w:ascii="Times New Roman" w:cs="Times New Roman" w:eastAsia="Times New Roman" w:hAnsi="Times New Roman"/>
                <w:sz w:val="18"/>
                <w:szCs w:val="18"/>
                <w:color w:val="auto"/>
              </w:rPr>
              <w:t>299,995</w:t>
            </w:r>
          </w:p>
        </w:tc>
        <w:tc>
          <w:tcPr>
            <w:tcW w:w="900" w:type="dxa"/>
            <w:vAlign w:val="bottom"/>
            <w:tcBorders>
              <w:top w:val="single" w:sz="8" w:color="auto"/>
            </w:tcBorders>
            <w:gridSpan w:val="2"/>
            <w:vMerge w:val="restart"/>
          </w:tcPr>
          <w:p>
            <w:pPr>
              <w:ind w:left="12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tcBorders>
              <w:top w:val="single" w:sz="8" w:color="auto"/>
            </w:tcBorders>
            <w:gridSpan w:val="2"/>
            <w:vMerge w:val="restart"/>
          </w:tcPr>
          <w:p>
            <w:pPr>
              <w:ind w:left="12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tcBorders>
              <w:top w:val="single" w:sz="8" w:color="auto"/>
            </w:tcBorders>
            <w:gridSpan w:val="2"/>
            <w:vMerge w:val="restart"/>
          </w:tcPr>
          <w:p>
            <w:pPr>
              <w:ind w:left="120"/>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tcBorders>
              <w:top w:val="single" w:sz="8" w:color="auto"/>
            </w:tcBorders>
            <w:gridSpan w:val="2"/>
            <w:vMerge w:val="restart"/>
          </w:tcPr>
          <w:p>
            <w:pPr>
              <w:ind w:left="120"/>
              <w:spacing w:after="0"/>
              <w:rPr>
                <w:sz w:val="20"/>
                <w:szCs w:val="20"/>
                <w:color w:val="auto"/>
              </w:rPr>
            </w:pPr>
            <w:r>
              <w:rPr>
                <w:rFonts w:ascii="Times New Roman" w:cs="Times New Roman" w:eastAsia="Times New Roman" w:hAnsi="Times New Roman"/>
                <w:sz w:val="18"/>
                <w:szCs w:val="18"/>
                <w:color w:val="auto"/>
              </w:rPr>
              <w:t>10,504</w:t>
            </w:r>
          </w:p>
        </w:tc>
        <w:tc>
          <w:tcPr>
            <w:tcW w:w="980" w:type="dxa"/>
            <w:vAlign w:val="bottom"/>
            <w:tcBorders>
              <w:top w:val="single" w:sz="8" w:color="auto"/>
            </w:tcBorders>
            <w:gridSpan w:val="2"/>
            <w:vMerge w:val="restart"/>
          </w:tcPr>
          <w:p>
            <w:pPr>
              <w:ind w:left="120"/>
              <w:spacing w:after="0"/>
              <w:rPr>
                <w:sz w:val="20"/>
                <w:szCs w:val="20"/>
                <w:color w:val="auto"/>
              </w:rPr>
            </w:pPr>
            <w:r>
              <w:rPr>
                <w:rFonts w:ascii="Times New Roman" w:cs="Times New Roman" w:eastAsia="Times New Roman" w:hAnsi="Times New Roman"/>
                <w:sz w:val="18"/>
                <w:szCs w:val="18"/>
                <w:color w:val="auto"/>
              </w:rPr>
              <w:t>867,312</w:t>
            </w:r>
          </w:p>
        </w:tc>
        <w:tc>
          <w:tcPr>
            <w:tcW w:w="0" w:type="dxa"/>
            <w:vAlign w:val="bottom"/>
          </w:tcPr>
          <w:p>
            <w:pPr>
              <w:spacing w:after="0"/>
              <w:rPr>
                <w:sz w:val="1"/>
                <w:szCs w:val="1"/>
                <w:color w:val="auto"/>
              </w:rPr>
            </w:pPr>
          </w:p>
        </w:tc>
      </w:tr>
      <w:tr>
        <w:trPr>
          <w:trHeight w:val="125"/>
        </w:trPr>
        <w:tc>
          <w:tcPr>
            <w:tcW w:w="1260" w:type="dxa"/>
            <w:vAlign w:val="bottom"/>
            <w:vMerge w:val="restart"/>
            <w:shd w:val="clear" w:color="auto" w:fill="DDDDDD"/>
          </w:tcPr>
          <w:p>
            <w:pPr>
              <w:ind w:left="40"/>
              <w:spacing w:after="0"/>
              <w:rPr>
                <w:sz w:val="20"/>
                <w:szCs w:val="20"/>
                <w:color w:val="auto"/>
              </w:rPr>
            </w:pPr>
            <w:r>
              <w:rPr>
                <w:rFonts w:ascii="Times New Roman" w:cs="Times New Roman" w:eastAsia="Times New Roman" w:hAnsi="Times New Roman"/>
                <w:sz w:val="18"/>
                <w:szCs w:val="18"/>
                <w:color w:val="auto"/>
              </w:rPr>
              <w:t>Technology</w:t>
            </w:r>
          </w:p>
        </w:tc>
        <w:tc>
          <w:tcPr>
            <w:tcW w:w="60" w:type="dxa"/>
            <w:vAlign w:val="bottom"/>
            <w:vMerge w:val="continue"/>
          </w:tcPr>
          <w:p>
            <w:pPr>
              <w:spacing w:after="0"/>
              <w:rPr>
                <w:sz w:val="10"/>
                <w:szCs w:val="10"/>
                <w:color w:val="auto"/>
              </w:rPr>
            </w:pPr>
          </w:p>
        </w:tc>
        <w:tc>
          <w:tcPr>
            <w:tcW w:w="500" w:type="dxa"/>
            <w:vAlign w:val="bottom"/>
            <w:gridSpan w:val="2"/>
            <w:vMerge w:val="continue"/>
          </w:tcPr>
          <w:p>
            <w:pPr>
              <w:spacing w:after="0"/>
              <w:rPr>
                <w:sz w:val="10"/>
                <w:szCs w:val="10"/>
                <w:color w:val="auto"/>
              </w:rPr>
            </w:pPr>
          </w:p>
        </w:tc>
        <w:tc>
          <w:tcPr>
            <w:tcW w:w="940" w:type="dxa"/>
            <w:vAlign w:val="bottom"/>
            <w:gridSpan w:val="2"/>
            <w:vMerge w:val="continue"/>
          </w:tcPr>
          <w:p>
            <w:pPr>
              <w:spacing w:after="0"/>
              <w:rPr>
                <w:sz w:val="10"/>
                <w:szCs w:val="10"/>
                <w:color w:val="auto"/>
              </w:rPr>
            </w:pPr>
          </w:p>
        </w:tc>
        <w:tc>
          <w:tcPr>
            <w:tcW w:w="900" w:type="dxa"/>
            <w:vAlign w:val="bottom"/>
            <w:gridSpan w:val="2"/>
            <w:vMerge w:val="continue"/>
          </w:tcPr>
          <w:p>
            <w:pPr>
              <w:spacing w:after="0"/>
              <w:rPr>
                <w:sz w:val="10"/>
                <w:szCs w:val="10"/>
                <w:color w:val="auto"/>
              </w:rPr>
            </w:pPr>
          </w:p>
        </w:tc>
        <w:tc>
          <w:tcPr>
            <w:tcW w:w="900" w:type="dxa"/>
            <w:vAlign w:val="bottom"/>
            <w:gridSpan w:val="2"/>
            <w:vMerge w:val="continue"/>
          </w:tcPr>
          <w:p>
            <w:pPr>
              <w:spacing w:after="0"/>
              <w:rPr>
                <w:sz w:val="10"/>
                <w:szCs w:val="10"/>
                <w:color w:val="auto"/>
              </w:rPr>
            </w:pPr>
          </w:p>
        </w:tc>
        <w:tc>
          <w:tcPr>
            <w:tcW w:w="900" w:type="dxa"/>
            <w:vAlign w:val="bottom"/>
            <w:gridSpan w:val="2"/>
            <w:vMerge w:val="continue"/>
          </w:tcPr>
          <w:p>
            <w:pPr>
              <w:spacing w:after="0"/>
              <w:rPr>
                <w:sz w:val="10"/>
                <w:szCs w:val="10"/>
                <w:color w:val="auto"/>
              </w:rPr>
            </w:pPr>
          </w:p>
        </w:tc>
        <w:tc>
          <w:tcPr>
            <w:tcW w:w="1260" w:type="dxa"/>
            <w:vAlign w:val="bottom"/>
            <w:gridSpan w:val="2"/>
            <w:vMerge w:val="continue"/>
          </w:tcPr>
          <w:p>
            <w:pPr>
              <w:spacing w:after="0"/>
              <w:rPr>
                <w:sz w:val="10"/>
                <w:szCs w:val="10"/>
                <w:color w:val="auto"/>
              </w:rPr>
            </w:pPr>
          </w:p>
        </w:tc>
        <w:tc>
          <w:tcPr>
            <w:tcW w:w="1260" w:type="dxa"/>
            <w:vAlign w:val="bottom"/>
            <w:gridSpan w:val="2"/>
            <w:vMerge w:val="continue"/>
          </w:tcPr>
          <w:p>
            <w:pPr>
              <w:spacing w:after="0"/>
              <w:rPr>
                <w:sz w:val="10"/>
                <w:szCs w:val="10"/>
                <w:color w:val="auto"/>
              </w:rPr>
            </w:pPr>
          </w:p>
        </w:tc>
        <w:tc>
          <w:tcPr>
            <w:tcW w:w="1300" w:type="dxa"/>
            <w:vAlign w:val="bottom"/>
            <w:gridSpan w:val="2"/>
            <w:vMerge w:val="continue"/>
          </w:tcPr>
          <w:p>
            <w:pPr>
              <w:spacing w:after="0"/>
              <w:rPr>
                <w:sz w:val="10"/>
                <w:szCs w:val="10"/>
                <w:color w:val="auto"/>
              </w:rPr>
            </w:pPr>
          </w:p>
        </w:tc>
        <w:tc>
          <w:tcPr>
            <w:tcW w:w="980" w:type="dxa"/>
            <w:vAlign w:val="bottom"/>
            <w:gridSpan w:val="2"/>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84"/>
        </w:trPr>
        <w:tc>
          <w:tcPr>
            <w:tcW w:w="1260" w:type="dxa"/>
            <w:vAlign w:val="bottom"/>
            <w:vMerge w:val="continue"/>
            <w:shd w:val="clear" w:color="auto" w:fill="DDDDDD"/>
          </w:tcPr>
          <w:p>
            <w:pPr>
              <w:spacing w:after="0"/>
              <w:rPr>
                <w:sz w:val="7"/>
                <w:szCs w:val="7"/>
                <w:color w:val="auto"/>
              </w:rPr>
            </w:pPr>
          </w:p>
        </w:tc>
        <w:tc>
          <w:tcPr>
            <w:tcW w:w="60" w:type="dxa"/>
            <w:vAlign w:val="bottom"/>
          </w:tcPr>
          <w:p>
            <w:pPr>
              <w:spacing w:after="0"/>
              <w:rPr>
                <w:sz w:val="7"/>
                <w:szCs w:val="7"/>
                <w:color w:val="auto"/>
              </w:rPr>
            </w:pPr>
          </w:p>
        </w:tc>
        <w:tc>
          <w:tcPr>
            <w:tcW w:w="40" w:type="dxa"/>
            <w:vAlign w:val="bottom"/>
          </w:tcPr>
          <w:p>
            <w:pPr>
              <w:spacing w:after="0"/>
              <w:rPr>
                <w:sz w:val="7"/>
                <w:szCs w:val="7"/>
                <w:color w:val="auto"/>
              </w:rPr>
            </w:pPr>
          </w:p>
        </w:tc>
        <w:tc>
          <w:tcPr>
            <w:tcW w:w="460" w:type="dxa"/>
            <w:vAlign w:val="bottom"/>
          </w:tcPr>
          <w:p>
            <w:pPr>
              <w:spacing w:after="0"/>
              <w:rPr>
                <w:sz w:val="7"/>
                <w:szCs w:val="7"/>
                <w:color w:val="auto"/>
              </w:rPr>
            </w:pPr>
          </w:p>
        </w:tc>
        <w:tc>
          <w:tcPr>
            <w:tcW w:w="160" w:type="dxa"/>
            <w:vAlign w:val="bottom"/>
          </w:tcPr>
          <w:p>
            <w:pPr>
              <w:spacing w:after="0"/>
              <w:rPr>
                <w:sz w:val="7"/>
                <w:szCs w:val="7"/>
                <w:color w:val="auto"/>
              </w:rPr>
            </w:pPr>
          </w:p>
        </w:tc>
        <w:tc>
          <w:tcPr>
            <w:tcW w:w="780" w:type="dxa"/>
            <w:vAlign w:val="bottom"/>
          </w:tcPr>
          <w:p>
            <w:pPr>
              <w:spacing w:after="0"/>
              <w:rPr>
                <w:sz w:val="7"/>
                <w:szCs w:val="7"/>
                <w:color w:val="auto"/>
              </w:rPr>
            </w:pPr>
          </w:p>
        </w:tc>
        <w:tc>
          <w:tcPr>
            <w:tcW w:w="120" w:type="dxa"/>
            <w:vAlign w:val="bottom"/>
          </w:tcPr>
          <w:p>
            <w:pPr>
              <w:spacing w:after="0"/>
              <w:rPr>
                <w:sz w:val="7"/>
                <w:szCs w:val="7"/>
                <w:color w:val="auto"/>
              </w:rPr>
            </w:pPr>
          </w:p>
        </w:tc>
        <w:tc>
          <w:tcPr>
            <w:tcW w:w="780" w:type="dxa"/>
            <w:vAlign w:val="bottom"/>
          </w:tcPr>
          <w:p>
            <w:pPr>
              <w:spacing w:after="0"/>
              <w:rPr>
                <w:sz w:val="7"/>
                <w:szCs w:val="7"/>
                <w:color w:val="auto"/>
              </w:rPr>
            </w:pPr>
          </w:p>
        </w:tc>
        <w:tc>
          <w:tcPr>
            <w:tcW w:w="120" w:type="dxa"/>
            <w:vAlign w:val="bottom"/>
          </w:tcPr>
          <w:p>
            <w:pPr>
              <w:spacing w:after="0"/>
              <w:rPr>
                <w:sz w:val="7"/>
                <w:szCs w:val="7"/>
                <w:color w:val="auto"/>
              </w:rPr>
            </w:pPr>
          </w:p>
        </w:tc>
        <w:tc>
          <w:tcPr>
            <w:tcW w:w="780" w:type="dxa"/>
            <w:vAlign w:val="bottom"/>
          </w:tcPr>
          <w:p>
            <w:pPr>
              <w:spacing w:after="0"/>
              <w:rPr>
                <w:sz w:val="7"/>
                <w:szCs w:val="7"/>
                <w:color w:val="auto"/>
              </w:rPr>
            </w:pPr>
          </w:p>
        </w:tc>
        <w:tc>
          <w:tcPr>
            <w:tcW w:w="120" w:type="dxa"/>
            <w:vAlign w:val="bottom"/>
          </w:tcPr>
          <w:p>
            <w:pPr>
              <w:spacing w:after="0"/>
              <w:rPr>
                <w:sz w:val="7"/>
                <w:szCs w:val="7"/>
                <w:color w:val="auto"/>
              </w:rPr>
            </w:pPr>
          </w:p>
        </w:tc>
        <w:tc>
          <w:tcPr>
            <w:tcW w:w="780" w:type="dxa"/>
            <w:vAlign w:val="bottom"/>
          </w:tcPr>
          <w:p>
            <w:pPr>
              <w:spacing w:after="0"/>
              <w:rPr>
                <w:sz w:val="7"/>
                <w:szCs w:val="7"/>
                <w:color w:val="auto"/>
              </w:rPr>
            </w:pPr>
          </w:p>
        </w:tc>
        <w:tc>
          <w:tcPr>
            <w:tcW w:w="120" w:type="dxa"/>
            <w:vAlign w:val="bottom"/>
          </w:tcPr>
          <w:p>
            <w:pPr>
              <w:spacing w:after="0"/>
              <w:rPr>
                <w:sz w:val="7"/>
                <w:szCs w:val="7"/>
                <w:color w:val="auto"/>
              </w:rPr>
            </w:pPr>
          </w:p>
        </w:tc>
        <w:tc>
          <w:tcPr>
            <w:tcW w:w="1140" w:type="dxa"/>
            <w:vAlign w:val="bottom"/>
          </w:tcPr>
          <w:p>
            <w:pPr>
              <w:spacing w:after="0"/>
              <w:rPr>
                <w:sz w:val="7"/>
                <w:szCs w:val="7"/>
                <w:color w:val="auto"/>
              </w:rPr>
            </w:pPr>
          </w:p>
        </w:tc>
        <w:tc>
          <w:tcPr>
            <w:tcW w:w="120" w:type="dxa"/>
            <w:vAlign w:val="bottom"/>
          </w:tcPr>
          <w:p>
            <w:pPr>
              <w:spacing w:after="0"/>
              <w:rPr>
                <w:sz w:val="7"/>
                <w:szCs w:val="7"/>
                <w:color w:val="auto"/>
              </w:rPr>
            </w:pPr>
          </w:p>
        </w:tc>
        <w:tc>
          <w:tcPr>
            <w:tcW w:w="1140" w:type="dxa"/>
            <w:vAlign w:val="bottom"/>
          </w:tcPr>
          <w:p>
            <w:pPr>
              <w:spacing w:after="0"/>
              <w:rPr>
                <w:sz w:val="7"/>
                <w:szCs w:val="7"/>
                <w:color w:val="auto"/>
              </w:rPr>
            </w:pPr>
          </w:p>
        </w:tc>
        <w:tc>
          <w:tcPr>
            <w:tcW w:w="120" w:type="dxa"/>
            <w:vAlign w:val="bottom"/>
          </w:tcPr>
          <w:p>
            <w:pPr>
              <w:spacing w:after="0"/>
              <w:rPr>
                <w:sz w:val="7"/>
                <w:szCs w:val="7"/>
                <w:color w:val="auto"/>
              </w:rPr>
            </w:pPr>
          </w:p>
        </w:tc>
        <w:tc>
          <w:tcPr>
            <w:tcW w:w="1180" w:type="dxa"/>
            <w:vAlign w:val="bottom"/>
          </w:tcPr>
          <w:p>
            <w:pPr>
              <w:spacing w:after="0"/>
              <w:rPr>
                <w:sz w:val="7"/>
                <w:szCs w:val="7"/>
                <w:color w:val="auto"/>
              </w:rPr>
            </w:pPr>
          </w:p>
        </w:tc>
        <w:tc>
          <w:tcPr>
            <w:tcW w:w="120" w:type="dxa"/>
            <w:vAlign w:val="bottom"/>
          </w:tcPr>
          <w:p>
            <w:pPr>
              <w:spacing w:after="0"/>
              <w:rPr>
                <w:sz w:val="7"/>
                <w:szCs w:val="7"/>
                <w:color w:val="auto"/>
              </w:rPr>
            </w:pPr>
          </w:p>
        </w:tc>
        <w:tc>
          <w:tcPr>
            <w:tcW w:w="86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53"/>
        </w:trPr>
        <w:tc>
          <w:tcPr>
            <w:tcW w:w="1260" w:type="dxa"/>
            <w:vAlign w:val="bottom"/>
            <w:tcBorders>
              <w:bottom w:val="single" w:sz="8" w:color="auto"/>
            </w:tcBorders>
            <w:shd w:val="clear" w:color="auto" w:fill="DDDDDD"/>
          </w:tcPr>
          <w:p>
            <w:pPr>
              <w:ind w:left="40"/>
              <w:spacing w:after="0"/>
              <w:rPr>
                <w:sz w:val="20"/>
                <w:szCs w:val="20"/>
                <w:color w:val="auto"/>
              </w:rPr>
            </w:pPr>
            <w:r>
              <w:rPr>
                <w:rFonts w:ascii="Times New Roman" w:cs="Times New Roman" w:eastAsia="Times New Roman" w:hAnsi="Times New Roman"/>
                <w:sz w:val="18"/>
                <w:szCs w:val="18"/>
                <w:color w:val="auto"/>
              </w:rPr>
              <w:t>Officer</w:t>
            </w:r>
          </w:p>
        </w:tc>
        <w:tc>
          <w:tcPr>
            <w:tcW w:w="60" w:type="dxa"/>
            <w:vAlign w:val="bottom"/>
            <w:tcBorders>
              <w:bottom w:val="single" w:sz="8" w:color="auto"/>
            </w:tcBorders>
          </w:tcPr>
          <w:p>
            <w:pPr>
              <w:spacing w:after="0"/>
              <w:rPr>
                <w:sz w:val="21"/>
                <w:szCs w:val="21"/>
                <w:color w:val="auto"/>
              </w:rPr>
            </w:pPr>
          </w:p>
        </w:tc>
        <w:tc>
          <w:tcPr>
            <w:tcW w:w="40" w:type="dxa"/>
            <w:vAlign w:val="bottom"/>
            <w:tcBorders>
              <w:bottom w:val="single" w:sz="8" w:color="auto"/>
            </w:tcBorders>
          </w:tcPr>
          <w:p>
            <w:pPr>
              <w:spacing w:after="0"/>
              <w:rPr>
                <w:sz w:val="21"/>
                <w:szCs w:val="21"/>
                <w:color w:val="auto"/>
              </w:rPr>
            </w:pPr>
          </w:p>
        </w:tc>
        <w:tc>
          <w:tcPr>
            <w:tcW w:w="460" w:type="dxa"/>
            <w:vAlign w:val="bottom"/>
            <w:tcBorders>
              <w:bottom w:val="single" w:sz="8" w:color="auto"/>
            </w:tcBorders>
          </w:tcPr>
          <w:p>
            <w:pPr>
              <w:spacing w:after="0"/>
              <w:rPr>
                <w:sz w:val="21"/>
                <w:szCs w:val="21"/>
                <w:color w:val="auto"/>
              </w:rPr>
            </w:pPr>
          </w:p>
        </w:tc>
        <w:tc>
          <w:tcPr>
            <w:tcW w:w="160" w:type="dxa"/>
            <w:vAlign w:val="bottom"/>
            <w:tcBorders>
              <w:bottom w:val="single" w:sz="8" w:color="auto"/>
            </w:tcBorders>
          </w:tcPr>
          <w:p>
            <w:pPr>
              <w:spacing w:after="0"/>
              <w:rPr>
                <w:sz w:val="21"/>
                <w:szCs w:val="21"/>
                <w:color w:val="auto"/>
              </w:rPr>
            </w:pPr>
          </w:p>
        </w:tc>
        <w:tc>
          <w:tcPr>
            <w:tcW w:w="780" w:type="dxa"/>
            <w:vAlign w:val="bottom"/>
            <w:tcBorders>
              <w:bottom w:val="single" w:sz="8" w:color="auto"/>
            </w:tcBorders>
          </w:tcPr>
          <w:p>
            <w:pPr>
              <w:spacing w:after="0"/>
              <w:rPr>
                <w:sz w:val="21"/>
                <w:szCs w:val="21"/>
                <w:color w:val="auto"/>
              </w:rPr>
            </w:pPr>
          </w:p>
        </w:tc>
        <w:tc>
          <w:tcPr>
            <w:tcW w:w="120" w:type="dxa"/>
            <w:vAlign w:val="bottom"/>
            <w:tcBorders>
              <w:bottom w:val="single" w:sz="8" w:color="auto"/>
            </w:tcBorders>
          </w:tcPr>
          <w:p>
            <w:pPr>
              <w:spacing w:after="0"/>
              <w:rPr>
                <w:sz w:val="21"/>
                <w:szCs w:val="21"/>
                <w:color w:val="auto"/>
              </w:rPr>
            </w:pPr>
          </w:p>
        </w:tc>
        <w:tc>
          <w:tcPr>
            <w:tcW w:w="780" w:type="dxa"/>
            <w:vAlign w:val="bottom"/>
            <w:tcBorders>
              <w:bottom w:val="single" w:sz="8" w:color="auto"/>
            </w:tcBorders>
          </w:tcPr>
          <w:p>
            <w:pPr>
              <w:spacing w:after="0"/>
              <w:rPr>
                <w:sz w:val="21"/>
                <w:szCs w:val="21"/>
                <w:color w:val="auto"/>
              </w:rPr>
            </w:pPr>
          </w:p>
        </w:tc>
        <w:tc>
          <w:tcPr>
            <w:tcW w:w="120" w:type="dxa"/>
            <w:vAlign w:val="bottom"/>
            <w:tcBorders>
              <w:bottom w:val="single" w:sz="8" w:color="auto"/>
            </w:tcBorders>
          </w:tcPr>
          <w:p>
            <w:pPr>
              <w:spacing w:after="0"/>
              <w:rPr>
                <w:sz w:val="21"/>
                <w:szCs w:val="21"/>
                <w:color w:val="auto"/>
              </w:rPr>
            </w:pPr>
          </w:p>
        </w:tc>
        <w:tc>
          <w:tcPr>
            <w:tcW w:w="780" w:type="dxa"/>
            <w:vAlign w:val="bottom"/>
            <w:tcBorders>
              <w:bottom w:val="single" w:sz="8" w:color="auto"/>
            </w:tcBorders>
          </w:tcPr>
          <w:p>
            <w:pPr>
              <w:spacing w:after="0"/>
              <w:rPr>
                <w:sz w:val="21"/>
                <w:szCs w:val="21"/>
                <w:color w:val="auto"/>
              </w:rPr>
            </w:pPr>
          </w:p>
        </w:tc>
        <w:tc>
          <w:tcPr>
            <w:tcW w:w="120" w:type="dxa"/>
            <w:vAlign w:val="bottom"/>
            <w:tcBorders>
              <w:bottom w:val="single" w:sz="8" w:color="auto"/>
            </w:tcBorders>
          </w:tcPr>
          <w:p>
            <w:pPr>
              <w:spacing w:after="0"/>
              <w:rPr>
                <w:sz w:val="21"/>
                <w:szCs w:val="21"/>
                <w:color w:val="auto"/>
              </w:rPr>
            </w:pPr>
          </w:p>
        </w:tc>
        <w:tc>
          <w:tcPr>
            <w:tcW w:w="780" w:type="dxa"/>
            <w:vAlign w:val="bottom"/>
            <w:tcBorders>
              <w:bottom w:val="single" w:sz="8" w:color="auto"/>
            </w:tcBorders>
          </w:tcPr>
          <w:p>
            <w:pPr>
              <w:spacing w:after="0"/>
              <w:rPr>
                <w:sz w:val="21"/>
                <w:szCs w:val="21"/>
                <w:color w:val="auto"/>
              </w:rPr>
            </w:pPr>
          </w:p>
        </w:tc>
        <w:tc>
          <w:tcPr>
            <w:tcW w:w="120" w:type="dxa"/>
            <w:vAlign w:val="bottom"/>
            <w:tcBorders>
              <w:bottom w:val="single" w:sz="8" w:color="auto"/>
            </w:tcBorders>
          </w:tcPr>
          <w:p>
            <w:pPr>
              <w:spacing w:after="0"/>
              <w:rPr>
                <w:sz w:val="21"/>
                <w:szCs w:val="21"/>
                <w:color w:val="auto"/>
              </w:rPr>
            </w:pPr>
          </w:p>
        </w:tc>
        <w:tc>
          <w:tcPr>
            <w:tcW w:w="1140" w:type="dxa"/>
            <w:vAlign w:val="bottom"/>
            <w:tcBorders>
              <w:bottom w:val="single" w:sz="8" w:color="auto"/>
            </w:tcBorders>
          </w:tcPr>
          <w:p>
            <w:pPr>
              <w:spacing w:after="0"/>
              <w:rPr>
                <w:sz w:val="21"/>
                <w:szCs w:val="21"/>
                <w:color w:val="auto"/>
              </w:rPr>
            </w:pPr>
          </w:p>
        </w:tc>
        <w:tc>
          <w:tcPr>
            <w:tcW w:w="120" w:type="dxa"/>
            <w:vAlign w:val="bottom"/>
            <w:tcBorders>
              <w:bottom w:val="single" w:sz="8" w:color="auto"/>
            </w:tcBorders>
          </w:tcPr>
          <w:p>
            <w:pPr>
              <w:spacing w:after="0"/>
              <w:rPr>
                <w:sz w:val="21"/>
                <w:szCs w:val="21"/>
                <w:color w:val="auto"/>
              </w:rPr>
            </w:pPr>
          </w:p>
        </w:tc>
        <w:tc>
          <w:tcPr>
            <w:tcW w:w="1140" w:type="dxa"/>
            <w:vAlign w:val="bottom"/>
            <w:tcBorders>
              <w:bottom w:val="single" w:sz="8" w:color="auto"/>
            </w:tcBorders>
          </w:tcPr>
          <w:p>
            <w:pPr>
              <w:spacing w:after="0"/>
              <w:rPr>
                <w:sz w:val="21"/>
                <w:szCs w:val="21"/>
                <w:color w:val="auto"/>
              </w:rPr>
            </w:pPr>
          </w:p>
        </w:tc>
        <w:tc>
          <w:tcPr>
            <w:tcW w:w="120" w:type="dxa"/>
            <w:vAlign w:val="bottom"/>
            <w:tcBorders>
              <w:bottom w:val="single" w:sz="8" w:color="auto"/>
            </w:tcBorders>
          </w:tcPr>
          <w:p>
            <w:pPr>
              <w:spacing w:after="0"/>
              <w:rPr>
                <w:sz w:val="21"/>
                <w:szCs w:val="21"/>
                <w:color w:val="auto"/>
              </w:rPr>
            </w:pPr>
          </w:p>
        </w:tc>
        <w:tc>
          <w:tcPr>
            <w:tcW w:w="1180" w:type="dxa"/>
            <w:vAlign w:val="bottom"/>
            <w:tcBorders>
              <w:bottom w:val="single" w:sz="8" w:color="auto"/>
            </w:tcBorders>
          </w:tcPr>
          <w:p>
            <w:pPr>
              <w:spacing w:after="0"/>
              <w:rPr>
                <w:sz w:val="21"/>
                <w:szCs w:val="21"/>
                <w:color w:val="auto"/>
              </w:rPr>
            </w:pPr>
          </w:p>
        </w:tc>
        <w:tc>
          <w:tcPr>
            <w:tcW w:w="120" w:type="dxa"/>
            <w:vAlign w:val="bottom"/>
            <w:tcBorders>
              <w:bottom w:val="single" w:sz="8" w:color="auto"/>
            </w:tcBorders>
          </w:tcPr>
          <w:p>
            <w:pPr>
              <w:spacing w:after="0"/>
              <w:rPr>
                <w:sz w:val="21"/>
                <w:szCs w:val="21"/>
                <w:color w:val="auto"/>
              </w:rPr>
            </w:pPr>
          </w:p>
        </w:tc>
        <w:tc>
          <w:tcPr>
            <w:tcW w:w="860" w:type="dxa"/>
            <w:vAlign w:val="bottom"/>
            <w:tcBorders>
              <w:bottom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240"/>
        </w:trPr>
        <w:tc>
          <w:tcPr>
            <w:tcW w:w="2760" w:type="dxa"/>
            <w:vAlign w:val="bottom"/>
            <w:gridSpan w:val="6"/>
          </w:tcPr>
          <w:p>
            <w:pPr>
              <w:spacing w:after="0"/>
              <w:rPr>
                <w:sz w:val="20"/>
                <w:szCs w:val="20"/>
                <w:color w:val="auto"/>
              </w:rPr>
            </w:pPr>
            <w:r>
              <w:rPr>
                <w:rFonts w:ascii="Times New Roman" w:cs="Times New Roman" w:eastAsia="Times New Roman" w:hAnsi="Times New Roman"/>
                <w:sz w:val="18"/>
                <w:szCs w:val="18"/>
                <w:color w:val="auto"/>
              </w:rPr>
              <w:t>___________________________</w:t>
            </w:r>
          </w:p>
        </w:tc>
        <w:tc>
          <w:tcPr>
            <w:tcW w:w="12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836295</wp:posOffset>
                </wp:positionH>
                <wp:positionV relativeFrom="paragraph">
                  <wp:posOffset>-1699895</wp:posOffset>
                </wp:positionV>
                <wp:extent cx="5678805" cy="0"/>
                <wp:wrapNone/>
                <wp:docPr id="25" name="Shape 25"/>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5678805" cy="4763"/>
                        </a:xfrm>
                        <a:prstGeom prst="line">
                          <a:avLst/>
                        </a:prstGeom>
                        <a:solidFill>
                          <a:srgbClr val="FFFFFF"/>
                        </a:solidFill>
                        <a:ln w="4572">
                          <a:solidFill>
                            <a:srgbClr val="FFFFFF"/>
                          </a:solidFill>
                          <a:miter lim="800000"/>
                          <a:headEnd/>
                          <a:tailEnd/>
                        </a:ln>
                      </wps:spPr>
                      <wps:bodyPr/>
                    </wps:wsp>
                  </a:graphicData>
                </a:graphic>
              </wp:anchor>
            </w:drawing>
          </mc:Choice>
          <mc:Fallback>
            <w:pict>
              <v:line id="Shape 25" o:spid="_x0000_s1050"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65.85pt,-133.8499pt" to="513pt,-133.8499pt" o:allowincell="f" strokecolor="#FFFFFF" strokeweight="0.36pt"/>
            </w:pict>
          </mc:Fallback>
        </mc:AlternateContent>
        <mc:AlternateContent>
          <mc:Choice Requires="wps">
            <w:drawing>
              <wp:anchor simplePos="0" relativeHeight="251657728" behindDoc="1" locked="0" layoutInCell="0" allowOverlap="1">
                <wp:simplePos x="0" y="0"/>
                <wp:positionH relativeFrom="column">
                  <wp:posOffset>836295</wp:posOffset>
                </wp:positionH>
                <wp:positionV relativeFrom="paragraph">
                  <wp:posOffset>-1123950</wp:posOffset>
                </wp:positionV>
                <wp:extent cx="5678805" cy="0"/>
                <wp:wrapNone/>
                <wp:docPr id="26" name="Shape 26"/>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5678805" cy="4763"/>
                        </a:xfrm>
                        <a:prstGeom prst="line">
                          <a:avLst/>
                        </a:prstGeom>
                        <a:solidFill>
                          <a:srgbClr val="FFFFFF"/>
                        </a:solidFill>
                        <a:ln w="4572">
                          <a:solidFill>
                            <a:srgbClr val="FFFFFF"/>
                          </a:solidFill>
                          <a:miter lim="800000"/>
                          <a:headEnd/>
                          <a:tailEnd/>
                        </a:ln>
                      </wps:spPr>
                      <wps:bodyPr/>
                    </wps:wsp>
                  </a:graphicData>
                </a:graphic>
              </wp:anchor>
            </w:drawing>
          </mc:Choice>
          <mc:Fallback>
            <w:pict>
              <v:line id="Shape 26" o:spid="_x0000_s1051"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65.85pt,-88.4999pt" to="513pt,-88.4999pt" o:allowincell="f" strokecolor="#FFFFFF" strokeweight="0.36pt"/>
            </w:pict>
          </mc:Fallback>
        </mc:AlternateContent>
        <mc:AlternateContent>
          <mc:Choice Requires="wps">
            <w:drawing>
              <wp:anchor simplePos="0" relativeHeight="251657728" behindDoc="1" locked="0" layoutInCell="0" allowOverlap="1">
                <wp:simplePos x="0" y="0"/>
                <wp:positionH relativeFrom="column">
                  <wp:posOffset>817880</wp:posOffset>
                </wp:positionH>
                <wp:positionV relativeFrom="paragraph">
                  <wp:posOffset>-554355</wp:posOffset>
                </wp:positionV>
                <wp:extent cx="0" cy="388620"/>
                <wp:wrapNone/>
                <wp:docPr id="27" name="Shape 27"/>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4763" cy="388620"/>
                        </a:xfrm>
                        <a:prstGeom prst="line">
                          <a:avLst/>
                        </a:prstGeom>
                        <a:solidFill>
                          <a:srgbClr val="FFFFFF"/>
                        </a:solidFill>
                        <a:ln w="36575">
                          <a:solidFill>
                            <a:srgbClr val="FFFFFF"/>
                          </a:solidFill>
                          <a:miter lim="800000"/>
                          <a:headEnd/>
                          <a:tailEnd/>
                        </a:ln>
                      </wps:spPr>
                      <wps:bodyPr/>
                    </wps:wsp>
                  </a:graphicData>
                </a:graphic>
              </wp:anchor>
            </w:drawing>
          </mc:Choice>
          <mc:Fallback>
            <w:pict>
              <v:line id="Shape 27" o:spid="_x0000_s1052"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64.4pt,-43.6499pt" to="64.4pt,-13.0499pt" o:allowincell="f" strokecolor="#FFFFFF" strokeweight="2.8799pt"/>
            </w:pict>
          </mc:Fallback>
        </mc:AlternateContent>
      </w:r>
    </w:p>
    <w:p>
      <w:pPr>
        <w:jc w:val="both"/>
        <w:ind w:left="366" w:hanging="366"/>
        <w:spacing w:after="0" w:line="300" w:lineRule="auto"/>
        <w:tabs>
          <w:tab w:leader="none" w:pos="366" w:val="left"/>
        </w:tabs>
        <w:numPr>
          <w:ilvl w:val="0"/>
          <w:numId w:val="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Mr. Francis was not an employee in 2022 and began service as our principal executive officer on November 7, 2022. Mr. Francis became an employee on August 15, 2023; Mr. Grazier, formerly our Senior Vice President, Engineering, was appointed our Chief Technology Officer, effective December 5, 2022.</w:t>
      </w:r>
    </w:p>
    <w:p>
      <w:pPr>
        <w:spacing w:after="0" w:line="1" w:lineRule="exact"/>
        <w:rPr>
          <w:rFonts w:ascii="Times New Roman" w:cs="Times New Roman" w:eastAsia="Times New Roman" w:hAnsi="Times New Roman"/>
          <w:sz w:val="18"/>
          <w:szCs w:val="18"/>
          <w:color w:val="auto"/>
        </w:rPr>
      </w:pPr>
    </w:p>
    <w:p>
      <w:pPr>
        <w:ind w:left="366" w:right="20" w:hanging="366"/>
        <w:spacing w:after="0" w:line="272" w:lineRule="auto"/>
        <w:tabs>
          <w:tab w:leader="none" w:pos="366" w:val="left"/>
        </w:tabs>
        <w:numPr>
          <w:ilvl w:val="0"/>
          <w:numId w:val="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amounts represent performance-based, discretionary cash bonuses including a signing bonus of $700,000 for Mr. Francis, a retention bonus of $200,000 for Mr. Grazier and additional bonuses for Mr. Camire and Mr. Grazier of $45,100 and $46,750, respectively, to account for their individual contributions, as described under “—Cash Bonuses—Cash Bonus Payments” above.</w:t>
      </w:r>
    </w:p>
    <w:p>
      <w:pPr>
        <w:spacing w:after="0" w:line="1" w:lineRule="exact"/>
        <w:rPr>
          <w:rFonts w:ascii="Times New Roman" w:cs="Times New Roman" w:eastAsia="Times New Roman" w:hAnsi="Times New Roman"/>
          <w:sz w:val="18"/>
          <w:szCs w:val="18"/>
          <w:color w:val="auto"/>
        </w:rPr>
      </w:pPr>
    </w:p>
    <w:p>
      <w:pPr>
        <w:jc w:val="both"/>
        <w:ind w:left="366" w:right="20" w:hanging="366"/>
        <w:spacing w:after="0" w:line="332" w:lineRule="auto"/>
        <w:tabs>
          <w:tab w:leader="none" w:pos="366" w:val="left"/>
        </w:tabs>
        <w:numPr>
          <w:ilvl w:val="0"/>
          <w:numId w:val="5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Amounts reflect the grant date fair value of all time-based restricted stock unit (“RSU”) award in accordance with ASC 718. The grant date fair value of each RSU award was measured based on the per share closing price of our Class A Common Stock on the date of grant. The amounts reported do not correspond to the economic value received by each NEO from the equity award. For additional information</w:t>
      </w:r>
    </w:p>
    <w:p>
      <w:pPr>
        <w:spacing w:after="0" w:line="181" w:lineRule="exact"/>
        <w:rPr>
          <w:sz w:val="20"/>
          <w:szCs w:val="20"/>
          <w:color w:val="auto"/>
        </w:rPr>
      </w:pPr>
    </w:p>
    <w:p>
      <w:pPr>
        <w:jc w:val="center"/>
        <w:ind w:right="14"/>
        <w:spacing w:after="0"/>
        <w:rPr>
          <w:sz w:val="20"/>
          <w:szCs w:val="20"/>
          <w:color w:val="auto"/>
        </w:rPr>
      </w:pPr>
      <w:r>
        <w:rPr>
          <w:rFonts w:ascii="Times New Roman" w:cs="Times New Roman" w:eastAsia="Times New Roman" w:hAnsi="Times New Roman"/>
          <w:sz w:val="20"/>
          <w:szCs w:val="20"/>
          <w:color w:val="auto"/>
        </w:rPr>
        <w:t>93</w:t>
      </w:r>
    </w:p>
    <w:p>
      <w:pPr>
        <w:sectPr>
          <w:pgSz w:w="12240" w:h="15840" w:orient="portrait"/>
          <w:cols w:equalWidth="0" w:num="1">
            <w:col w:w="10266"/>
          </w:cols>
          <w:pgMar w:left="994" w:top="882" w:right="980" w:bottom="222" w:gutter="0" w:footer="0" w:header="0"/>
        </w:sectPr>
      </w:pPr>
    </w:p>
    <w:bookmarkStart w:id="97" w:name="page98"/>
    <w:bookmarkEnd w:id="97"/>
    <w:p>
      <w:pPr>
        <w:ind w:left="366" w:right="60"/>
        <w:spacing w:after="0" w:line="300" w:lineRule="auto"/>
        <w:rPr>
          <w:sz w:val="20"/>
          <w:szCs w:val="20"/>
          <w:color w:val="auto"/>
        </w:rPr>
      </w:pPr>
      <w:r>
        <w:rPr>
          <w:rFonts w:ascii="Times New Roman" w:cs="Times New Roman" w:eastAsia="Times New Roman" w:hAnsi="Times New Roman"/>
          <w:sz w:val="18"/>
          <w:szCs w:val="18"/>
          <w:color w:val="auto"/>
        </w:rPr>
        <w:t>regarding the market value of outstanding awards, see “Outstanding Equity Awards at Fiscal Year-end” below. For information regarding assumptions underlying the value of equity awards, see Note 14 to our financial statements.</w:t>
      </w:r>
    </w:p>
    <w:p>
      <w:pPr>
        <w:spacing w:after="0" w:line="1" w:lineRule="exact"/>
        <w:rPr>
          <w:sz w:val="20"/>
          <w:szCs w:val="20"/>
          <w:color w:val="auto"/>
        </w:rPr>
      </w:pPr>
    </w:p>
    <w:p>
      <w:pPr>
        <w:jc w:val="both"/>
        <w:ind w:left="366" w:right="60" w:hanging="366"/>
        <w:spacing w:after="0" w:line="292" w:lineRule="auto"/>
        <w:tabs>
          <w:tab w:leader="none" w:pos="366" w:val="left"/>
        </w:tabs>
        <w:numPr>
          <w:ilvl w:val="0"/>
          <w:numId w:val="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Includes amounts paid under the short term incentive plan “STIP”). In September 2023, the Compensation Committee approved the 2023 STIP for the Named Executive Officers (other than Mr. Francis) based on performance against our Revenue (50% of the performance award), Adjusted EBITDA (50% of the performance award), and Cash (a minimum condition for any award) targets for FY23 in the same manner as the core bonus plan for the rest of the employees of the Company. There is no individual award component to the 2023 STIP. The value of the 2023 STIP could have ranged from $0 to, assuming the highest level of performance conditions were achieved, $307,500 for Mr. Camire and $318,750 for Mr. Grazier.</w:t>
      </w:r>
    </w:p>
    <w:p>
      <w:pPr>
        <w:spacing w:after="0" w:line="1" w:lineRule="exact"/>
        <w:rPr>
          <w:rFonts w:ascii="Times New Roman" w:cs="Times New Roman" w:eastAsia="Times New Roman" w:hAnsi="Times New Roman"/>
          <w:sz w:val="18"/>
          <w:szCs w:val="18"/>
          <w:color w:val="auto"/>
        </w:rPr>
      </w:pPr>
    </w:p>
    <w:p>
      <w:pPr>
        <w:jc w:val="both"/>
        <w:ind w:left="366" w:right="60" w:hanging="366"/>
        <w:spacing w:after="0" w:line="293" w:lineRule="auto"/>
        <w:tabs>
          <w:tab w:leader="none" w:pos="366" w:val="left"/>
        </w:tabs>
        <w:numPr>
          <w:ilvl w:val="0"/>
          <w:numId w:val="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amounts include (i) group term life insurance premiums in excess of the broad-based benefit level of $280, $224 and $561 for 2023 for Messrs. Francis, Camire and Grazier, respectively and $0, $216, and $540 for 2022 for Messrs. Francis, Camire and Grazier, respectively; (ii) matching contributions under our 401(k) plan of $4,708, $11,327 and $11,550 for 2023 for Messrs. Francis, Camire and Grazier, respectively and $0, $10,288, $12,844 for 2022 for Messrs. Francis, Camire and Grazier; (iii) compensation for service as a member of our Board of $68,673 for 2023 and $69,701 for 2022, respectively for Mr. Francis as further described in the section titled Director Compensation; (iv) compensation for legal fee reimbursement of $8,946 for 2023 for Mr. Francis; and (v) parental leave benefit of $13,106 in 2023 for Mr. Grazier.</w:t>
      </w:r>
    </w:p>
    <w:p>
      <w:pPr>
        <w:spacing w:after="0" w:line="85" w:lineRule="exact"/>
        <w:rPr>
          <w:sz w:val="20"/>
          <w:szCs w:val="20"/>
          <w:color w:val="auto"/>
        </w:rPr>
      </w:pPr>
    </w:p>
    <w:p>
      <w:pPr>
        <w:ind w:left="6"/>
        <w:spacing w:after="0"/>
        <w:rPr>
          <w:sz w:val="20"/>
          <w:szCs w:val="20"/>
          <w:color w:val="auto"/>
        </w:rPr>
      </w:pPr>
      <w:r>
        <w:rPr>
          <w:rFonts w:ascii="Times New Roman" w:cs="Times New Roman" w:eastAsia="Times New Roman" w:hAnsi="Times New Roman"/>
          <w:sz w:val="20"/>
          <w:szCs w:val="20"/>
          <w:b w:val="1"/>
          <w:bCs w:val="1"/>
          <w:color w:val="auto"/>
        </w:rPr>
        <w:t>Outstanding Equity Awards at Fiscal Year-End</w:t>
      </w:r>
    </w:p>
    <w:p>
      <w:pPr>
        <w:spacing w:after="0" w:line="168" w:lineRule="exact"/>
        <w:rPr>
          <w:sz w:val="20"/>
          <w:szCs w:val="20"/>
          <w:color w:val="auto"/>
        </w:rPr>
      </w:pPr>
    </w:p>
    <w:p>
      <w:pPr>
        <w:ind w:left="6"/>
        <w:spacing w:after="0"/>
        <w:rPr>
          <w:sz w:val="20"/>
          <w:szCs w:val="20"/>
          <w:color w:val="auto"/>
        </w:rPr>
      </w:pPr>
      <w:r>
        <w:rPr>
          <w:rFonts w:ascii="Times New Roman" w:cs="Times New Roman" w:eastAsia="Times New Roman" w:hAnsi="Times New Roman"/>
          <w:sz w:val="20"/>
          <w:szCs w:val="20"/>
          <w:color w:val="auto"/>
        </w:rPr>
        <w:t>The following table shows certain information regarding outstanding equity awards for the Named Executive Officers as of</w:t>
      </w:r>
    </w:p>
    <w:p>
      <w:pPr>
        <w:spacing w:after="0" w:line="44" w:lineRule="exact"/>
        <w:rPr>
          <w:sz w:val="20"/>
          <w:szCs w:val="20"/>
          <w:color w:val="auto"/>
        </w:rPr>
      </w:pPr>
    </w:p>
    <w:p>
      <w:pPr>
        <w:ind w:left="6"/>
        <w:spacing w:after="0"/>
        <w:rPr>
          <w:sz w:val="20"/>
          <w:szCs w:val="20"/>
          <w:color w:val="auto"/>
        </w:rPr>
      </w:pPr>
      <w:r>
        <w:rPr>
          <w:rFonts w:ascii="Times New Roman" w:cs="Times New Roman" w:eastAsia="Times New Roman" w:hAnsi="Times New Roman"/>
          <w:sz w:val="20"/>
          <w:szCs w:val="20"/>
          <w:color w:val="auto"/>
        </w:rPr>
        <w:t>December 31, 2023:</w:t>
      </w:r>
    </w:p>
    <w:p>
      <w:pPr>
        <w:spacing w:after="0" w:line="209" w:lineRule="exact"/>
        <w:rPr>
          <w:sz w:val="20"/>
          <w:szCs w:val="20"/>
          <w:color w:val="auto"/>
        </w:rPr>
      </w:pPr>
    </w:p>
    <w:tbl>
      <w:tblPr>
        <w:tblLayout w:type="fixed"/>
        <w:tblInd w:w="6" w:type="dxa"/>
        <w:tblCellMar>
          <w:top w:w="0" w:type="dxa"/>
          <w:left w:w="0" w:type="dxa"/>
          <w:bottom w:w="0" w:type="dxa"/>
          <w:right w:w="0" w:type="dxa"/>
        </w:tblCellMar>
      </w:tblPr>
      <w:tr>
        <w:trPr>
          <w:trHeight w:val="250"/>
        </w:trPr>
        <w:tc>
          <w:tcPr>
            <w:tcW w:w="4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920" w:type="dxa"/>
            <w:vAlign w:val="bottom"/>
            <w:tcBorders>
              <w:bottom w:val="single" w:sz="8" w:color="auto"/>
            </w:tcBorders>
          </w:tcPr>
          <w:p>
            <w:pPr>
              <w:spacing w:after="0"/>
              <w:rPr>
                <w:sz w:val="21"/>
                <w:szCs w:val="21"/>
                <w:color w:val="auto"/>
              </w:rPr>
            </w:pPr>
          </w:p>
        </w:tc>
        <w:tc>
          <w:tcPr>
            <w:tcW w:w="1860" w:type="dxa"/>
            <w:vAlign w:val="bottom"/>
            <w:tcBorders>
              <w:bottom w:val="single" w:sz="8" w:color="auto"/>
            </w:tcBorders>
            <w:gridSpan w:val="2"/>
          </w:tcPr>
          <w:p>
            <w:pPr>
              <w:ind w:left="660"/>
              <w:spacing w:after="0"/>
              <w:rPr>
                <w:sz w:val="20"/>
                <w:szCs w:val="20"/>
                <w:color w:val="auto"/>
              </w:rPr>
            </w:pPr>
            <w:r>
              <w:rPr>
                <w:rFonts w:ascii="Times New Roman" w:cs="Times New Roman" w:eastAsia="Times New Roman" w:hAnsi="Times New Roman"/>
                <w:sz w:val="18"/>
                <w:szCs w:val="18"/>
                <w:b w:val="1"/>
                <w:bCs w:val="1"/>
                <w:color w:val="auto"/>
                <w:w w:val="99"/>
              </w:rPr>
              <w:t>Option Awards</w:t>
            </w:r>
          </w:p>
        </w:tc>
        <w:tc>
          <w:tcPr>
            <w:tcW w:w="820" w:type="dxa"/>
            <w:vAlign w:val="bottom"/>
            <w:tcBorders>
              <w:bottom w:val="single" w:sz="8" w:color="auto"/>
            </w:tcBorders>
          </w:tcPr>
          <w:p>
            <w:pPr>
              <w:spacing w:after="0"/>
              <w:rPr>
                <w:sz w:val="21"/>
                <w:szCs w:val="21"/>
                <w:color w:val="auto"/>
              </w:rPr>
            </w:pPr>
          </w:p>
        </w:tc>
        <w:tc>
          <w:tcPr>
            <w:tcW w:w="700" w:type="dxa"/>
            <w:vAlign w:val="bottom"/>
            <w:tcBorders>
              <w:bottom w:val="single" w:sz="8" w:color="auto"/>
            </w:tcBorders>
          </w:tcPr>
          <w:p>
            <w:pPr>
              <w:spacing w:after="0"/>
              <w:rPr>
                <w:sz w:val="21"/>
                <w:szCs w:val="21"/>
                <w:color w:val="auto"/>
              </w:rPr>
            </w:pPr>
          </w:p>
        </w:tc>
        <w:tc>
          <w:tcPr>
            <w:tcW w:w="60" w:type="dxa"/>
            <w:vAlign w:val="bottom"/>
          </w:tcPr>
          <w:p>
            <w:pPr>
              <w:spacing w:after="0"/>
              <w:rPr>
                <w:sz w:val="21"/>
                <w:szCs w:val="21"/>
                <w:color w:val="auto"/>
              </w:rPr>
            </w:pPr>
          </w:p>
        </w:tc>
        <w:tc>
          <w:tcPr>
            <w:tcW w:w="40" w:type="dxa"/>
            <w:vAlign w:val="bottom"/>
            <w:tcBorders>
              <w:bottom w:val="single" w:sz="8" w:color="auto"/>
            </w:tcBorders>
          </w:tcPr>
          <w:p>
            <w:pPr>
              <w:spacing w:after="0"/>
              <w:rPr>
                <w:sz w:val="21"/>
                <w:szCs w:val="21"/>
                <w:color w:val="auto"/>
              </w:rPr>
            </w:pPr>
          </w:p>
        </w:tc>
        <w:tc>
          <w:tcPr>
            <w:tcW w:w="660" w:type="dxa"/>
            <w:vAlign w:val="bottom"/>
            <w:tcBorders>
              <w:bottom w:val="single" w:sz="8" w:color="auto"/>
            </w:tcBorders>
          </w:tcPr>
          <w:p>
            <w:pPr>
              <w:spacing w:after="0"/>
              <w:rPr>
                <w:sz w:val="21"/>
                <w:szCs w:val="21"/>
                <w:color w:val="auto"/>
              </w:rPr>
            </w:pPr>
          </w:p>
        </w:tc>
        <w:tc>
          <w:tcPr>
            <w:tcW w:w="140" w:type="dxa"/>
            <w:vAlign w:val="bottom"/>
            <w:tcBorders>
              <w:bottom w:val="single" w:sz="8" w:color="auto"/>
            </w:tcBorders>
          </w:tcPr>
          <w:p>
            <w:pPr>
              <w:spacing w:after="0"/>
              <w:rPr>
                <w:sz w:val="21"/>
                <w:szCs w:val="21"/>
                <w:color w:val="auto"/>
              </w:rPr>
            </w:pPr>
          </w:p>
        </w:tc>
        <w:tc>
          <w:tcPr>
            <w:tcW w:w="1520" w:type="dxa"/>
            <w:vAlign w:val="bottom"/>
            <w:tcBorders>
              <w:bottom w:val="single" w:sz="8" w:color="auto"/>
            </w:tcBorders>
            <w:gridSpan w:val="2"/>
          </w:tcPr>
          <w:p>
            <w:pPr>
              <w:ind w:left="240"/>
              <w:spacing w:after="0"/>
              <w:rPr>
                <w:sz w:val="20"/>
                <w:szCs w:val="20"/>
                <w:color w:val="auto"/>
              </w:rPr>
            </w:pPr>
            <w:r>
              <w:rPr>
                <w:rFonts w:ascii="Times New Roman" w:cs="Times New Roman" w:eastAsia="Times New Roman" w:hAnsi="Times New Roman"/>
                <w:sz w:val="18"/>
                <w:szCs w:val="18"/>
                <w:b w:val="1"/>
                <w:bCs w:val="1"/>
                <w:color w:val="auto"/>
              </w:rPr>
              <w:t>Stock Awards</w:t>
            </w:r>
          </w:p>
        </w:tc>
        <w:tc>
          <w:tcPr>
            <w:tcW w:w="860" w:type="dxa"/>
            <w:vAlign w:val="bottom"/>
            <w:tcBorders>
              <w:bottom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169"/>
        </w:trPr>
        <w:tc>
          <w:tcPr>
            <w:tcW w:w="4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860" w:type="dxa"/>
            <w:vAlign w:val="bottom"/>
          </w:tcPr>
          <w:p>
            <w:pPr>
              <w:ind w:left="120"/>
              <w:spacing w:after="0" w:line="169" w:lineRule="exact"/>
              <w:rPr>
                <w:sz w:val="20"/>
                <w:szCs w:val="20"/>
                <w:color w:val="auto"/>
              </w:rPr>
            </w:pPr>
            <w:r>
              <w:rPr>
                <w:rFonts w:ascii="Times New Roman" w:cs="Times New Roman" w:eastAsia="Times New Roman" w:hAnsi="Times New Roman"/>
                <w:sz w:val="16"/>
                <w:szCs w:val="16"/>
                <w:b w:val="1"/>
                <w:bCs w:val="1"/>
                <w:color w:val="auto"/>
              </w:rPr>
              <w:t>Equity</w:t>
            </w:r>
          </w:p>
        </w:tc>
        <w:tc>
          <w:tcPr>
            <w:tcW w:w="0" w:type="dxa"/>
            <w:vAlign w:val="bottom"/>
          </w:tcPr>
          <w:p>
            <w:pPr>
              <w:spacing w:after="0"/>
              <w:rPr>
                <w:sz w:val="1"/>
                <w:szCs w:val="1"/>
                <w:color w:val="auto"/>
              </w:rPr>
            </w:pPr>
          </w:p>
        </w:tc>
      </w:tr>
      <w:tr>
        <w:trPr>
          <w:trHeight w:val="187"/>
        </w:trPr>
        <w:tc>
          <w:tcPr>
            <w:tcW w:w="4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800" w:type="dxa"/>
            <w:vAlign w:val="bottom"/>
            <w:vMerge w:val="restart"/>
          </w:tcPr>
          <w:p>
            <w:pPr>
              <w:ind w:left="40"/>
              <w:spacing w:after="0"/>
              <w:rPr>
                <w:sz w:val="20"/>
                <w:szCs w:val="20"/>
                <w:color w:val="auto"/>
              </w:rPr>
            </w:pPr>
            <w:r>
              <w:rPr>
                <w:rFonts w:ascii="Times New Roman" w:cs="Times New Roman" w:eastAsia="Times New Roman" w:hAnsi="Times New Roman"/>
                <w:sz w:val="16"/>
                <w:szCs w:val="16"/>
                <w:b w:val="1"/>
                <w:bCs w:val="1"/>
                <w:color w:val="auto"/>
              </w:rPr>
              <w:t>Equity</w:t>
            </w:r>
          </w:p>
        </w:tc>
        <w:tc>
          <w:tcPr>
            <w:tcW w:w="860" w:type="dxa"/>
            <w:vAlign w:val="bottom"/>
          </w:tcPr>
          <w:p>
            <w:pPr>
              <w:ind w:left="120"/>
              <w:spacing w:after="0"/>
              <w:rPr>
                <w:sz w:val="20"/>
                <w:szCs w:val="20"/>
                <w:color w:val="auto"/>
              </w:rPr>
            </w:pPr>
            <w:r>
              <w:rPr>
                <w:rFonts w:ascii="Times New Roman" w:cs="Times New Roman" w:eastAsia="Times New Roman" w:hAnsi="Times New Roman"/>
                <w:sz w:val="16"/>
                <w:szCs w:val="16"/>
                <w:b w:val="1"/>
                <w:bCs w:val="1"/>
                <w:color w:val="auto"/>
              </w:rPr>
              <w:t>incentive</w:t>
            </w:r>
          </w:p>
        </w:tc>
        <w:tc>
          <w:tcPr>
            <w:tcW w:w="0" w:type="dxa"/>
            <w:vAlign w:val="bottom"/>
          </w:tcPr>
          <w:p>
            <w:pPr>
              <w:spacing w:after="0"/>
              <w:rPr>
                <w:sz w:val="1"/>
                <w:szCs w:val="1"/>
                <w:color w:val="auto"/>
              </w:rPr>
            </w:pPr>
          </w:p>
        </w:tc>
      </w:tr>
      <w:tr>
        <w:trPr>
          <w:trHeight w:val="180"/>
        </w:trPr>
        <w:tc>
          <w:tcPr>
            <w:tcW w:w="4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800" w:type="dxa"/>
            <w:vAlign w:val="bottom"/>
            <w:vMerge w:val="continue"/>
          </w:tcPr>
          <w:p>
            <w:pPr>
              <w:spacing w:after="0"/>
              <w:rPr>
                <w:sz w:val="15"/>
                <w:szCs w:val="15"/>
                <w:color w:val="auto"/>
              </w:rPr>
            </w:pPr>
          </w:p>
        </w:tc>
        <w:tc>
          <w:tcPr>
            <w:tcW w:w="860" w:type="dxa"/>
            <w:vAlign w:val="bottom"/>
          </w:tcPr>
          <w:p>
            <w:pPr>
              <w:ind w:left="120"/>
              <w:spacing w:after="0" w:line="180" w:lineRule="exact"/>
              <w:rPr>
                <w:sz w:val="20"/>
                <w:szCs w:val="20"/>
                <w:color w:val="auto"/>
              </w:rPr>
            </w:pPr>
            <w:r>
              <w:rPr>
                <w:rFonts w:ascii="Times New Roman" w:cs="Times New Roman" w:eastAsia="Times New Roman" w:hAnsi="Times New Roman"/>
                <w:sz w:val="16"/>
                <w:szCs w:val="16"/>
                <w:b w:val="1"/>
                <w:bCs w:val="1"/>
                <w:color w:val="auto"/>
              </w:rPr>
              <w:t>plan</w:t>
            </w:r>
          </w:p>
        </w:tc>
        <w:tc>
          <w:tcPr>
            <w:tcW w:w="0" w:type="dxa"/>
            <w:vAlign w:val="bottom"/>
          </w:tcPr>
          <w:p>
            <w:pPr>
              <w:spacing w:after="0"/>
              <w:rPr>
                <w:sz w:val="1"/>
                <w:szCs w:val="1"/>
                <w:color w:val="auto"/>
              </w:rPr>
            </w:pPr>
          </w:p>
        </w:tc>
      </w:tr>
      <w:tr>
        <w:trPr>
          <w:trHeight w:val="187"/>
        </w:trPr>
        <w:tc>
          <w:tcPr>
            <w:tcW w:w="4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800" w:type="dxa"/>
            <w:vAlign w:val="bottom"/>
          </w:tcPr>
          <w:p>
            <w:pPr>
              <w:ind w:left="40"/>
              <w:spacing w:after="0"/>
              <w:rPr>
                <w:sz w:val="20"/>
                <w:szCs w:val="20"/>
                <w:color w:val="auto"/>
              </w:rPr>
            </w:pPr>
            <w:r>
              <w:rPr>
                <w:rFonts w:ascii="Times New Roman" w:cs="Times New Roman" w:eastAsia="Times New Roman" w:hAnsi="Times New Roman"/>
                <w:sz w:val="16"/>
                <w:szCs w:val="16"/>
                <w:b w:val="1"/>
                <w:bCs w:val="1"/>
                <w:color w:val="auto"/>
              </w:rPr>
              <w:t>incentive</w:t>
            </w:r>
          </w:p>
        </w:tc>
        <w:tc>
          <w:tcPr>
            <w:tcW w:w="860" w:type="dxa"/>
            <w:vAlign w:val="bottom"/>
          </w:tcPr>
          <w:p>
            <w:pPr>
              <w:ind w:left="120"/>
              <w:spacing w:after="0"/>
              <w:rPr>
                <w:sz w:val="20"/>
                <w:szCs w:val="20"/>
                <w:color w:val="auto"/>
              </w:rPr>
            </w:pPr>
            <w:r>
              <w:rPr>
                <w:rFonts w:ascii="Times New Roman" w:cs="Times New Roman" w:eastAsia="Times New Roman" w:hAnsi="Times New Roman"/>
                <w:sz w:val="16"/>
                <w:szCs w:val="16"/>
                <w:b w:val="1"/>
                <w:bCs w:val="1"/>
                <w:color w:val="auto"/>
              </w:rPr>
              <w:t>awards:</w:t>
            </w:r>
          </w:p>
        </w:tc>
        <w:tc>
          <w:tcPr>
            <w:tcW w:w="0" w:type="dxa"/>
            <w:vAlign w:val="bottom"/>
          </w:tcPr>
          <w:p>
            <w:pPr>
              <w:spacing w:after="0"/>
              <w:rPr>
                <w:sz w:val="1"/>
                <w:szCs w:val="1"/>
                <w:color w:val="auto"/>
              </w:rPr>
            </w:pPr>
          </w:p>
        </w:tc>
      </w:tr>
      <w:tr>
        <w:trPr>
          <w:trHeight w:val="180"/>
        </w:trPr>
        <w:tc>
          <w:tcPr>
            <w:tcW w:w="4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840" w:type="dxa"/>
            <w:vAlign w:val="bottom"/>
          </w:tcPr>
          <w:p>
            <w:pPr>
              <w:ind w:left="120"/>
              <w:spacing w:after="0" w:line="180" w:lineRule="exact"/>
              <w:rPr>
                <w:sz w:val="20"/>
                <w:szCs w:val="20"/>
                <w:color w:val="auto"/>
              </w:rPr>
            </w:pPr>
            <w:r>
              <w:rPr>
                <w:rFonts w:ascii="Times New Roman" w:cs="Times New Roman" w:eastAsia="Times New Roman" w:hAnsi="Times New Roman"/>
                <w:sz w:val="16"/>
                <w:szCs w:val="16"/>
                <w:b w:val="1"/>
                <w:bCs w:val="1"/>
                <w:color w:val="auto"/>
              </w:rPr>
              <w:t>Number</w:t>
            </w:r>
          </w:p>
        </w:tc>
        <w:tc>
          <w:tcPr>
            <w:tcW w:w="102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800" w:type="dxa"/>
            <w:vAlign w:val="bottom"/>
          </w:tcPr>
          <w:p>
            <w:pPr>
              <w:ind w:left="40"/>
              <w:spacing w:after="0" w:line="180" w:lineRule="exact"/>
              <w:rPr>
                <w:sz w:val="20"/>
                <w:szCs w:val="20"/>
                <w:color w:val="auto"/>
              </w:rPr>
            </w:pPr>
            <w:r>
              <w:rPr>
                <w:rFonts w:ascii="Times New Roman" w:cs="Times New Roman" w:eastAsia="Times New Roman" w:hAnsi="Times New Roman"/>
                <w:sz w:val="16"/>
                <w:szCs w:val="16"/>
                <w:b w:val="1"/>
                <w:bCs w:val="1"/>
                <w:color w:val="auto"/>
              </w:rPr>
              <w:t>plan</w:t>
            </w:r>
          </w:p>
        </w:tc>
        <w:tc>
          <w:tcPr>
            <w:tcW w:w="860" w:type="dxa"/>
            <w:vAlign w:val="bottom"/>
          </w:tcPr>
          <w:p>
            <w:pPr>
              <w:ind w:left="120"/>
              <w:spacing w:after="0" w:line="180" w:lineRule="exact"/>
              <w:rPr>
                <w:sz w:val="20"/>
                <w:szCs w:val="20"/>
                <w:color w:val="auto"/>
              </w:rPr>
            </w:pPr>
            <w:r>
              <w:rPr>
                <w:rFonts w:ascii="Times New Roman" w:cs="Times New Roman" w:eastAsia="Times New Roman" w:hAnsi="Times New Roman"/>
                <w:sz w:val="16"/>
                <w:szCs w:val="16"/>
                <w:b w:val="1"/>
                <w:bCs w:val="1"/>
                <w:color w:val="auto"/>
              </w:rPr>
              <w:t>Market</w:t>
            </w:r>
          </w:p>
        </w:tc>
        <w:tc>
          <w:tcPr>
            <w:tcW w:w="0" w:type="dxa"/>
            <w:vAlign w:val="bottom"/>
          </w:tcPr>
          <w:p>
            <w:pPr>
              <w:spacing w:after="0"/>
              <w:rPr>
                <w:sz w:val="1"/>
                <w:szCs w:val="1"/>
                <w:color w:val="auto"/>
              </w:rPr>
            </w:pPr>
          </w:p>
        </w:tc>
      </w:tr>
      <w:tr>
        <w:trPr>
          <w:trHeight w:val="187"/>
        </w:trPr>
        <w:tc>
          <w:tcPr>
            <w:tcW w:w="4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840" w:type="dxa"/>
            <w:vAlign w:val="bottom"/>
          </w:tcPr>
          <w:p>
            <w:pPr>
              <w:ind w:left="120"/>
              <w:spacing w:after="0"/>
              <w:rPr>
                <w:sz w:val="20"/>
                <w:szCs w:val="20"/>
                <w:color w:val="auto"/>
              </w:rPr>
            </w:pPr>
            <w:r>
              <w:rPr>
                <w:rFonts w:ascii="Times New Roman" w:cs="Times New Roman" w:eastAsia="Times New Roman" w:hAnsi="Times New Roman"/>
                <w:sz w:val="16"/>
                <w:szCs w:val="16"/>
                <w:b w:val="1"/>
                <w:bCs w:val="1"/>
                <w:color w:val="auto"/>
              </w:rPr>
              <w:t>of</w:t>
            </w:r>
          </w:p>
        </w:tc>
        <w:tc>
          <w:tcPr>
            <w:tcW w:w="102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800" w:type="dxa"/>
            <w:vAlign w:val="bottom"/>
          </w:tcPr>
          <w:p>
            <w:pPr>
              <w:ind w:left="40"/>
              <w:spacing w:after="0"/>
              <w:rPr>
                <w:sz w:val="20"/>
                <w:szCs w:val="20"/>
                <w:color w:val="auto"/>
              </w:rPr>
            </w:pPr>
            <w:r>
              <w:rPr>
                <w:rFonts w:ascii="Times New Roman" w:cs="Times New Roman" w:eastAsia="Times New Roman" w:hAnsi="Times New Roman"/>
                <w:sz w:val="16"/>
                <w:szCs w:val="16"/>
                <w:b w:val="1"/>
                <w:bCs w:val="1"/>
                <w:color w:val="auto"/>
              </w:rPr>
              <w:t>awards:</w:t>
            </w:r>
          </w:p>
        </w:tc>
        <w:tc>
          <w:tcPr>
            <w:tcW w:w="860" w:type="dxa"/>
            <w:vAlign w:val="bottom"/>
          </w:tcPr>
          <w:p>
            <w:pPr>
              <w:ind w:left="120"/>
              <w:spacing w:after="0"/>
              <w:rPr>
                <w:sz w:val="20"/>
                <w:szCs w:val="20"/>
                <w:color w:val="auto"/>
              </w:rPr>
            </w:pPr>
            <w:r>
              <w:rPr>
                <w:rFonts w:ascii="Times New Roman" w:cs="Times New Roman" w:eastAsia="Times New Roman" w:hAnsi="Times New Roman"/>
                <w:sz w:val="16"/>
                <w:szCs w:val="16"/>
                <w:b w:val="1"/>
                <w:bCs w:val="1"/>
                <w:color w:val="auto"/>
              </w:rPr>
              <w:t>or payout</w:t>
            </w:r>
          </w:p>
        </w:tc>
        <w:tc>
          <w:tcPr>
            <w:tcW w:w="0" w:type="dxa"/>
            <w:vAlign w:val="bottom"/>
          </w:tcPr>
          <w:p>
            <w:pPr>
              <w:spacing w:after="0"/>
              <w:rPr>
                <w:sz w:val="1"/>
                <w:szCs w:val="1"/>
                <w:color w:val="auto"/>
              </w:rPr>
            </w:pPr>
          </w:p>
        </w:tc>
      </w:tr>
      <w:tr>
        <w:trPr>
          <w:trHeight w:val="187"/>
        </w:trPr>
        <w:tc>
          <w:tcPr>
            <w:tcW w:w="4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840" w:type="dxa"/>
            <w:vAlign w:val="bottom"/>
          </w:tcPr>
          <w:p>
            <w:pPr>
              <w:ind w:left="120"/>
              <w:spacing w:after="0"/>
              <w:rPr>
                <w:sz w:val="20"/>
                <w:szCs w:val="20"/>
                <w:color w:val="auto"/>
              </w:rPr>
            </w:pPr>
            <w:r>
              <w:rPr>
                <w:rFonts w:ascii="Times New Roman" w:cs="Times New Roman" w:eastAsia="Times New Roman" w:hAnsi="Times New Roman"/>
                <w:sz w:val="16"/>
                <w:szCs w:val="16"/>
                <w:b w:val="1"/>
                <w:bCs w:val="1"/>
                <w:color w:val="auto"/>
              </w:rPr>
              <w:t>Securitie</w:t>
            </w:r>
          </w:p>
        </w:tc>
        <w:tc>
          <w:tcPr>
            <w:tcW w:w="1020" w:type="dxa"/>
            <w:vAlign w:val="bottom"/>
          </w:tcPr>
          <w:p>
            <w:pPr>
              <w:ind w:left="100"/>
              <w:spacing w:after="0"/>
              <w:rPr>
                <w:sz w:val="20"/>
                <w:szCs w:val="20"/>
                <w:color w:val="auto"/>
              </w:rPr>
            </w:pPr>
            <w:r>
              <w:rPr>
                <w:rFonts w:ascii="Times New Roman" w:cs="Times New Roman" w:eastAsia="Times New Roman" w:hAnsi="Times New Roman"/>
                <w:sz w:val="16"/>
                <w:szCs w:val="16"/>
                <w:b w:val="1"/>
                <w:bCs w:val="1"/>
                <w:color w:val="auto"/>
              </w:rPr>
              <w:t>Equity</w:t>
            </w:r>
          </w:p>
        </w:tc>
        <w:tc>
          <w:tcPr>
            <w:tcW w:w="82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800" w:type="dxa"/>
            <w:vAlign w:val="bottom"/>
          </w:tcPr>
          <w:p>
            <w:pPr>
              <w:ind w:left="40"/>
              <w:spacing w:after="0"/>
              <w:rPr>
                <w:sz w:val="20"/>
                <w:szCs w:val="20"/>
                <w:color w:val="auto"/>
              </w:rPr>
            </w:pPr>
            <w:r>
              <w:rPr>
                <w:rFonts w:ascii="Times New Roman" w:cs="Times New Roman" w:eastAsia="Times New Roman" w:hAnsi="Times New Roman"/>
                <w:sz w:val="16"/>
                <w:szCs w:val="16"/>
                <w:b w:val="1"/>
                <w:bCs w:val="1"/>
                <w:color w:val="auto"/>
              </w:rPr>
              <w:t>Number</w:t>
            </w:r>
          </w:p>
        </w:tc>
        <w:tc>
          <w:tcPr>
            <w:tcW w:w="860" w:type="dxa"/>
            <w:vAlign w:val="bottom"/>
          </w:tcPr>
          <w:p>
            <w:pPr>
              <w:ind w:left="120"/>
              <w:spacing w:after="0"/>
              <w:rPr>
                <w:sz w:val="20"/>
                <w:szCs w:val="20"/>
                <w:color w:val="auto"/>
              </w:rPr>
            </w:pPr>
            <w:r>
              <w:rPr>
                <w:rFonts w:ascii="Times New Roman" w:cs="Times New Roman" w:eastAsia="Times New Roman" w:hAnsi="Times New Roman"/>
                <w:sz w:val="16"/>
                <w:szCs w:val="16"/>
                <w:b w:val="1"/>
                <w:bCs w:val="1"/>
                <w:color w:val="auto"/>
              </w:rPr>
              <w:t>value of</w:t>
            </w:r>
          </w:p>
        </w:tc>
        <w:tc>
          <w:tcPr>
            <w:tcW w:w="0" w:type="dxa"/>
            <w:vAlign w:val="bottom"/>
          </w:tcPr>
          <w:p>
            <w:pPr>
              <w:spacing w:after="0"/>
              <w:rPr>
                <w:sz w:val="1"/>
                <w:szCs w:val="1"/>
                <w:color w:val="auto"/>
              </w:rPr>
            </w:pPr>
          </w:p>
        </w:tc>
      </w:tr>
      <w:tr>
        <w:trPr>
          <w:trHeight w:val="180"/>
        </w:trPr>
        <w:tc>
          <w:tcPr>
            <w:tcW w:w="4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840" w:type="dxa"/>
            <w:vAlign w:val="bottom"/>
          </w:tcPr>
          <w:p>
            <w:pPr>
              <w:ind w:left="120"/>
              <w:spacing w:after="0" w:line="180" w:lineRule="exact"/>
              <w:rPr>
                <w:sz w:val="20"/>
                <w:szCs w:val="20"/>
                <w:color w:val="auto"/>
              </w:rPr>
            </w:pPr>
            <w:r>
              <w:rPr>
                <w:rFonts w:ascii="Times New Roman" w:cs="Times New Roman" w:eastAsia="Times New Roman" w:hAnsi="Times New Roman"/>
                <w:sz w:val="16"/>
                <w:szCs w:val="16"/>
                <w:b w:val="1"/>
                <w:bCs w:val="1"/>
                <w:color w:val="auto"/>
              </w:rPr>
              <w:t>s</w:t>
            </w:r>
          </w:p>
        </w:tc>
        <w:tc>
          <w:tcPr>
            <w:tcW w:w="1020" w:type="dxa"/>
            <w:vAlign w:val="bottom"/>
          </w:tcPr>
          <w:p>
            <w:pPr>
              <w:ind w:left="100"/>
              <w:spacing w:after="0" w:line="180" w:lineRule="exact"/>
              <w:rPr>
                <w:sz w:val="20"/>
                <w:szCs w:val="20"/>
                <w:color w:val="auto"/>
              </w:rPr>
            </w:pPr>
            <w:r>
              <w:rPr>
                <w:rFonts w:ascii="Times New Roman" w:cs="Times New Roman" w:eastAsia="Times New Roman" w:hAnsi="Times New Roman"/>
                <w:sz w:val="16"/>
                <w:szCs w:val="16"/>
                <w:b w:val="1"/>
                <w:bCs w:val="1"/>
                <w:color w:val="auto"/>
              </w:rPr>
              <w:t>incentive</w:t>
            </w:r>
          </w:p>
        </w:tc>
        <w:tc>
          <w:tcPr>
            <w:tcW w:w="8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800" w:type="dxa"/>
            <w:vAlign w:val="bottom"/>
          </w:tcPr>
          <w:p>
            <w:pPr>
              <w:ind w:left="40"/>
              <w:spacing w:after="0" w:line="180" w:lineRule="exact"/>
              <w:rPr>
                <w:sz w:val="20"/>
                <w:szCs w:val="20"/>
                <w:color w:val="auto"/>
              </w:rPr>
            </w:pPr>
            <w:r>
              <w:rPr>
                <w:rFonts w:ascii="Times New Roman" w:cs="Times New Roman" w:eastAsia="Times New Roman" w:hAnsi="Times New Roman"/>
                <w:sz w:val="16"/>
                <w:szCs w:val="16"/>
                <w:b w:val="1"/>
                <w:bCs w:val="1"/>
                <w:color w:val="auto"/>
              </w:rPr>
              <w:t>of</w:t>
            </w:r>
          </w:p>
        </w:tc>
        <w:tc>
          <w:tcPr>
            <w:tcW w:w="860" w:type="dxa"/>
            <w:vAlign w:val="bottom"/>
          </w:tcPr>
          <w:p>
            <w:pPr>
              <w:ind w:left="120"/>
              <w:spacing w:after="0" w:line="180" w:lineRule="exact"/>
              <w:rPr>
                <w:sz w:val="20"/>
                <w:szCs w:val="20"/>
                <w:color w:val="auto"/>
              </w:rPr>
            </w:pPr>
            <w:r>
              <w:rPr>
                <w:rFonts w:ascii="Times New Roman" w:cs="Times New Roman" w:eastAsia="Times New Roman" w:hAnsi="Times New Roman"/>
                <w:sz w:val="16"/>
                <w:szCs w:val="16"/>
                <w:b w:val="1"/>
                <w:bCs w:val="1"/>
                <w:color w:val="auto"/>
              </w:rPr>
              <w:t>unearned</w:t>
            </w:r>
          </w:p>
        </w:tc>
        <w:tc>
          <w:tcPr>
            <w:tcW w:w="0" w:type="dxa"/>
            <w:vAlign w:val="bottom"/>
          </w:tcPr>
          <w:p>
            <w:pPr>
              <w:spacing w:after="0"/>
              <w:rPr>
                <w:sz w:val="1"/>
                <w:szCs w:val="1"/>
                <w:color w:val="auto"/>
              </w:rPr>
            </w:pPr>
          </w:p>
        </w:tc>
      </w:tr>
      <w:tr>
        <w:trPr>
          <w:trHeight w:val="187"/>
        </w:trPr>
        <w:tc>
          <w:tcPr>
            <w:tcW w:w="4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840" w:type="dxa"/>
            <w:vAlign w:val="bottom"/>
          </w:tcPr>
          <w:p>
            <w:pPr>
              <w:ind w:left="120"/>
              <w:spacing w:after="0"/>
              <w:rPr>
                <w:sz w:val="20"/>
                <w:szCs w:val="20"/>
                <w:color w:val="auto"/>
              </w:rPr>
            </w:pPr>
            <w:r>
              <w:rPr>
                <w:rFonts w:ascii="Times New Roman" w:cs="Times New Roman" w:eastAsia="Times New Roman" w:hAnsi="Times New Roman"/>
                <w:sz w:val="16"/>
                <w:szCs w:val="16"/>
                <w:b w:val="1"/>
                <w:bCs w:val="1"/>
                <w:color w:val="auto"/>
              </w:rPr>
              <w:t>underlyi</w:t>
            </w:r>
          </w:p>
        </w:tc>
        <w:tc>
          <w:tcPr>
            <w:tcW w:w="1020" w:type="dxa"/>
            <w:vAlign w:val="bottom"/>
          </w:tcPr>
          <w:p>
            <w:pPr>
              <w:ind w:left="100"/>
              <w:spacing w:after="0"/>
              <w:rPr>
                <w:sz w:val="20"/>
                <w:szCs w:val="20"/>
                <w:color w:val="auto"/>
              </w:rPr>
            </w:pPr>
            <w:r>
              <w:rPr>
                <w:rFonts w:ascii="Times New Roman" w:cs="Times New Roman" w:eastAsia="Times New Roman" w:hAnsi="Times New Roman"/>
                <w:sz w:val="16"/>
                <w:szCs w:val="16"/>
                <w:b w:val="1"/>
                <w:bCs w:val="1"/>
                <w:color w:val="auto"/>
              </w:rPr>
              <w:t>plan</w:t>
            </w:r>
          </w:p>
        </w:tc>
        <w:tc>
          <w:tcPr>
            <w:tcW w:w="82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700" w:type="dxa"/>
            <w:vAlign w:val="bottom"/>
            <w:gridSpan w:val="2"/>
          </w:tcPr>
          <w:p>
            <w:pPr>
              <w:ind w:left="40"/>
              <w:spacing w:after="0"/>
              <w:rPr>
                <w:sz w:val="20"/>
                <w:szCs w:val="20"/>
                <w:color w:val="auto"/>
              </w:rPr>
            </w:pPr>
            <w:r>
              <w:rPr>
                <w:rFonts w:ascii="Times New Roman" w:cs="Times New Roman" w:eastAsia="Times New Roman" w:hAnsi="Times New Roman"/>
                <w:sz w:val="16"/>
                <w:szCs w:val="16"/>
                <w:b w:val="1"/>
                <w:bCs w:val="1"/>
                <w:color w:val="auto"/>
              </w:rPr>
              <w:t>Number</w:t>
            </w:r>
          </w:p>
        </w:tc>
        <w:tc>
          <w:tcPr>
            <w:tcW w:w="860" w:type="dxa"/>
            <w:vAlign w:val="bottom"/>
            <w:gridSpan w:val="2"/>
          </w:tcPr>
          <w:p>
            <w:pPr>
              <w:ind w:left="140"/>
              <w:spacing w:after="0"/>
              <w:rPr>
                <w:sz w:val="20"/>
                <w:szCs w:val="20"/>
                <w:color w:val="auto"/>
              </w:rPr>
            </w:pPr>
            <w:r>
              <w:rPr>
                <w:rFonts w:ascii="Times New Roman" w:cs="Times New Roman" w:eastAsia="Times New Roman" w:hAnsi="Times New Roman"/>
                <w:sz w:val="16"/>
                <w:szCs w:val="16"/>
                <w:b w:val="1"/>
                <w:bCs w:val="1"/>
                <w:color w:val="auto"/>
              </w:rPr>
              <w:t>Market</w:t>
            </w:r>
          </w:p>
        </w:tc>
        <w:tc>
          <w:tcPr>
            <w:tcW w:w="800" w:type="dxa"/>
            <w:vAlign w:val="bottom"/>
          </w:tcPr>
          <w:p>
            <w:pPr>
              <w:ind w:left="40"/>
              <w:spacing w:after="0"/>
              <w:rPr>
                <w:sz w:val="20"/>
                <w:szCs w:val="20"/>
                <w:color w:val="auto"/>
              </w:rPr>
            </w:pPr>
            <w:r>
              <w:rPr>
                <w:rFonts w:ascii="Times New Roman" w:cs="Times New Roman" w:eastAsia="Times New Roman" w:hAnsi="Times New Roman"/>
                <w:sz w:val="16"/>
                <w:szCs w:val="16"/>
                <w:b w:val="1"/>
                <w:bCs w:val="1"/>
                <w:color w:val="auto"/>
              </w:rPr>
              <w:t>unearned</w:t>
            </w:r>
          </w:p>
        </w:tc>
        <w:tc>
          <w:tcPr>
            <w:tcW w:w="860" w:type="dxa"/>
            <w:vAlign w:val="bottom"/>
          </w:tcPr>
          <w:p>
            <w:pPr>
              <w:ind w:left="120"/>
              <w:spacing w:after="0"/>
              <w:rPr>
                <w:sz w:val="20"/>
                <w:szCs w:val="20"/>
                <w:color w:val="auto"/>
              </w:rPr>
            </w:pPr>
            <w:r>
              <w:rPr>
                <w:rFonts w:ascii="Times New Roman" w:cs="Times New Roman" w:eastAsia="Times New Roman" w:hAnsi="Times New Roman"/>
                <w:sz w:val="16"/>
                <w:szCs w:val="16"/>
                <w:b w:val="1"/>
                <w:bCs w:val="1"/>
                <w:color w:val="auto"/>
              </w:rPr>
              <w:t>shares,</w:t>
            </w:r>
          </w:p>
        </w:tc>
        <w:tc>
          <w:tcPr>
            <w:tcW w:w="0" w:type="dxa"/>
            <w:vAlign w:val="bottom"/>
          </w:tcPr>
          <w:p>
            <w:pPr>
              <w:spacing w:after="0"/>
              <w:rPr>
                <w:sz w:val="1"/>
                <w:szCs w:val="1"/>
                <w:color w:val="auto"/>
              </w:rPr>
            </w:pPr>
          </w:p>
        </w:tc>
      </w:tr>
      <w:tr>
        <w:trPr>
          <w:trHeight w:val="180"/>
        </w:trPr>
        <w:tc>
          <w:tcPr>
            <w:tcW w:w="4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840" w:type="dxa"/>
            <w:vAlign w:val="bottom"/>
          </w:tcPr>
          <w:p>
            <w:pPr>
              <w:ind w:left="120"/>
              <w:spacing w:after="0" w:line="180" w:lineRule="exact"/>
              <w:rPr>
                <w:sz w:val="20"/>
                <w:szCs w:val="20"/>
                <w:color w:val="auto"/>
              </w:rPr>
            </w:pPr>
            <w:r>
              <w:rPr>
                <w:rFonts w:ascii="Times New Roman" w:cs="Times New Roman" w:eastAsia="Times New Roman" w:hAnsi="Times New Roman"/>
                <w:sz w:val="16"/>
                <w:szCs w:val="16"/>
                <w:b w:val="1"/>
                <w:bCs w:val="1"/>
                <w:color w:val="auto"/>
              </w:rPr>
              <w:t>ng</w:t>
            </w:r>
          </w:p>
        </w:tc>
        <w:tc>
          <w:tcPr>
            <w:tcW w:w="1020" w:type="dxa"/>
            <w:vAlign w:val="bottom"/>
          </w:tcPr>
          <w:p>
            <w:pPr>
              <w:ind w:left="100"/>
              <w:spacing w:after="0" w:line="180" w:lineRule="exact"/>
              <w:rPr>
                <w:sz w:val="20"/>
                <w:szCs w:val="20"/>
                <w:color w:val="auto"/>
              </w:rPr>
            </w:pPr>
            <w:r>
              <w:rPr>
                <w:rFonts w:ascii="Times New Roman" w:cs="Times New Roman" w:eastAsia="Times New Roman" w:hAnsi="Times New Roman"/>
                <w:sz w:val="16"/>
                <w:szCs w:val="16"/>
                <w:b w:val="1"/>
                <w:bCs w:val="1"/>
                <w:color w:val="auto"/>
              </w:rPr>
              <w:t>awards:</w:t>
            </w:r>
          </w:p>
        </w:tc>
        <w:tc>
          <w:tcPr>
            <w:tcW w:w="8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700" w:type="dxa"/>
            <w:vAlign w:val="bottom"/>
            <w:gridSpan w:val="2"/>
          </w:tcPr>
          <w:p>
            <w:pPr>
              <w:ind w:left="40"/>
              <w:spacing w:after="0" w:line="180" w:lineRule="exact"/>
              <w:rPr>
                <w:sz w:val="20"/>
                <w:szCs w:val="20"/>
                <w:color w:val="auto"/>
              </w:rPr>
            </w:pPr>
            <w:r>
              <w:rPr>
                <w:rFonts w:ascii="Times New Roman" w:cs="Times New Roman" w:eastAsia="Times New Roman" w:hAnsi="Times New Roman"/>
                <w:sz w:val="16"/>
                <w:szCs w:val="16"/>
                <w:b w:val="1"/>
                <w:bCs w:val="1"/>
                <w:color w:val="auto"/>
              </w:rPr>
              <w:t>of shares</w:t>
            </w:r>
          </w:p>
        </w:tc>
        <w:tc>
          <w:tcPr>
            <w:tcW w:w="860" w:type="dxa"/>
            <w:vAlign w:val="bottom"/>
            <w:gridSpan w:val="2"/>
          </w:tcPr>
          <w:p>
            <w:pPr>
              <w:ind w:left="140"/>
              <w:spacing w:after="0" w:line="180" w:lineRule="exact"/>
              <w:rPr>
                <w:sz w:val="20"/>
                <w:szCs w:val="20"/>
                <w:color w:val="auto"/>
              </w:rPr>
            </w:pPr>
            <w:r>
              <w:rPr>
                <w:rFonts w:ascii="Times New Roman" w:cs="Times New Roman" w:eastAsia="Times New Roman" w:hAnsi="Times New Roman"/>
                <w:sz w:val="16"/>
                <w:szCs w:val="16"/>
                <w:b w:val="1"/>
                <w:bCs w:val="1"/>
                <w:color w:val="auto"/>
              </w:rPr>
              <w:t>value of</w:t>
            </w:r>
          </w:p>
        </w:tc>
        <w:tc>
          <w:tcPr>
            <w:tcW w:w="800" w:type="dxa"/>
            <w:vAlign w:val="bottom"/>
          </w:tcPr>
          <w:p>
            <w:pPr>
              <w:ind w:left="40"/>
              <w:spacing w:after="0" w:line="180" w:lineRule="exact"/>
              <w:rPr>
                <w:sz w:val="20"/>
                <w:szCs w:val="20"/>
                <w:color w:val="auto"/>
              </w:rPr>
            </w:pPr>
            <w:r>
              <w:rPr>
                <w:rFonts w:ascii="Times New Roman" w:cs="Times New Roman" w:eastAsia="Times New Roman" w:hAnsi="Times New Roman"/>
                <w:sz w:val="16"/>
                <w:szCs w:val="16"/>
                <w:b w:val="1"/>
                <w:bCs w:val="1"/>
                <w:color w:val="auto"/>
              </w:rPr>
              <w:t>shares,</w:t>
            </w:r>
          </w:p>
        </w:tc>
        <w:tc>
          <w:tcPr>
            <w:tcW w:w="860" w:type="dxa"/>
            <w:vAlign w:val="bottom"/>
          </w:tcPr>
          <w:p>
            <w:pPr>
              <w:ind w:left="120"/>
              <w:spacing w:after="0" w:line="180" w:lineRule="exact"/>
              <w:rPr>
                <w:sz w:val="20"/>
                <w:szCs w:val="20"/>
                <w:color w:val="auto"/>
              </w:rPr>
            </w:pPr>
            <w:r>
              <w:rPr>
                <w:rFonts w:ascii="Times New Roman" w:cs="Times New Roman" w:eastAsia="Times New Roman" w:hAnsi="Times New Roman"/>
                <w:sz w:val="16"/>
                <w:szCs w:val="16"/>
                <w:b w:val="1"/>
                <w:bCs w:val="1"/>
                <w:color w:val="auto"/>
              </w:rPr>
              <w:t>units or</w:t>
            </w:r>
          </w:p>
        </w:tc>
        <w:tc>
          <w:tcPr>
            <w:tcW w:w="0" w:type="dxa"/>
            <w:vAlign w:val="bottom"/>
          </w:tcPr>
          <w:p>
            <w:pPr>
              <w:spacing w:after="0"/>
              <w:rPr>
                <w:sz w:val="1"/>
                <w:szCs w:val="1"/>
                <w:color w:val="auto"/>
              </w:rPr>
            </w:pPr>
          </w:p>
        </w:tc>
      </w:tr>
      <w:tr>
        <w:trPr>
          <w:trHeight w:val="187"/>
        </w:trPr>
        <w:tc>
          <w:tcPr>
            <w:tcW w:w="4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920" w:type="dxa"/>
            <w:vAlign w:val="bottom"/>
          </w:tcPr>
          <w:p>
            <w:pPr>
              <w:ind w:left="60"/>
              <w:spacing w:after="0"/>
              <w:rPr>
                <w:sz w:val="20"/>
                <w:szCs w:val="20"/>
                <w:color w:val="auto"/>
              </w:rPr>
            </w:pPr>
            <w:r>
              <w:rPr>
                <w:rFonts w:ascii="Times New Roman" w:cs="Times New Roman" w:eastAsia="Times New Roman" w:hAnsi="Times New Roman"/>
                <w:sz w:val="16"/>
                <w:szCs w:val="16"/>
                <w:b w:val="1"/>
                <w:bCs w:val="1"/>
                <w:color w:val="auto"/>
              </w:rPr>
              <w:t>Number of</w:t>
            </w:r>
          </w:p>
        </w:tc>
        <w:tc>
          <w:tcPr>
            <w:tcW w:w="840" w:type="dxa"/>
            <w:vAlign w:val="bottom"/>
          </w:tcPr>
          <w:p>
            <w:pPr>
              <w:ind w:left="120"/>
              <w:spacing w:after="0"/>
              <w:rPr>
                <w:sz w:val="20"/>
                <w:szCs w:val="20"/>
                <w:color w:val="auto"/>
              </w:rPr>
            </w:pPr>
            <w:r>
              <w:rPr>
                <w:rFonts w:ascii="Times New Roman" w:cs="Times New Roman" w:eastAsia="Times New Roman" w:hAnsi="Times New Roman"/>
                <w:sz w:val="16"/>
                <w:szCs w:val="16"/>
                <w:b w:val="1"/>
                <w:bCs w:val="1"/>
                <w:color w:val="auto"/>
              </w:rPr>
              <w:t>unexercis</w:t>
            </w:r>
          </w:p>
        </w:tc>
        <w:tc>
          <w:tcPr>
            <w:tcW w:w="1020" w:type="dxa"/>
            <w:vAlign w:val="bottom"/>
          </w:tcPr>
          <w:p>
            <w:pPr>
              <w:ind w:left="100"/>
              <w:spacing w:after="0"/>
              <w:rPr>
                <w:sz w:val="20"/>
                <w:szCs w:val="20"/>
                <w:color w:val="auto"/>
              </w:rPr>
            </w:pPr>
            <w:r>
              <w:rPr>
                <w:rFonts w:ascii="Times New Roman" w:cs="Times New Roman" w:eastAsia="Times New Roman" w:hAnsi="Times New Roman"/>
                <w:sz w:val="16"/>
                <w:szCs w:val="16"/>
                <w:b w:val="1"/>
                <w:bCs w:val="1"/>
                <w:color w:val="auto"/>
              </w:rPr>
              <w:t>Number of</w:t>
            </w:r>
          </w:p>
        </w:tc>
        <w:tc>
          <w:tcPr>
            <w:tcW w:w="82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700" w:type="dxa"/>
            <w:vAlign w:val="bottom"/>
            <w:gridSpan w:val="2"/>
          </w:tcPr>
          <w:p>
            <w:pPr>
              <w:ind w:left="40"/>
              <w:spacing w:after="0"/>
              <w:rPr>
                <w:sz w:val="20"/>
                <w:szCs w:val="20"/>
                <w:color w:val="auto"/>
              </w:rPr>
            </w:pPr>
            <w:r>
              <w:rPr>
                <w:rFonts w:ascii="Times New Roman" w:cs="Times New Roman" w:eastAsia="Times New Roman" w:hAnsi="Times New Roman"/>
                <w:sz w:val="16"/>
                <w:szCs w:val="16"/>
                <w:b w:val="1"/>
                <w:bCs w:val="1"/>
                <w:color w:val="auto"/>
              </w:rPr>
              <w:t>or units</w:t>
            </w:r>
          </w:p>
        </w:tc>
        <w:tc>
          <w:tcPr>
            <w:tcW w:w="860" w:type="dxa"/>
            <w:vAlign w:val="bottom"/>
            <w:gridSpan w:val="2"/>
          </w:tcPr>
          <w:p>
            <w:pPr>
              <w:ind w:left="140"/>
              <w:spacing w:after="0"/>
              <w:rPr>
                <w:sz w:val="20"/>
                <w:szCs w:val="20"/>
                <w:color w:val="auto"/>
              </w:rPr>
            </w:pPr>
            <w:r>
              <w:rPr>
                <w:rFonts w:ascii="Times New Roman" w:cs="Times New Roman" w:eastAsia="Times New Roman" w:hAnsi="Times New Roman"/>
                <w:sz w:val="16"/>
                <w:szCs w:val="16"/>
                <w:b w:val="1"/>
                <w:bCs w:val="1"/>
                <w:color w:val="auto"/>
              </w:rPr>
              <w:t>shares</w:t>
            </w:r>
          </w:p>
        </w:tc>
        <w:tc>
          <w:tcPr>
            <w:tcW w:w="800" w:type="dxa"/>
            <w:vAlign w:val="bottom"/>
          </w:tcPr>
          <w:p>
            <w:pPr>
              <w:ind w:left="40"/>
              <w:spacing w:after="0"/>
              <w:rPr>
                <w:sz w:val="20"/>
                <w:szCs w:val="20"/>
                <w:color w:val="auto"/>
              </w:rPr>
            </w:pPr>
            <w:r>
              <w:rPr>
                <w:rFonts w:ascii="Times New Roman" w:cs="Times New Roman" w:eastAsia="Times New Roman" w:hAnsi="Times New Roman"/>
                <w:sz w:val="16"/>
                <w:szCs w:val="16"/>
                <w:b w:val="1"/>
                <w:bCs w:val="1"/>
                <w:color w:val="auto"/>
              </w:rPr>
              <w:t>units or</w:t>
            </w:r>
          </w:p>
        </w:tc>
        <w:tc>
          <w:tcPr>
            <w:tcW w:w="860" w:type="dxa"/>
            <w:vAlign w:val="bottom"/>
          </w:tcPr>
          <w:p>
            <w:pPr>
              <w:ind w:left="120"/>
              <w:spacing w:after="0"/>
              <w:rPr>
                <w:sz w:val="20"/>
                <w:szCs w:val="20"/>
                <w:color w:val="auto"/>
              </w:rPr>
            </w:pPr>
            <w:r>
              <w:rPr>
                <w:rFonts w:ascii="Times New Roman" w:cs="Times New Roman" w:eastAsia="Times New Roman" w:hAnsi="Times New Roman"/>
                <w:sz w:val="16"/>
                <w:szCs w:val="16"/>
                <w:b w:val="1"/>
                <w:bCs w:val="1"/>
                <w:color w:val="auto"/>
              </w:rPr>
              <w:t>other</w:t>
            </w:r>
          </w:p>
        </w:tc>
        <w:tc>
          <w:tcPr>
            <w:tcW w:w="0" w:type="dxa"/>
            <w:vAlign w:val="bottom"/>
          </w:tcPr>
          <w:p>
            <w:pPr>
              <w:spacing w:after="0"/>
              <w:rPr>
                <w:sz w:val="1"/>
                <w:szCs w:val="1"/>
                <w:color w:val="auto"/>
              </w:rPr>
            </w:pPr>
          </w:p>
        </w:tc>
      </w:tr>
      <w:tr>
        <w:trPr>
          <w:trHeight w:val="180"/>
        </w:trPr>
        <w:tc>
          <w:tcPr>
            <w:tcW w:w="4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920" w:type="dxa"/>
            <w:vAlign w:val="bottom"/>
          </w:tcPr>
          <w:p>
            <w:pPr>
              <w:ind w:left="60"/>
              <w:spacing w:after="0" w:line="180" w:lineRule="exact"/>
              <w:rPr>
                <w:sz w:val="20"/>
                <w:szCs w:val="20"/>
                <w:color w:val="auto"/>
              </w:rPr>
            </w:pPr>
            <w:r>
              <w:rPr>
                <w:rFonts w:ascii="Times New Roman" w:cs="Times New Roman" w:eastAsia="Times New Roman" w:hAnsi="Times New Roman"/>
                <w:sz w:val="16"/>
                <w:szCs w:val="16"/>
                <w:b w:val="1"/>
                <w:bCs w:val="1"/>
                <w:color w:val="auto"/>
              </w:rPr>
              <w:t>Securities</w:t>
            </w:r>
          </w:p>
        </w:tc>
        <w:tc>
          <w:tcPr>
            <w:tcW w:w="840" w:type="dxa"/>
            <w:vAlign w:val="bottom"/>
          </w:tcPr>
          <w:p>
            <w:pPr>
              <w:ind w:left="120"/>
              <w:spacing w:after="0" w:line="180" w:lineRule="exact"/>
              <w:rPr>
                <w:sz w:val="20"/>
                <w:szCs w:val="20"/>
                <w:color w:val="auto"/>
              </w:rPr>
            </w:pPr>
            <w:r>
              <w:rPr>
                <w:rFonts w:ascii="Times New Roman" w:cs="Times New Roman" w:eastAsia="Times New Roman" w:hAnsi="Times New Roman"/>
                <w:sz w:val="16"/>
                <w:szCs w:val="16"/>
                <w:b w:val="1"/>
                <w:bCs w:val="1"/>
                <w:color w:val="auto"/>
              </w:rPr>
              <w:t>ed</w:t>
            </w:r>
          </w:p>
        </w:tc>
        <w:tc>
          <w:tcPr>
            <w:tcW w:w="1020" w:type="dxa"/>
            <w:vAlign w:val="bottom"/>
          </w:tcPr>
          <w:p>
            <w:pPr>
              <w:ind w:left="100"/>
              <w:spacing w:after="0" w:line="180" w:lineRule="exact"/>
              <w:rPr>
                <w:sz w:val="20"/>
                <w:szCs w:val="20"/>
                <w:color w:val="auto"/>
              </w:rPr>
            </w:pPr>
            <w:r>
              <w:rPr>
                <w:rFonts w:ascii="Times New Roman" w:cs="Times New Roman" w:eastAsia="Times New Roman" w:hAnsi="Times New Roman"/>
                <w:sz w:val="16"/>
                <w:szCs w:val="16"/>
                <w:b w:val="1"/>
                <w:bCs w:val="1"/>
                <w:color w:val="auto"/>
              </w:rPr>
              <w:t>securities</w:t>
            </w:r>
          </w:p>
        </w:tc>
        <w:tc>
          <w:tcPr>
            <w:tcW w:w="8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700" w:type="dxa"/>
            <w:vAlign w:val="bottom"/>
            <w:gridSpan w:val="2"/>
          </w:tcPr>
          <w:p>
            <w:pPr>
              <w:ind w:left="40"/>
              <w:spacing w:after="0" w:line="180" w:lineRule="exact"/>
              <w:rPr>
                <w:sz w:val="20"/>
                <w:szCs w:val="20"/>
                <w:color w:val="auto"/>
              </w:rPr>
            </w:pPr>
            <w:r>
              <w:rPr>
                <w:rFonts w:ascii="Times New Roman" w:cs="Times New Roman" w:eastAsia="Times New Roman" w:hAnsi="Times New Roman"/>
                <w:sz w:val="16"/>
                <w:szCs w:val="16"/>
                <w:b w:val="1"/>
                <w:bCs w:val="1"/>
                <w:color w:val="auto"/>
              </w:rPr>
              <w:t>of stock</w:t>
            </w:r>
          </w:p>
        </w:tc>
        <w:tc>
          <w:tcPr>
            <w:tcW w:w="860" w:type="dxa"/>
            <w:vAlign w:val="bottom"/>
            <w:gridSpan w:val="2"/>
          </w:tcPr>
          <w:p>
            <w:pPr>
              <w:ind w:left="140"/>
              <w:spacing w:after="0" w:line="180" w:lineRule="exact"/>
              <w:rPr>
                <w:sz w:val="20"/>
                <w:szCs w:val="20"/>
                <w:color w:val="auto"/>
              </w:rPr>
            </w:pPr>
            <w:r>
              <w:rPr>
                <w:rFonts w:ascii="Times New Roman" w:cs="Times New Roman" w:eastAsia="Times New Roman" w:hAnsi="Times New Roman"/>
                <w:sz w:val="16"/>
                <w:szCs w:val="16"/>
                <w:b w:val="1"/>
                <w:bCs w:val="1"/>
                <w:color w:val="auto"/>
              </w:rPr>
              <w:t>of units</w:t>
            </w:r>
          </w:p>
        </w:tc>
        <w:tc>
          <w:tcPr>
            <w:tcW w:w="800" w:type="dxa"/>
            <w:vAlign w:val="bottom"/>
          </w:tcPr>
          <w:p>
            <w:pPr>
              <w:ind w:left="40"/>
              <w:spacing w:after="0" w:line="180" w:lineRule="exact"/>
              <w:rPr>
                <w:sz w:val="20"/>
                <w:szCs w:val="20"/>
                <w:color w:val="auto"/>
              </w:rPr>
            </w:pPr>
            <w:r>
              <w:rPr>
                <w:rFonts w:ascii="Times New Roman" w:cs="Times New Roman" w:eastAsia="Times New Roman" w:hAnsi="Times New Roman"/>
                <w:sz w:val="16"/>
                <w:szCs w:val="16"/>
                <w:b w:val="1"/>
                <w:bCs w:val="1"/>
                <w:color w:val="auto"/>
              </w:rPr>
              <w:t>other</w:t>
            </w:r>
          </w:p>
        </w:tc>
        <w:tc>
          <w:tcPr>
            <w:tcW w:w="860" w:type="dxa"/>
            <w:vAlign w:val="bottom"/>
          </w:tcPr>
          <w:p>
            <w:pPr>
              <w:ind w:left="120"/>
              <w:spacing w:after="0" w:line="180" w:lineRule="exact"/>
              <w:rPr>
                <w:sz w:val="20"/>
                <w:szCs w:val="20"/>
                <w:color w:val="auto"/>
              </w:rPr>
            </w:pPr>
            <w:r>
              <w:rPr>
                <w:rFonts w:ascii="Times New Roman" w:cs="Times New Roman" w:eastAsia="Times New Roman" w:hAnsi="Times New Roman"/>
                <w:sz w:val="16"/>
                <w:szCs w:val="16"/>
                <w:b w:val="1"/>
                <w:bCs w:val="1"/>
                <w:color w:val="auto"/>
              </w:rPr>
              <w:t>rights</w:t>
            </w:r>
          </w:p>
        </w:tc>
        <w:tc>
          <w:tcPr>
            <w:tcW w:w="0" w:type="dxa"/>
            <w:vAlign w:val="bottom"/>
          </w:tcPr>
          <w:p>
            <w:pPr>
              <w:spacing w:after="0"/>
              <w:rPr>
                <w:sz w:val="1"/>
                <w:szCs w:val="1"/>
                <w:color w:val="auto"/>
              </w:rPr>
            </w:pPr>
          </w:p>
        </w:tc>
      </w:tr>
      <w:tr>
        <w:trPr>
          <w:trHeight w:val="187"/>
        </w:trPr>
        <w:tc>
          <w:tcPr>
            <w:tcW w:w="4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920" w:type="dxa"/>
            <w:vAlign w:val="bottom"/>
          </w:tcPr>
          <w:p>
            <w:pPr>
              <w:ind w:left="60"/>
              <w:spacing w:after="0"/>
              <w:rPr>
                <w:sz w:val="20"/>
                <w:szCs w:val="20"/>
                <w:color w:val="auto"/>
              </w:rPr>
            </w:pPr>
            <w:r>
              <w:rPr>
                <w:rFonts w:ascii="Times New Roman" w:cs="Times New Roman" w:eastAsia="Times New Roman" w:hAnsi="Times New Roman"/>
                <w:sz w:val="16"/>
                <w:szCs w:val="16"/>
                <w:b w:val="1"/>
                <w:bCs w:val="1"/>
                <w:color w:val="auto"/>
              </w:rPr>
              <w:t>underlying</w:t>
            </w:r>
          </w:p>
        </w:tc>
        <w:tc>
          <w:tcPr>
            <w:tcW w:w="840" w:type="dxa"/>
            <w:vAlign w:val="bottom"/>
          </w:tcPr>
          <w:p>
            <w:pPr>
              <w:ind w:left="120"/>
              <w:spacing w:after="0"/>
              <w:rPr>
                <w:sz w:val="20"/>
                <w:szCs w:val="20"/>
                <w:color w:val="auto"/>
              </w:rPr>
            </w:pPr>
            <w:r>
              <w:rPr>
                <w:rFonts w:ascii="Times New Roman" w:cs="Times New Roman" w:eastAsia="Times New Roman" w:hAnsi="Times New Roman"/>
                <w:sz w:val="16"/>
                <w:szCs w:val="16"/>
                <w:b w:val="1"/>
                <w:bCs w:val="1"/>
                <w:color w:val="auto"/>
              </w:rPr>
              <w:t>options</w:t>
            </w:r>
          </w:p>
        </w:tc>
        <w:tc>
          <w:tcPr>
            <w:tcW w:w="1020" w:type="dxa"/>
            <w:vAlign w:val="bottom"/>
          </w:tcPr>
          <w:p>
            <w:pPr>
              <w:ind w:left="100"/>
              <w:spacing w:after="0"/>
              <w:rPr>
                <w:sz w:val="20"/>
                <w:szCs w:val="20"/>
                <w:color w:val="auto"/>
              </w:rPr>
            </w:pPr>
            <w:r>
              <w:rPr>
                <w:rFonts w:ascii="Times New Roman" w:cs="Times New Roman" w:eastAsia="Times New Roman" w:hAnsi="Times New Roman"/>
                <w:sz w:val="16"/>
                <w:szCs w:val="16"/>
                <w:b w:val="1"/>
                <w:bCs w:val="1"/>
                <w:color w:val="auto"/>
              </w:rPr>
              <w:t>underlying</w:t>
            </w:r>
          </w:p>
        </w:tc>
        <w:tc>
          <w:tcPr>
            <w:tcW w:w="820" w:type="dxa"/>
            <w:vAlign w:val="bottom"/>
          </w:tcPr>
          <w:p>
            <w:pPr>
              <w:spacing w:after="0"/>
              <w:rPr>
                <w:sz w:val="16"/>
                <w:szCs w:val="16"/>
                <w:color w:val="auto"/>
              </w:rPr>
            </w:pPr>
          </w:p>
        </w:tc>
        <w:tc>
          <w:tcPr>
            <w:tcW w:w="700" w:type="dxa"/>
            <w:vAlign w:val="bottom"/>
          </w:tcPr>
          <w:p>
            <w:pPr>
              <w:ind w:left="120"/>
              <w:spacing w:after="0"/>
              <w:rPr>
                <w:sz w:val="20"/>
                <w:szCs w:val="20"/>
                <w:color w:val="auto"/>
              </w:rPr>
            </w:pPr>
            <w:r>
              <w:rPr>
                <w:rFonts w:ascii="Times New Roman" w:cs="Times New Roman" w:eastAsia="Times New Roman" w:hAnsi="Times New Roman"/>
                <w:sz w:val="16"/>
                <w:szCs w:val="16"/>
                <w:b w:val="1"/>
                <w:bCs w:val="1"/>
                <w:color w:val="auto"/>
              </w:rPr>
              <w:t>Option</w:t>
            </w:r>
          </w:p>
        </w:tc>
        <w:tc>
          <w:tcPr>
            <w:tcW w:w="60" w:type="dxa"/>
            <w:vAlign w:val="bottom"/>
          </w:tcPr>
          <w:p>
            <w:pPr>
              <w:spacing w:after="0"/>
              <w:rPr>
                <w:sz w:val="16"/>
                <w:szCs w:val="16"/>
                <w:color w:val="auto"/>
              </w:rPr>
            </w:pPr>
          </w:p>
        </w:tc>
        <w:tc>
          <w:tcPr>
            <w:tcW w:w="700" w:type="dxa"/>
            <w:vAlign w:val="bottom"/>
            <w:gridSpan w:val="2"/>
          </w:tcPr>
          <w:p>
            <w:pPr>
              <w:ind w:left="40"/>
              <w:spacing w:after="0"/>
              <w:rPr>
                <w:sz w:val="20"/>
                <w:szCs w:val="20"/>
                <w:color w:val="auto"/>
              </w:rPr>
            </w:pPr>
            <w:r>
              <w:rPr>
                <w:rFonts w:ascii="Times New Roman" w:cs="Times New Roman" w:eastAsia="Times New Roman" w:hAnsi="Times New Roman"/>
                <w:sz w:val="16"/>
                <w:szCs w:val="16"/>
                <w:b w:val="1"/>
                <w:bCs w:val="1"/>
                <w:color w:val="auto"/>
              </w:rPr>
              <w:t>that</w:t>
            </w:r>
          </w:p>
        </w:tc>
        <w:tc>
          <w:tcPr>
            <w:tcW w:w="860" w:type="dxa"/>
            <w:vAlign w:val="bottom"/>
            <w:gridSpan w:val="2"/>
          </w:tcPr>
          <w:p>
            <w:pPr>
              <w:ind w:left="140"/>
              <w:spacing w:after="0"/>
              <w:rPr>
                <w:sz w:val="20"/>
                <w:szCs w:val="20"/>
                <w:color w:val="auto"/>
              </w:rPr>
            </w:pPr>
            <w:r>
              <w:rPr>
                <w:rFonts w:ascii="Times New Roman" w:cs="Times New Roman" w:eastAsia="Times New Roman" w:hAnsi="Times New Roman"/>
                <w:sz w:val="16"/>
                <w:szCs w:val="16"/>
                <w:b w:val="1"/>
                <w:bCs w:val="1"/>
                <w:color w:val="auto"/>
              </w:rPr>
              <w:t>that</w:t>
            </w:r>
          </w:p>
        </w:tc>
        <w:tc>
          <w:tcPr>
            <w:tcW w:w="800" w:type="dxa"/>
            <w:vAlign w:val="bottom"/>
          </w:tcPr>
          <w:p>
            <w:pPr>
              <w:ind w:left="40"/>
              <w:spacing w:after="0"/>
              <w:rPr>
                <w:sz w:val="20"/>
                <w:szCs w:val="20"/>
                <w:color w:val="auto"/>
              </w:rPr>
            </w:pPr>
            <w:r>
              <w:rPr>
                <w:rFonts w:ascii="Times New Roman" w:cs="Times New Roman" w:eastAsia="Times New Roman" w:hAnsi="Times New Roman"/>
                <w:sz w:val="16"/>
                <w:szCs w:val="16"/>
                <w:b w:val="1"/>
                <w:bCs w:val="1"/>
                <w:color w:val="auto"/>
              </w:rPr>
              <w:t>rights</w:t>
            </w:r>
          </w:p>
        </w:tc>
        <w:tc>
          <w:tcPr>
            <w:tcW w:w="860" w:type="dxa"/>
            <w:vAlign w:val="bottom"/>
          </w:tcPr>
          <w:p>
            <w:pPr>
              <w:ind w:left="120"/>
              <w:spacing w:after="0"/>
              <w:rPr>
                <w:sz w:val="20"/>
                <w:szCs w:val="20"/>
                <w:color w:val="auto"/>
              </w:rPr>
            </w:pPr>
            <w:r>
              <w:rPr>
                <w:rFonts w:ascii="Times New Roman" w:cs="Times New Roman" w:eastAsia="Times New Roman" w:hAnsi="Times New Roman"/>
                <w:sz w:val="16"/>
                <w:szCs w:val="16"/>
                <w:b w:val="1"/>
                <w:bCs w:val="1"/>
                <w:color w:val="auto"/>
              </w:rPr>
              <w:t>that have</w:t>
            </w:r>
          </w:p>
        </w:tc>
        <w:tc>
          <w:tcPr>
            <w:tcW w:w="0" w:type="dxa"/>
            <w:vAlign w:val="bottom"/>
          </w:tcPr>
          <w:p>
            <w:pPr>
              <w:spacing w:after="0"/>
              <w:rPr>
                <w:sz w:val="1"/>
                <w:szCs w:val="1"/>
                <w:color w:val="auto"/>
              </w:rPr>
            </w:pPr>
          </w:p>
        </w:tc>
      </w:tr>
      <w:tr>
        <w:trPr>
          <w:trHeight w:val="180"/>
        </w:trPr>
        <w:tc>
          <w:tcPr>
            <w:tcW w:w="40" w:type="dxa"/>
            <w:vAlign w:val="bottom"/>
          </w:tcPr>
          <w:p>
            <w:pPr>
              <w:spacing w:after="0"/>
              <w:rPr>
                <w:sz w:val="15"/>
                <w:szCs w:val="15"/>
                <w:color w:val="auto"/>
              </w:rPr>
            </w:pPr>
          </w:p>
        </w:tc>
        <w:tc>
          <w:tcPr>
            <w:tcW w:w="920" w:type="dxa"/>
            <w:vAlign w:val="bottom"/>
          </w:tcPr>
          <w:p>
            <w:pPr>
              <w:spacing w:after="0" w:line="180" w:lineRule="exact"/>
              <w:rPr>
                <w:sz w:val="20"/>
                <w:szCs w:val="20"/>
                <w:color w:val="auto"/>
              </w:rPr>
            </w:pPr>
            <w:r>
              <w:rPr>
                <w:rFonts w:ascii="Times New Roman" w:cs="Times New Roman" w:eastAsia="Times New Roman" w:hAnsi="Times New Roman"/>
                <w:sz w:val="16"/>
                <w:szCs w:val="16"/>
                <w:b w:val="1"/>
                <w:bCs w:val="1"/>
                <w:color w:val="auto"/>
              </w:rPr>
              <w:t>Named</w:t>
            </w:r>
          </w:p>
        </w:tc>
        <w:tc>
          <w:tcPr>
            <w:tcW w:w="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920" w:type="dxa"/>
            <w:vAlign w:val="bottom"/>
          </w:tcPr>
          <w:p>
            <w:pPr>
              <w:ind w:left="60"/>
              <w:spacing w:after="0" w:line="180" w:lineRule="exact"/>
              <w:rPr>
                <w:sz w:val="20"/>
                <w:szCs w:val="20"/>
                <w:color w:val="auto"/>
              </w:rPr>
            </w:pPr>
            <w:r>
              <w:rPr>
                <w:rFonts w:ascii="Times New Roman" w:cs="Times New Roman" w:eastAsia="Times New Roman" w:hAnsi="Times New Roman"/>
                <w:sz w:val="16"/>
                <w:szCs w:val="16"/>
                <w:b w:val="1"/>
                <w:bCs w:val="1"/>
                <w:color w:val="auto"/>
              </w:rPr>
              <w:t>unexercised</w:t>
            </w:r>
          </w:p>
        </w:tc>
        <w:tc>
          <w:tcPr>
            <w:tcW w:w="840" w:type="dxa"/>
            <w:vAlign w:val="bottom"/>
          </w:tcPr>
          <w:p>
            <w:pPr>
              <w:ind w:left="120"/>
              <w:spacing w:after="0" w:line="180" w:lineRule="exact"/>
              <w:rPr>
                <w:sz w:val="20"/>
                <w:szCs w:val="20"/>
                <w:color w:val="auto"/>
              </w:rPr>
            </w:pPr>
            <w:r>
              <w:rPr>
                <w:rFonts w:ascii="Times New Roman" w:cs="Times New Roman" w:eastAsia="Times New Roman" w:hAnsi="Times New Roman"/>
                <w:sz w:val="16"/>
                <w:szCs w:val="16"/>
                <w:b w:val="1"/>
                <w:bCs w:val="1"/>
                <w:color w:val="auto"/>
              </w:rPr>
              <w:t>(#)</w:t>
            </w:r>
          </w:p>
        </w:tc>
        <w:tc>
          <w:tcPr>
            <w:tcW w:w="1020" w:type="dxa"/>
            <w:vAlign w:val="bottom"/>
          </w:tcPr>
          <w:p>
            <w:pPr>
              <w:ind w:left="100"/>
              <w:spacing w:after="0" w:line="180" w:lineRule="exact"/>
              <w:rPr>
                <w:sz w:val="20"/>
                <w:szCs w:val="20"/>
                <w:color w:val="auto"/>
              </w:rPr>
            </w:pPr>
            <w:r>
              <w:rPr>
                <w:rFonts w:ascii="Times New Roman" w:cs="Times New Roman" w:eastAsia="Times New Roman" w:hAnsi="Times New Roman"/>
                <w:sz w:val="16"/>
                <w:szCs w:val="16"/>
                <w:b w:val="1"/>
                <w:bCs w:val="1"/>
                <w:color w:val="auto"/>
              </w:rPr>
              <w:t>unexercised</w:t>
            </w:r>
          </w:p>
        </w:tc>
        <w:tc>
          <w:tcPr>
            <w:tcW w:w="820" w:type="dxa"/>
            <w:vAlign w:val="bottom"/>
          </w:tcPr>
          <w:p>
            <w:pPr>
              <w:ind w:left="120"/>
              <w:spacing w:after="0" w:line="180" w:lineRule="exact"/>
              <w:rPr>
                <w:sz w:val="20"/>
                <w:szCs w:val="20"/>
                <w:color w:val="auto"/>
              </w:rPr>
            </w:pPr>
            <w:r>
              <w:rPr>
                <w:rFonts w:ascii="Times New Roman" w:cs="Times New Roman" w:eastAsia="Times New Roman" w:hAnsi="Times New Roman"/>
                <w:sz w:val="16"/>
                <w:szCs w:val="16"/>
                <w:b w:val="1"/>
                <w:bCs w:val="1"/>
                <w:color w:val="auto"/>
              </w:rPr>
              <w:t>Option</w:t>
            </w:r>
          </w:p>
        </w:tc>
        <w:tc>
          <w:tcPr>
            <w:tcW w:w="700" w:type="dxa"/>
            <w:vAlign w:val="bottom"/>
          </w:tcPr>
          <w:p>
            <w:pPr>
              <w:ind w:left="120"/>
              <w:spacing w:after="0" w:line="180" w:lineRule="exact"/>
              <w:rPr>
                <w:sz w:val="20"/>
                <w:szCs w:val="20"/>
                <w:color w:val="auto"/>
              </w:rPr>
            </w:pPr>
            <w:r>
              <w:rPr>
                <w:rFonts w:ascii="Times New Roman" w:cs="Times New Roman" w:eastAsia="Times New Roman" w:hAnsi="Times New Roman"/>
                <w:sz w:val="16"/>
                <w:szCs w:val="16"/>
                <w:b w:val="1"/>
                <w:bCs w:val="1"/>
                <w:color w:val="auto"/>
              </w:rPr>
              <w:t>expira-</w:t>
            </w:r>
          </w:p>
        </w:tc>
        <w:tc>
          <w:tcPr>
            <w:tcW w:w="60" w:type="dxa"/>
            <w:vAlign w:val="bottom"/>
          </w:tcPr>
          <w:p>
            <w:pPr>
              <w:spacing w:after="0"/>
              <w:rPr>
                <w:sz w:val="15"/>
                <w:szCs w:val="15"/>
                <w:color w:val="auto"/>
              </w:rPr>
            </w:pPr>
          </w:p>
        </w:tc>
        <w:tc>
          <w:tcPr>
            <w:tcW w:w="700" w:type="dxa"/>
            <w:vAlign w:val="bottom"/>
            <w:gridSpan w:val="2"/>
          </w:tcPr>
          <w:p>
            <w:pPr>
              <w:ind w:left="40"/>
              <w:spacing w:after="0" w:line="180" w:lineRule="exact"/>
              <w:rPr>
                <w:sz w:val="20"/>
                <w:szCs w:val="20"/>
                <w:color w:val="auto"/>
              </w:rPr>
            </w:pPr>
            <w:r>
              <w:rPr>
                <w:rFonts w:ascii="Times New Roman" w:cs="Times New Roman" w:eastAsia="Times New Roman" w:hAnsi="Times New Roman"/>
                <w:sz w:val="16"/>
                <w:szCs w:val="16"/>
                <w:b w:val="1"/>
                <w:bCs w:val="1"/>
                <w:color w:val="auto"/>
              </w:rPr>
              <w:t>have not</w:t>
            </w:r>
          </w:p>
        </w:tc>
        <w:tc>
          <w:tcPr>
            <w:tcW w:w="860" w:type="dxa"/>
            <w:vAlign w:val="bottom"/>
            <w:gridSpan w:val="2"/>
          </w:tcPr>
          <w:p>
            <w:pPr>
              <w:ind w:left="140"/>
              <w:spacing w:after="0" w:line="180" w:lineRule="exact"/>
              <w:rPr>
                <w:sz w:val="20"/>
                <w:szCs w:val="20"/>
                <w:color w:val="auto"/>
              </w:rPr>
            </w:pPr>
            <w:r>
              <w:rPr>
                <w:rFonts w:ascii="Times New Roman" w:cs="Times New Roman" w:eastAsia="Times New Roman" w:hAnsi="Times New Roman"/>
                <w:sz w:val="16"/>
                <w:szCs w:val="16"/>
                <w:b w:val="1"/>
                <w:bCs w:val="1"/>
                <w:color w:val="auto"/>
              </w:rPr>
              <w:t>have not</w:t>
            </w:r>
          </w:p>
        </w:tc>
        <w:tc>
          <w:tcPr>
            <w:tcW w:w="800" w:type="dxa"/>
            <w:vAlign w:val="bottom"/>
          </w:tcPr>
          <w:p>
            <w:pPr>
              <w:ind w:left="40"/>
              <w:spacing w:after="0" w:line="180" w:lineRule="exact"/>
              <w:rPr>
                <w:sz w:val="20"/>
                <w:szCs w:val="20"/>
                <w:color w:val="auto"/>
              </w:rPr>
            </w:pPr>
            <w:r>
              <w:rPr>
                <w:rFonts w:ascii="Times New Roman" w:cs="Times New Roman" w:eastAsia="Times New Roman" w:hAnsi="Times New Roman"/>
                <w:sz w:val="16"/>
                <w:szCs w:val="16"/>
                <w:b w:val="1"/>
                <w:bCs w:val="1"/>
                <w:color w:val="auto"/>
              </w:rPr>
              <w:t>that have</w:t>
            </w:r>
          </w:p>
        </w:tc>
        <w:tc>
          <w:tcPr>
            <w:tcW w:w="860" w:type="dxa"/>
            <w:vAlign w:val="bottom"/>
          </w:tcPr>
          <w:p>
            <w:pPr>
              <w:ind w:left="120"/>
              <w:spacing w:after="0" w:line="180" w:lineRule="exact"/>
              <w:rPr>
                <w:sz w:val="20"/>
                <w:szCs w:val="20"/>
                <w:color w:val="auto"/>
              </w:rPr>
            </w:pPr>
            <w:r>
              <w:rPr>
                <w:rFonts w:ascii="Times New Roman" w:cs="Times New Roman" w:eastAsia="Times New Roman" w:hAnsi="Times New Roman"/>
                <w:sz w:val="16"/>
                <w:szCs w:val="16"/>
                <w:b w:val="1"/>
                <w:bCs w:val="1"/>
                <w:color w:val="auto"/>
              </w:rPr>
              <w:t>not</w:t>
            </w:r>
          </w:p>
        </w:tc>
        <w:tc>
          <w:tcPr>
            <w:tcW w:w="0" w:type="dxa"/>
            <w:vAlign w:val="bottom"/>
          </w:tcPr>
          <w:p>
            <w:pPr>
              <w:spacing w:after="0"/>
              <w:rPr>
                <w:sz w:val="1"/>
                <w:szCs w:val="1"/>
                <w:color w:val="auto"/>
              </w:rPr>
            </w:pPr>
          </w:p>
        </w:tc>
      </w:tr>
      <w:tr>
        <w:trPr>
          <w:trHeight w:val="187"/>
        </w:trPr>
        <w:tc>
          <w:tcPr>
            <w:tcW w:w="40" w:type="dxa"/>
            <w:vAlign w:val="bottom"/>
          </w:tcPr>
          <w:p>
            <w:pPr>
              <w:spacing w:after="0"/>
              <w:rPr>
                <w:sz w:val="16"/>
                <w:szCs w:val="16"/>
                <w:color w:val="auto"/>
              </w:rPr>
            </w:pPr>
          </w:p>
        </w:tc>
        <w:tc>
          <w:tcPr>
            <w:tcW w:w="920" w:type="dxa"/>
            <w:vAlign w:val="bottom"/>
          </w:tcPr>
          <w:p>
            <w:pPr>
              <w:spacing w:after="0"/>
              <w:rPr>
                <w:sz w:val="20"/>
                <w:szCs w:val="20"/>
                <w:color w:val="auto"/>
              </w:rPr>
            </w:pPr>
            <w:r>
              <w:rPr>
                <w:rFonts w:ascii="Times New Roman" w:cs="Times New Roman" w:eastAsia="Times New Roman" w:hAnsi="Times New Roman"/>
                <w:sz w:val="16"/>
                <w:szCs w:val="16"/>
                <w:b w:val="1"/>
                <w:bCs w:val="1"/>
                <w:color w:val="auto"/>
              </w:rPr>
              <w:t>Executive</w:t>
            </w:r>
          </w:p>
        </w:tc>
        <w:tc>
          <w:tcPr>
            <w:tcW w:w="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40" w:type="dxa"/>
            <w:vAlign w:val="bottom"/>
            <w:gridSpan w:val="2"/>
          </w:tcPr>
          <w:p>
            <w:pPr>
              <w:spacing w:after="0"/>
              <w:rPr>
                <w:sz w:val="20"/>
                <w:szCs w:val="20"/>
                <w:color w:val="auto"/>
              </w:rPr>
            </w:pPr>
            <w:r>
              <w:rPr>
                <w:rFonts w:ascii="Times New Roman" w:cs="Times New Roman" w:eastAsia="Times New Roman" w:hAnsi="Times New Roman"/>
                <w:sz w:val="16"/>
                <w:szCs w:val="16"/>
                <w:b w:val="1"/>
                <w:bCs w:val="1"/>
                <w:color w:val="auto"/>
              </w:rPr>
              <w:t>Vesting</w:t>
            </w:r>
          </w:p>
        </w:tc>
        <w:tc>
          <w:tcPr>
            <w:tcW w:w="920" w:type="dxa"/>
            <w:vAlign w:val="bottom"/>
          </w:tcPr>
          <w:p>
            <w:pPr>
              <w:ind w:left="60"/>
              <w:spacing w:after="0"/>
              <w:rPr>
                <w:sz w:val="20"/>
                <w:szCs w:val="20"/>
                <w:color w:val="auto"/>
              </w:rPr>
            </w:pPr>
            <w:r>
              <w:rPr>
                <w:rFonts w:ascii="Times New Roman" w:cs="Times New Roman" w:eastAsia="Times New Roman" w:hAnsi="Times New Roman"/>
                <w:sz w:val="16"/>
                <w:szCs w:val="16"/>
                <w:b w:val="1"/>
                <w:bCs w:val="1"/>
                <w:color w:val="auto"/>
              </w:rPr>
              <w:t>options (#)</w:t>
            </w:r>
          </w:p>
        </w:tc>
        <w:tc>
          <w:tcPr>
            <w:tcW w:w="840" w:type="dxa"/>
            <w:vAlign w:val="bottom"/>
          </w:tcPr>
          <w:p>
            <w:pPr>
              <w:ind w:left="120"/>
              <w:spacing w:after="0"/>
              <w:rPr>
                <w:sz w:val="20"/>
                <w:szCs w:val="20"/>
                <w:color w:val="auto"/>
              </w:rPr>
            </w:pPr>
            <w:r>
              <w:rPr>
                <w:rFonts w:ascii="Times New Roman" w:cs="Times New Roman" w:eastAsia="Times New Roman" w:hAnsi="Times New Roman"/>
                <w:sz w:val="16"/>
                <w:szCs w:val="16"/>
                <w:b w:val="1"/>
                <w:bCs w:val="1"/>
                <w:color w:val="auto"/>
              </w:rPr>
              <w:t>unexercis</w:t>
            </w:r>
          </w:p>
        </w:tc>
        <w:tc>
          <w:tcPr>
            <w:tcW w:w="1020" w:type="dxa"/>
            <w:vAlign w:val="bottom"/>
          </w:tcPr>
          <w:p>
            <w:pPr>
              <w:ind w:left="100"/>
              <w:spacing w:after="0"/>
              <w:rPr>
                <w:sz w:val="20"/>
                <w:szCs w:val="20"/>
                <w:color w:val="auto"/>
              </w:rPr>
            </w:pPr>
            <w:r>
              <w:rPr>
                <w:rFonts w:ascii="Times New Roman" w:cs="Times New Roman" w:eastAsia="Times New Roman" w:hAnsi="Times New Roman"/>
                <w:sz w:val="16"/>
                <w:szCs w:val="16"/>
                <w:b w:val="1"/>
                <w:bCs w:val="1"/>
                <w:color w:val="auto"/>
              </w:rPr>
              <w:t>unearned</w:t>
            </w:r>
          </w:p>
        </w:tc>
        <w:tc>
          <w:tcPr>
            <w:tcW w:w="820" w:type="dxa"/>
            <w:vAlign w:val="bottom"/>
          </w:tcPr>
          <w:p>
            <w:pPr>
              <w:ind w:left="120"/>
              <w:spacing w:after="0"/>
              <w:rPr>
                <w:sz w:val="20"/>
                <w:szCs w:val="20"/>
                <w:color w:val="auto"/>
              </w:rPr>
            </w:pPr>
            <w:r>
              <w:rPr>
                <w:rFonts w:ascii="Times New Roman" w:cs="Times New Roman" w:eastAsia="Times New Roman" w:hAnsi="Times New Roman"/>
                <w:sz w:val="16"/>
                <w:szCs w:val="16"/>
                <w:b w:val="1"/>
                <w:bCs w:val="1"/>
                <w:color w:val="auto"/>
              </w:rPr>
              <w:t>exercise</w:t>
            </w:r>
          </w:p>
        </w:tc>
        <w:tc>
          <w:tcPr>
            <w:tcW w:w="700" w:type="dxa"/>
            <w:vAlign w:val="bottom"/>
          </w:tcPr>
          <w:p>
            <w:pPr>
              <w:ind w:left="120"/>
              <w:spacing w:after="0"/>
              <w:rPr>
                <w:sz w:val="20"/>
                <w:szCs w:val="20"/>
                <w:color w:val="auto"/>
              </w:rPr>
            </w:pPr>
            <w:r>
              <w:rPr>
                <w:rFonts w:ascii="Times New Roman" w:cs="Times New Roman" w:eastAsia="Times New Roman" w:hAnsi="Times New Roman"/>
                <w:sz w:val="16"/>
                <w:szCs w:val="16"/>
                <w:b w:val="1"/>
                <w:bCs w:val="1"/>
                <w:color w:val="auto"/>
              </w:rPr>
              <w:t>tion</w:t>
            </w:r>
          </w:p>
        </w:tc>
        <w:tc>
          <w:tcPr>
            <w:tcW w:w="60" w:type="dxa"/>
            <w:vAlign w:val="bottom"/>
          </w:tcPr>
          <w:p>
            <w:pPr>
              <w:spacing w:after="0"/>
              <w:rPr>
                <w:sz w:val="16"/>
                <w:szCs w:val="16"/>
                <w:color w:val="auto"/>
              </w:rPr>
            </w:pPr>
          </w:p>
        </w:tc>
        <w:tc>
          <w:tcPr>
            <w:tcW w:w="700" w:type="dxa"/>
            <w:vAlign w:val="bottom"/>
            <w:gridSpan w:val="2"/>
          </w:tcPr>
          <w:p>
            <w:pPr>
              <w:ind w:left="40"/>
              <w:spacing w:after="0"/>
              <w:rPr>
                <w:sz w:val="20"/>
                <w:szCs w:val="20"/>
                <w:color w:val="auto"/>
              </w:rPr>
            </w:pPr>
            <w:r>
              <w:rPr>
                <w:rFonts w:ascii="Times New Roman" w:cs="Times New Roman" w:eastAsia="Times New Roman" w:hAnsi="Times New Roman"/>
                <w:sz w:val="16"/>
                <w:szCs w:val="16"/>
                <w:b w:val="1"/>
                <w:bCs w:val="1"/>
                <w:color w:val="auto"/>
              </w:rPr>
              <w:t>vested</w:t>
            </w:r>
          </w:p>
        </w:tc>
        <w:tc>
          <w:tcPr>
            <w:tcW w:w="860" w:type="dxa"/>
            <w:vAlign w:val="bottom"/>
            <w:gridSpan w:val="2"/>
          </w:tcPr>
          <w:p>
            <w:pPr>
              <w:ind w:left="140"/>
              <w:spacing w:after="0"/>
              <w:rPr>
                <w:sz w:val="20"/>
                <w:szCs w:val="20"/>
                <w:color w:val="auto"/>
              </w:rPr>
            </w:pPr>
            <w:r>
              <w:rPr>
                <w:rFonts w:ascii="Times New Roman" w:cs="Times New Roman" w:eastAsia="Times New Roman" w:hAnsi="Times New Roman"/>
                <w:sz w:val="16"/>
                <w:szCs w:val="16"/>
                <w:b w:val="1"/>
                <w:bCs w:val="1"/>
                <w:color w:val="auto"/>
              </w:rPr>
              <w:t>vested</w:t>
            </w:r>
          </w:p>
        </w:tc>
        <w:tc>
          <w:tcPr>
            <w:tcW w:w="800" w:type="dxa"/>
            <w:vAlign w:val="bottom"/>
          </w:tcPr>
          <w:p>
            <w:pPr>
              <w:ind w:left="40"/>
              <w:spacing w:after="0"/>
              <w:rPr>
                <w:sz w:val="20"/>
                <w:szCs w:val="20"/>
                <w:color w:val="auto"/>
              </w:rPr>
            </w:pPr>
            <w:r>
              <w:rPr>
                <w:rFonts w:ascii="Times New Roman" w:cs="Times New Roman" w:eastAsia="Times New Roman" w:hAnsi="Times New Roman"/>
                <w:sz w:val="16"/>
                <w:szCs w:val="16"/>
                <w:b w:val="1"/>
                <w:bCs w:val="1"/>
                <w:color w:val="auto"/>
              </w:rPr>
              <w:t>not</w:t>
            </w:r>
          </w:p>
        </w:tc>
        <w:tc>
          <w:tcPr>
            <w:tcW w:w="860" w:type="dxa"/>
            <w:vAlign w:val="bottom"/>
          </w:tcPr>
          <w:p>
            <w:pPr>
              <w:ind w:left="120"/>
              <w:spacing w:after="0"/>
              <w:rPr>
                <w:sz w:val="20"/>
                <w:szCs w:val="20"/>
                <w:color w:val="auto"/>
              </w:rPr>
            </w:pPr>
            <w:r>
              <w:rPr>
                <w:rFonts w:ascii="Times New Roman" w:cs="Times New Roman" w:eastAsia="Times New Roman" w:hAnsi="Times New Roman"/>
                <w:sz w:val="16"/>
                <w:szCs w:val="16"/>
                <w:b w:val="1"/>
                <w:bCs w:val="1"/>
                <w:color w:val="auto"/>
              </w:rPr>
              <w:t>vested</w:t>
            </w:r>
          </w:p>
        </w:tc>
        <w:tc>
          <w:tcPr>
            <w:tcW w:w="0" w:type="dxa"/>
            <w:vAlign w:val="bottom"/>
          </w:tcPr>
          <w:p>
            <w:pPr>
              <w:spacing w:after="0"/>
              <w:rPr>
                <w:sz w:val="1"/>
                <w:szCs w:val="1"/>
                <w:color w:val="auto"/>
              </w:rPr>
            </w:pPr>
          </w:p>
        </w:tc>
      </w:tr>
      <w:tr>
        <w:trPr>
          <w:trHeight w:val="228"/>
        </w:trPr>
        <w:tc>
          <w:tcPr>
            <w:tcW w:w="4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6"/>
                <w:szCs w:val="16"/>
                <w:b w:val="1"/>
                <w:bCs w:val="1"/>
                <w:color w:val="auto"/>
              </w:rPr>
              <w:t>Officer</w:t>
            </w:r>
          </w:p>
        </w:tc>
        <w:tc>
          <w:tcPr>
            <w:tcW w:w="40" w:type="dxa"/>
            <w:vAlign w:val="bottom"/>
            <w:tcBorders>
              <w:bottom w:val="single" w:sz="8" w:color="auto"/>
            </w:tcBorders>
          </w:tcPr>
          <w:p>
            <w:pPr>
              <w:spacing w:after="0"/>
              <w:rPr>
                <w:sz w:val="19"/>
                <w:szCs w:val="19"/>
                <w:color w:val="auto"/>
              </w:rPr>
            </w:pPr>
          </w:p>
        </w:tc>
        <w:tc>
          <w:tcPr>
            <w:tcW w:w="6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6"/>
                <w:szCs w:val="16"/>
                <w:b w:val="1"/>
                <w:bCs w:val="1"/>
                <w:color w:val="auto"/>
              </w:rPr>
              <w:t>Grant Date</w:t>
            </w:r>
          </w:p>
        </w:tc>
        <w:tc>
          <w:tcPr>
            <w:tcW w:w="100" w:type="dxa"/>
            <w:vAlign w:val="bottom"/>
            <w:tcBorders>
              <w:bottom w:val="single" w:sz="8" w:color="auto"/>
            </w:tcBorders>
          </w:tcPr>
          <w:p>
            <w:pPr>
              <w:spacing w:after="0"/>
              <w:rPr>
                <w:sz w:val="19"/>
                <w:szCs w:val="19"/>
                <w:color w:val="auto"/>
              </w:rPr>
            </w:pPr>
          </w:p>
        </w:tc>
        <w:tc>
          <w:tcPr>
            <w:tcW w:w="64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6"/>
                <w:szCs w:val="16"/>
                <w:b w:val="1"/>
                <w:bCs w:val="1"/>
                <w:color w:val="auto"/>
              </w:rPr>
              <w:t>Date</w:t>
            </w:r>
          </w:p>
        </w:tc>
        <w:tc>
          <w:tcPr>
            <w:tcW w:w="920" w:type="dxa"/>
            <w:vAlign w:val="bottom"/>
            <w:tcBorders>
              <w:bottom w:val="single" w:sz="8" w:color="auto"/>
            </w:tcBorders>
          </w:tcPr>
          <w:p>
            <w:pPr>
              <w:ind w:left="60"/>
              <w:spacing w:after="0"/>
              <w:rPr>
                <w:sz w:val="20"/>
                <w:szCs w:val="20"/>
                <w:color w:val="auto"/>
              </w:rPr>
            </w:pPr>
            <w:r>
              <w:rPr>
                <w:rFonts w:ascii="Times New Roman" w:cs="Times New Roman" w:eastAsia="Times New Roman" w:hAnsi="Times New Roman"/>
                <w:sz w:val="16"/>
                <w:szCs w:val="16"/>
                <w:b w:val="1"/>
                <w:bCs w:val="1"/>
                <w:color w:val="auto"/>
              </w:rPr>
              <w:t>exercisable</w:t>
            </w:r>
          </w:p>
        </w:tc>
        <w:tc>
          <w:tcPr>
            <w:tcW w:w="840" w:type="dxa"/>
            <w:vAlign w:val="bottom"/>
            <w:tcBorders>
              <w:bottom w:val="single" w:sz="8" w:color="auto"/>
            </w:tcBorders>
          </w:tcPr>
          <w:p>
            <w:pPr>
              <w:ind w:left="120"/>
              <w:spacing w:after="0"/>
              <w:rPr>
                <w:sz w:val="20"/>
                <w:szCs w:val="20"/>
                <w:color w:val="auto"/>
              </w:rPr>
            </w:pPr>
            <w:r>
              <w:rPr>
                <w:rFonts w:ascii="Times New Roman" w:cs="Times New Roman" w:eastAsia="Times New Roman" w:hAnsi="Times New Roman"/>
                <w:sz w:val="16"/>
                <w:szCs w:val="16"/>
                <w:b w:val="1"/>
                <w:bCs w:val="1"/>
                <w:color w:val="auto"/>
              </w:rPr>
              <w:t>able</w:t>
            </w:r>
          </w:p>
        </w:tc>
        <w:tc>
          <w:tcPr>
            <w:tcW w:w="1020" w:type="dxa"/>
            <w:vAlign w:val="bottom"/>
            <w:tcBorders>
              <w:bottom w:val="single" w:sz="8" w:color="auto"/>
            </w:tcBorders>
          </w:tcPr>
          <w:p>
            <w:pPr>
              <w:ind w:left="100"/>
              <w:spacing w:after="0"/>
              <w:rPr>
                <w:sz w:val="20"/>
                <w:szCs w:val="20"/>
                <w:color w:val="auto"/>
              </w:rPr>
            </w:pPr>
            <w:r>
              <w:rPr>
                <w:rFonts w:ascii="Times New Roman" w:cs="Times New Roman" w:eastAsia="Times New Roman" w:hAnsi="Times New Roman"/>
                <w:sz w:val="16"/>
                <w:szCs w:val="16"/>
                <w:b w:val="1"/>
                <w:bCs w:val="1"/>
                <w:color w:val="auto"/>
              </w:rPr>
              <w:t>options (#)</w:t>
            </w:r>
          </w:p>
        </w:tc>
        <w:tc>
          <w:tcPr>
            <w:tcW w:w="820" w:type="dxa"/>
            <w:vAlign w:val="bottom"/>
            <w:tcBorders>
              <w:bottom w:val="single" w:sz="8" w:color="auto"/>
            </w:tcBorders>
          </w:tcPr>
          <w:p>
            <w:pPr>
              <w:ind w:left="120"/>
              <w:spacing w:after="0"/>
              <w:rPr>
                <w:sz w:val="20"/>
                <w:szCs w:val="20"/>
                <w:color w:val="auto"/>
              </w:rPr>
            </w:pPr>
            <w:r>
              <w:rPr>
                <w:rFonts w:ascii="Times New Roman" w:cs="Times New Roman" w:eastAsia="Times New Roman" w:hAnsi="Times New Roman"/>
                <w:sz w:val="16"/>
                <w:szCs w:val="16"/>
                <w:b w:val="1"/>
                <w:bCs w:val="1"/>
                <w:color w:val="auto"/>
              </w:rPr>
              <w:t>price ($)</w:t>
            </w:r>
          </w:p>
        </w:tc>
        <w:tc>
          <w:tcPr>
            <w:tcW w:w="700" w:type="dxa"/>
            <w:vAlign w:val="bottom"/>
            <w:tcBorders>
              <w:bottom w:val="single" w:sz="8" w:color="auto"/>
            </w:tcBorders>
          </w:tcPr>
          <w:p>
            <w:pPr>
              <w:ind w:left="120"/>
              <w:spacing w:after="0"/>
              <w:rPr>
                <w:sz w:val="20"/>
                <w:szCs w:val="20"/>
                <w:color w:val="auto"/>
              </w:rPr>
            </w:pPr>
            <w:r>
              <w:rPr>
                <w:rFonts w:ascii="Times New Roman" w:cs="Times New Roman" w:eastAsia="Times New Roman" w:hAnsi="Times New Roman"/>
                <w:sz w:val="16"/>
                <w:szCs w:val="16"/>
                <w:b w:val="1"/>
                <w:bCs w:val="1"/>
                <w:color w:val="auto"/>
              </w:rPr>
              <w:t>date</w:t>
            </w:r>
          </w:p>
        </w:tc>
        <w:tc>
          <w:tcPr>
            <w:tcW w:w="760" w:type="dxa"/>
            <w:vAlign w:val="bottom"/>
            <w:tcBorders>
              <w:bottom w:val="single" w:sz="8" w:color="auto"/>
            </w:tcBorders>
            <w:gridSpan w:val="3"/>
          </w:tcPr>
          <w:p>
            <w:pPr>
              <w:ind w:left="100"/>
              <w:spacing w:after="0"/>
              <w:rPr>
                <w:sz w:val="20"/>
                <w:szCs w:val="20"/>
                <w:color w:val="auto"/>
              </w:rPr>
            </w:pPr>
            <w:r>
              <w:rPr>
                <w:rFonts w:ascii="Times New Roman" w:cs="Times New Roman" w:eastAsia="Times New Roman" w:hAnsi="Times New Roman"/>
                <w:sz w:val="16"/>
                <w:szCs w:val="16"/>
                <w:b w:val="1"/>
                <w:bCs w:val="1"/>
                <w:color w:val="auto"/>
              </w:rPr>
              <w:t>(#)</w:t>
            </w:r>
          </w:p>
        </w:tc>
        <w:tc>
          <w:tcPr>
            <w:tcW w:w="860" w:type="dxa"/>
            <w:vAlign w:val="bottom"/>
            <w:tcBorders>
              <w:bottom w:val="single" w:sz="8" w:color="auto"/>
            </w:tcBorders>
            <w:gridSpan w:val="2"/>
          </w:tcPr>
          <w:p>
            <w:pPr>
              <w:ind w:left="140"/>
              <w:spacing w:after="0" w:line="203" w:lineRule="exact"/>
              <w:rPr>
                <w:sz w:val="20"/>
                <w:szCs w:val="20"/>
                <w:color w:val="auto"/>
              </w:rPr>
            </w:pPr>
            <w:r>
              <w:rPr>
                <w:rFonts w:ascii="Times New Roman" w:cs="Times New Roman" w:eastAsia="Times New Roman" w:hAnsi="Times New Roman"/>
                <w:sz w:val="23"/>
                <w:szCs w:val="23"/>
                <w:b w:val="1"/>
                <w:bCs w:val="1"/>
                <w:color w:val="auto"/>
                <w:vertAlign w:val="subscript"/>
              </w:rPr>
              <w:t>($)</w:t>
            </w:r>
            <w:r>
              <w:rPr>
                <w:rFonts w:ascii="Times New Roman" w:cs="Times New Roman" w:eastAsia="Times New Roman" w:hAnsi="Times New Roman"/>
                <w:sz w:val="9"/>
                <w:szCs w:val="9"/>
                <w:b w:val="1"/>
                <w:bCs w:val="1"/>
                <w:color w:val="auto"/>
              </w:rPr>
              <w:t>(1)</w:t>
            </w:r>
          </w:p>
        </w:tc>
        <w:tc>
          <w:tcPr>
            <w:tcW w:w="800" w:type="dxa"/>
            <w:vAlign w:val="bottom"/>
            <w:tcBorders>
              <w:bottom w:val="single" w:sz="8" w:color="auto"/>
            </w:tcBorders>
          </w:tcPr>
          <w:p>
            <w:pPr>
              <w:ind w:left="40"/>
              <w:spacing w:after="0"/>
              <w:rPr>
                <w:sz w:val="20"/>
                <w:szCs w:val="20"/>
                <w:color w:val="auto"/>
              </w:rPr>
            </w:pPr>
            <w:r>
              <w:rPr>
                <w:rFonts w:ascii="Times New Roman" w:cs="Times New Roman" w:eastAsia="Times New Roman" w:hAnsi="Times New Roman"/>
                <w:sz w:val="16"/>
                <w:szCs w:val="16"/>
                <w:b w:val="1"/>
                <w:bCs w:val="1"/>
                <w:color w:val="auto"/>
              </w:rPr>
              <w:t>vested (#)</w:t>
            </w:r>
          </w:p>
        </w:tc>
        <w:tc>
          <w:tcPr>
            <w:tcW w:w="860" w:type="dxa"/>
            <w:vAlign w:val="bottom"/>
            <w:tcBorders>
              <w:bottom w:val="single" w:sz="8" w:color="auto"/>
            </w:tcBorders>
          </w:tcPr>
          <w:p>
            <w:pPr>
              <w:ind w:left="120"/>
              <w:spacing w:after="0" w:line="204" w:lineRule="exact"/>
              <w:rPr>
                <w:sz w:val="20"/>
                <w:szCs w:val="20"/>
                <w:color w:val="auto"/>
              </w:rPr>
            </w:pPr>
            <w:r>
              <w:rPr>
                <w:rFonts w:ascii="Times New Roman" w:cs="Times New Roman" w:eastAsia="Times New Roman" w:hAnsi="Times New Roman"/>
                <w:sz w:val="16"/>
                <w:szCs w:val="16"/>
                <w:b w:val="1"/>
                <w:bCs w:val="1"/>
                <w:color w:val="auto"/>
              </w:rPr>
              <w:t>($)</w:t>
            </w:r>
            <w:r>
              <w:rPr>
                <w:rFonts w:ascii="Times New Roman" w:cs="Times New Roman" w:eastAsia="Times New Roman" w:hAnsi="Times New Roman"/>
                <w:sz w:val="20"/>
                <w:szCs w:val="20"/>
                <w:b w:val="1"/>
                <w:bCs w:val="1"/>
                <w:color w:val="auto"/>
                <w:vertAlign w:val="superscript"/>
              </w:rPr>
              <w:t>(1)</w:t>
            </w:r>
          </w:p>
        </w:tc>
        <w:tc>
          <w:tcPr>
            <w:tcW w:w="0" w:type="dxa"/>
            <w:vAlign w:val="bottom"/>
          </w:tcPr>
          <w:p>
            <w:pPr>
              <w:spacing w:after="0"/>
              <w:rPr>
                <w:sz w:val="1"/>
                <w:szCs w:val="1"/>
                <w:color w:val="auto"/>
              </w:rPr>
            </w:pPr>
          </w:p>
        </w:tc>
      </w:tr>
      <w:tr>
        <w:trPr>
          <w:trHeight w:val="206"/>
        </w:trPr>
        <w:tc>
          <w:tcPr>
            <w:tcW w:w="40" w:type="dxa"/>
            <w:vAlign w:val="bottom"/>
            <w:tcBorders>
              <w:top w:val="single" w:sz="8" w:color="DDDDDD"/>
            </w:tcBorders>
            <w:shd w:val="clear" w:color="auto" w:fill="DDDDDD"/>
          </w:tcPr>
          <w:p>
            <w:pPr>
              <w:spacing w:after="0"/>
              <w:rPr>
                <w:sz w:val="17"/>
                <w:szCs w:val="17"/>
                <w:color w:val="auto"/>
              </w:rPr>
            </w:pPr>
          </w:p>
        </w:tc>
        <w:tc>
          <w:tcPr>
            <w:tcW w:w="920" w:type="dxa"/>
            <w:vAlign w:val="bottom"/>
            <w:tcBorders>
              <w:top w:val="single" w:sz="8" w:color="DDDDDD"/>
              <w:right w:val="single" w:sz="8" w:color="DDDDDD"/>
            </w:tcBorders>
            <w:shd w:val="clear" w:color="auto" w:fill="DDDDDD"/>
          </w:tcPr>
          <w:p>
            <w:pPr>
              <w:spacing w:after="0" w:line="206" w:lineRule="exact"/>
              <w:rPr>
                <w:sz w:val="20"/>
                <w:szCs w:val="20"/>
                <w:color w:val="auto"/>
              </w:rPr>
            </w:pPr>
            <w:r>
              <w:rPr>
                <w:rFonts w:ascii="Times New Roman" w:cs="Times New Roman" w:eastAsia="Times New Roman" w:hAnsi="Times New Roman"/>
                <w:sz w:val="18"/>
                <w:szCs w:val="18"/>
                <w:color w:val="auto"/>
              </w:rPr>
              <w:t>Douglas</w:t>
            </w:r>
          </w:p>
        </w:tc>
        <w:tc>
          <w:tcPr>
            <w:tcW w:w="40" w:type="dxa"/>
            <w:vAlign w:val="bottom"/>
            <w:tcBorders>
              <w:top w:val="single" w:sz="8" w:color="DDDDDD"/>
            </w:tcBorders>
            <w:shd w:val="clear" w:color="auto" w:fill="DDDDDD"/>
          </w:tcPr>
          <w:p>
            <w:pPr>
              <w:spacing w:after="0"/>
              <w:rPr>
                <w:sz w:val="17"/>
                <w:szCs w:val="17"/>
                <w:color w:val="auto"/>
              </w:rPr>
            </w:pPr>
          </w:p>
        </w:tc>
        <w:tc>
          <w:tcPr>
            <w:tcW w:w="60" w:type="dxa"/>
            <w:vAlign w:val="bottom"/>
            <w:tcBorders>
              <w:top w:val="single" w:sz="8" w:color="DDDDDD"/>
            </w:tcBorders>
            <w:shd w:val="clear" w:color="auto" w:fill="DDDDDD"/>
          </w:tcPr>
          <w:p>
            <w:pPr>
              <w:spacing w:after="0"/>
              <w:rPr>
                <w:sz w:val="17"/>
                <w:szCs w:val="17"/>
                <w:color w:val="auto"/>
              </w:rPr>
            </w:pPr>
          </w:p>
        </w:tc>
        <w:tc>
          <w:tcPr>
            <w:tcW w:w="920" w:type="dxa"/>
            <w:vAlign w:val="bottom"/>
            <w:tcBorders>
              <w:top w:val="single" w:sz="8" w:color="DDDDDD"/>
            </w:tcBorders>
            <w:shd w:val="clear" w:color="auto" w:fill="DDDDDD"/>
          </w:tcPr>
          <w:p>
            <w:pPr>
              <w:spacing w:after="0" w:line="206" w:lineRule="exact"/>
              <w:rPr>
                <w:sz w:val="20"/>
                <w:szCs w:val="20"/>
                <w:color w:val="auto"/>
              </w:rPr>
            </w:pPr>
            <w:r>
              <w:rPr>
                <w:rFonts w:ascii="Times New Roman" w:cs="Times New Roman" w:eastAsia="Times New Roman" w:hAnsi="Times New Roman"/>
                <w:sz w:val="18"/>
                <w:szCs w:val="18"/>
                <w:color w:val="auto"/>
              </w:rPr>
              <w:t>8/26/2021</w:t>
            </w:r>
          </w:p>
        </w:tc>
        <w:tc>
          <w:tcPr>
            <w:tcW w:w="100" w:type="dxa"/>
            <w:vAlign w:val="bottom"/>
            <w:tcBorders>
              <w:top w:val="single" w:sz="8" w:color="DDDDDD"/>
            </w:tcBorders>
            <w:shd w:val="clear" w:color="auto" w:fill="DDDDDD"/>
          </w:tcPr>
          <w:p>
            <w:pPr>
              <w:spacing w:after="0"/>
              <w:rPr>
                <w:sz w:val="17"/>
                <w:szCs w:val="17"/>
                <w:color w:val="auto"/>
              </w:rPr>
            </w:pPr>
          </w:p>
        </w:tc>
        <w:tc>
          <w:tcPr>
            <w:tcW w:w="580" w:type="dxa"/>
            <w:vAlign w:val="bottom"/>
            <w:tcBorders>
              <w:top w:val="single" w:sz="8" w:color="DDDDDD"/>
            </w:tcBorders>
            <w:shd w:val="clear" w:color="auto" w:fill="DDDDDD"/>
          </w:tcPr>
          <w:p>
            <w:pPr>
              <w:spacing w:after="0" w:line="206" w:lineRule="exact"/>
              <w:rPr>
                <w:sz w:val="20"/>
                <w:szCs w:val="20"/>
                <w:color w:val="auto"/>
              </w:rPr>
            </w:pPr>
            <w:r>
              <w:rPr>
                <w:rFonts w:ascii="Times New Roman" w:cs="Times New Roman" w:eastAsia="Times New Roman" w:hAnsi="Times New Roman"/>
                <w:sz w:val="18"/>
                <w:szCs w:val="18"/>
                <w:color w:val="auto"/>
              </w:rPr>
              <w:t>(2)</w:t>
            </w:r>
          </w:p>
        </w:tc>
        <w:tc>
          <w:tcPr>
            <w:tcW w:w="60" w:type="dxa"/>
            <w:vAlign w:val="bottom"/>
            <w:tcBorders>
              <w:top w:val="single" w:sz="8" w:color="DDDDDD"/>
            </w:tcBorders>
            <w:shd w:val="clear" w:color="auto" w:fill="DDDDDD"/>
          </w:tcPr>
          <w:p>
            <w:pPr>
              <w:spacing w:after="0"/>
              <w:rPr>
                <w:sz w:val="17"/>
                <w:szCs w:val="17"/>
                <w:color w:val="auto"/>
              </w:rPr>
            </w:pPr>
          </w:p>
        </w:tc>
        <w:tc>
          <w:tcPr>
            <w:tcW w:w="920" w:type="dxa"/>
            <w:vAlign w:val="bottom"/>
            <w:tcBorders>
              <w:top w:val="single" w:sz="8" w:color="DDDDDD"/>
            </w:tcBorders>
            <w:shd w:val="clear" w:color="auto" w:fill="DDDDDD"/>
          </w:tcPr>
          <w:p>
            <w:pPr>
              <w:spacing w:after="0"/>
              <w:rPr>
                <w:sz w:val="17"/>
                <w:szCs w:val="17"/>
                <w:color w:val="auto"/>
              </w:rPr>
            </w:pPr>
          </w:p>
        </w:tc>
        <w:tc>
          <w:tcPr>
            <w:tcW w:w="840" w:type="dxa"/>
            <w:vAlign w:val="bottom"/>
            <w:tcBorders>
              <w:top w:val="single" w:sz="8" w:color="DDDDDD"/>
            </w:tcBorders>
            <w:shd w:val="clear" w:color="auto" w:fill="DDDDDD"/>
          </w:tcPr>
          <w:p>
            <w:pPr>
              <w:spacing w:after="0"/>
              <w:rPr>
                <w:sz w:val="17"/>
                <w:szCs w:val="17"/>
                <w:color w:val="auto"/>
              </w:rPr>
            </w:pPr>
          </w:p>
        </w:tc>
        <w:tc>
          <w:tcPr>
            <w:tcW w:w="1020" w:type="dxa"/>
            <w:vAlign w:val="bottom"/>
            <w:tcBorders>
              <w:top w:val="single" w:sz="8" w:color="DDDDDD"/>
            </w:tcBorders>
            <w:shd w:val="clear" w:color="auto" w:fill="DDDDDD"/>
          </w:tcPr>
          <w:p>
            <w:pPr>
              <w:spacing w:after="0"/>
              <w:rPr>
                <w:sz w:val="17"/>
                <w:szCs w:val="17"/>
                <w:color w:val="auto"/>
              </w:rPr>
            </w:pPr>
          </w:p>
        </w:tc>
        <w:tc>
          <w:tcPr>
            <w:tcW w:w="820" w:type="dxa"/>
            <w:vAlign w:val="bottom"/>
            <w:tcBorders>
              <w:top w:val="single" w:sz="8" w:color="DDDDDD"/>
            </w:tcBorders>
            <w:shd w:val="clear" w:color="auto" w:fill="DDDDDD"/>
          </w:tcPr>
          <w:p>
            <w:pPr>
              <w:spacing w:after="0"/>
              <w:rPr>
                <w:sz w:val="17"/>
                <w:szCs w:val="17"/>
                <w:color w:val="auto"/>
              </w:rPr>
            </w:pPr>
          </w:p>
        </w:tc>
        <w:tc>
          <w:tcPr>
            <w:tcW w:w="700" w:type="dxa"/>
            <w:vAlign w:val="bottom"/>
            <w:tcBorders>
              <w:top w:val="single" w:sz="8" w:color="DDDDDD"/>
            </w:tcBorders>
            <w:shd w:val="clear" w:color="auto" w:fill="DDDDDD"/>
          </w:tcPr>
          <w:p>
            <w:pPr>
              <w:spacing w:after="0"/>
              <w:rPr>
                <w:sz w:val="17"/>
                <w:szCs w:val="17"/>
                <w:color w:val="auto"/>
              </w:rPr>
            </w:pPr>
          </w:p>
        </w:tc>
        <w:tc>
          <w:tcPr>
            <w:tcW w:w="100" w:type="dxa"/>
            <w:vAlign w:val="bottom"/>
            <w:tcBorders>
              <w:top w:val="single" w:sz="8" w:color="DDDDDD"/>
            </w:tcBorders>
            <w:gridSpan w:val="2"/>
            <w:shd w:val="clear" w:color="auto" w:fill="DDDDDD"/>
          </w:tcPr>
          <w:p>
            <w:pPr>
              <w:spacing w:after="0"/>
              <w:rPr>
                <w:sz w:val="17"/>
                <w:szCs w:val="17"/>
                <w:color w:val="auto"/>
              </w:rPr>
            </w:pPr>
          </w:p>
        </w:tc>
        <w:tc>
          <w:tcPr>
            <w:tcW w:w="660" w:type="dxa"/>
            <w:vAlign w:val="bottom"/>
            <w:tcBorders>
              <w:top w:val="single" w:sz="8" w:color="DDDDDD"/>
            </w:tcBorders>
            <w:shd w:val="clear" w:color="auto" w:fill="DDDDDD"/>
          </w:tcPr>
          <w:p>
            <w:pPr>
              <w:spacing w:after="0" w:line="206" w:lineRule="exact"/>
              <w:rPr>
                <w:sz w:val="20"/>
                <w:szCs w:val="20"/>
                <w:color w:val="auto"/>
              </w:rPr>
            </w:pPr>
            <w:r>
              <w:rPr>
                <w:rFonts w:ascii="Times New Roman" w:cs="Times New Roman" w:eastAsia="Times New Roman" w:hAnsi="Times New Roman"/>
                <w:sz w:val="18"/>
                <w:szCs w:val="18"/>
                <w:color w:val="auto"/>
              </w:rPr>
              <w:t>10,094</w:t>
            </w:r>
          </w:p>
        </w:tc>
        <w:tc>
          <w:tcPr>
            <w:tcW w:w="140" w:type="dxa"/>
            <w:vAlign w:val="bottom"/>
            <w:tcBorders>
              <w:top w:val="single" w:sz="8" w:color="DDDDDD"/>
            </w:tcBorders>
            <w:shd w:val="clear" w:color="auto" w:fill="DDDDDD"/>
          </w:tcPr>
          <w:p>
            <w:pPr>
              <w:spacing w:after="0"/>
              <w:rPr>
                <w:sz w:val="17"/>
                <w:szCs w:val="17"/>
                <w:color w:val="auto"/>
              </w:rPr>
            </w:pPr>
          </w:p>
        </w:tc>
        <w:tc>
          <w:tcPr>
            <w:tcW w:w="720" w:type="dxa"/>
            <w:vAlign w:val="bottom"/>
            <w:tcBorders>
              <w:top w:val="single" w:sz="8" w:color="DDDDDD"/>
            </w:tcBorders>
            <w:shd w:val="clear" w:color="auto" w:fill="DDDDDD"/>
          </w:tcPr>
          <w:p>
            <w:pPr>
              <w:spacing w:after="0"/>
              <w:rPr>
                <w:sz w:val="17"/>
                <w:szCs w:val="17"/>
                <w:color w:val="auto"/>
              </w:rPr>
            </w:pPr>
          </w:p>
        </w:tc>
        <w:tc>
          <w:tcPr>
            <w:tcW w:w="800" w:type="dxa"/>
            <w:vAlign w:val="bottom"/>
            <w:tcBorders>
              <w:top w:val="single" w:sz="8" w:color="DDDDDD"/>
            </w:tcBorders>
            <w:shd w:val="clear" w:color="auto" w:fill="DDDDDD"/>
          </w:tcPr>
          <w:p>
            <w:pPr>
              <w:spacing w:after="0"/>
              <w:rPr>
                <w:sz w:val="17"/>
                <w:szCs w:val="17"/>
                <w:color w:val="auto"/>
              </w:rPr>
            </w:pPr>
          </w:p>
        </w:tc>
        <w:tc>
          <w:tcPr>
            <w:tcW w:w="860" w:type="dxa"/>
            <w:vAlign w:val="bottom"/>
            <w:tcBorders>
              <w:top w:val="single" w:sz="8" w:color="DDDDDD"/>
            </w:tcBorders>
            <w:shd w:val="clear" w:color="auto" w:fill="DDDDDD"/>
          </w:tcPr>
          <w:p>
            <w:pPr>
              <w:spacing w:after="0"/>
              <w:rPr>
                <w:sz w:val="17"/>
                <w:szCs w:val="17"/>
                <w:color w:val="auto"/>
              </w:rPr>
            </w:pPr>
          </w:p>
        </w:tc>
        <w:tc>
          <w:tcPr>
            <w:tcW w:w="0" w:type="dxa"/>
            <w:vAlign w:val="bottom"/>
          </w:tcPr>
          <w:p>
            <w:pPr>
              <w:spacing w:after="0"/>
              <w:rPr>
                <w:sz w:val="1"/>
                <w:szCs w:val="1"/>
                <w:color w:val="auto"/>
              </w:rPr>
            </w:pPr>
          </w:p>
        </w:tc>
      </w:tr>
      <w:tr>
        <w:trPr>
          <w:trHeight w:val="240"/>
        </w:trPr>
        <w:tc>
          <w:tcPr>
            <w:tcW w:w="40" w:type="dxa"/>
            <w:vAlign w:val="bottom"/>
            <w:shd w:val="clear" w:color="auto" w:fill="DDDDDD"/>
          </w:tcPr>
          <w:p>
            <w:pPr>
              <w:spacing w:after="0"/>
              <w:rPr>
                <w:sz w:val="20"/>
                <w:szCs w:val="20"/>
                <w:color w:val="auto"/>
              </w:rPr>
            </w:pPr>
          </w:p>
        </w:tc>
        <w:tc>
          <w:tcPr>
            <w:tcW w:w="920" w:type="dxa"/>
            <w:vAlign w:val="bottom"/>
            <w:tcBorders>
              <w:right w:val="single" w:sz="8" w:color="DDDDDD"/>
            </w:tcBorders>
            <w:shd w:val="clear" w:color="auto" w:fill="DDDDDD"/>
          </w:tcPr>
          <w:p>
            <w:pPr>
              <w:spacing w:after="0"/>
              <w:rPr>
                <w:sz w:val="20"/>
                <w:szCs w:val="20"/>
                <w:color w:val="auto"/>
              </w:rPr>
            </w:pPr>
            <w:r>
              <w:rPr>
                <w:rFonts w:ascii="Times New Roman" w:cs="Times New Roman" w:eastAsia="Times New Roman" w:hAnsi="Times New Roman"/>
                <w:sz w:val="18"/>
                <w:szCs w:val="18"/>
                <w:color w:val="auto"/>
              </w:rPr>
              <w:t>Francis</w:t>
            </w:r>
          </w:p>
        </w:tc>
        <w:tc>
          <w:tcPr>
            <w:tcW w:w="40" w:type="dxa"/>
            <w:vAlign w:val="bottom"/>
            <w:shd w:val="clear" w:color="auto" w:fill="DDDDDD"/>
          </w:tcPr>
          <w:p>
            <w:pPr>
              <w:spacing w:after="0"/>
              <w:rPr>
                <w:sz w:val="20"/>
                <w:szCs w:val="20"/>
                <w:color w:val="auto"/>
              </w:rPr>
            </w:pPr>
          </w:p>
        </w:tc>
        <w:tc>
          <w:tcPr>
            <w:tcW w:w="60" w:type="dxa"/>
            <w:vAlign w:val="bottom"/>
            <w:shd w:val="clear" w:color="auto" w:fill="DDDDDD"/>
          </w:tcPr>
          <w:p>
            <w:pPr>
              <w:spacing w:after="0"/>
              <w:rPr>
                <w:sz w:val="20"/>
                <w:szCs w:val="20"/>
                <w:color w:val="auto"/>
              </w:rPr>
            </w:pPr>
          </w:p>
        </w:tc>
        <w:tc>
          <w:tcPr>
            <w:tcW w:w="920" w:type="dxa"/>
            <w:vAlign w:val="bottom"/>
            <w:shd w:val="clear" w:color="auto" w:fill="DDDDDD"/>
          </w:tcPr>
          <w:p>
            <w:pPr>
              <w:spacing w:after="0"/>
              <w:rPr>
                <w:sz w:val="20"/>
                <w:szCs w:val="20"/>
                <w:color w:val="auto"/>
              </w:rPr>
            </w:pPr>
          </w:p>
        </w:tc>
        <w:tc>
          <w:tcPr>
            <w:tcW w:w="100" w:type="dxa"/>
            <w:vAlign w:val="bottom"/>
            <w:shd w:val="clear" w:color="auto" w:fill="DDDDDD"/>
          </w:tcPr>
          <w:p>
            <w:pPr>
              <w:spacing w:after="0"/>
              <w:rPr>
                <w:sz w:val="20"/>
                <w:szCs w:val="20"/>
                <w:color w:val="auto"/>
              </w:rPr>
            </w:pPr>
          </w:p>
        </w:tc>
        <w:tc>
          <w:tcPr>
            <w:tcW w:w="580" w:type="dxa"/>
            <w:vAlign w:val="bottom"/>
            <w:shd w:val="clear" w:color="auto" w:fill="DDDDDD"/>
          </w:tcPr>
          <w:p>
            <w:pPr>
              <w:spacing w:after="0"/>
              <w:rPr>
                <w:sz w:val="20"/>
                <w:szCs w:val="20"/>
                <w:color w:val="auto"/>
              </w:rPr>
            </w:pPr>
          </w:p>
        </w:tc>
        <w:tc>
          <w:tcPr>
            <w:tcW w:w="60" w:type="dxa"/>
            <w:vAlign w:val="bottom"/>
            <w:shd w:val="clear" w:color="auto" w:fill="DDDDDD"/>
          </w:tcPr>
          <w:p>
            <w:pPr>
              <w:spacing w:after="0"/>
              <w:rPr>
                <w:sz w:val="20"/>
                <w:szCs w:val="20"/>
                <w:color w:val="auto"/>
              </w:rPr>
            </w:pPr>
          </w:p>
        </w:tc>
        <w:tc>
          <w:tcPr>
            <w:tcW w:w="920" w:type="dxa"/>
            <w:vAlign w:val="bottom"/>
            <w:shd w:val="clear" w:color="auto" w:fill="DDDDDD"/>
          </w:tcPr>
          <w:p>
            <w:pPr>
              <w:spacing w:after="0"/>
              <w:rPr>
                <w:sz w:val="20"/>
                <w:szCs w:val="20"/>
                <w:color w:val="auto"/>
              </w:rPr>
            </w:pPr>
          </w:p>
        </w:tc>
        <w:tc>
          <w:tcPr>
            <w:tcW w:w="840" w:type="dxa"/>
            <w:vAlign w:val="bottom"/>
            <w:shd w:val="clear" w:color="auto" w:fill="DDDDDD"/>
          </w:tcPr>
          <w:p>
            <w:pPr>
              <w:spacing w:after="0"/>
              <w:rPr>
                <w:sz w:val="20"/>
                <w:szCs w:val="20"/>
                <w:color w:val="auto"/>
              </w:rPr>
            </w:pPr>
          </w:p>
        </w:tc>
        <w:tc>
          <w:tcPr>
            <w:tcW w:w="1020" w:type="dxa"/>
            <w:vAlign w:val="bottom"/>
            <w:shd w:val="clear" w:color="auto" w:fill="DDDDDD"/>
          </w:tcPr>
          <w:p>
            <w:pPr>
              <w:spacing w:after="0"/>
              <w:rPr>
                <w:sz w:val="20"/>
                <w:szCs w:val="20"/>
                <w:color w:val="auto"/>
              </w:rPr>
            </w:pPr>
          </w:p>
        </w:tc>
        <w:tc>
          <w:tcPr>
            <w:tcW w:w="820" w:type="dxa"/>
            <w:vAlign w:val="bottom"/>
            <w:shd w:val="clear" w:color="auto" w:fill="DDDDDD"/>
          </w:tcPr>
          <w:p>
            <w:pPr>
              <w:spacing w:after="0"/>
              <w:rPr>
                <w:sz w:val="20"/>
                <w:szCs w:val="20"/>
                <w:color w:val="auto"/>
              </w:rPr>
            </w:pPr>
          </w:p>
        </w:tc>
        <w:tc>
          <w:tcPr>
            <w:tcW w:w="700" w:type="dxa"/>
            <w:vAlign w:val="bottom"/>
            <w:shd w:val="clear" w:color="auto" w:fill="DDDDDD"/>
          </w:tcPr>
          <w:p>
            <w:pPr>
              <w:spacing w:after="0"/>
              <w:rPr>
                <w:sz w:val="20"/>
                <w:szCs w:val="20"/>
                <w:color w:val="auto"/>
              </w:rPr>
            </w:pPr>
          </w:p>
        </w:tc>
        <w:tc>
          <w:tcPr>
            <w:tcW w:w="60" w:type="dxa"/>
            <w:vAlign w:val="bottom"/>
            <w:shd w:val="clear" w:color="auto" w:fill="DDDDDD"/>
          </w:tcPr>
          <w:p>
            <w:pPr>
              <w:spacing w:after="0"/>
              <w:rPr>
                <w:sz w:val="20"/>
                <w:szCs w:val="20"/>
                <w:color w:val="auto"/>
              </w:rPr>
            </w:pPr>
          </w:p>
        </w:tc>
        <w:tc>
          <w:tcPr>
            <w:tcW w:w="40" w:type="dxa"/>
            <w:vAlign w:val="bottom"/>
            <w:shd w:val="clear" w:color="auto" w:fill="DDDDDD"/>
          </w:tcPr>
          <w:p>
            <w:pPr>
              <w:spacing w:after="0"/>
              <w:rPr>
                <w:sz w:val="20"/>
                <w:szCs w:val="20"/>
                <w:color w:val="auto"/>
              </w:rPr>
            </w:pPr>
          </w:p>
        </w:tc>
        <w:tc>
          <w:tcPr>
            <w:tcW w:w="660" w:type="dxa"/>
            <w:vAlign w:val="bottom"/>
            <w:shd w:val="clear" w:color="auto" w:fill="DDDDDD"/>
          </w:tcPr>
          <w:p>
            <w:pPr>
              <w:spacing w:after="0"/>
              <w:rPr>
                <w:sz w:val="20"/>
                <w:szCs w:val="20"/>
                <w:color w:val="auto"/>
              </w:rPr>
            </w:pPr>
          </w:p>
        </w:tc>
        <w:tc>
          <w:tcPr>
            <w:tcW w:w="140" w:type="dxa"/>
            <w:vAlign w:val="bottom"/>
            <w:shd w:val="clear" w:color="auto" w:fill="DDDDDD"/>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shd w:val="clear" w:color="auto" w:fill="DDDDDD"/>
          </w:tcPr>
          <w:p>
            <w:pPr>
              <w:spacing w:after="0"/>
              <w:rPr>
                <w:sz w:val="20"/>
                <w:szCs w:val="20"/>
                <w:color w:val="auto"/>
              </w:rPr>
            </w:pPr>
          </w:p>
        </w:tc>
        <w:tc>
          <w:tcPr>
            <w:tcW w:w="800" w:type="dxa"/>
            <w:vAlign w:val="bottom"/>
            <w:shd w:val="clear" w:color="auto" w:fill="DDDDDD"/>
          </w:tcPr>
          <w:p>
            <w:pPr>
              <w:spacing w:after="0"/>
              <w:rPr>
                <w:sz w:val="20"/>
                <w:szCs w:val="20"/>
                <w:color w:val="auto"/>
              </w:rPr>
            </w:pPr>
          </w:p>
        </w:tc>
        <w:tc>
          <w:tcPr>
            <w:tcW w:w="860" w:type="dxa"/>
            <w:vAlign w:val="bottom"/>
            <w:shd w:val="clear" w:color="auto" w:fill="DDDDDD"/>
          </w:tcPr>
          <w:p>
            <w:pPr>
              <w:spacing w:after="0"/>
              <w:rPr>
                <w:sz w:val="20"/>
                <w:szCs w:val="20"/>
                <w:color w:val="auto"/>
              </w:rPr>
            </w:pPr>
          </w:p>
        </w:tc>
        <w:tc>
          <w:tcPr>
            <w:tcW w:w="0" w:type="dxa"/>
            <w:vAlign w:val="bottom"/>
          </w:tcPr>
          <w:p>
            <w:pPr>
              <w:spacing w:after="0"/>
              <w:rPr>
                <w:sz w:val="1"/>
                <w:szCs w:val="1"/>
                <w:color w:val="auto"/>
              </w:rPr>
            </w:pPr>
          </w:p>
        </w:tc>
      </w:tr>
      <w:tr>
        <w:trPr>
          <w:trHeight w:val="630"/>
        </w:trPr>
        <w:tc>
          <w:tcPr>
            <w:tcW w:w="40" w:type="dxa"/>
            <w:vAlign w:val="bottom"/>
            <w:tcBorders>
              <w:bottom w:val="single" w:sz="8" w:color="DDDDDD"/>
            </w:tcBorders>
            <w:shd w:val="clear" w:color="auto" w:fill="DDDDDD"/>
          </w:tcPr>
          <w:p>
            <w:pPr>
              <w:spacing w:after="0"/>
              <w:rPr>
                <w:sz w:val="24"/>
                <w:szCs w:val="24"/>
                <w:color w:val="auto"/>
              </w:rPr>
            </w:pPr>
          </w:p>
        </w:tc>
        <w:tc>
          <w:tcPr>
            <w:tcW w:w="920" w:type="dxa"/>
            <w:vAlign w:val="bottom"/>
            <w:tcBorders>
              <w:bottom w:val="single" w:sz="8" w:color="DDDDDD"/>
              <w:right w:val="single" w:sz="8" w:color="DDDDDD"/>
            </w:tcBorders>
            <w:shd w:val="clear" w:color="auto" w:fill="DDDDDD"/>
          </w:tcPr>
          <w:p>
            <w:pPr>
              <w:spacing w:after="0"/>
              <w:rPr>
                <w:sz w:val="24"/>
                <w:szCs w:val="24"/>
                <w:color w:val="auto"/>
              </w:rPr>
            </w:pPr>
          </w:p>
        </w:tc>
        <w:tc>
          <w:tcPr>
            <w:tcW w:w="40" w:type="dxa"/>
            <w:vAlign w:val="bottom"/>
            <w:shd w:val="clear" w:color="auto" w:fill="DDDDDD"/>
          </w:tcPr>
          <w:p>
            <w:pPr>
              <w:spacing w:after="0"/>
              <w:rPr>
                <w:sz w:val="24"/>
                <w:szCs w:val="24"/>
                <w:color w:val="auto"/>
              </w:rPr>
            </w:pPr>
          </w:p>
        </w:tc>
        <w:tc>
          <w:tcPr>
            <w:tcW w:w="60" w:type="dxa"/>
            <w:vAlign w:val="bottom"/>
            <w:tcBorders>
              <w:bottom w:val="single" w:sz="8" w:color="auto"/>
            </w:tcBorders>
            <w:shd w:val="clear" w:color="auto" w:fill="DDDDDD"/>
          </w:tcPr>
          <w:p>
            <w:pPr>
              <w:spacing w:after="0"/>
              <w:rPr>
                <w:sz w:val="24"/>
                <w:szCs w:val="24"/>
                <w:color w:val="auto"/>
              </w:rPr>
            </w:pPr>
          </w:p>
        </w:tc>
        <w:tc>
          <w:tcPr>
            <w:tcW w:w="920" w:type="dxa"/>
            <w:vAlign w:val="bottom"/>
            <w:tcBorders>
              <w:bottom w:val="single" w:sz="8" w:color="auto"/>
            </w:tcBorders>
            <w:shd w:val="clear" w:color="auto" w:fill="DDDDDD"/>
          </w:tcPr>
          <w:p>
            <w:pPr>
              <w:spacing w:after="0"/>
              <w:rPr>
                <w:sz w:val="24"/>
                <w:szCs w:val="24"/>
                <w:color w:val="auto"/>
              </w:rPr>
            </w:pPr>
          </w:p>
        </w:tc>
        <w:tc>
          <w:tcPr>
            <w:tcW w:w="100" w:type="dxa"/>
            <w:vAlign w:val="bottom"/>
            <w:tcBorders>
              <w:bottom w:val="single" w:sz="8" w:color="auto"/>
            </w:tcBorders>
            <w:shd w:val="clear" w:color="auto" w:fill="DDDDDD"/>
          </w:tcPr>
          <w:p>
            <w:pPr>
              <w:spacing w:after="0"/>
              <w:rPr>
                <w:sz w:val="24"/>
                <w:szCs w:val="24"/>
                <w:color w:val="auto"/>
              </w:rPr>
            </w:pPr>
          </w:p>
        </w:tc>
        <w:tc>
          <w:tcPr>
            <w:tcW w:w="580" w:type="dxa"/>
            <w:vAlign w:val="bottom"/>
            <w:tcBorders>
              <w:bottom w:val="single" w:sz="8" w:color="auto"/>
            </w:tcBorders>
            <w:shd w:val="clear" w:color="auto" w:fill="DDDDDD"/>
          </w:tcPr>
          <w:p>
            <w:pPr>
              <w:spacing w:after="0"/>
              <w:rPr>
                <w:sz w:val="24"/>
                <w:szCs w:val="24"/>
                <w:color w:val="auto"/>
              </w:rPr>
            </w:pPr>
          </w:p>
        </w:tc>
        <w:tc>
          <w:tcPr>
            <w:tcW w:w="60" w:type="dxa"/>
            <w:vAlign w:val="bottom"/>
            <w:tcBorders>
              <w:bottom w:val="single" w:sz="8" w:color="auto"/>
            </w:tcBorders>
            <w:shd w:val="clear" w:color="auto" w:fill="DDDDDD"/>
          </w:tcPr>
          <w:p>
            <w:pPr>
              <w:spacing w:after="0"/>
              <w:rPr>
                <w:sz w:val="24"/>
                <w:szCs w:val="24"/>
                <w:color w:val="auto"/>
              </w:rPr>
            </w:pPr>
          </w:p>
        </w:tc>
        <w:tc>
          <w:tcPr>
            <w:tcW w:w="920" w:type="dxa"/>
            <w:vAlign w:val="bottom"/>
            <w:tcBorders>
              <w:bottom w:val="single" w:sz="8" w:color="auto"/>
            </w:tcBorders>
            <w:shd w:val="clear" w:color="auto" w:fill="DDDDDD"/>
          </w:tcPr>
          <w:p>
            <w:pPr>
              <w:spacing w:after="0"/>
              <w:rPr>
                <w:sz w:val="24"/>
                <w:szCs w:val="24"/>
                <w:color w:val="auto"/>
              </w:rPr>
            </w:pPr>
          </w:p>
        </w:tc>
        <w:tc>
          <w:tcPr>
            <w:tcW w:w="840" w:type="dxa"/>
            <w:vAlign w:val="bottom"/>
            <w:tcBorders>
              <w:bottom w:val="single" w:sz="8" w:color="auto"/>
            </w:tcBorders>
            <w:shd w:val="clear" w:color="auto" w:fill="DDDDDD"/>
          </w:tcPr>
          <w:p>
            <w:pPr>
              <w:spacing w:after="0"/>
              <w:rPr>
                <w:sz w:val="24"/>
                <w:szCs w:val="24"/>
                <w:color w:val="auto"/>
              </w:rPr>
            </w:pPr>
          </w:p>
        </w:tc>
        <w:tc>
          <w:tcPr>
            <w:tcW w:w="1020" w:type="dxa"/>
            <w:vAlign w:val="bottom"/>
            <w:tcBorders>
              <w:bottom w:val="single" w:sz="8" w:color="auto"/>
            </w:tcBorders>
            <w:shd w:val="clear" w:color="auto" w:fill="DDDDDD"/>
          </w:tcPr>
          <w:p>
            <w:pPr>
              <w:spacing w:after="0"/>
              <w:rPr>
                <w:sz w:val="24"/>
                <w:szCs w:val="24"/>
                <w:color w:val="auto"/>
              </w:rPr>
            </w:pPr>
          </w:p>
        </w:tc>
        <w:tc>
          <w:tcPr>
            <w:tcW w:w="820" w:type="dxa"/>
            <w:vAlign w:val="bottom"/>
            <w:tcBorders>
              <w:bottom w:val="single" w:sz="8" w:color="auto"/>
            </w:tcBorders>
            <w:shd w:val="clear" w:color="auto" w:fill="DDDDDD"/>
          </w:tcPr>
          <w:p>
            <w:pPr>
              <w:spacing w:after="0"/>
              <w:rPr>
                <w:sz w:val="24"/>
                <w:szCs w:val="24"/>
                <w:color w:val="auto"/>
              </w:rPr>
            </w:pPr>
          </w:p>
        </w:tc>
        <w:tc>
          <w:tcPr>
            <w:tcW w:w="700" w:type="dxa"/>
            <w:vAlign w:val="bottom"/>
            <w:tcBorders>
              <w:bottom w:val="single" w:sz="8" w:color="auto"/>
            </w:tcBorders>
            <w:shd w:val="clear" w:color="auto" w:fill="DDDDDD"/>
          </w:tcPr>
          <w:p>
            <w:pPr>
              <w:spacing w:after="0"/>
              <w:rPr>
                <w:sz w:val="24"/>
                <w:szCs w:val="24"/>
                <w:color w:val="auto"/>
              </w:rPr>
            </w:pPr>
          </w:p>
        </w:tc>
        <w:tc>
          <w:tcPr>
            <w:tcW w:w="60" w:type="dxa"/>
            <w:vAlign w:val="bottom"/>
            <w:tcBorders>
              <w:bottom w:val="single" w:sz="8" w:color="auto"/>
            </w:tcBorders>
            <w:shd w:val="clear" w:color="auto" w:fill="DDDDDD"/>
          </w:tcPr>
          <w:p>
            <w:pPr>
              <w:spacing w:after="0"/>
              <w:rPr>
                <w:sz w:val="24"/>
                <w:szCs w:val="24"/>
                <w:color w:val="auto"/>
              </w:rPr>
            </w:pPr>
          </w:p>
        </w:tc>
        <w:tc>
          <w:tcPr>
            <w:tcW w:w="40" w:type="dxa"/>
            <w:vAlign w:val="bottom"/>
            <w:tcBorders>
              <w:bottom w:val="single" w:sz="8" w:color="auto"/>
            </w:tcBorders>
            <w:shd w:val="clear" w:color="auto" w:fill="DDDDDD"/>
          </w:tcPr>
          <w:p>
            <w:pPr>
              <w:spacing w:after="0"/>
              <w:rPr>
                <w:sz w:val="24"/>
                <w:szCs w:val="24"/>
                <w:color w:val="auto"/>
              </w:rPr>
            </w:pPr>
          </w:p>
        </w:tc>
        <w:tc>
          <w:tcPr>
            <w:tcW w:w="660" w:type="dxa"/>
            <w:vAlign w:val="bottom"/>
            <w:tcBorders>
              <w:bottom w:val="single" w:sz="8" w:color="auto"/>
            </w:tcBorders>
            <w:shd w:val="clear" w:color="auto" w:fill="DDDDDD"/>
          </w:tcPr>
          <w:p>
            <w:pPr>
              <w:spacing w:after="0"/>
              <w:rPr>
                <w:sz w:val="24"/>
                <w:szCs w:val="24"/>
                <w:color w:val="auto"/>
              </w:rPr>
            </w:pPr>
          </w:p>
        </w:tc>
        <w:tc>
          <w:tcPr>
            <w:tcW w:w="140" w:type="dxa"/>
            <w:vAlign w:val="bottom"/>
            <w:tcBorders>
              <w:bottom w:val="single" w:sz="8" w:color="auto"/>
            </w:tcBorders>
            <w:shd w:val="clear" w:color="auto" w:fill="DDDDDD"/>
          </w:tcPr>
          <w:p>
            <w:pPr>
              <w:spacing w:after="0"/>
              <w:rPr>
                <w:sz w:val="24"/>
                <w:szCs w:val="24"/>
                <w:color w:val="auto"/>
              </w:rPr>
            </w:pPr>
          </w:p>
        </w:tc>
        <w:tc>
          <w:tcPr>
            <w:tcW w:w="720" w:type="dxa"/>
            <w:vAlign w:val="bottom"/>
            <w:tcBorders>
              <w:bottom w:val="single" w:sz="8" w:color="auto"/>
            </w:tcBorders>
            <w:shd w:val="clear" w:color="auto" w:fill="DDDDDD"/>
          </w:tcPr>
          <w:p>
            <w:pPr>
              <w:spacing w:after="0"/>
              <w:rPr>
                <w:sz w:val="24"/>
                <w:szCs w:val="24"/>
                <w:color w:val="auto"/>
              </w:rPr>
            </w:pPr>
          </w:p>
        </w:tc>
        <w:tc>
          <w:tcPr>
            <w:tcW w:w="800" w:type="dxa"/>
            <w:vAlign w:val="bottom"/>
            <w:tcBorders>
              <w:bottom w:val="single" w:sz="8" w:color="auto"/>
            </w:tcBorders>
            <w:shd w:val="clear" w:color="auto" w:fill="DDDDDD"/>
          </w:tcPr>
          <w:p>
            <w:pPr>
              <w:spacing w:after="0"/>
              <w:rPr>
                <w:sz w:val="24"/>
                <w:szCs w:val="24"/>
                <w:color w:val="auto"/>
              </w:rPr>
            </w:pPr>
          </w:p>
        </w:tc>
        <w:tc>
          <w:tcPr>
            <w:tcW w:w="860" w:type="dxa"/>
            <w:vAlign w:val="bottom"/>
            <w:tcBorders>
              <w:bottom w:val="single" w:sz="8" w:color="auto"/>
            </w:tcBorders>
            <w:shd w:val="clear" w:color="auto" w:fill="DDDDDD"/>
          </w:tcPr>
          <w:p>
            <w:pPr>
              <w:spacing w:after="0"/>
              <w:rPr>
                <w:sz w:val="24"/>
                <w:szCs w:val="24"/>
                <w:color w:val="auto"/>
              </w:rPr>
            </w:pPr>
          </w:p>
        </w:tc>
        <w:tc>
          <w:tcPr>
            <w:tcW w:w="0" w:type="dxa"/>
            <w:vAlign w:val="bottom"/>
          </w:tcPr>
          <w:p>
            <w:pPr>
              <w:spacing w:after="0"/>
              <w:rPr>
                <w:sz w:val="1"/>
                <w:szCs w:val="1"/>
                <w:color w:val="auto"/>
              </w:rPr>
            </w:pPr>
          </w:p>
        </w:tc>
      </w:tr>
      <w:tr>
        <w:trPr>
          <w:trHeight w:val="342"/>
        </w:trPr>
        <w:tc>
          <w:tcPr>
            <w:tcW w:w="40" w:type="dxa"/>
            <w:vAlign w:val="bottom"/>
            <w:tcBorders>
              <w:bottom w:val="single" w:sz="8" w:color="auto"/>
            </w:tcBorders>
            <w:shd w:val="clear" w:color="auto" w:fill="DDDDDD"/>
          </w:tcPr>
          <w:p>
            <w:pPr>
              <w:spacing w:after="0"/>
              <w:rPr>
                <w:sz w:val="24"/>
                <w:szCs w:val="24"/>
                <w:color w:val="auto"/>
              </w:rPr>
            </w:pPr>
          </w:p>
        </w:tc>
        <w:tc>
          <w:tcPr>
            <w:tcW w:w="920" w:type="dxa"/>
            <w:vAlign w:val="bottom"/>
            <w:tcBorders>
              <w:bottom w:val="single" w:sz="8" w:color="auto"/>
              <w:right w:val="single" w:sz="8" w:color="DDDDDD"/>
            </w:tcBorders>
            <w:shd w:val="clear" w:color="auto" w:fill="DDDDDD"/>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9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58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920" w:type="dxa"/>
            <w:vAlign w:val="bottom"/>
            <w:tcBorders>
              <w:bottom w:val="single" w:sz="8" w:color="auto"/>
            </w:tcBorders>
          </w:tcPr>
          <w:p>
            <w:pPr>
              <w:spacing w:after="0"/>
              <w:rPr>
                <w:sz w:val="24"/>
                <w:szCs w:val="24"/>
                <w:color w:val="auto"/>
              </w:rPr>
            </w:pPr>
          </w:p>
        </w:tc>
        <w:tc>
          <w:tcPr>
            <w:tcW w:w="840" w:type="dxa"/>
            <w:vAlign w:val="bottom"/>
            <w:tcBorders>
              <w:bottom w:val="single" w:sz="8" w:color="auto"/>
            </w:tcBorders>
          </w:tcPr>
          <w:p>
            <w:pPr>
              <w:spacing w:after="0"/>
              <w:rPr>
                <w:sz w:val="24"/>
                <w:szCs w:val="24"/>
                <w:color w:val="auto"/>
              </w:rPr>
            </w:pPr>
          </w:p>
        </w:tc>
        <w:tc>
          <w:tcPr>
            <w:tcW w:w="1020" w:type="dxa"/>
            <w:vAlign w:val="bottom"/>
            <w:tcBorders>
              <w:bottom w:val="single" w:sz="8" w:color="auto"/>
            </w:tcBorders>
          </w:tcPr>
          <w:p>
            <w:pPr>
              <w:spacing w:after="0"/>
              <w:rPr>
                <w:sz w:val="24"/>
                <w:szCs w:val="24"/>
                <w:color w:val="auto"/>
              </w:rPr>
            </w:pPr>
          </w:p>
        </w:tc>
        <w:tc>
          <w:tcPr>
            <w:tcW w:w="820" w:type="dxa"/>
            <w:vAlign w:val="bottom"/>
            <w:tcBorders>
              <w:bottom w:val="single" w:sz="8" w:color="auto"/>
            </w:tcBorders>
          </w:tcPr>
          <w:p>
            <w:pPr>
              <w:spacing w:after="0"/>
              <w:rPr>
                <w:sz w:val="24"/>
                <w:szCs w:val="24"/>
                <w:color w:val="auto"/>
              </w:rPr>
            </w:pPr>
          </w:p>
        </w:tc>
        <w:tc>
          <w:tcPr>
            <w:tcW w:w="70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66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720" w:type="dxa"/>
            <w:vAlign w:val="bottom"/>
            <w:tcBorders>
              <w:bottom w:val="single" w:sz="8" w:color="auto"/>
            </w:tcBorders>
          </w:tcPr>
          <w:p>
            <w:pPr>
              <w:spacing w:after="0"/>
              <w:rPr>
                <w:sz w:val="24"/>
                <w:szCs w:val="24"/>
                <w:color w:val="auto"/>
              </w:rPr>
            </w:pPr>
          </w:p>
        </w:tc>
        <w:tc>
          <w:tcPr>
            <w:tcW w:w="800" w:type="dxa"/>
            <w:vAlign w:val="bottom"/>
            <w:tcBorders>
              <w:bottom w:val="single" w:sz="8" w:color="auto"/>
            </w:tcBorders>
          </w:tcPr>
          <w:p>
            <w:pPr>
              <w:spacing w:after="0"/>
              <w:rPr>
                <w:sz w:val="24"/>
                <w:szCs w:val="24"/>
                <w:color w:val="auto"/>
              </w:rPr>
            </w:pPr>
          </w:p>
        </w:tc>
        <w:tc>
          <w:tcPr>
            <w:tcW w:w="86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4987925</wp:posOffset>
                </wp:positionH>
                <wp:positionV relativeFrom="paragraph">
                  <wp:posOffset>-941705</wp:posOffset>
                </wp:positionV>
                <wp:extent cx="0" cy="699770"/>
                <wp:wrapNone/>
                <wp:docPr id="28" name="Shape 28"/>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4763" cy="699770"/>
                        </a:xfrm>
                        <a:prstGeom prst="line">
                          <a:avLst/>
                        </a:prstGeom>
                        <a:solidFill>
                          <a:srgbClr val="FFFFFF"/>
                        </a:solidFill>
                        <a:ln w="9144">
                          <a:solidFill>
                            <a:srgbClr val="DDDDDD"/>
                          </a:solidFill>
                          <a:miter lim="800000"/>
                          <a:headEnd/>
                          <a:tailEnd/>
                        </a:ln>
                      </wps:spPr>
                      <wps:bodyPr/>
                    </wps:wsp>
                  </a:graphicData>
                </a:graphic>
              </wp:anchor>
            </w:drawing>
          </mc:Choice>
          <mc:Fallback>
            <w:pict>
              <v:line id="Shape 28" o:spid="_x0000_s1053"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392.75pt,-74.1499pt" to="392.75pt,-19.0499pt" o:allowincell="f" strokecolor="#DDDDDD" strokeweight="0.72pt"/>
            </w:pict>
          </mc:Fallback>
        </mc:AlternateContent>
      </w:r>
    </w:p>
    <w:tbl>
      <w:tblPr>
        <w:tblLayout w:type="fixed"/>
        <w:tblInd w:w="6" w:type="dxa"/>
        <w:tblCellMar>
          <w:top w:w="0" w:type="dxa"/>
          <w:left w:w="0" w:type="dxa"/>
          <w:bottom w:w="0" w:type="dxa"/>
          <w:right w:w="0" w:type="dxa"/>
        </w:tblCellMar>
      </w:tblPr>
      <w:tr>
        <w:trPr>
          <w:trHeight w:val="207"/>
        </w:trPr>
        <w:tc>
          <w:tcPr>
            <w:tcW w:w="40" w:type="dxa"/>
            <w:vAlign w:val="bottom"/>
            <w:shd w:val="clear" w:color="auto" w:fill="DDDDDD"/>
          </w:tcPr>
          <w:p>
            <w:pPr>
              <w:spacing w:after="0"/>
              <w:rPr>
                <w:sz w:val="18"/>
                <w:szCs w:val="18"/>
                <w:color w:val="auto"/>
              </w:rPr>
            </w:pPr>
          </w:p>
        </w:tc>
        <w:tc>
          <w:tcPr>
            <w:tcW w:w="920" w:type="dxa"/>
            <w:vAlign w:val="bottom"/>
            <w:shd w:val="clear" w:color="auto" w:fill="DDDDDD"/>
          </w:tcPr>
          <w:p>
            <w:pPr>
              <w:spacing w:after="0"/>
              <w:rPr>
                <w:sz w:val="20"/>
                <w:szCs w:val="20"/>
                <w:color w:val="auto"/>
              </w:rPr>
            </w:pPr>
            <w:r>
              <w:rPr>
                <w:rFonts w:ascii="Times New Roman" w:cs="Times New Roman" w:eastAsia="Times New Roman" w:hAnsi="Times New Roman"/>
                <w:sz w:val="18"/>
                <w:szCs w:val="18"/>
                <w:color w:val="auto"/>
              </w:rPr>
              <w:t>Brian</w:t>
            </w:r>
          </w:p>
        </w:tc>
        <w:tc>
          <w:tcPr>
            <w:tcW w:w="40" w:type="dxa"/>
            <w:vAlign w:val="bottom"/>
            <w:shd w:val="clear" w:color="auto" w:fill="DDDDDD"/>
          </w:tcPr>
          <w:p>
            <w:pPr>
              <w:spacing w:after="0"/>
              <w:rPr>
                <w:sz w:val="18"/>
                <w:szCs w:val="18"/>
                <w:color w:val="auto"/>
              </w:rPr>
            </w:pPr>
          </w:p>
        </w:tc>
        <w:tc>
          <w:tcPr>
            <w:tcW w:w="60" w:type="dxa"/>
            <w:vAlign w:val="bottom"/>
            <w:shd w:val="clear" w:color="auto" w:fill="DDDDDD"/>
          </w:tcPr>
          <w:p>
            <w:pPr>
              <w:spacing w:after="0"/>
              <w:rPr>
                <w:sz w:val="18"/>
                <w:szCs w:val="18"/>
                <w:color w:val="auto"/>
              </w:rPr>
            </w:pPr>
          </w:p>
        </w:tc>
        <w:tc>
          <w:tcPr>
            <w:tcW w:w="920" w:type="dxa"/>
            <w:vAlign w:val="bottom"/>
            <w:shd w:val="clear" w:color="auto" w:fill="DDDDDD"/>
          </w:tcPr>
          <w:p>
            <w:pPr>
              <w:spacing w:after="0"/>
              <w:rPr>
                <w:sz w:val="20"/>
                <w:szCs w:val="20"/>
                <w:color w:val="auto"/>
              </w:rPr>
            </w:pPr>
            <w:r>
              <w:rPr>
                <w:rFonts w:ascii="Times New Roman" w:cs="Times New Roman" w:eastAsia="Times New Roman" w:hAnsi="Times New Roman"/>
                <w:sz w:val="18"/>
                <w:szCs w:val="18"/>
                <w:color w:val="auto"/>
                <w:highlight w:val="lightGray"/>
              </w:rPr>
              <w:t>12/11/2021</w:t>
            </w:r>
          </w:p>
        </w:tc>
        <w:tc>
          <w:tcPr>
            <w:tcW w:w="100" w:type="dxa"/>
            <w:vAlign w:val="bottom"/>
            <w:shd w:val="clear" w:color="auto" w:fill="DDDDDD"/>
          </w:tcPr>
          <w:p>
            <w:pPr>
              <w:spacing w:after="0"/>
              <w:rPr>
                <w:sz w:val="18"/>
                <w:szCs w:val="18"/>
                <w:color w:val="auto"/>
              </w:rPr>
            </w:pPr>
          </w:p>
        </w:tc>
        <w:tc>
          <w:tcPr>
            <w:tcW w:w="580" w:type="dxa"/>
            <w:vAlign w:val="bottom"/>
            <w:shd w:val="clear" w:color="auto" w:fill="DDDDDD"/>
          </w:tcPr>
          <w:p>
            <w:pPr>
              <w:spacing w:after="0"/>
              <w:rPr>
                <w:sz w:val="20"/>
                <w:szCs w:val="20"/>
                <w:color w:val="auto"/>
              </w:rPr>
            </w:pPr>
            <w:r>
              <w:rPr>
                <w:rFonts w:ascii="Times New Roman" w:cs="Times New Roman" w:eastAsia="Times New Roman" w:hAnsi="Times New Roman"/>
                <w:sz w:val="18"/>
                <w:szCs w:val="18"/>
                <w:color w:val="auto"/>
              </w:rPr>
              <w:t>(8)</w:t>
            </w:r>
          </w:p>
        </w:tc>
        <w:tc>
          <w:tcPr>
            <w:tcW w:w="120" w:type="dxa"/>
            <w:vAlign w:val="bottom"/>
            <w:shd w:val="clear" w:color="auto" w:fill="DDDDDD"/>
          </w:tcPr>
          <w:p>
            <w:pPr>
              <w:spacing w:after="0"/>
              <w:rPr>
                <w:sz w:val="18"/>
                <w:szCs w:val="18"/>
                <w:color w:val="auto"/>
              </w:rPr>
            </w:pPr>
          </w:p>
        </w:tc>
        <w:tc>
          <w:tcPr>
            <w:tcW w:w="870" w:type="dxa"/>
            <w:vAlign w:val="bottom"/>
            <w:shd w:val="clear" w:color="auto" w:fill="DDDDDD"/>
          </w:tcPr>
          <w:p>
            <w:pPr>
              <w:spacing w:after="0"/>
              <w:rPr>
                <w:sz w:val="18"/>
                <w:szCs w:val="18"/>
                <w:color w:val="auto"/>
              </w:rPr>
            </w:pPr>
          </w:p>
        </w:tc>
        <w:tc>
          <w:tcPr>
            <w:tcW w:w="110" w:type="dxa"/>
            <w:vAlign w:val="bottom"/>
            <w:shd w:val="clear" w:color="auto" w:fill="DDDDDD"/>
          </w:tcPr>
          <w:p>
            <w:pPr>
              <w:spacing w:after="0"/>
              <w:rPr>
                <w:sz w:val="18"/>
                <w:szCs w:val="18"/>
                <w:color w:val="auto"/>
              </w:rPr>
            </w:pPr>
          </w:p>
        </w:tc>
        <w:tc>
          <w:tcPr>
            <w:tcW w:w="720" w:type="dxa"/>
            <w:vAlign w:val="bottom"/>
            <w:shd w:val="clear" w:color="auto" w:fill="DDDDDD"/>
          </w:tcPr>
          <w:p>
            <w:pPr>
              <w:spacing w:after="0"/>
              <w:rPr>
                <w:sz w:val="18"/>
                <w:szCs w:val="18"/>
                <w:color w:val="auto"/>
              </w:rPr>
            </w:pPr>
          </w:p>
        </w:tc>
        <w:tc>
          <w:tcPr>
            <w:tcW w:w="1140" w:type="dxa"/>
            <w:vAlign w:val="bottom"/>
            <w:shd w:val="clear" w:color="auto" w:fill="DDDDDD"/>
          </w:tcPr>
          <w:p>
            <w:pPr>
              <w:spacing w:after="0"/>
              <w:rPr>
                <w:sz w:val="18"/>
                <w:szCs w:val="18"/>
                <w:color w:val="auto"/>
              </w:rPr>
            </w:pPr>
          </w:p>
        </w:tc>
        <w:tc>
          <w:tcPr>
            <w:tcW w:w="700" w:type="dxa"/>
            <w:vAlign w:val="bottom"/>
            <w:shd w:val="clear" w:color="auto" w:fill="DDDDDD"/>
          </w:tcPr>
          <w:p>
            <w:pPr>
              <w:spacing w:after="0"/>
              <w:rPr>
                <w:sz w:val="18"/>
                <w:szCs w:val="18"/>
                <w:color w:val="auto"/>
              </w:rPr>
            </w:pPr>
          </w:p>
        </w:tc>
        <w:tc>
          <w:tcPr>
            <w:tcW w:w="800" w:type="dxa"/>
            <w:vAlign w:val="bottom"/>
            <w:shd w:val="clear" w:color="auto" w:fill="DDDDDD"/>
          </w:tcPr>
          <w:p>
            <w:pPr>
              <w:spacing w:after="0"/>
              <w:rPr>
                <w:sz w:val="18"/>
                <w:szCs w:val="18"/>
                <w:color w:val="auto"/>
              </w:rPr>
            </w:pPr>
          </w:p>
        </w:tc>
        <w:tc>
          <w:tcPr>
            <w:tcW w:w="670" w:type="dxa"/>
            <w:vAlign w:val="bottom"/>
            <w:shd w:val="clear" w:color="auto" w:fill="DDDDDD"/>
          </w:tcPr>
          <w:p>
            <w:pPr>
              <w:spacing w:after="0"/>
              <w:rPr>
                <w:sz w:val="18"/>
                <w:szCs w:val="18"/>
                <w:color w:val="auto"/>
              </w:rPr>
            </w:pPr>
          </w:p>
        </w:tc>
        <w:tc>
          <w:tcPr>
            <w:tcW w:w="130" w:type="dxa"/>
            <w:vAlign w:val="bottom"/>
            <w:shd w:val="clear" w:color="auto" w:fill="DDDDDD"/>
          </w:tcPr>
          <w:p>
            <w:pPr>
              <w:spacing w:after="0"/>
              <w:rPr>
                <w:sz w:val="18"/>
                <w:szCs w:val="18"/>
                <w:color w:val="auto"/>
              </w:rPr>
            </w:pPr>
          </w:p>
        </w:tc>
        <w:tc>
          <w:tcPr>
            <w:tcW w:w="650" w:type="dxa"/>
            <w:vAlign w:val="bottom"/>
            <w:shd w:val="clear" w:color="auto" w:fill="DDDDDD"/>
          </w:tcPr>
          <w:p>
            <w:pPr>
              <w:spacing w:after="0"/>
              <w:rPr>
                <w:sz w:val="18"/>
                <w:szCs w:val="18"/>
                <w:color w:val="auto"/>
              </w:rPr>
            </w:pPr>
          </w:p>
        </w:tc>
        <w:tc>
          <w:tcPr>
            <w:tcW w:w="920" w:type="dxa"/>
            <w:vAlign w:val="bottom"/>
            <w:shd w:val="clear" w:color="auto" w:fill="DDDDDD"/>
          </w:tcPr>
          <w:p>
            <w:pPr>
              <w:jc w:val="right"/>
              <w:ind w:right="220"/>
              <w:spacing w:after="0"/>
              <w:rPr>
                <w:sz w:val="20"/>
                <w:szCs w:val="20"/>
                <w:color w:val="auto"/>
              </w:rPr>
            </w:pPr>
            <w:r>
              <w:rPr>
                <w:rFonts w:ascii="Times New Roman" w:cs="Times New Roman" w:eastAsia="Times New Roman" w:hAnsi="Times New Roman"/>
                <w:sz w:val="18"/>
                <w:szCs w:val="18"/>
                <w:color w:val="auto"/>
              </w:rPr>
              <w:t>52,734</w:t>
            </w:r>
          </w:p>
        </w:tc>
        <w:tc>
          <w:tcPr>
            <w:tcW w:w="810" w:type="dxa"/>
            <w:vAlign w:val="bottom"/>
            <w:shd w:val="clear" w:color="auto" w:fill="DDDDDD"/>
          </w:tcPr>
          <w:p>
            <w:pPr>
              <w:jc w:val="right"/>
              <w:ind w:right="150"/>
              <w:spacing w:after="0"/>
              <w:rPr>
                <w:sz w:val="20"/>
                <w:szCs w:val="20"/>
                <w:color w:val="auto"/>
              </w:rPr>
            </w:pPr>
            <w:r>
              <w:rPr>
                <w:rFonts w:ascii="Times New Roman" w:cs="Times New Roman" w:eastAsia="Times New Roman" w:hAnsi="Times New Roman"/>
                <w:sz w:val="18"/>
                <w:szCs w:val="18"/>
                <w:color w:val="auto"/>
              </w:rPr>
              <w:t>37,984</w:t>
            </w:r>
          </w:p>
        </w:tc>
        <w:tc>
          <w:tcPr>
            <w:tcW w:w="0" w:type="dxa"/>
            <w:vAlign w:val="bottom"/>
          </w:tcPr>
          <w:p>
            <w:pPr>
              <w:spacing w:after="0"/>
              <w:rPr>
                <w:sz w:val="1"/>
                <w:szCs w:val="1"/>
                <w:color w:val="auto"/>
              </w:rPr>
            </w:pPr>
          </w:p>
        </w:tc>
      </w:tr>
      <w:tr>
        <w:trPr>
          <w:trHeight w:val="114"/>
        </w:trPr>
        <w:tc>
          <w:tcPr>
            <w:tcW w:w="40" w:type="dxa"/>
            <w:vAlign w:val="bottom"/>
            <w:tcBorders>
              <w:bottom w:val="single" w:sz="8" w:color="DDDDDD"/>
            </w:tcBorders>
            <w:shd w:val="clear" w:color="auto" w:fill="DDDDDD"/>
          </w:tcPr>
          <w:p>
            <w:pPr>
              <w:spacing w:after="0"/>
              <w:rPr>
                <w:sz w:val="9"/>
                <w:szCs w:val="9"/>
                <w:color w:val="auto"/>
              </w:rPr>
            </w:pPr>
          </w:p>
        </w:tc>
        <w:tc>
          <w:tcPr>
            <w:tcW w:w="920" w:type="dxa"/>
            <w:vAlign w:val="bottom"/>
            <w:tcBorders>
              <w:bottom w:val="single" w:sz="8" w:color="DDDDDD"/>
            </w:tcBorders>
            <w:vMerge w:val="restart"/>
            <w:shd w:val="clear" w:color="auto" w:fill="DDDDDD"/>
          </w:tcPr>
          <w:p>
            <w:pPr>
              <w:spacing w:after="0"/>
              <w:rPr>
                <w:sz w:val="20"/>
                <w:szCs w:val="20"/>
                <w:color w:val="auto"/>
              </w:rPr>
            </w:pPr>
            <w:r>
              <w:rPr>
                <w:rFonts w:ascii="Times New Roman" w:cs="Times New Roman" w:eastAsia="Times New Roman" w:hAnsi="Times New Roman"/>
                <w:sz w:val="18"/>
                <w:szCs w:val="18"/>
                <w:color w:val="auto"/>
              </w:rPr>
              <w:t>Camire</w:t>
            </w:r>
          </w:p>
        </w:tc>
        <w:tc>
          <w:tcPr>
            <w:tcW w:w="40" w:type="dxa"/>
            <w:vAlign w:val="bottom"/>
            <w:shd w:val="clear" w:color="auto" w:fill="DDDDDD"/>
          </w:tcPr>
          <w:p>
            <w:pPr>
              <w:spacing w:after="0"/>
              <w:rPr>
                <w:sz w:val="9"/>
                <w:szCs w:val="9"/>
                <w:color w:val="auto"/>
              </w:rPr>
            </w:pPr>
          </w:p>
        </w:tc>
        <w:tc>
          <w:tcPr>
            <w:tcW w:w="60" w:type="dxa"/>
            <w:vAlign w:val="bottom"/>
            <w:tcBorders>
              <w:bottom w:val="single" w:sz="8" w:color="auto"/>
            </w:tcBorders>
            <w:shd w:val="clear" w:color="auto" w:fill="DDDDDD"/>
          </w:tcPr>
          <w:p>
            <w:pPr>
              <w:spacing w:after="0"/>
              <w:rPr>
                <w:sz w:val="9"/>
                <w:szCs w:val="9"/>
                <w:color w:val="auto"/>
              </w:rPr>
            </w:pPr>
          </w:p>
        </w:tc>
        <w:tc>
          <w:tcPr>
            <w:tcW w:w="920" w:type="dxa"/>
            <w:vAlign w:val="bottom"/>
            <w:tcBorders>
              <w:bottom w:val="single" w:sz="8" w:color="auto"/>
            </w:tcBorders>
            <w:shd w:val="clear" w:color="auto" w:fill="DDDDDD"/>
          </w:tcPr>
          <w:p>
            <w:pPr>
              <w:spacing w:after="0"/>
              <w:rPr>
                <w:sz w:val="9"/>
                <w:szCs w:val="9"/>
                <w:color w:val="auto"/>
              </w:rPr>
            </w:pPr>
          </w:p>
        </w:tc>
        <w:tc>
          <w:tcPr>
            <w:tcW w:w="100" w:type="dxa"/>
            <w:vAlign w:val="bottom"/>
            <w:tcBorders>
              <w:bottom w:val="single" w:sz="8" w:color="auto"/>
            </w:tcBorders>
            <w:shd w:val="clear" w:color="auto" w:fill="DDDDDD"/>
          </w:tcPr>
          <w:p>
            <w:pPr>
              <w:spacing w:after="0"/>
              <w:rPr>
                <w:sz w:val="9"/>
                <w:szCs w:val="9"/>
                <w:color w:val="auto"/>
              </w:rPr>
            </w:pPr>
          </w:p>
        </w:tc>
        <w:tc>
          <w:tcPr>
            <w:tcW w:w="580" w:type="dxa"/>
            <w:vAlign w:val="bottom"/>
            <w:tcBorders>
              <w:bottom w:val="single" w:sz="8" w:color="auto"/>
            </w:tcBorders>
            <w:shd w:val="clear" w:color="auto" w:fill="DDDDDD"/>
          </w:tcPr>
          <w:p>
            <w:pPr>
              <w:spacing w:after="0"/>
              <w:rPr>
                <w:sz w:val="9"/>
                <w:szCs w:val="9"/>
                <w:color w:val="auto"/>
              </w:rPr>
            </w:pPr>
          </w:p>
        </w:tc>
        <w:tc>
          <w:tcPr>
            <w:tcW w:w="120" w:type="dxa"/>
            <w:vAlign w:val="bottom"/>
            <w:tcBorders>
              <w:bottom w:val="single" w:sz="8" w:color="auto"/>
            </w:tcBorders>
            <w:shd w:val="clear" w:color="auto" w:fill="DDDDDD"/>
          </w:tcPr>
          <w:p>
            <w:pPr>
              <w:spacing w:after="0"/>
              <w:rPr>
                <w:sz w:val="9"/>
                <w:szCs w:val="9"/>
                <w:color w:val="auto"/>
              </w:rPr>
            </w:pPr>
          </w:p>
        </w:tc>
        <w:tc>
          <w:tcPr>
            <w:tcW w:w="870" w:type="dxa"/>
            <w:vAlign w:val="bottom"/>
            <w:tcBorders>
              <w:bottom w:val="single" w:sz="8" w:color="auto"/>
            </w:tcBorders>
            <w:shd w:val="clear" w:color="auto" w:fill="DDDDDD"/>
          </w:tcPr>
          <w:p>
            <w:pPr>
              <w:spacing w:after="0"/>
              <w:rPr>
                <w:sz w:val="9"/>
                <w:szCs w:val="9"/>
                <w:color w:val="auto"/>
              </w:rPr>
            </w:pPr>
          </w:p>
        </w:tc>
        <w:tc>
          <w:tcPr>
            <w:tcW w:w="110" w:type="dxa"/>
            <w:vAlign w:val="bottom"/>
            <w:tcBorders>
              <w:bottom w:val="single" w:sz="8" w:color="auto"/>
            </w:tcBorders>
            <w:shd w:val="clear" w:color="auto" w:fill="DDDDDD"/>
          </w:tcPr>
          <w:p>
            <w:pPr>
              <w:spacing w:after="0"/>
              <w:rPr>
                <w:sz w:val="9"/>
                <w:szCs w:val="9"/>
                <w:color w:val="auto"/>
              </w:rPr>
            </w:pPr>
          </w:p>
        </w:tc>
        <w:tc>
          <w:tcPr>
            <w:tcW w:w="720" w:type="dxa"/>
            <w:vAlign w:val="bottom"/>
            <w:tcBorders>
              <w:bottom w:val="single" w:sz="8" w:color="auto"/>
            </w:tcBorders>
            <w:shd w:val="clear" w:color="auto" w:fill="DDDDDD"/>
          </w:tcPr>
          <w:p>
            <w:pPr>
              <w:spacing w:after="0"/>
              <w:rPr>
                <w:sz w:val="9"/>
                <w:szCs w:val="9"/>
                <w:color w:val="auto"/>
              </w:rPr>
            </w:pPr>
          </w:p>
        </w:tc>
        <w:tc>
          <w:tcPr>
            <w:tcW w:w="1140" w:type="dxa"/>
            <w:vAlign w:val="bottom"/>
            <w:tcBorders>
              <w:bottom w:val="single" w:sz="8" w:color="auto"/>
            </w:tcBorders>
            <w:shd w:val="clear" w:color="auto" w:fill="DDDDDD"/>
          </w:tcPr>
          <w:p>
            <w:pPr>
              <w:spacing w:after="0"/>
              <w:rPr>
                <w:sz w:val="9"/>
                <w:szCs w:val="9"/>
                <w:color w:val="auto"/>
              </w:rPr>
            </w:pPr>
          </w:p>
        </w:tc>
        <w:tc>
          <w:tcPr>
            <w:tcW w:w="700" w:type="dxa"/>
            <w:vAlign w:val="bottom"/>
            <w:tcBorders>
              <w:bottom w:val="single" w:sz="8" w:color="auto"/>
            </w:tcBorders>
            <w:shd w:val="clear" w:color="auto" w:fill="DDDDDD"/>
          </w:tcPr>
          <w:p>
            <w:pPr>
              <w:spacing w:after="0"/>
              <w:rPr>
                <w:sz w:val="9"/>
                <w:szCs w:val="9"/>
                <w:color w:val="auto"/>
              </w:rPr>
            </w:pPr>
          </w:p>
        </w:tc>
        <w:tc>
          <w:tcPr>
            <w:tcW w:w="800" w:type="dxa"/>
            <w:vAlign w:val="bottom"/>
            <w:tcBorders>
              <w:bottom w:val="single" w:sz="8" w:color="auto"/>
            </w:tcBorders>
            <w:shd w:val="clear" w:color="auto" w:fill="DDDDDD"/>
          </w:tcPr>
          <w:p>
            <w:pPr>
              <w:spacing w:after="0"/>
              <w:rPr>
                <w:sz w:val="9"/>
                <w:szCs w:val="9"/>
                <w:color w:val="auto"/>
              </w:rPr>
            </w:pPr>
          </w:p>
        </w:tc>
        <w:tc>
          <w:tcPr>
            <w:tcW w:w="670" w:type="dxa"/>
            <w:vAlign w:val="bottom"/>
            <w:tcBorders>
              <w:bottom w:val="single" w:sz="8" w:color="auto"/>
            </w:tcBorders>
            <w:shd w:val="clear" w:color="auto" w:fill="DDDDDD"/>
          </w:tcPr>
          <w:p>
            <w:pPr>
              <w:spacing w:after="0"/>
              <w:rPr>
                <w:sz w:val="9"/>
                <w:szCs w:val="9"/>
                <w:color w:val="auto"/>
              </w:rPr>
            </w:pPr>
          </w:p>
        </w:tc>
        <w:tc>
          <w:tcPr>
            <w:tcW w:w="130" w:type="dxa"/>
            <w:vAlign w:val="bottom"/>
            <w:tcBorders>
              <w:bottom w:val="single" w:sz="8" w:color="auto"/>
            </w:tcBorders>
            <w:shd w:val="clear" w:color="auto" w:fill="DDDDDD"/>
          </w:tcPr>
          <w:p>
            <w:pPr>
              <w:spacing w:after="0"/>
              <w:rPr>
                <w:sz w:val="9"/>
                <w:szCs w:val="9"/>
                <w:color w:val="auto"/>
              </w:rPr>
            </w:pPr>
          </w:p>
        </w:tc>
        <w:tc>
          <w:tcPr>
            <w:tcW w:w="650" w:type="dxa"/>
            <w:vAlign w:val="bottom"/>
            <w:tcBorders>
              <w:bottom w:val="single" w:sz="8" w:color="auto"/>
            </w:tcBorders>
            <w:shd w:val="clear" w:color="auto" w:fill="DDDDDD"/>
          </w:tcPr>
          <w:p>
            <w:pPr>
              <w:spacing w:after="0"/>
              <w:rPr>
                <w:sz w:val="9"/>
                <w:szCs w:val="9"/>
                <w:color w:val="auto"/>
              </w:rPr>
            </w:pPr>
          </w:p>
        </w:tc>
        <w:tc>
          <w:tcPr>
            <w:tcW w:w="920" w:type="dxa"/>
            <w:vAlign w:val="bottom"/>
            <w:tcBorders>
              <w:bottom w:val="single" w:sz="8" w:color="auto"/>
            </w:tcBorders>
            <w:shd w:val="clear" w:color="auto" w:fill="DDDDDD"/>
          </w:tcPr>
          <w:p>
            <w:pPr>
              <w:spacing w:after="0"/>
              <w:rPr>
                <w:sz w:val="9"/>
                <w:szCs w:val="9"/>
                <w:color w:val="auto"/>
              </w:rPr>
            </w:pPr>
          </w:p>
        </w:tc>
        <w:tc>
          <w:tcPr>
            <w:tcW w:w="810" w:type="dxa"/>
            <w:vAlign w:val="bottom"/>
            <w:tcBorders>
              <w:bottom w:val="single" w:sz="8" w:color="auto"/>
            </w:tcBorders>
            <w:shd w:val="clear" w:color="auto" w:fill="DDDDDD"/>
          </w:tcPr>
          <w:p>
            <w:pPr>
              <w:spacing w:after="0"/>
              <w:rPr>
                <w:sz w:val="9"/>
                <w:szCs w:val="9"/>
                <w:color w:val="auto"/>
              </w:rPr>
            </w:pPr>
          </w:p>
        </w:tc>
        <w:tc>
          <w:tcPr>
            <w:tcW w:w="0" w:type="dxa"/>
            <w:vAlign w:val="bottom"/>
          </w:tcPr>
          <w:p>
            <w:pPr>
              <w:spacing w:after="0"/>
              <w:rPr>
                <w:sz w:val="1"/>
                <w:szCs w:val="1"/>
                <w:color w:val="auto"/>
              </w:rPr>
            </w:pPr>
          </w:p>
        </w:tc>
      </w:tr>
      <w:tr>
        <w:trPr>
          <w:trHeight w:val="106"/>
        </w:trPr>
        <w:tc>
          <w:tcPr>
            <w:tcW w:w="40" w:type="dxa"/>
            <w:vAlign w:val="bottom"/>
            <w:shd w:val="clear" w:color="auto" w:fill="DDDDDD"/>
          </w:tcPr>
          <w:p>
            <w:pPr>
              <w:spacing w:after="0"/>
              <w:rPr>
                <w:sz w:val="9"/>
                <w:szCs w:val="9"/>
                <w:color w:val="auto"/>
              </w:rPr>
            </w:pPr>
          </w:p>
        </w:tc>
        <w:tc>
          <w:tcPr>
            <w:tcW w:w="920" w:type="dxa"/>
            <w:vAlign w:val="bottom"/>
            <w:vMerge w:val="continue"/>
            <w:shd w:val="clear" w:color="auto" w:fill="DDDDDD"/>
          </w:tcPr>
          <w:p>
            <w:pPr>
              <w:spacing w:after="0"/>
              <w:rPr>
                <w:sz w:val="9"/>
                <w:szCs w:val="9"/>
                <w:color w:val="auto"/>
              </w:rPr>
            </w:pPr>
          </w:p>
        </w:tc>
        <w:tc>
          <w:tcPr>
            <w:tcW w:w="1020" w:type="dxa"/>
            <w:vAlign w:val="bottom"/>
            <w:gridSpan w:val="3"/>
            <w:vMerge w:val="restart"/>
          </w:tcPr>
          <w:p>
            <w:pPr>
              <w:ind w:left="100"/>
              <w:spacing w:after="0"/>
              <w:rPr>
                <w:sz w:val="20"/>
                <w:szCs w:val="20"/>
                <w:color w:val="auto"/>
              </w:rPr>
            </w:pPr>
            <w:r>
              <w:rPr>
                <w:rFonts w:ascii="Times New Roman" w:cs="Times New Roman" w:eastAsia="Times New Roman" w:hAnsi="Times New Roman"/>
                <w:sz w:val="18"/>
                <w:szCs w:val="18"/>
                <w:color w:val="auto"/>
              </w:rPr>
              <w:t>12/11/2021</w:t>
            </w:r>
          </w:p>
        </w:tc>
        <w:tc>
          <w:tcPr>
            <w:tcW w:w="680" w:type="dxa"/>
            <w:vAlign w:val="bottom"/>
            <w:gridSpan w:val="2"/>
            <w:vMerge w:val="restart"/>
          </w:tcPr>
          <w:p>
            <w:pPr>
              <w:ind w:left="100"/>
              <w:spacing w:after="0"/>
              <w:rPr>
                <w:sz w:val="20"/>
                <w:szCs w:val="20"/>
                <w:color w:val="auto"/>
              </w:rPr>
            </w:pPr>
            <w:r>
              <w:rPr>
                <w:rFonts w:ascii="Times New Roman" w:cs="Times New Roman" w:eastAsia="Times New Roman" w:hAnsi="Times New Roman"/>
                <w:sz w:val="18"/>
                <w:szCs w:val="18"/>
                <w:color w:val="auto"/>
              </w:rPr>
              <w:t>(6)</w:t>
            </w:r>
          </w:p>
        </w:tc>
        <w:tc>
          <w:tcPr>
            <w:tcW w:w="120" w:type="dxa"/>
            <w:vAlign w:val="bottom"/>
          </w:tcPr>
          <w:p>
            <w:pPr>
              <w:spacing w:after="0"/>
              <w:rPr>
                <w:sz w:val="9"/>
                <w:szCs w:val="9"/>
                <w:color w:val="auto"/>
              </w:rPr>
            </w:pPr>
          </w:p>
        </w:tc>
        <w:tc>
          <w:tcPr>
            <w:tcW w:w="870" w:type="dxa"/>
            <w:vAlign w:val="bottom"/>
          </w:tcPr>
          <w:p>
            <w:pPr>
              <w:spacing w:after="0"/>
              <w:rPr>
                <w:sz w:val="9"/>
                <w:szCs w:val="9"/>
                <w:color w:val="auto"/>
              </w:rPr>
            </w:pPr>
          </w:p>
        </w:tc>
        <w:tc>
          <w:tcPr>
            <w:tcW w:w="110" w:type="dxa"/>
            <w:vAlign w:val="bottom"/>
          </w:tcPr>
          <w:p>
            <w:pPr>
              <w:spacing w:after="0"/>
              <w:rPr>
                <w:sz w:val="9"/>
                <w:szCs w:val="9"/>
                <w:color w:val="auto"/>
              </w:rPr>
            </w:pPr>
          </w:p>
        </w:tc>
        <w:tc>
          <w:tcPr>
            <w:tcW w:w="720" w:type="dxa"/>
            <w:vAlign w:val="bottom"/>
          </w:tcPr>
          <w:p>
            <w:pPr>
              <w:spacing w:after="0"/>
              <w:rPr>
                <w:sz w:val="9"/>
                <w:szCs w:val="9"/>
                <w:color w:val="auto"/>
              </w:rPr>
            </w:pPr>
          </w:p>
        </w:tc>
        <w:tc>
          <w:tcPr>
            <w:tcW w:w="3310" w:type="dxa"/>
            <w:vAlign w:val="bottom"/>
            <w:gridSpan w:val="4"/>
            <w:vMerge w:val="restart"/>
          </w:tcPr>
          <w:p>
            <w:pPr>
              <w:ind w:left="2640"/>
              <w:spacing w:after="0"/>
              <w:rPr>
                <w:sz w:val="20"/>
                <w:szCs w:val="20"/>
                <w:color w:val="auto"/>
              </w:rPr>
            </w:pPr>
            <w:r>
              <w:rPr>
                <w:rFonts w:ascii="Times New Roman" w:cs="Times New Roman" w:eastAsia="Times New Roman" w:hAnsi="Times New Roman"/>
                <w:sz w:val="18"/>
                <w:szCs w:val="18"/>
                <w:color w:val="auto"/>
              </w:rPr>
              <w:t>58,596</w:t>
            </w:r>
          </w:p>
        </w:tc>
        <w:tc>
          <w:tcPr>
            <w:tcW w:w="780" w:type="dxa"/>
            <w:vAlign w:val="bottom"/>
            <w:gridSpan w:val="2"/>
            <w:vMerge w:val="restart"/>
          </w:tcPr>
          <w:p>
            <w:pPr>
              <w:ind w:left="130"/>
              <w:spacing w:after="0"/>
              <w:rPr>
                <w:sz w:val="20"/>
                <w:szCs w:val="20"/>
                <w:color w:val="auto"/>
              </w:rPr>
            </w:pPr>
            <w:r>
              <w:rPr>
                <w:rFonts w:ascii="Times New Roman" w:cs="Times New Roman" w:eastAsia="Times New Roman" w:hAnsi="Times New Roman"/>
                <w:sz w:val="18"/>
                <w:szCs w:val="18"/>
                <w:color w:val="auto"/>
              </w:rPr>
              <w:t>42,207</w:t>
            </w:r>
          </w:p>
        </w:tc>
        <w:tc>
          <w:tcPr>
            <w:tcW w:w="920" w:type="dxa"/>
            <w:vAlign w:val="bottom"/>
          </w:tcPr>
          <w:p>
            <w:pPr>
              <w:spacing w:after="0"/>
              <w:rPr>
                <w:sz w:val="9"/>
                <w:szCs w:val="9"/>
                <w:color w:val="auto"/>
              </w:rPr>
            </w:pPr>
          </w:p>
        </w:tc>
        <w:tc>
          <w:tcPr>
            <w:tcW w:w="81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84"/>
        </w:trPr>
        <w:tc>
          <w:tcPr>
            <w:tcW w:w="40" w:type="dxa"/>
            <w:vAlign w:val="bottom"/>
            <w:shd w:val="clear" w:color="auto" w:fill="DDDDDD"/>
          </w:tcPr>
          <w:p>
            <w:pPr>
              <w:spacing w:after="0"/>
              <w:rPr>
                <w:sz w:val="15"/>
                <w:szCs w:val="15"/>
                <w:color w:val="auto"/>
              </w:rPr>
            </w:pPr>
          </w:p>
        </w:tc>
        <w:tc>
          <w:tcPr>
            <w:tcW w:w="920" w:type="dxa"/>
            <w:vAlign w:val="bottom"/>
            <w:shd w:val="clear" w:color="auto" w:fill="DDDDDD"/>
          </w:tcPr>
          <w:p>
            <w:pPr>
              <w:spacing w:after="0"/>
              <w:rPr>
                <w:sz w:val="15"/>
                <w:szCs w:val="15"/>
                <w:color w:val="auto"/>
              </w:rPr>
            </w:pPr>
          </w:p>
        </w:tc>
        <w:tc>
          <w:tcPr>
            <w:tcW w:w="1020" w:type="dxa"/>
            <w:vAlign w:val="bottom"/>
            <w:gridSpan w:val="3"/>
            <w:vMerge w:val="continue"/>
          </w:tcPr>
          <w:p>
            <w:pPr>
              <w:spacing w:after="0"/>
              <w:rPr>
                <w:sz w:val="15"/>
                <w:szCs w:val="15"/>
                <w:color w:val="auto"/>
              </w:rPr>
            </w:pPr>
          </w:p>
        </w:tc>
        <w:tc>
          <w:tcPr>
            <w:tcW w:w="680" w:type="dxa"/>
            <w:vAlign w:val="bottom"/>
            <w:gridSpan w:val="2"/>
            <w:vMerge w:val="continue"/>
          </w:tcPr>
          <w:p>
            <w:pPr>
              <w:spacing w:after="0"/>
              <w:rPr>
                <w:sz w:val="15"/>
                <w:szCs w:val="15"/>
                <w:color w:val="auto"/>
              </w:rPr>
            </w:pPr>
          </w:p>
        </w:tc>
        <w:tc>
          <w:tcPr>
            <w:tcW w:w="120" w:type="dxa"/>
            <w:vAlign w:val="bottom"/>
          </w:tcPr>
          <w:p>
            <w:pPr>
              <w:spacing w:after="0"/>
              <w:rPr>
                <w:sz w:val="15"/>
                <w:szCs w:val="15"/>
                <w:color w:val="auto"/>
              </w:rPr>
            </w:pPr>
          </w:p>
        </w:tc>
        <w:tc>
          <w:tcPr>
            <w:tcW w:w="870" w:type="dxa"/>
            <w:vAlign w:val="bottom"/>
          </w:tcPr>
          <w:p>
            <w:pPr>
              <w:spacing w:after="0"/>
              <w:rPr>
                <w:sz w:val="15"/>
                <w:szCs w:val="15"/>
                <w:color w:val="auto"/>
              </w:rPr>
            </w:pPr>
          </w:p>
        </w:tc>
        <w:tc>
          <w:tcPr>
            <w:tcW w:w="11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3310" w:type="dxa"/>
            <w:vAlign w:val="bottom"/>
            <w:gridSpan w:val="4"/>
            <w:vMerge w:val="continue"/>
          </w:tcPr>
          <w:p>
            <w:pPr>
              <w:spacing w:after="0"/>
              <w:rPr>
                <w:sz w:val="15"/>
                <w:szCs w:val="15"/>
                <w:color w:val="auto"/>
              </w:rPr>
            </w:pPr>
          </w:p>
        </w:tc>
        <w:tc>
          <w:tcPr>
            <w:tcW w:w="780" w:type="dxa"/>
            <w:vAlign w:val="bottom"/>
            <w:gridSpan w:val="2"/>
            <w:vMerge w:val="continue"/>
          </w:tcPr>
          <w:p>
            <w:pPr>
              <w:spacing w:after="0"/>
              <w:rPr>
                <w:sz w:val="15"/>
                <w:szCs w:val="15"/>
                <w:color w:val="auto"/>
              </w:rPr>
            </w:pPr>
          </w:p>
        </w:tc>
        <w:tc>
          <w:tcPr>
            <w:tcW w:w="920" w:type="dxa"/>
            <w:vAlign w:val="bottom"/>
          </w:tcPr>
          <w:p>
            <w:pPr>
              <w:spacing w:after="0"/>
              <w:rPr>
                <w:sz w:val="15"/>
                <w:szCs w:val="15"/>
                <w:color w:val="auto"/>
              </w:rPr>
            </w:pPr>
          </w:p>
        </w:tc>
        <w:tc>
          <w:tcPr>
            <w:tcW w:w="81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55"/>
        </w:trPr>
        <w:tc>
          <w:tcPr>
            <w:tcW w:w="40" w:type="dxa"/>
            <w:vAlign w:val="bottom"/>
            <w:tcBorders>
              <w:top w:val="single" w:sz="8" w:color="DDDDDD"/>
              <w:bottom w:val="single" w:sz="8" w:color="DDDDDD"/>
            </w:tcBorders>
            <w:shd w:val="clear" w:color="auto" w:fill="DDDDDD"/>
          </w:tcPr>
          <w:p>
            <w:pPr>
              <w:spacing w:after="0"/>
              <w:rPr>
                <w:sz w:val="22"/>
                <w:szCs w:val="22"/>
                <w:color w:val="auto"/>
              </w:rPr>
            </w:pPr>
          </w:p>
        </w:tc>
        <w:tc>
          <w:tcPr>
            <w:tcW w:w="920" w:type="dxa"/>
            <w:vAlign w:val="bottom"/>
            <w:tcBorders>
              <w:top w:val="single" w:sz="8" w:color="DDDDDD"/>
              <w:bottom w:val="single" w:sz="8" w:color="DDDDDD"/>
            </w:tcBorders>
            <w:shd w:val="clear" w:color="auto" w:fill="DDDDDD"/>
          </w:tcPr>
          <w:p>
            <w:pPr>
              <w:spacing w:after="0"/>
              <w:rPr>
                <w:sz w:val="22"/>
                <w:szCs w:val="22"/>
                <w:color w:val="auto"/>
              </w:rPr>
            </w:pPr>
          </w:p>
        </w:tc>
        <w:tc>
          <w:tcPr>
            <w:tcW w:w="40" w:type="dxa"/>
            <w:vAlign w:val="bottom"/>
            <w:tcBorders>
              <w:top w:val="single" w:sz="8" w:color="DDDDDD"/>
            </w:tcBorders>
            <w:shd w:val="clear" w:color="auto" w:fill="DDDDDD"/>
          </w:tcPr>
          <w:p>
            <w:pPr>
              <w:spacing w:after="0"/>
              <w:rPr>
                <w:sz w:val="22"/>
                <w:szCs w:val="22"/>
                <w:color w:val="auto"/>
              </w:rPr>
            </w:pPr>
          </w:p>
        </w:tc>
        <w:tc>
          <w:tcPr>
            <w:tcW w:w="60" w:type="dxa"/>
            <w:vAlign w:val="bottom"/>
            <w:tcBorders>
              <w:top w:val="single" w:sz="8" w:color="auto"/>
              <w:bottom w:val="single" w:sz="8" w:color="auto"/>
            </w:tcBorders>
            <w:shd w:val="clear" w:color="auto" w:fill="DDDDDD"/>
          </w:tcPr>
          <w:p>
            <w:pPr>
              <w:spacing w:after="0"/>
              <w:rPr>
                <w:sz w:val="22"/>
                <w:szCs w:val="22"/>
                <w:color w:val="auto"/>
              </w:rPr>
            </w:pPr>
          </w:p>
        </w:tc>
        <w:tc>
          <w:tcPr>
            <w:tcW w:w="920" w:type="dxa"/>
            <w:vAlign w:val="bottom"/>
            <w:tcBorders>
              <w:top w:val="single" w:sz="8" w:color="auto"/>
              <w:bottom w:val="single" w:sz="8" w:color="auto"/>
            </w:tcBorders>
            <w:shd w:val="clear" w:color="auto" w:fill="DDDDDD"/>
          </w:tcPr>
          <w:p>
            <w:pPr>
              <w:spacing w:after="0"/>
              <w:rPr>
                <w:sz w:val="20"/>
                <w:szCs w:val="20"/>
                <w:color w:val="auto"/>
              </w:rPr>
            </w:pPr>
            <w:r>
              <w:rPr>
                <w:rFonts w:ascii="Times New Roman" w:cs="Times New Roman" w:eastAsia="Times New Roman" w:hAnsi="Times New Roman"/>
                <w:sz w:val="18"/>
                <w:szCs w:val="18"/>
                <w:color w:val="auto"/>
              </w:rPr>
              <w:t>9/30/2023</w:t>
            </w:r>
          </w:p>
        </w:tc>
        <w:tc>
          <w:tcPr>
            <w:tcW w:w="100" w:type="dxa"/>
            <w:vAlign w:val="bottom"/>
            <w:tcBorders>
              <w:top w:val="single" w:sz="8" w:color="auto"/>
              <w:bottom w:val="single" w:sz="8" w:color="auto"/>
            </w:tcBorders>
            <w:shd w:val="clear" w:color="auto" w:fill="DDDDDD"/>
          </w:tcPr>
          <w:p>
            <w:pPr>
              <w:spacing w:after="0"/>
              <w:rPr>
                <w:sz w:val="22"/>
                <w:szCs w:val="22"/>
                <w:color w:val="auto"/>
              </w:rPr>
            </w:pPr>
          </w:p>
        </w:tc>
        <w:tc>
          <w:tcPr>
            <w:tcW w:w="580" w:type="dxa"/>
            <w:vAlign w:val="bottom"/>
            <w:tcBorders>
              <w:top w:val="single" w:sz="8" w:color="auto"/>
              <w:bottom w:val="single" w:sz="8" w:color="auto"/>
            </w:tcBorders>
            <w:shd w:val="clear" w:color="auto" w:fill="DDDDDD"/>
          </w:tcPr>
          <w:p>
            <w:pPr>
              <w:spacing w:after="0"/>
              <w:rPr>
                <w:sz w:val="20"/>
                <w:szCs w:val="20"/>
                <w:color w:val="auto"/>
              </w:rPr>
            </w:pPr>
            <w:r>
              <w:rPr>
                <w:rFonts w:ascii="Times New Roman" w:cs="Times New Roman" w:eastAsia="Times New Roman" w:hAnsi="Times New Roman"/>
                <w:sz w:val="18"/>
                <w:szCs w:val="18"/>
                <w:color w:val="auto"/>
              </w:rPr>
              <w:t>(7)</w:t>
            </w:r>
          </w:p>
        </w:tc>
        <w:tc>
          <w:tcPr>
            <w:tcW w:w="120" w:type="dxa"/>
            <w:vAlign w:val="bottom"/>
            <w:tcBorders>
              <w:top w:val="single" w:sz="8" w:color="auto"/>
              <w:bottom w:val="single" w:sz="8" w:color="auto"/>
            </w:tcBorders>
            <w:shd w:val="clear" w:color="auto" w:fill="DDDDDD"/>
          </w:tcPr>
          <w:p>
            <w:pPr>
              <w:spacing w:after="0"/>
              <w:rPr>
                <w:sz w:val="22"/>
                <w:szCs w:val="22"/>
                <w:color w:val="auto"/>
              </w:rPr>
            </w:pPr>
          </w:p>
        </w:tc>
        <w:tc>
          <w:tcPr>
            <w:tcW w:w="870" w:type="dxa"/>
            <w:vAlign w:val="bottom"/>
            <w:tcBorders>
              <w:top w:val="single" w:sz="8" w:color="auto"/>
              <w:bottom w:val="single" w:sz="8" w:color="auto"/>
            </w:tcBorders>
            <w:shd w:val="clear" w:color="auto" w:fill="DDDDDD"/>
          </w:tcPr>
          <w:p>
            <w:pPr>
              <w:spacing w:after="0"/>
              <w:rPr>
                <w:sz w:val="22"/>
                <w:szCs w:val="22"/>
                <w:color w:val="auto"/>
              </w:rPr>
            </w:pPr>
          </w:p>
        </w:tc>
        <w:tc>
          <w:tcPr>
            <w:tcW w:w="110" w:type="dxa"/>
            <w:vAlign w:val="bottom"/>
            <w:tcBorders>
              <w:top w:val="single" w:sz="8" w:color="auto"/>
              <w:bottom w:val="single" w:sz="8" w:color="auto"/>
            </w:tcBorders>
            <w:shd w:val="clear" w:color="auto" w:fill="DDDDDD"/>
          </w:tcPr>
          <w:p>
            <w:pPr>
              <w:spacing w:after="0"/>
              <w:rPr>
                <w:sz w:val="22"/>
                <w:szCs w:val="22"/>
                <w:color w:val="auto"/>
              </w:rPr>
            </w:pPr>
          </w:p>
        </w:tc>
        <w:tc>
          <w:tcPr>
            <w:tcW w:w="720" w:type="dxa"/>
            <w:vAlign w:val="bottom"/>
            <w:tcBorders>
              <w:top w:val="single" w:sz="8" w:color="auto"/>
              <w:bottom w:val="single" w:sz="8" w:color="auto"/>
            </w:tcBorders>
            <w:shd w:val="clear" w:color="auto" w:fill="DDDDDD"/>
          </w:tcPr>
          <w:p>
            <w:pPr>
              <w:spacing w:after="0"/>
              <w:rPr>
                <w:sz w:val="22"/>
                <w:szCs w:val="22"/>
                <w:color w:val="auto"/>
              </w:rPr>
            </w:pPr>
          </w:p>
        </w:tc>
        <w:tc>
          <w:tcPr>
            <w:tcW w:w="1140" w:type="dxa"/>
            <w:vAlign w:val="bottom"/>
            <w:tcBorders>
              <w:top w:val="single" w:sz="8" w:color="auto"/>
              <w:bottom w:val="single" w:sz="8" w:color="auto"/>
            </w:tcBorders>
            <w:shd w:val="clear" w:color="auto" w:fill="DDDDDD"/>
          </w:tcPr>
          <w:p>
            <w:pPr>
              <w:spacing w:after="0"/>
              <w:rPr>
                <w:sz w:val="22"/>
                <w:szCs w:val="22"/>
                <w:color w:val="auto"/>
              </w:rPr>
            </w:pPr>
          </w:p>
        </w:tc>
        <w:tc>
          <w:tcPr>
            <w:tcW w:w="700" w:type="dxa"/>
            <w:vAlign w:val="bottom"/>
            <w:tcBorders>
              <w:top w:val="single" w:sz="8" w:color="auto"/>
              <w:bottom w:val="single" w:sz="8" w:color="auto"/>
            </w:tcBorders>
            <w:shd w:val="clear" w:color="auto" w:fill="DDDDDD"/>
          </w:tcPr>
          <w:p>
            <w:pPr>
              <w:spacing w:after="0"/>
              <w:rPr>
                <w:sz w:val="22"/>
                <w:szCs w:val="22"/>
                <w:color w:val="auto"/>
              </w:rPr>
            </w:pPr>
          </w:p>
        </w:tc>
        <w:tc>
          <w:tcPr>
            <w:tcW w:w="800" w:type="dxa"/>
            <w:vAlign w:val="bottom"/>
            <w:tcBorders>
              <w:top w:val="single" w:sz="8" w:color="auto"/>
              <w:bottom w:val="single" w:sz="8" w:color="auto"/>
            </w:tcBorders>
            <w:shd w:val="clear" w:color="auto" w:fill="DDDDDD"/>
          </w:tcPr>
          <w:p>
            <w:pPr>
              <w:spacing w:after="0"/>
              <w:rPr>
                <w:sz w:val="22"/>
                <w:szCs w:val="22"/>
                <w:color w:val="auto"/>
              </w:rPr>
            </w:pPr>
          </w:p>
        </w:tc>
        <w:tc>
          <w:tcPr>
            <w:tcW w:w="670" w:type="dxa"/>
            <w:vAlign w:val="bottom"/>
            <w:tcBorders>
              <w:top w:val="single" w:sz="8" w:color="auto"/>
              <w:bottom w:val="single" w:sz="8" w:color="auto"/>
            </w:tcBorders>
            <w:shd w:val="clear" w:color="auto" w:fill="DDDDDD"/>
          </w:tcPr>
          <w:p>
            <w:pPr>
              <w:spacing w:after="0"/>
              <w:rPr>
                <w:sz w:val="20"/>
                <w:szCs w:val="20"/>
                <w:color w:val="auto"/>
              </w:rPr>
            </w:pPr>
            <w:r>
              <w:rPr>
                <w:rFonts w:ascii="Times New Roman" w:cs="Times New Roman" w:eastAsia="Times New Roman" w:hAnsi="Times New Roman"/>
                <w:sz w:val="18"/>
                <w:szCs w:val="18"/>
                <w:color w:val="auto"/>
                <w:highlight w:val="lightGray"/>
              </w:rPr>
              <w:t>600,846</w:t>
            </w:r>
          </w:p>
        </w:tc>
        <w:tc>
          <w:tcPr>
            <w:tcW w:w="130" w:type="dxa"/>
            <w:vAlign w:val="bottom"/>
            <w:tcBorders>
              <w:top w:val="single" w:sz="8" w:color="auto"/>
              <w:bottom w:val="single" w:sz="8" w:color="auto"/>
            </w:tcBorders>
            <w:shd w:val="clear" w:color="auto" w:fill="DDDDDD"/>
          </w:tcPr>
          <w:p>
            <w:pPr>
              <w:spacing w:after="0"/>
              <w:rPr>
                <w:sz w:val="22"/>
                <w:szCs w:val="22"/>
                <w:color w:val="auto"/>
              </w:rPr>
            </w:pPr>
          </w:p>
        </w:tc>
        <w:tc>
          <w:tcPr>
            <w:tcW w:w="650" w:type="dxa"/>
            <w:vAlign w:val="bottom"/>
            <w:tcBorders>
              <w:top w:val="single" w:sz="8" w:color="auto"/>
              <w:bottom w:val="single" w:sz="8" w:color="auto"/>
            </w:tcBorders>
            <w:shd w:val="clear" w:color="auto" w:fill="DDDDDD"/>
          </w:tcPr>
          <w:p>
            <w:pPr>
              <w:spacing w:after="0"/>
              <w:rPr>
                <w:sz w:val="20"/>
                <w:szCs w:val="20"/>
                <w:color w:val="auto"/>
              </w:rPr>
            </w:pPr>
            <w:r>
              <w:rPr>
                <w:rFonts w:ascii="Times New Roman" w:cs="Times New Roman" w:eastAsia="Times New Roman" w:hAnsi="Times New Roman"/>
                <w:sz w:val="18"/>
                <w:szCs w:val="18"/>
                <w:color w:val="auto"/>
                <w:highlight w:val="lightGray"/>
              </w:rPr>
              <w:t>432,789</w:t>
            </w:r>
          </w:p>
        </w:tc>
        <w:tc>
          <w:tcPr>
            <w:tcW w:w="920" w:type="dxa"/>
            <w:vAlign w:val="bottom"/>
            <w:tcBorders>
              <w:top w:val="single" w:sz="8" w:color="auto"/>
              <w:bottom w:val="single" w:sz="8" w:color="auto"/>
            </w:tcBorders>
            <w:shd w:val="clear" w:color="auto" w:fill="DDDDDD"/>
          </w:tcPr>
          <w:p>
            <w:pPr>
              <w:spacing w:after="0"/>
              <w:rPr>
                <w:sz w:val="22"/>
                <w:szCs w:val="22"/>
                <w:color w:val="auto"/>
              </w:rPr>
            </w:pPr>
          </w:p>
        </w:tc>
        <w:tc>
          <w:tcPr>
            <w:tcW w:w="810" w:type="dxa"/>
            <w:vAlign w:val="bottom"/>
            <w:tcBorders>
              <w:top w:val="single" w:sz="8" w:color="auto"/>
              <w:bottom w:val="single" w:sz="8" w:color="auto"/>
            </w:tcBorders>
            <w:shd w:val="clear" w:color="auto" w:fill="DDDDDD"/>
          </w:tcPr>
          <w:p>
            <w:pPr>
              <w:spacing w:after="0"/>
              <w:rPr>
                <w:sz w:val="22"/>
                <w:szCs w:val="22"/>
                <w:color w:val="auto"/>
              </w:rPr>
            </w:pPr>
          </w:p>
        </w:tc>
        <w:tc>
          <w:tcPr>
            <w:tcW w:w="0" w:type="dxa"/>
            <w:vAlign w:val="bottom"/>
          </w:tcPr>
          <w:p>
            <w:pPr>
              <w:spacing w:after="0"/>
              <w:rPr>
                <w:sz w:val="1"/>
                <w:szCs w:val="1"/>
                <w:color w:val="auto"/>
              </w:rPr>
            </w:pPr>
          </w:p>
        </w:tc>
      </w:tr>
      <w:tr>
        <w:trPr>
          <w:trHeight w:val="295"/>
        </w:trPr>
        <w:tc>
          <w:tcPr>
            <w:tcW w:w="40" w:type="dxa"/>
            <w:vAlign w:val="bottom"/>
            <w:shd w:val="clear" w:color="auto" w:fill="DDDDDD"/>
          </w:tcPr>
          <w:p>
            <w:pPr>
              <w:spacing w:after="0"/>
              <w:rPr>
                <w:sz w:val="24"/>
                <w:szCs w:val="24"/>
                <w:color w:val="auto"/>
              </w:rPr>
            </w:pPr>
          </w:p>
        </w:tc>
        <w:tc>
          <w:tcPr>
            <w:tcW w:w="920" w:type="dxa"/>
            <w:vAlign w:val="bottom"/>
            <w:shd w:val="clear" w:color="auto" w:fill="DDDDDD"/>
          </w:tcPr>
          <w:p>
            <w:pPr>
              <w:spacing w:after="0"/>
              <w:rPr>
                <w:sz w:val="24"/>
                <w:szCs w:val="24"/>
                <w:color w:val="auto"/>
              </w:rPr>
            </w:pPr>
          </w:p>
        </w:tc>
        <w:tc>
          <w:tcPr>
            <w:tcW w:w="1020" w:type="dxa"/>
            <w:vAlign w:val="bottom"/>
            <w:gridSpan w:val="3"/>
          </w:tcPr>
          <w:p>
            <w:pPr>
              <w:ind w:left="100"/>
              <w:spacing w:after="0"/>
              <w:rPr>
                <w:sz w:val="20"/>
                <w:szCs w:val="20"/>
                <w:color w:val="auto"/>
              </w:rPr>
            </w:pPr>
            <w:r>
              <w:rPr>
                <w:rFonts w:ascii="Times New Roman" w:cs="Times New Roman" w:eastAsia="Times New Roman" w:hAnsi="Times New Roman"/>
                <w:sz w:val="18"/>
                <w:szCs w:val="18"/>
                <w:color w:val="auto"/>
              </w:rPr>
              <w:t>12/8/2020</w:t>
            </w:r>
          </w:p>
        </w:tc>
        <w:tc>
          <w:tcPr>
            <w:tcW w:w="68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(10)</w:t>
            </w:r>
          </w:p>
        </w:tc>
        <w:tc>
          <w:tcPr>
            <w:tcW w:w="99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185,933</w:t>
            </w:r>
          </w:p>
        </w:tc>
        <w:tc>
          <w:tcPr>
            <w:tcW w:w="830" w:type="dxa"/>
            <w:vAlign w:val="bottom"/>
            <w:gridSpan w:val="2"/>
          </w:tcPr>
          <w:p>
            <w:pPr>
              <w:ind w:left="110"/>
              <w:spacing w:after="0"/>
              <w:rPr>
                <w:sz w:val="20"/>
                <w:szCs w:val="20"/>
                <w:color w:val="auto"/>
              </w:rPr>
            </w:pPr>
            <w:r>
              <w:rPr>
                <w:rFonts w:ascii="Times New Roman" w:cs="Times New Roman" w:eastAsia="Times New Roman" w:hAnsi="Times New Roman"/>
                <w:sz w:val="18"/>
                <w:szCs w:val="18"/>
                <w:color w:val="auto"/>
              </w:rPr>
              <w:t>61,976</w:t>
            </w:r>
          </w:p>
        </w:tc>
        <w:tc>
          <w:tcPr>
            <w:tcW w:w="1840" w:type="dxa"/>
            <w:vAlign w:val="bottom"/>
            <w:gridSpan w:val="2"/>
          </w:tcPr>
          <w:p>
            <w:pPr>
              <w:ind w:left="1140"/>
              <w:spacing w:after="0"/>
              <w:rPr>
                <w:sz w:val="20"/>
                <w:szCs w:val="20"/>
                <w:color w:val="auto"/>
              </w:rPr>
            </w:pPr>
            <w:r>
              <w:rPr>
                <w:rFonts w:ascii="Times New Roman" w:cs="Times New Roman" w:eastAsia="Times New Roman" w:hAnsi="Times New Roman"/>
                <w:sz w:val="18"/>
                <w:szCs w:val="18"/>
                <w:color w:val="auto"/>
              </w:rPr>
              <w:t>10</w:t>
            </w:r>
          </w:p>
        </w:tc>
        <w:tc>
          <w:tcPr>
            <w:tcW w:w="800" w:type="dxa"/>
            <w:vAlign w:val="bottom"/>
          </w:tcPr>
          <w:p>
            <w:pPr>
              <w:spacing w:after="0"/>
              <w:rPr>
                <w:sz w:val="24"/>
                <w:szCs w:val="24"/>
                <w:color w:val="auto"/>
              </w:rPr>
            </w:pPr>
          </w:p>
        </w:tc>
        <w:tc>
          <w:tcPr>
            <w:tcW w:w="670" w:type="dxa"/>
            <w:vAlign w:val="bottom"/>
          </w:tcPr>
          <w:p>
            <w:pPr>
              <w:spacing w:after="0"/>
              <w:rPr>
                <w:sz w:val="24"/>
                <w:szCs w:val="24"/>
                <w:color w:val="auto"/>
              </w:rPr>
            </w:pPr>
          </w:p>
        </w:tc>
        <w:tc>
          <w:tcPr>
            <w:tcW w:w="130" w:type="dxa"/>
            <w:vAlign w:val="bottom"/>
          </w:tcPr>
          <w:p>
            <w:pPr>
              <w:spacing w:after="0"/>
              <w:rPr>
                <w:sz w:val="24"/>
                <w:szCs w:val="24"/>
                <w:color w:val="auto"/>
              </w:rPr>
            </w:pPr>
          </w:p>
        </w:tc>
        <w:tc>
          <w:tcPr>
            <w:tcW w:w="65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81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43"/>
        </w:trPr>
        <w:tc>
          <w:tcPr>
            <w:tcW w:w="40" w:type="dxa"/>
            <w:vAlign w:val="bottom"/>
            <w:tcBorders>
              <w:top w:val="single" w:sz="8" w:color="DDDDDD"/>
            </w:tcBorders>
            <w:shd w:val="clear" w:color="auto" w:fill="DDDDDD"/>
          </w:tcPr>
          <w:p>
            <w:pPr>
              <w:spacing w:after="0"/>
              <w:rPr>
                <w:sz w:val="21"/>
                <w:szCs w:val="21"/>
                <w:color w:val="auto"/>
              </w:rPr>
            </w:pPr>
          </w:p>
        </w:tc>
        <w:tc>
          <w:tcPr>
            <w:tcW w:w="920" w:type="dxa"/>
            <w:vAlign w:val="bottom"/>
            <w:tcBorders>
              <w:top w:val="single" w:sz="8" w:color="DDDDDD"/>
            </w:tcBorders>
            <w:shd w:val="clear" w:color="auto" w:fill="DDDDDD"/>
          </w:tcPr>
          <w:p>
            <w:pPr>
              <w:spacing w:after="0"/>
              <w:rPr>
                <w:sz w:val="21"/>
                <w:szCs w:val="21"/>
                <w:color w:val="auto"/>
              </w:rPr>
            </w:pPr>
          </w:p>
        </w:tc>
        <w:tc>
          <w:tcPr>
            <w:tcW w:w="40" w:type="dxa"/>
            <w:vAlign w:val="bottom"/>
            <w:tcBorders>
              <w:top w:val="single" w:sz="8" w:color="DDDDDD"/>
            </w:tcBorders>
            <w:shd w:val="clear" w:color="auto" w:fill="DDDDDD"/>
          </w:tcPr>
          <w:p>
            <w:pPr>
              <w:spacing w:after="0"/>
              <w:rPr>
                <w:sz w:val="21"/>
                <w:szCs w:val="21"/>
                <w:color w:val="auto"/>
              </w:rPr>
            </w:pPr>
          </w:p>
        </w:tc>
        <w:tc>
          <w:tcPr>
            <w:tcW w:w="60" w:type="dxa"/>
            <w:vAlign w:val="bottom"/>
            <w:tcBorders>
              <w:top w:val="single" w:sz="8" w:color="auto"/>
            </w:tcBorders>
            <w:shd w:val="clear" w:color="auto" w:fill="DDDDDD"/>
          </w:tcPr>
          <w:p>
            <w:pPr>
              <w:spacing w:after="0"/>
              <w:rPr>
                <w:sz w:val="21"/>
                <w:szCs w:val="21"/>
                <w:color w:val="auto"/>
              </w:rPr>
            </w:pPr>
          </w:p>
        </w:tc>
        <w:tc>
          <w:tcPr>
            <w:tcW w:w="920" w:type="dxa"/>
            <w:vAlign w:val="bottom"/>
            <w:tcBorders>
              <w:top w:val="single" w:sz="8" w:color="auto"/>
            </w:tcBorders>
            <w:shd w:val="clear" w:color="auto" w:fill="DDDDDD"/>
          </w:tcPr>
          <w:p>
            <w:pPr>
              <w:spacing w:after="0"/>
              <w:rPr>
                <w:sz w:val="20"/>
                <w:szCs w:val="20"/>
                <w:color w:val="auto"/>
              </w:rPr>
            </w:pPr>
            <w:r>
              <w:rPr>
                <w:rFonts w:ascii="Times New Roman" w:cs="Times New Roman" w:eastAsia="Times New Roman" w:hAnsi="Times New Roman"/>
                <w:sz w:val="18"/>
                <w:szCs w:val="18"/>
                <w:color w:val="auto"/>
                <w:highlight w:val="lightGray"/>
              </w:rPr>
              <w:t>11/12/2019</w:t>
            </w:r>
          </w:p>
        </w:tc>
        <w:tc>
          <w:tcPr>
            <w:tcW w:w="100" w:type="dxa"/>
            <w:vAlign w:val="bottom"/>
            <w:tcBorders>
              <w:top w:val="single" w:sz="8" w:color="auto"/>
            </w:tcBorders>
            <w:shd w:val="clear" w:color="auto" w:fill="DDDDDD"/>
          </w:tcPr>
          <w:p>
            <w:pPr>
              <w:spacing w:after="0"/>
              <w:rPr>
                <w:sz w:val="21"/>
                <w:szCs w:val="21"/>
                <w:color w:val="auto"/>
              </w:rPr>
            </w:pPr>
          </w:p>
        </w:tc>
        <w:tc>
          <w:tcPr>
            <w:tcW w:w="580" w:type="dxa"/>
            <w:vAlign w:val="bottom"/>
            <w:tcBorders>
              <w:top w:val="single" w:sz="8" w:color="auto"/>
            </w:tcBorders>
            <w:shd w:val="clear" w:color="auto" w:fill="DDDDDD"/>
          </w:tcPr>
          <w:p>
            <w:pPr>
              <w:spacing w:after="0"/>
              <w:rPr>
                <w:sz w:val="21"/>
                <w:szCs w:val="21"/>
                <w:color w:val="auto"/>
              </w:rPr>
            </w:pPr>
          </w:p>
        </w:tc>
        <w:tc>
          <w:tcPr>
            <w:tcW w:w="120" w:type="dxa"/>
            <w:vAlign w:val="bottom"/>
            <w:tcBorders>
              <w:top w:val="single" w:sz="8" w:color="auto"/>
            </w:tcBorders>
            <w:shd w:val="clear" w:color="auto" w:fill="DDDDDD"/>
          </w:tcPr>
          <w:p>
            <w:pPr>
              <w:spacing w:after="0"/>
              <w:rPr>
                <w:sz w:val="21"/>
                <w:szCs w:val="21"/>
                <w:color w:val="auto"/>
              </w:rPr>
            </w:pPr>
          </w:p>
        </w:tc>
        <w:tc>
          <w:tcPr>
            <w:tcW w:w="870" w:type="dxa"/>
            <w:vAlign w:val="bottom"/>
            <w:tcBorders>
              <w:top w:val="single" w:sz="8" w:color="auto"/>
            </w:tcBorders>
            <w:shd w:val="clear" w:color="auto" w:fill="DDDDDD"/>
          </w:tcPr>
          <w:p>
            <w:pPr>
              <w:jc w:val="right"/>
              <w:ind w:right="200"/>
              <w:spacing w:after="0"/>
              <w:rPr>
                <w:sz w:val="20"/>
                <w:szCs w:val="20"/>
                <w:color w:val="auto"/>
              </w:rPr>
            </w:pPr>
            <w:r>
              <w:rPr>
                <w:rFonts w:ascii="Times New Roman" w:cs="Times New Roman" w:eastAsia="Times New Roman" w:hAnsi="Times New Roman"/>
                <w:sz w:val="18"/>
                <w:szCs w:val="18"/>
                <w:color w:val="auto"/>
                <w:w w:val="95"/>
              </w:rPr>
              <w:t>433,840</w:t>
            </w:r>
          </w:p>
        </w:tc>
        <w:tc>
          <w:tcPr>
            <w:tcW w:w="110" w:type="dxa"/>
            <w:vAlign w:val="bottom"/>
            <w:tcBorders>
              <w:top w:val="single" w:sz="8" w:color="auto"/>
            </w:tcBorders>
            <w:shd w:val="clear" w:color="auto" w:fill="DDDDDD"/>
          </w:tcPr>
          <w:p>
            <w:pPr>
              <w:spacing w:after="0"/>
              <w:rPr>
                <w:sz w:val="21"/>
                <w:szCs w:val="21"/>
                <w:color w:val="auto"/>
              </w:rPr>
            </w:pPr>
          </w:p>
        </w:tc>
        <w:tc>
          <w:tcPr>
            <w:tcW w:w="720" w:type="dxa"/>
            <w:vAlign w:val="bottom"/>
            <w:tcBorders>
              <w:top w:val="single" w:sz="8" w:color="auto"/>
            </w:tcBorders>
            <w:shd w:val="clear" w:color="auto" w:fill="DDDDDD"/>
          </w:tcPr>
          <w:p>
            <w:pPr>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Borders>
              <w:top w:val="single" w:sz="8" w:color="auto"/>
            </w:tcBorders>
            <w:shd w:val="clear" w:color="auto" w:fill="DDDDDD"/>
          </w:tcPr>
          <w:p>
            <w:pPr>
              <w:spacing w:after="0"/>
              <w:rPr>
                <w:sz w:val="21"/>
                <w:szCs w:val="21"/>
                <w:color w:val="auto"/>
              </w:rPr>
            </w:pPr>
          </w:p>
        </w:tc>
        <w:tc>
          <w:tcPr>
            <w:tcW w:w="700" w:type="dxa"/>
            <w:vAlign w:val="bottom"/>
            <w:tcBorders>
              <w:top w:val="single" w:sz="8" w:color="auto"/>
            </w:tcBorders>
            <w:shd w:val="clear" w:color="auto" w:fill="DDDDDD"/>
          </w:tcPr>
          <w:p>
            <w:pPr>
              <w:spacing w:after="0"/>
              <w:rPr>
                <w:sz w:val="20"/>
                <w:szCs w:val="20"/>
                <w:color w:val="auto"/>
              </w:rPr>
            </w:pPr>
            <w:r>
              <w:rPr>
                <w:rFonts w:ascii="Times New Roman" w:cs="Times New Roman" w:eastAsia="Times New Roman" w:hAnsi="Times New Roman"/>
                <w:sz w:val="18"/>
                <w:szCs w:val="18"/>
                <w:color w:val="auto"/>
              </w:rPr>
              <w:t>8.03</w:t>
            </w:r>
          </w:p>
        </w:tc>
        <w:tc>
          <w:tcPr>
            <w:tcW w:w="800" w:type="dxa"/>
            <w:vAlign w:val="bottom"/>
            <w:tcBorders>
              <w:top w:val="single" w:sz="8" w:color="auto"/>
            </w:tcBorders>
            <w:shd w:val="clear" w:color="auto" w:fill="DDDDDD"/>
          </w:tcPr>
          <w:p>
            <w:pPr>
              <w:spacing w:after="0"/>
              <w:rPr>
                <w:sz w:val="21"/>
                <w:szCs w:val="21"/>
                <w:color w:val="auto"/>
              </w:rPr>
            </w:pPr>
          </w:p>
        </w:tc>
        <w:tc>
          <w:tcPr>
            <w:tcW w:w="670" w:type="dxa"/>
            <w:vAlign w:val="bottom"/>
            <w:tcBorders>
              <w:top w:val="single" w:sz="8" w:color="auto"/>
            </w:tcBorders>
            <w:shd w:val="clear" w:color="auto" w:fill="DDDDDD"/>
          </w:tcPr>
          <w:p>
            <w:pPr>
              <w:spacing w:after="0"/>
              <w:rPr>
                <w:sz w:val="21"/>
                <w:szCs w:val="21"/>
                <w:color w:val="auto"/>
              </w:rPr>
            </w:pPr>
          </w:p>
        </w:tc>
        <w:tc>
          <w:tcPr>
            <w:tcW w:w="130" w:type="dxa"/>
            <w:vAlign w:val="bottom"/>
            <w:tcBorders>
              <w:top w:val="single" w:sz="8" w:color="auto"/>
            </w:tcBorders>
            <w:shd w:val="clear" w:color="auto" w:fill="DDDDDD"/>
          </w:tcPr>
          <w:p>
            <w:pPr>
              <w:spacing w:after="0"/>
              <w:rPr>
                <w:sz w:val="21"/>
                <w:szCs w:val="21"/>
                <w:color w:val="auto"/>
              </w:rPr>
            </w:pPr>
          </w:p>
        </w:tc>
        <w:tc>
          <w:tcPr>
            <w:tcW w:w="650" w:type="dxa"/>
            <w:vAlign w:val="bottom"/>
            <w:tcBorders>
              <w:top w:val="single" w:sz="8" w:color="auto"/>
            </w:tcBorders>
            <w:shd w:val="clear" w:color="auto" w:fill="DDDDDD"/>
          </w:tcPr>
          <w:p>
            <w:pPr>
              <w:spacing w:after="0"/>
              <w:rPr>
                <w:sz w:val="21"/>
                <w:szCs w:val="21"/>
                <w:color w:val="auto"/>
              </w:rPr>
            </w:pPr>
          </w:p>
        </w:tc>
        <w:tc>
          <w:tcPr>
            <w:tcW w:w="920" w:type="dxa"/>
            <w:vAlign w:val="bottom"/>
            <w:tcBorders>
              <w:top w:val="single" w:sz="8" w:color="auto"/>
            </w:tcBorders>
            <w:shd w:val="clear" w:color="auto" w:fill="DDDDDD"/>
          </w:tcPr>
          <w:p>
            <w:pPr>
              <w:spacing w:after="0"/>
              <w:rPr>
                <w:sz w:val="21"/>
                <w:szCs w:val="21"/>
                <w:color w:val="auto"/>
              </w:rPr>
            </w:pPr>
          </w:p>
        </w:tc>
        <w:tc>
          <w:tcPr>
            <w:tcW w:w="810" w:type="dxa"/>
            <w:vAlign w:val="bottom"/>
            <w:tcBorders>
              <w:top w:val="single" w:sz="8" w:color="auto"/>
            </w:tcBorders>
            <w:shd w:val="clear" w:color="auto" w:fill="DDDDDD"/>
          </w:tcPr>
          <w:p>
            <w:pPr>
              <w:spacing w:after="0"/>
              <w:rPr>
                <w:sz w:val="21"/>
                <w:szCs w:val="21"/>
                <w:color w:val="auto"/>
              </w:rPr>
            </w:pPr>
          </w:p>
        </w:tc>
        <w:tc>
          <w:tcPr>
            <w:tcW w:w="0" w:type="dxa"/>
            <w:vAlign w:val="bottom"/>
          </w:tcPr>
          <w:p>
            <w:pPr>
              <w:spacing w:after="0"/>
              <w:rPr>
                <w:sz w:val="1"/>
                <w:szCs w:val="1"/>
                <w:color w:val="auto"/>
              </w:rPr>
            </w:pPr>
          </w:p>
        </w:tc>
      </w:tr>
      <w:tr>
        <w:trPr>
          <w:trHeight w:val="86"/>
        </w:trPr>
        <w:tc>
          <w:tcPr>
            <w:tcW w:w="40" w:type="dxa"/>
            <w:vAlign w:val="bottom"/>
            <w:tcBorders>
              <w:bottom w:val="single" w:sz="8" w:color="auto"/>
            </w:tcBorders>
            <w:shd w:val="clear" w:color="auto" w:fill="DDDDDD"/>
          </w:tcPr>
          <w:p>
            <w:pPr>
              <w:spacing w:after="0"/>
              <w:rPr>
                <w:sz w:val="7"/>
                <w:szCs w:val="7"/>
                <w:color w:val="auto"/>
              </w:rPr>
            </w:pPr>
          </w:p>
        </w:tc>
        <w:tc>
          <w:tcPr>
            <w:tcW w:w="920" w:type="dxa"/>
            <w:vAlign w:val="bottom"/>
            <w:tcBorders>
              <w:bottom w:val="single" w:sz="8" w:color="auto"/>
            </w:tcBorders>
            <w:shd w:val="clear" w:color="auto" w:fill="DDDDDD"/>
          </w:tcPr>
          <w:p>
            <w:pPr>
              <w:spacing w:after="0"/>
              <w:rPr>
                <w:sz w:val="7"/>
                <w:szCs w:val="7"/>
                <w:color w:val="auto"/>
              </w:rPr>
            </w:pPr>
          </w:p>
        </w:tc>
        <w:tc>
          <w:tcPr>
            <w:tcW w:w="40" w:type="dxa"/>
            <w:vAlign w:val="bottom"/>
            <w:tcBorders>
              <w:bottom w:val="single" w:sz="8" w:color="auto"/>
            </w:tcBorders>
            <w:shd w:val="clear" w:color="auto" w:fill="DDDDDD"/>
          </w:tcPr>
          <w:p>
            <w:pPr>
              <w:spacing w:after="0"/>
              <w:rPr>
                <w:sz w:val="7"/>
                <w:szCs w:val="7"/>
                <w:color w:val="auto"/>
              </w:rPr>
            </w:pPr>
          </w:p>
        </w:tc>
        <w:tc>
          <w:tcPr>
            <w:tcW w:w="60" w:type="dxa"/>
            <w:vAlign w:val="bottom"/>
            <w:tcBorders>
              <w:bottom w:val="single" w:sz="8" w:color="auto"/>
            </w:tcBorders>
            <w:shd w:val="clear" w:color="auto" w:fill="DDDDDD"/>
          </w:tcPr>
          <w:p>
            <w:pPr>
              <w:spacing w:after="0"/>
              <w:rPr>
                <w:sz w:val="7"/>
                <w:szCs w:val="7"/>
                <w:color w:val="auto"/>
              </w:rPr>
            </w:pPr>
          </w:p>
        </w:tc>
        <w:tc>
          <w:tcPr>
            <w:tcW w:w="920" w:type="dxa"/>
            <w:vAlign w:val="bottom"/>
            <w:tcBorders>
              <w:bottom w:val="single" w:sz="8" w:color="auto"/>
            </w:tcBorders>
            <w:shd w:val="clear" w:color="auto" w:fill="DDDDDD"/>
          </w:tcPr>
          <w:p>
            <w:pPr>
              <w:spacing w:after="0"/>
              <w:rPr>
                <w:sz w:val="7"/>
                <w:szCs w:val="7"/>
                <w:color w:val="auto"/>
              </w:rPr>
            </w:pPr>
          </w:p>
        </w:tc>
        <w:tc>
          <w:tcPr>
            <w:tcW w:w="100" w:type="dxa"/>
            <w:vAlign w:val="bottom"/>
            <w:tcBorders>
              <w:bottom w:val="single" w:sz="8" w:color="auto"/>
            </w:tcBorders>
            <w:shd w:val="clear" w:color="auto" w:fill="DDDDDD"/>
          </w:tcPr>
          <w:p>
            <w:pPr>
              <w:spacing w:after="0"/>
              <w:rPr>
                <w:sz w:val="7"/>
                <w:szCs w:val="7"/>
                <w:color w:val="auto"/>
              </w:rPr>
            </w:pPr>
          </w:p>
        </w:tc>
        <w:tc>
          <w:tcPr>
            <w:tcW w:w="580" w:type="dxa"/>
            <w:vAlign w:val="bottom"/>
            <w:tcBorders>
              <w:bottom w:val="single" w:sz="8" w:color="auto"/>
            </w:tcBorders>
            <w:shd w:val="clear" w:color="auto" w:fill="DDDDDD"/>
          </w:tcPr>
          <w:p>
            <w:pPr>
              <w:spacing w:after="0"/>
              <w:rPr>
                <w:sz w:val="7"/>
                <w:szCs w:val="7"/>
                <w:color w:val="auto"/>
              </w:rPr>
            </w:pPr>
          </w:p>
        </w:tc>
        <w:tc>
          <w:tcPr>
            <w:tcW w:w="120" w:type="dxa"/>
            <w:vAlign w:val="bottom"/>
            <w:tcBorders>
              <w:bottom w:val="single" w:sz="8" w:color="auto"/>
            </w:tcBorders>
            <w:shd w:val="clear" w:color="auto" w:fill="DDDDDD"/>
          </w:tcPr>
          <w:p>
            <w:pPr>
              <w:spacing w:after="0"/>
              <w:rPr>
                <w:sz w:val="7"/>
                <w:szCs w:val="7"/>
                <w:color w:val="auto"/>
              </w:rPr>
            </w:pPr>
          </w:p>
        </w:tc>
        <w:tc>
          <w:tcPr>
            <w:tcW w:w="870" w:type="dxa"/>
            <w:vAlign w:val="bottom"/>
            <w:tcBorders>
              <w:bottom w:val="single" w:sz="8" w:color="auto"/>
            </w:tcBorders>
            <w:shd w:val="clear" w:color="auto" w:fill="DDDDDD"/>
          </w:tcPr>
          <w:p>
            <w:pPr>
              <w:spacing w:after="0"/>
              <w:rPr>
                <w:sz w:val="7"/>
                <w:szCs w:val="7"/>
                <w:color w:val="auto"/>
              </w:rPr>
            </w:pPr>
          </w:p>
        </w:tc>
        <w:tc>
          <w:tcPr>
            <w:tcW w:w="110" w:type="dxa"/>
            <w:vAlign w:val="bottom"/>
            <w:tcBorders>
              <w:bottom w:val="single" w:sz="8" w:color="auto"/>
            </w:tcBorders>
            <w:shd w:val="clear" w:color="auto" w:fill="DDDDDD"/>
          </w:tcPr>
          <w:p>
            <w:pPr>
              <w:spacing w:after="0"/>
              <w:rPr>
                <w:sz w:val="7"/>
                <w:szCs w:val="7"/>
                <w:color w:val="auto"/>
              </w:rPr>
            </w:pPr>
          </w:p>
        </w:tc>
        <w:tc>
          <w:tcPr>
            <w:tcW w:w="720" w:type="dxa"/>
            <w:vAlign w:val="bottom"/>
            <w:tcBorders>
              <w:bottom w:val="single" w:sz="8" w:color="auto"/>
            </w:tcBorders>
            <w:shd w:val="clear" w:color="auto" w:fill="DDDDDD"/>
          </w:tcPr>
          <w:p>
            <w:pPr>
              <w:spacing w:after="0"/>
              <w:rPr>
                <w:sz w:val="7"/>
                <w:szCs w:val="7"/>
                <w:color w:val="auto"/>
              </w:rPr>
            </w:pPr>
          </w:p>
        </w:tc>
        <w:tc>
          <w:tcPr>
            <w:tcW w:w="1140" w:type="dxa"/>
            <w:vAlign w:val="bottom"/>
            <w:tcBorders>
              <w:bottom w:val="single" w:sz="8" w:color="auto"/>
            </w:tcBorders>
            <w:shd w:val="clear" w:color="auto" w:fill="DDDDDD"/>
          </w:tcPr>
          <w:p>
            <w:pPr>
              <w:spacing w:after="0"/>
              <w:rPr>
                <w:sz w:val="7"/>
                <w:szCs w:val="7"/>
                <w:color w:val="auto"/>
              </w:rPr>
            </w:pPr>
          </w:p>
        </w:tc>
        <w:tc>
          <w:tcPr>
            <w:tcW w:w="700" w:type="dxa"/>
            <w:vAlign w:val="bottom"/>
            <w:tcBorders>
              <w:bottom w:val="single" w:sz="8" w:color="auto"/>
            </w:tcBorders>
            <w:shd w:val="clear" w:color="auto" w:fill="DDDDDD"/>
          </w:tcPr>
          <w:p>
            <w:pPr>
              <w:spacing w:after="0"/>
              <w:rPr>
                <w:sz w:val="7"/>
                <w:szCs w:val="7"/>
                <w:color w:val="auto"/>
              </w:rPr>
            </w:pPr>
          </w:p>
        </w:tc>
        <w:tc>
          <w:tcPr>
            <w:tcW w:w="800" w:type="dxa"/>
            <w:vAlign w:val="bottom"/>
            <w:tcBorders>
              <w:bottom w:val="single" w:sz="8" w:color="auto"/>
            </w:tcBorders>
            <w:shd w:val="clear" w:color="auto" w:fill="DDDDDD"/>
          </w:tcPr>
          <w:p>
            <w:pPr>
              <w:spacing w:after="0"/>
              <w:rPr>
                <w:sz w:val="7"/>
                <w:szCs w:val="7"/>
                <w:color w:val="auto"/>
              </w:rPr>
            </w:pPr>
          </w:p>
        </w:tc>
        <w:tc>
          <w:tcPr>
            <w:tcW w:w="670" w:type="dxa"/>
            <w:vAlign w:val="bottom"/>
            <w:tcBorders>
              <w:bottom w:val="single" w:sz="8" w:color="auto"/>
            </w:tcBorders>
            <w:shd w:val="clear" w:color="auto" w:fill="DDDDDD"/>
          </w:tcPr>
          <w:p>
            <w:pPr>
              <w:spacing w:after="0"/>
              <w:rPr>
                <w:sz w:val="7"/>
                <w:szCs w:val="7"/>
                <w:color w:val="auto"/>
              </w:rPr>
            </w:pPr>
          </w:p>
        </w:tc>
        <w:tc>
          <w:tcPr>
            <w:tcW w:w="130" w:type="dxa"/>
            <w:vAlign w:val="bottom"/>
            <w:tcBorders>
              <w:bottom w:val="single" w:sz="8" w:color="auto"/>
            </w:tcBorders>
            <w:shd w:val="clear" w:color="auto" w:fill="DDDDDD"/>
          </w:tcPr>
          <w:p>
            <w:pPr>
              <w:spacing w:after="0"/>
              <w:rPr>
                <w:sz w:val="7"/>
                <w:szCs w:val="7"/>
                <w:color w:val="auto"/>
              </w:rPr>
            </w:pPr>
          </w:p>
        </w:tc>
        <w:tc>
          <w:tcPr>
            <w:tcW w:w="650" w:type="dxa"/>
            <w:vAlign w:val="bottom"/>
            <w:tcBorders>
              <w:bottom w:val="single" w:sz="8" w:color="auto"/>
            </w:tcBorders>
            <w:shd w:val="clear" w:color="auto" w:fill="DDDDDD"/>
          </w:tcPr>
          <w:p>
            <w:pPr>
              <w:spacing w:after="0"/>
              <w:rPr>
                <w:sz w:val="7"/>
                <w:szCs w:val="7"/>
                <w:color w:val="auto"/>
              </w:rPr>
            </w:pPr>
          </w:p>
        </w:tc>
        <w:tc>
          <w:tcPr>
            <w:tcW w:w="920" w:type="dxa"/>
            <w:vAlign w:val="bottom"/>
            <w:tcBorders>
              <w:bottom w:val="single" w:sz="8" w:color="auto"/>
            </w:tcBorders>
            <w:shd w:val="clear" w:color="auto" w:fill="DDDDDD"/>
          </w:tcPr>
          <w:p>
            <w:pPr>
              <w:spacing w:after="0"/>
              <w:rPr>
                <w:sz w:val="7"/>
                <w:szCs w:val="7"/>
                <w:color w:val="auto"/>
              </w:rPr>
            </w:pPr>
          </w:p>
        </w:tc>
        <w:tc>
          <w:tcPr>
            <w:tcW w:w="810" w:type="dxa"/>
            <w:vAlign w:val="bottom"/>
            <w:tcBorders>
              <w:bottom w:val="single" w:sz="8" w:color="auto"/>
            </w:tcBorders>
            <w:shd w:val="clear" w:color="auto" w:fill="DDDDDD"/>
          </w:tcPr>
          <w:p>
            <w:pPr>
              <w:spacing w:after="0"/>
              <w:rPr>
                <w:sz w:val="7"/>
                <w:szCs w:val="7"/>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0" w:lineRule="exact"/>
        <w:rPr>
          <w:sz w:val="20"/>
          <w:szCs w:val="20"/>
          <w:color w:val="auto"/>
        </w:rPr>
      </w:pPr>
    </w:p>
    <w:p>
      <w:pPr>
        <w:jc w:val="center"/>
        <w:ind w:right="54"/>
        <w:spacing w:after="0"/>
        <w:rPr>
          <w:sz w:val="20"/>
          <w:szCs w:val="20"/>
          <w:color w:val="auto"/>
        </w:rPr>
      </w:pPr>
      <w:r>
        <w:rPr>
          <w:rFonts w:ascii="Times New Roman" w:cs="Times New Roman" w:eastAsia="Times New Roman" w:hAnsi="Times New Roman"/>
          <w:sz w:val="20"/>
          <w:szCs w:val="20"/>
          <w:color w:val="auto"/>
        </w:rPr>
        <w:t>94</w:t>
      </w:r>
    </w:p>
    <w:p>
      <w:pPr>
        <w:sectPr>
          <w:pgSz w:w="12240" w:h="15840" w:orient="portrait"/>
          <w:cols w:equalWidth="0" w:num="1">
            <w:col w:w="10306"/>
          </w:cols>
          <w:pgMar w:left="994" w:top="886" w:right="940" w:bottom="222" w:gutter="0" w:footer="0" w:header="0"/>
        </w:sectPr>
      </w:pPr>
    </w:p>
    <w:bookmarkStart w:id="98" w:name="page99"/>
    <w:bookmarkEnd w:id="98"/>
    <w:tbl>
      <w:tblPr>
        <w:tblLayout w:type="fixed"/>
        <w:tblInd w:w="6" w:type="dxa"/>
        <w:tblCellMar>
          <w:top w:w="0" w:type="dxa"/>
          <w:left w:w="0" w:type="dxa"/>
          <w:bottom w:w="0" w:type="dxa"/>
          <w:right w:w="0" w:type="dxa"/>
        </w:tblCellMar>
      </w:tblPr>
      <w:tr>
        <w:trPr>
          <w:trHeight w:val="246"/>
        </w:trPr>
        <w:tc>
          <w:tcPr>
            <w:tcW w:w="40" w:type="dxa"/>
            <w:vAlign w:val="bottom"/>
            <w:tcBorders>
              <w:top w:val="single" w:sz="8" w:color="DDDDDD"/>
            </w:tcBorders>
            <w:shd w:val="clear" w:color="auto" w:fill="DDDDDD"/>
          </w:tcPr>
          <w:p>
            <w:pPr>
              <w:spacing w:after="0"/>
              <w:rPr>
                <w:sz w:val="21"/>
                <w:szCs w:val="21"/>
                <w:color w:val="auto"/>
              </w:rPr>
            </w:pPr>
          </w:p>
        </w:tc>
        <w:tc>
          <w:tcPr>
            <w:tcW w:w="920" w:type="dxa"/>
            <w:vAlign w:val="bottom"/>
            <w:tcBorders>
              <w:top w:val="single" w:sz="8" w:color="DDDDDD"/>
              <w:right w:val="single" w:sz="8" w:color="DDDDDD"/>
            </w:tcBorders>
            <w:shd w:val="clear" w:color="auto" w:fill="DDDDDD"/>
          </w:tcPr>
          <w:p>
            <w:pPr>
              <w:spacing w:after="0"/>
              <w:rPr>
                <w:sz w:val="20"/>
                <w:szCs w:val="20"/>
                <w:color w:val="auto"/>
              </w:rPr>
            </w:pPr>
            <w:r>
              <w:rPr>
                <w:rFonts w:ascii="Times New Roman" w:cs="Times New Roman" w:eastAsia="Times New Roman" w:hAnsi="Times New Roman"/>
                <w:sz w:val="18"/>
                <w:szCs w:val="18"/>
                <w:color w:val="auto"/>
              </w:rPr>
              <w:t>Duncan</w:t>
            </w:r>
          </w:p>
        </w:tc>
        <w:tc>
          <w:tcPr>
            <w:tcW w:w="1020" w:type="dxa"/>
            <w:vAlign w:val="bottom"/>
            <w:tcBorders>
              <w:top w:val="single" w:sz="8" w:color="auto"/>
            </w:tcBorders>
            <w:gridSpan w:val="3"/>
          </w:tcPr>
          <w:p>
            <w:pPr>
              <w:ind w:left="100"/>
              <w:spacing w:after="0"/>
              <w:rPr>
                <w:sz w:val="20"/>
                <w:szCs w:val="20"/>
                <w:color w:val="auto"/>
              </w:rPr>
            </w:pPr>
            <w:r>
              <w:rPr>
                <w:rFonts w:ascii="Times New Roman" w:cs="Times New Roman" w:eastAsia="Times New Roman" w:hAnsi="Times New Roman"/>
                <w:sz w:val="18"/>
                <w:szCs w:val="18"/>
                <w:color w:val="auto"/>
              </w:rPr>
              <w:t>3/1/2022</w:t>
            </w:r>
          </w:p>
        </w:tc>
        <w:tc>
          <w:tcPr>
            <w:tcW w:w="680" w:type="dxa"/>
            <w:vAlign w:val="bottom"/>
            <w:tcBorders>
              <w:top w:val="single" w:sz="8" w:color="auto"/>
            </w:tcBorders>
            <w:gridSpan w:val="2"/>
          </w:tcPr>
          <w:p>
            <w:pPr>
              <w:jc w:val="right"/>
              <w:ind w:right="290"/>
              <w:spacing w:after="0"/>
              <w:rPr>
                <w:sz w:val="20"/>
                <w:szCs w:val="20"/>
                <w:color w:val="auto"/>
              </w:rPr>
            </w:pPr>
            <w:r>
              <w:rPr>
                <w:rFonts w:ascii="Times New Roman" w:cs="Times New Roman" w:eastAsia="Times New Roman" w:hAnsi="Times New Roman"/>
                <w:sz w:val="18"/>
                <w:szCs w:val="18"/>
                <w:color w:val="auto"/>
              </w:rPr>
              <w:t>(4)</w:t>
            </w:r>
          </w:p>
        </w:tc>
        <w:tc>
          <w:tcPr>
            <w:tcW w:w="120" w:type="dxa"/>
            <w:vAlign w:val="bottom"/>
            <w:tcBorders>
              <w:top w:val="single" w:sz="8" w:color="auto"/>
            </w:tcBorders>
          </w:tcPr>
          <w:p>
            <w:pPr>
              <w:spacing w:after="0"/>
              <w:rPr>
                <w:sz w:val="21"/>
                <w:szCs w:val="21"/>
                <w:color w:val="auto"/>
              </w:rPr>
            </w:pPr>
          </w:p>
        </w:tc>
        <w:tc>
          <w:tcPr>
            <w:tcW w:w="860" w:type="dxa"/>
            <w:vAlign w:val="bottom"/>
            <w:tcBorders>
              <w:top w:val="single" w:sz="8" w:color="auto"/>
            </w:tcBorders>
          </w:tcPr>
          <w:p>
            <w:pPr>
              <w:spacing w:after="0"/>
              <w:rPr>
                <w:sz w:val="21"/>
                <w:szCs w:val="21"/>
                <w:color w:val="auto"/>
              </w:rPr>
            </w:pPr>
          </w:p>
        </w:tc>
        <w:tc>
          <w:tcPr>
            <w:tcW w:w="120" w:type="dxa"/>
            <w:vAlign w:val="bottom"/>
            <w:tcBorders>
              <w:top w:val="single" w:sz="8" w:color="auto"/>
            </w:tcBorders>
          </w:tcPr>
          <w:p>
            <w:pPr>
              <w:spacing w:after="0"/>
              <w:rPr>
                <w:sz w:val="21"/>
                <w:szCs w:val="21"/>
                <w:color w:val="auto"/>
              </w:rPr>
            </w:pPr>
          </w:p>
        </w:tc>
        <w:tc>
          <w:tcPr>
            <w:tcW w:w="720" w:type="dxa"/>
            <w:vAlign w:val="bottom"/>
            <w:tcBorders>
              <w:top w:val="single" w:sz="8" w:color="auto"/>
            </w:tcBorders>
          </w:tcPr>
          <w:p>
            <w:pPr>
              <w:spacing w:after="0"/>
              <w:rPr>
                <w:sz w:val="21"/>
                <w:szCs w:val="21"/>
                <w:color w:val="auto"/>
              </w:rPr>
            </w:pPr>
          </w:p>
        </w:tc>
        <w:tc>
          <w:tcPr>
            <w:tcW w:w="3300" w:type="dxa"/>
            <w:vAlign w:val="bottom"/>
            <w:tcBorders>
              <w:top w:val="single" w:sz="8" w:color="auto"/>
            </w:tcBorders>
            <w:gridSpan w:val="4"/>
          </w:tcPr>
          <w:p>
            <w:pPr>
              <w:ind w:left="2640"/>
              <w:spacing w:after="0"/>
              <w:rPr>
                <w:sz w:val="20"/>
                <w:szCs w:val="20"/>
                <w:color w:val="auto"/>
              </w:rPr>
            </w:pPr>
            <w:r>
              <w:rPr>
                <w:rFonts w:ascii="Times New Roman" w:cs="Times New Roman" w:eastAsia="Times New Roman" w:hAnsi="Times New Roman"/>
                <w:sz w:val="18"/>
                <w:szCs w:val="18"/>
                <w:color w:val="auto"/>
              </w:rPr>
              <w:t>29,353</w:t>
            </w:r>
          </w:p>
        </w:tc>
        <w:tc>
          <w:tcPr>
            <w:tcW w:w="780" w:type="dxa"/>
            <w:vAlign w:val="bottom"/>
            <w:tcBorders>
              <w:top w:val="single" w:sz="8" w:color="auto"/>
            </w:tcBorders>
            <w:gridSpan w:val="2"/>
          </w:tcPr>
          <w:p>
            <w:pPr>
              <w:ind w:left="140"/>
              <w:spacing w:after="0"/>
              <w:rPr>
                <w:sz w:val="20"/>
                <w:szCs w:val="20"/>
                <w:color w:val="auto"/>
              </w:rPr>
            </w:pPr>
            <w:r>
              <w:rPr>
                <w:rFonts w:ascii="Times New Roman" w:cs="Times New Roman" w:eastAsia="Times New Roman" w:hAnsi="Times New Roman"/>
                <w:sz w:val="18"/>
                <w:szCs w:val="18"/>
                <w:color w:val="auto"/>
              </w:rPr>
              <w:t>21,143</w:t>
            </w:r>
          </w:p>
        </w:tc>
        <w:tc>
          <w:tcPr>
            <w:tcW w:w="1740" w:type="dxa"/>
            <w:vAlign w:val="bottom"/>
            <w:tcBorders>
              <w:top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139"/>
        </w:trPr>
        <w:tc>
          <w:tcPr>
            <w:tcW w:w="40" w:type="dxa"/>
            <w:vAlign w:val="bottom"/>
            <w:tcBorders>
              <w:bottom w:val="single" w:sz="8" w:color="DDDDDD"/>
            </w:tcBorders>
            <w:shd w:val="clear" w:color="auto" w:fill="DDDDDD"/>
          </w:tcPr>
          <w:p>
            <w:pPr>
              <w:spacing w:after="0"/>
              <w:rPr>
                <w:sz w:val="11"/>
                <w:szCs w:val="11"/>
                <w:color w:val="auto"/>
              </w:rPr>
            </w:pPr>
          </w:p>
        </w:tc>
        <w:tc>
          <w:tcPr>
            <w:tcW w:w="920" w:type="dxa"/>
            <w:vAlign w:val="bottom"/>
            <w:tcBorders>
              <w:bottom w:val="single" w:sz="8" w:color="DDDDDD"/>
              <w:right w:val="single" w:sz="8" w:color="DDDDDD"/>
            </w:tcBorders>
            <w:vMerge w:val="restart"/>
            <w:shd w:val="clear" w:color="auto" w:fill="DDDDDD"/>
          </w:tcPr>
          <w:p>
            <w:pPr>
              <w:spacing w:after="0"/>
              <w:rPr>
                <w:sz w:val="20"/>
                <w:szCs w:val="20"/>
                <w:color w:val="auto"/>
              </w:rPr>
            </w:pPr>
            <w:r>
              <w:rPr>
                <w:rFonts w:ascii="Times New Roman" w:cs="Times New Roman" w:eastAsia="Times New Roman" w:hAnsi="Times New Roman"/>
                <w:sz w:val="18"/>
                <w:szCs w:val="18"/>
                <w:color w:val="auto"/>
              </w:rPr>
              <w:t>Grazier</w:t>
            </w:r>
          </w:p>
        </w:tc>
        <w:tc>
          <w:tcPr>
            <w:tcW w:w="40" w:type="dxa"/>
            <w:vAlign w:val="bottom"/>
            <w:tcBorders>
              <w:bottom w:val="single" w:sz="8" w:color="DDDDDD"/>
            </w:tcBorders>
          </w:tcPr>
          <w:p>
            <w:pPr>
              <w:spacing w:after="0"/>
              <w:rPr>
                <w:sz w:val="11"/>
                <w:szCs w:val="11"/>
                <w:color w:val="auto"/>
              </w:rPr>
            </w:pPr>
          </w:p>
        </w:tc>
        <w:tc>
          <w:tcPr>
            <w:tcW w:w="60" w:type="dxa"/>
            <w:vAlign w:val="bottom"/>
            <w:tcBorders>
              <w:bottom w:val="single" w:sz="8" w:color="auto"/>
            </w:tcBorders>
          </w:tcPr>
          <w:p>
            <w:pPr>
              <w:spacing w:after="0"/>
              <w:rPr>
                <w:sz w:val="11"/>
                <w:szCs w:val="11"/>
                <w:color w:val="auto"/>
              </w:rPr>
            </w:pPr>
          </w:p>
        </w:tc>
        <w:tc>
          <w:tcPr>
            <w:tcW w:w="920" w:type="dxa"/>
            <w:vAlign w:val="bottom"/>
            <w:tcBorders>
              <w:bottom w:val="single" w:sz="8" w:color="auto"/>
            </w:tcBorders>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580" w:type="dxa"/>
            <w:vAlign w:val="bottom"/>
            <w:tcBorders>
              <w:bottom w:val="single" w:sz="8" w:color="auto"/>
            </w:tcBorders>
          </w:tcPr>
          <w:p>
            <w:pPr>
              <w:spacing w:after="0"/>
              <w:rPr>
                <w:sz w:val="11"/>
                <w:szCs w:val="11"/>
                <w:color w:val="auto"/>
              </w:rPr>
            </w:pPr>
          </w:p>
        </w:tc>
        <w:tc>
          <w:tcPr>
            <w:tcW w:w="120" w:type="dxa"/>
            <w:vAlign w:val="bottom"/>
            <w:tcBorders>
              <w:bottom w:val="single" w:sz="8" w:color="auto"/>
            </w:tcBorders>
          </w:tcPr>
          <w:p>
            <w:pPr>
              <w:spacing w:after="0"/>
              <w:rPr>
                <w:sz w:val="11"/>
                <w:szCs w:val="11"/>
                <w:color w:val="auto"/>
              </w:rPr>
            </w:pPr>
          </w:p>
        </w:tc>
        <w:tc>
          <w:tcPr>
            <w:tcW w:w="860" w:type="dxa"/>
            <w:vAlign w:val="bottom"/>
            <w:tcBorders>
              <w:bottom w:val="single" w:sz="8" w:color="auto"/>
            </w:tcBorders>
          </w:tcPr>
          <w:p>
            <w:pPr>
              <w:spacing w:after="0"/>
              <w:rPr>
                <w:sz w:val="11"/>
                <w:szCs w:val="11"/>
                <w:color w:val="auto"/>
              </w:rPr>
            </w:pPr>
          </w:p>
        </w:tc>
        <w:tc>
          <w:tcPr>
            <w:tcW w:w="120" w:type="dxa"/>
            <w:vAlign w:val="bottom"/>
            <w:tcBorders>
              <w:bottom w:val="single" w:sz="8" w:color="auto"/>
            </w:tcBorders>
          </w:tcPr>
          <w:p>
            <w:pPr>
              <w:spacing w:after="0"/>
              <w:rPr>
                <w:sz w:val="11"/>
                <w:szCs w:val="11"/>
                <w:color w:val="auto"/>
              </w:rPr>
            </w:pPr>
          </w:p>
        </w:tc>
        <w:tc>
          <w:tcPr>
            <w:tcW w:w="720" w:type="dxa"/>
            <w:vAlign w:val="bottom"/>
            <w:tcBorders>
              <w:bottom w:val="single" w:sz="8" w:color="auto"/>
            </w:tcBorders>
          </w:tcPr>
          <w:p>
            <w:pPr>
              <w:spacing w:after="0"/>
              <w:rPr>
                <w:sz w:val="11"/>
                <w:szCs w:val="11"/>
                <w:color w:val="auto"/>
              </w:rPr>
            </w:pPr>
          </w:p>
        </w:tc>
        <w:tc>
          <w:tcPr>
            <w:tcW w:w="1140" w:type="dxa"/>
            <w:vAlign w:val="bottom"/>
            <w:tcBorders>
              <w:bottom w:val="single" w:sz="8" w:color="auto"/>
            </w:tcBorders>
          </w:tcPr>
          <w:p>
            <w:pPr>
              <w:spacing w:after="0"/>
              <w:rPr>
                <w:sz w:val="11"/>
                <w:szCs w:val="11"/>
                <w:color w:val="auto"/>
              </w:rPr>
            </w:pPr>
          </w:p>
        </w:tc>
        <w:tc>
          <w:tcPr>
            <w:tcW w:w="700" w:type="dxa"/>
            <w:vAlign w:val="bottom"/>
            <w:tcBorders>
              <w:bottom w:val="single" w:sz="8" w:color="auto"/>
            </w:tcBorders>
          </w:tcPr>
          <w:p>
            <w:pPr>
              <w:spacing w:after="0"/>
              <w:rPr>
                <w:sz w:val="11"/>
                <w:szCs w:val="11"/>
                <w:color w:val="auto"/>
              </w:rPr>
            </w:pPr>
          </w:p>
        </w:tc>
        <w:tc>
          <w:tcPr>
            <w:tcW w:w="800" w:type="dxa"/>
            <w:vAlign w:val="bottom"/>
            <w:tcBorders>
              <w:bottom w:val="single" w:sz="8" w:color="auto"/>
            </w:tcBorders>
          </w:tcPr>
          <w:p>
            <w:pPr>
              <w:spacing w:after="0"/>
              <w:rPr>
                <w:sz w:val="11"/>
                <w:szCs w:val="11"/>
                <w:color w:val="auto"/>
              </w:rPr>
            </w:pPr>
          </w:p>
        </w:tc>
        <w:tc>
          <w:tcPr>
            <w:tcW w:w="660" w:type="dxa"/>
            <w:vAlign w:val="bottom"/>
            <w:tcBorders>
              <w:bottom w:val="single" w:sz="8" w:color="auto"/>
            </w:tcBorders>
          </w:tcPr>
          <w:p>
            <w:pPr>
              <w:spacing w:after="0"/>
              <w:rPr>
                <w:sz w:val="11"/>
                <w:szCs w:val="11"/>
                <w:color w:val="auto"/>
              </w:rPr>
            </w:pPr>
          </w:p>
        </w:tc>
        <w:tc>
          <w:tcPr>
            <w:tcW w:w="140" w:type="dxa"/>
            <w:vAlign w:val="bottom"/>
            <w:tcBorders>
              <w:bottom w:val="single" w:sz="8" w:color="auto"/>
            </w:tcBorders>
          </w:tcPr>
          <w:p>
            <w:pPr>
              <w:spacing w:after="0"/>
              <w:rPr>
                <w:sz w:val="11"/>
                <w:szCs w:val="11"/>
                <w:color w:val="auto"/>
              </w:rPr>
            </w:pPr>
          </w:p>
        </w:tc>
        <w:tc>
          <w:tcPr>
            <w:tcW w:w="640" w:type="dxa"/>
            <w:vAlign w:val="bottom"/>
            <w:tcBorders>
              <w:bottom w:val="single" w:sz="8" w:color="auto"/>
            </w:tcBorders>
          </w:tcPr>
          <w:p>
            <w:pPr>
              <w:spacing w:after="0"/>
              <w:rPr>
                <w:sz w:val="11"/>
                <w:szCs w:val="11"/>
                <w:color w:val="auto"/>
              </w:rPr>
            </w:pPr>
          </w:p>
        </w:tc>
        <w:tc>
          <w:tcPr>
            <w:tcW w:w="1740" w:type="dxa"/>
            <w:vAlign w:val="bottom"/>
            <w:tcBorders>
              <w:bottom w:val="single" w:sz="8" w:color="auto"/>
            </w:tcBorders>
          </w:tcPr>
          <w:p>
            <w:pPr>
              <w:spacing w:after="0"/>
              <w:rPr>
                <w:sz w:val="11"/>
                <w:szCs w:val="11"/>
                <w:color w:val="auto"/>
              </w:rPr>
            </w:pPr>
          </w:p>
        </w:tc>
        <w:tc>
          <w:tcPr>
            <w:tcW w:w="0" w:type="dxa"/>
            <w:vAlign w:val="bottom"/>
          </w:tcPr>
          <w:p>
            <w:pPr>
              <w:spacing w:after="0"/>
              <w:rPr>
                <w:sz w:val="1"/>
                <w:szCs w:val="1"/>
                <w:color w:val="auto"/>
              </w:rPr>
            </w:pPr>
          </w:p>
        </w:tc>
      </w:tr>
      <w:tr>
        <w:trPr>
          <w:trHeight w:val="86"/>
        </w:trPr>
        <w:tc>
          <w:tcPr>
            <w:tcW w:w="40" w:type="dxa"/>
            <w:vAlign w:val="bottom"/>
            <w:tcBorders>
              <w:top w:val="single" w:sz="8" w:color="DDDDDD"/>
            </w:tcBorders>
            <w:shd w:val="clear" w:color="auto" w:fill="DDDDDD"/>
          </w:tcPr>
          <w:p>
            <w:pPr>
              <w:spacing w:after="0"/>
              <w:rPr>
                <w:sz w:val="7"/>
                <w:szCs w:val="7"/>
                <w:color w:val="auto"/>
              </w:rPr>
            </w:pPr>
          </w:p>
        </w:tc>
        <w:tc>
          <w:tcPr>
            <w:tcW w:w="920" w:type="dxa"/>
            <w:vAlign w:val="bottom"/>
            <w:tcBorders>
              <w:top w:val="single" w:sz="8" w:color="DDDDDD"/>
              <w:right w:val="single" w:sz="8" w:color="DDDDDD"/>
            </w:tcBorders>
            <w:vMerge w:val="continue"/>
            <w:shd w:val="clear" w:color="auto" w:fill="DDDDDD"/>
          </w:tcPr>
          <w:p>
            <w:pPr>
              <w:spacing w:after="0"/>
              <w:rPr>
                <w:sz w:val="7"/>
                <w:szCs w:val="7"/>
                <w:color w:val="auto"/>
              </w:rPr>
            </w:pPr>
          </w:p>
        </w:tc>
        <w:tc>
          <w:tcPr>
            <w:tcW w:w="40" w:type="dxa"/>
            <w:vAlign w:val="bottom"/>
            <w:tcBorders>
              <w:top w:val="single" w:sz="8" w:color="DDDDDD"/>
            </w:tcBorders>
            <w:shd w:val="clear" w:color="auto" w:fill="DDDDDD"/>
          </w:tcPr>
          <w:p>
            <w:pPr>
              <w:spacing w:after="0"/>
              <w:rPr>
                <w:sz w:val="7"/>
                <w:szCs w:val="7"/>
                <w:color w:val="auto"/>
              </w:rPr>
            </w:pPr>
          </w:p>
        </w:tc>
        <w:tc>
          <w:tcPr>
            <w:tcW w:w="60" w:type="dxa"/>
            <w:vAlign w:val="bottom"/>
            <w:tcBorders>
              <w:top w:val="single" w:sz="8" w:color="DDDDDD"/>
            </w:tcBorders>
            <w:shd w:val="clear" w:color="auto" w:fill="DDDDDD"/>
          </w:tcPr>
          <w:p>
            <w:pPr>
              <w:spacing w:after="0"/>
              <w:rPr>
                <w:sz w:val="7"/>
                <w:szCs w:val="7"/>
                <w:color w:val="auto"/>
              </w:rPr>
            </w:pPr>
          </w:p>
        </w:tc>
        <w:tc>
          <w:tcPr>
            <w:tcW w:w="920" w:type="dxa"/>
            <w:vAlign w:val="bottom"/>
            <w:tcBorders>
              <w:top w:val="single" w:sz="8" w:color="DDDDDD"/>
            </w:tcBorders>
            <w:vMerge w:val="restart"/>
            <w:shd w:val="clear" w:color="auto" w:fill="DDDDDD"/>
          </w:tcPr>
          <w:p>
            <w:pPr>
              <w:spacing w:after="0"/>
              <w:rPr>
                <w:sz w:val="20"/>
                <w:szCs w:val="20"/>
                <w:color w:val="auto"/>
              </w:rPr>
            </w:pPr>
            <w:r>
              <w:rPr>
                <w:rFonts w:ascii="Times New Roman" w:cs="Times New Roman" w:eastAsia="Times New Roman" w:hAnsi="Times New Roman"/>
                <w:sz w:val="18"/>
                <w:szCs w:val="18"/>
                <w:color w:val="auto"/>
              </w:rPr>
              <w:t>9/30/2023</w:t>
            </w:r>
          </w:p>
        </w:tc>
        <w:tc>
          <w:tcPr>
            <w:tcW w:w="100" w:type="dxa"/>
            <w:vAlign w:val="bottom"/>
            <w:tcBorders>
              <w:top w:val="single" w:sz="8" w:color="DDDDDD"/>
            </w:tcBorders>
            <w:shd w:val="clear" w:color="auto" w:fill="DDDDDD"/>
          </w:tcPr>
          <w:p>
            <w:pPr>
              <w:spacing w:after="0"/>
              <w:rPr>
                <w:sz w:val="7"/>
                <w:szCs w:val="7"/>
                <w:color w:val="auto"/>
              </w:rPr>
            </w:pPr>
          </w:p>
        </w:tc>
        <w:tc>
          <w:tcPr>
            <w:tcW w:w="580" w:type="dxa"/>
            <w:vAlign w:val="bottom"/>
            <w:tcBorders>
              <w:top w:val="single" w:sz="8" w:color="DDDDDD"/>
            </w:tcBorders>
            <w:vMerge w:val="restart"/>
            <w:shd w:val="clear" w:color="auto" w:fill="DDDDDD"/>
          </w:tcPr>
          <w:p>
            <w:pPr>
              <w:jc w:val="right"/>
              <w:ind w:right="290"/>
              <w:spacing w:after="0"/>
              <w:rPr>
                <w:sz w:val="20"/>
                <w:szCs w:val="20"/>
                <w:color w:val="auto"/>
              </w:rPr>
            </w:pPr>
            <w:r>
              <w:rPr>
                <w:rFonts w:ascii="Times New Roman" w:cs="Times New Roman" w:eastAsia="Times New Roman" w:hAnsi="Times New Roman"/>
                <w:sz w:val="18"/>
                <w:szCs w:val="18"/>
                <w:color w:val="auto"/>
                <w:w w:val="85"/>
              </w:rPr>
              <w:t>(5)</w:t>
            </w:r>
          </w:p>
        </w:tc>
        <w:tc>
          <w:tcPr>
            <w:tcW w:w="120" w:type="dxa"/>
            <w:vAlign w:val="bottom"/>
            <w:tcBorders>
              <w:top w:val="single" w:sz="8" w:color="DDDDDD"/>
            </w:tcBorders>
            <w:shd w:val="clear" w:color="auto" w:fill="DDDDDD"/>
          </w:tcPr>
          <w:p>
            <w:pPr>
              <w:spacing w:after="0"/>
              <w:rPr>
                <w:sz w:val="7"/>
                <w:szCs w:val="7"/>
                <w:color w:val="auto"/>
              </w:rPr>
            </w:pPr>
          </w:p>
        </w:tc>
        <w:tc>
          <w:tcPr>
            <w:tcW w:w="860" w:type="dxa"/>
            <w:vAlign w:val="bottom"/>
            <w:tcBorders>
              <w:top w:val="single" w:sz="8" w:color="DDDDDD"/>
            </w:tcBorders>
            <w:shd w:val="clear" w:color="auto" w:fill="DDDDDD"/>
          </w:tcPr>
          <w:p>
            <w:pPr>
              <w:spacing w:after="0"/>
              <w:rPr>
                <w:sz w:val="7"/>
                <w:szCs w:val="7"/>
                <w:color w:val="auto"/>
              </w:rPr>
            </w:pPr>
          </w:p>
        </w:tc>
        <w:tc>
          <w:tcPr>
            <w:tcW w:w="120" w:type="dxa"/>
            <w:vAlign w:val="bottom"/>
            <w:tcBorders>
              <w:top w:val="single" w:sz="8" w:color="DDDDDD"/>
            </w:tcBorders>
            <w:shd w:val="clear" w:color="auto" w:fill="DDDDDD"/>
          </w:tcPr>
          <w:p>
            <w:pPr>
              <w:spacing w:after="0"/>
              <w:rPr>
                <w:sz w:val="7"/>
                <w:szCs w:val="7"/>
                <w:color w:val="auto"/>
              </w:rPr>
            </w:pPr>
          </w:p>
        </w:tc>
        <w:tc>
          <w:tcPr>
            <w:tcW w:w="720" w:type="dxa"/>
            <w:vAlign w:val="bottom"/>
            <w:tcBorders>
              <w:top w:val="single" w:sz="8" w:color="DDDDDD"/>
            </w:tcBorders>
            <w:shd w:val="clear" w:color="auto" w:fill="DDDDDD"/>
          </w:tcPr>
          <w:p>
            <w:pPr>
              <w:spacing w:after="0"/>
              <w:rPr>
                <w:sz w:val="7"/>
                <w:szCs w:val="7"/>
                <w:color w:val="auto"/>
              </w:rPr>
            </w:pPr>
          </w:p>
        </w:tc>
        <w:tc>
          <w:tcPr>
            <w:tcW w:w="1140" w:type="dxa"/>
            <w:vAlign w:val="bottom"/>
            <w:tcBorders>
              <w:top w:val="single" w:sz="8" w:color="DDDDDD"/>
            </w:tcBorders>
            <w:shd w:val="clear" w:color="auto" w:fill="DDDDDD"/>
          </w:tcPr>
          <w:p>
            <w:pPr>
              <w:spacing w:after="0"/>
              <w:rPr>
                <w:sz w:val="7"/>
                <w:szCs w:val="7"/>
                <w:color w:val="auto"/>
              </w:rPr>
            </w:pPr>
          </w:p>
        </w:tc>
        <w:tc>
          <w:tcPr>
            <w:tcW w:w="700" w:type="dxa"/>
            <w:vAlign w:val="bottom"/>
            <w:tcBorders>
              <w:top w:val="single" w:sz="8" w:color="DDDDDD"/>
            </w:tcBorders>
            <w:shd w:val="clear" w:color="auto" w:fill="DDDDDD"/>
          </w:tcPr>
          <w:p>
            <w:pPr>
              <w:spacing w:after="0"/>
              <w:rPr>
                <w:sz w:val="7"/>
                <w:szCs w:val="7"/>
                <w:color w:val="auto"/>
              </w:rPr>
            </w:pPr>
          </w:p>
        </w:tc>
        <w:tc>
          <w:tcPr>
            <w:tcW w:w="800" w:type="dxa"/>
            <w:vAlign w:val="bottom"/>
            <w:tcBorders>
              <w:top w:val="single" w:sz="8" w:color="DDDDDD"/>
            </w:tcBorders>
            <w:shd w:val="clear" w:color="auto" w:fill="DDDDDD"/>
          </w:tcPr>
          <w:p>
            <w:pPr>
              <w:spacing w:after="0"/>
              <w:rPr>
                <w:sz w:val="7"/>
                <w:szCs w:val="7"/>
                <w:color w:val="auto"/>
              </w:rPr>
            </w:pPr>
          </w:p>
        </w:tc>
        <w:tc>
          <w:tcPr>
            <w:tcW w:w="660" w:type="dxa"/>
            <w:vAlign w:val="bottom"/>
            <w:tcBorders>
              <w:top w:val="single" w:sz="8" w:color="DDDDDD"/>
            </w:tcBorders>
            <w:vMerge w:val="restart"/>
            <w:shd w:val="clear" w:color="auto" w:fill="DDDDDD"/>
          </w:tcPr>
          <w:p>
            <w:pPr>
              <w:spacing w:after="0"/>
              <w:rPr>
                <w:sz w:val="20"/>
                <w:szCs w:val="20"/>
                <w:color w:val="auto"/>
              </w:rPr>
            </w:pPr>
            <w:r>
              <w:rPr>
                <w:rFonts w:ascii="Times New Roman" w:cs="Times New Roman" w:eastAsia="Times New Roman" w:hAnsi="Times New Roman"/>
                <w:sz w:val="18"/>
                <w:szCs w:val="18"/>
                <w:color w:val="auto"/>
                <w:highlight w:val="lightGray"/>
              </w:rPr>
              <w:t>635,221</w:t>
            </w:r>
          </w:p>
        </w:tc>
        <w:tc>
          <w:tcPr>
            <w:tcW w:w="140" w:type="dxa"/>
            <w:vAlign w:val="bottom"/>
            <w:tcBorders>
              <w:top w:val="single" w:sz="8" w:color="DDDDDD"/>
            </w:tcBorders>
            <w:shd w:val="clear" w:color="auto" w:fill="DDDDDD"/>
          </w:tcPr>
          <w:p>
            <w:pPr>
              <w:spacing w:after="0"/>
              <w:rPr>
                <w:sz w:val="7"/>
                <w:szCs w:val="7"/>
                <w:color w:val="auto"/>
              </w:rPr>
            </w:pPr>
          </w:p>
        </w:tc>
        <w:tc>
          <w:tcPr>
            <w:tcW w:w="640" w:type="dxa"/>
            <w:vAlign w:val="bottom"/>
            <w:tcBorders>
              <w:top w:val="single" w:sz="8" w:color="DDDDDD"/>
            </w:tcBorders>
            <w:vMerge w:val="restart"/>
            <w:shd w:val="clear" w:color="auto" w:fill="DDDDDD"/>
          </w:tcPr>
          <w:p>
            <w:pPr>
              <w:spacing w:after="0"/>
              <w:rPr>
                <w:sz w:val="20"/>
                <w:szCs w:val="20"/>
                <w:color w:val="auto"/>
              </w:rPr>
            </w:pPr>
            <w:r>
              <w:rPr>
                <w:rFonts w:ascii="Times New Roman" w:cs="Times New Roman" w:eastAsia="Times New Roman" w:hAnsi="Times New Roman"/>
                <w:sz w:val="18"/>
                <w:szCs w:val="18"/>
                <w:color w:val="auto"/>
                <w:highlight w:val="lightGray"/>
              </w:rPr>
              <w:t>457,550</w:t>
            </w:r>
          </w:p>
        </w:tc>
        <w:tc>
          <w:tcPr>
            <w:tcW w:w="1740" w:type="dxa"/>
            <w:vAlign w:val="bottom"/>
            <w:tcBorders>
              <w:top w:val="single" w:sz="8" w:color="DDDDDD"/>
            </w:tcBorders>
            <w:shd w:val="clear" w:color="auto" w:fill="DDDDDD"/>
          </w:tcPr>
          <w:p>
            <w:pPr>
              <w:spacing w:after="0"/>
              <w:rPr>
                <w:sz w:val="7"/>
                <w:szCs w:val="7"/>
                <w:color w:val="auto"/>
              </w:rPr>
            </w:pPr>
          </w:p>
        </w:tc>
        <w:tc>
          <w:tcPr>
            <w:tcW w:w="0" w:type="dxa"/>
            <w:vAlign w:val="bottom"/>
          </w:tcPr>
          <w:p>
            <w:pPr>
              <w:spacing w:after="0"/>
              <w:rPr>
                <w:sz w:val="1"/>
                <w:szCs w:val="1"/>
                <w:color w:val="auto"/>
              </w:rPr>
            </w:pPr>
          </w:p>
        </w:tc>
      </w:tr>
      <w:tr>
        <w:trPr>
          <w:trHeight w:val="165"/>
        </w:trPr>
        <w:tc>
          <w:tcPr>
            <w:tcW w:w="40" w:type="dxa"/>
            <w:vAlign w:val="bottom"/>
            <w:tcBorders>
              <w:bottom w:val="single" w:sz="8" w:color="DDDDDD"/>
            </w:tcBorders>
            <w:shd w:val="clear" w:color="auto" w:fill="DDDDDD"/>
          </w:tcPr>
          <w:p>
            <w:pPr>
              <w:spacing w:after="0"/>
              <w:rPr>
                <w:sz w:val="14"/>
                <w:szCs w:val="14"/>
                <w:color w:val="auto"/>
              </w:rPr>
            </w:pPr>
          </w:p>
        </w:tc>
        <w:tc>
          <w:tcPr>
            <w:tcW w:w="920" w:type="dxa"/>
            <w:vAlign w:val="bottom"/>
            <w:tcBorders>
              <w:bottom w:val="single" w:sz="8" w:color="DDDDDD"/>
              <w:right w:val="single" w:sz="8" w:color="DDDDDD"/>
            </w:tcBorders>
            <w:shd w:val="clear" w:color="auto" w:fill="DDDDDD"/>
          </w:tcPr>
          <w:p>
            <w:pPr>
              <w:spacing w:after="0"/>
              <w:rPr>
                <w:sz w:val="14"/>
                <w:szCs w:val="14"/>
                <w:color w:val="auto"/>
              </w:rPr>
            </w:pPr>
          </w:p>
        </w:tc>
        <w:tc>
          <w:tcPr>
            <w:tcW w:w="40" w:type="dxa"/>
            <w:vAlign w:val="bottom"/>
            <w:shd w:val="clear" w:color="auto" w:fill="DDDDDD"/>
          </w:tcPr>
          <w:p>
            <w:pPr>
              <w:spacing w:after="0"/>
              <w:rPr>
                <w:sz w:val="14"/>
                <w:szCs w:val="14"/>
                <w:color w:val="auto"/>
              </w:rPr>
            </w:pPr>
          </w:p>
        </w:tc>
        <w:tc>
          <w:tcPr>
            <w:tcW w:w="60" w:type="dxa"/>
            <w:vAlign w:val="bottom"/>
            <w:shd w:val="clear" w:color="auto" w:fill="DDDDDD"/>
          </w:tcPr>
          <w:p>
            <w:pPr>
              <w:spacing w:after="0"/>
              <w:rPr>
                <w:sz w:val="14"/>
                <w:szCs w:val="14"/>
                <w:color w:val="auto"/>
              </w:rPr>
            </w:pPr>
          </w:p>
        </w:tc>
        <w:tc>
          <w:tcPr>
            <w:tcW w:w="920" w:type="dxa"/>
            <w:vAlign w:val="bottom"/>
            <w:vMerge w:val="continue"/>
            <w:shd w:val="clear" w:color="auto" w:fill="DDDDDD"/>
          </w:tcPr>
          <w:p>
            <w:pPr>
              <w:spacing w:after="0"/>
              <w:rPr>
                <w:sz w:val="14"/>
                <w:szCs w:val="14"/>
                <w:color w:val="auto"/>
              </w:rPr>
            </w:pPr>
          </w:p>
        </w:tc>
        <w:tc>
          <w:tcPr>
            <w:tcW w:w="100" w:type="dxa"/>
            <w:vAlign w:val="bottom"/>
            <w:tcBorders>
              <w:bottom w:val="single" w:sz="8" w:color="auto"/>
            </w:tcBorders>
            <w:shd w:val="clear" w:color="auto" w:fill="DDDDDD"/>
          </w:tcPr>
          <w:p>
            <w:pPr>
              <w:spacing w:after="0"/>
              <w:rPr>
                <w:sz w:val="14"/>
                <w:szCs w:val="14"/>
                <w:color w:val="auto"/>
              </w:rPr>
            </w:pPr>
          </w:p>
        </w:tc>
        <w:tc>
          <w:tcPr>
            <w:tcW w:w="580" w:type="dxa"/>
            <w:vAlign w:val="bottom"/>
            <w:tcBorders>
              <w:bottom w:val="single" w:sz="8" w:color="auto"/>
            </w:tcBorders>
            <w:vMerge w:val="continue"/>
            <w:shd w:val="clear" w:color="auto" w:fill="DDDDDD"/>
          </w:tcPr>
          <w:p>
            <w:pPr>
              <w:spacing w:after="0"/>
              <w:rPr>
                <w:sz w:val="14"/>
                <w:szCs w:val="14"/>
                <w:color w:val="auto"/>
              </w:rPr>
            </w:pPr>
          </w:p>
        </w:tc>
        <w:tc>
          <w:tcPr>
            <w:tcW w:w="120" w:type="dxa"/>
            <w:vAlign w:val="bottom"/>
            <w:tcBorders>
              <w:bottom w:val="single" w:sz="8" w:color="auto"/>
            </w:tcBorders>
            <w:shd w:val="clear" w:color="auto" w:fill="DDDDDD"/>
          </w:tcPr>
          <w:p>
            <w:pPr>
              <w:spacing w:after="0"/>
              <w:rPr>
                <w:sz w:val="14"/>
                <w:szCs w:val="14"/>
                <w:color w:val="auto"/>
              </w:rPr>
            </w:pPr>
          </w:p>
        </w:tc>
        <w:tc>
          <w:tcPr>
            <w:tcW w:w="860" w:type="dxa"/>
            <w:vAlign w:val="bottom"/>
            <w:tcBorders>
              <w:bottom w:val="single" w:sz="8" w:color="auto"/>
            </w:tcBorders>
            <w:shd w:val="clear" w:color="auto" w:fill="DDDDDD"/>
          </w:tcPr>
          <w:p>
            <w:pPr>
              <w:spacing w:after="0"/>
              <w:rPr>
                <w:sz w:val="14"/>
                <w:szCs w:val="14"/>
                <w:color w:val="auto"/>
              </w:rPr>
            </w:pPr>
          </w:p>
        </w:tc>
        <w:tc>
          <w:tcPr>
            <w:tcW w:w="120" w:type="dxa"/>
            <w:vAlign w:val="bottom"/>
            <w:tcBorders>
              <w:bottom w:val="single" w:sz="8" w:color="auto"/>
            </w:tcBorders>
            <w:shd w:val="clear" w:color="auto" w:fill="DDDDDD"/>
          </w:tcPr>
          <w:p>
            <w:pPr>
              <w:spacing w:after="0"/>
              <w:rPr>
                <w:sz w:val="14"/>
                <w:szCs w:val="14"/>
                <w:color w:val="auto"/>
              </w:rPr>
            </w:pPr>
          </w:p>
        </w:tc>
        <w:tc>
          <w:tcPr>
            <w:tcW w:w="720" w:type="dxa"/>
            <w:vAlign w:val="bottom"/>
            <w:tcBorders>
              <w:bottom w:val="single" w:sz="8" w:color="auto"/>
            </w:tcBorders>
            <w:shd w:val="clear" w:color="auto" w:fill="DDDDDD"/>
          </w:tcPr>
          <w:p>
            <w:pPr>
              <w:spacing w:after="0"/>
              <w:rPr>
                <w:sz w:val="14"/>
                <w:szCs w:val="14"/>
                <w:color w:val="auto"/>
              </w:rPr>
            </w:pPr>
          </w:p>
        </w:tc>
        <w:tc>
          <w:tcPr>
            <w:tcW w:w="1140" w:type="dxa"/>
            <w:vAlign w:val="bottom"/>
            <w:tcBorders>
              <w:bottom w:val="single" w:sz="8" w:color="auto"/>
            </w:tcBorders>
            <w:shd w:val="clear" w:color="auto" w:fill="DDDDDD"/>
          </w:tcPr>
          <w:p>
            <w:pPr>
              <w:spacing w:after="0"/>
              <w:rPr>
                <w:sz w:val="14"/>
                <w:szCs w:val="14"/>
                <w:color w:val="auto"/>
              </w:rPr>
            </w:pPr>
          </w:p>
        </w:tc>
        <w:tc>
          <w:tcPr>
            <w:tcW w:w="700" w:type="dxa"/>
            <w:vAlign w:val="bottom"/>
            <w:tcBorders>
              <w:bottom w:val="single" w:sz="8" w:color="auto"/>
            </w:tcBorders>
            <w:shd w:val="clear" w:color="auto" w:fill="DDDDDD"/>
          </w:tcPr>
          <w:p>
            <w:pPr>
              <w:spacing w:after="0"/>
              <w:rPr>
                <w:sz w:val="14"/>
                <w:szCs w:val="14"/>
                <w:color w:val="auto"/>
              </w:rPr>
            </w:pPr>
          </w:p>
        </w:tc>
        <w:tc>
          <w:tcPr>
            <w:tcW w:w="800" w:type="dxa"/>
            <w:vAlign w:val="bottom"/>
            <w:tcBorders>
              <w:bottom w:val="single" w:sz="8" w:color="auto"/>
            </w:tcBorders>
            <w:shd w:val="clear" w:color="auto" w:fill="DDDDDD"/>
          </w:tcPr>
          <w:p>
            <w:pPr>
              <w:spacing w:after="0"/>
              <w:rPr>
                <w:sz w:val="14"/>
                <w:szCs w:val="14"/>
                <w:color w:val="auto"/>
              </w:rPr>
            </w:pPr>
          </w:p>
        </w:tc>
        <w:tc>
          <w:tcPr>
            <w:tcW w:w="660" w:type="dxa"/>
            <w:vAlign w:val="bottom"/>
            <w:tcBorders>
              <w:bottom w:val="single" w:sz="8" w:color="auto"/>
            </w:tcBorders>
            <w:vMerge w:val="continue"/>
            <w:shd w:val="clear" w:color="auto" w:fill="DDDDDD"/>
          </w:tcPr>
          <w:p>
            <w:pPr>
              <w:spacing w:after="0"/>
              <w:rPr>
                <w:sz w:val="14"/>
                <w:szCs w:val="14"/>
                <w:color w:val="auto"/>
              </w:rPr>
            </w:pPr>
          </w:p>
        </w:tc>
        <w:tc>
          <w:tcPr>
            <w:tcW w:w="140" w:type="dxa"/>
            <w:vAlign w:val="bottom"/>
            <w:tcBorders>
              <w:bottom w:val="single" w:sz="8" w:color="auto"/>
            </w:tcBorders>
            <w:shd w:val="clear" w:color="auto" w:fill="DDDDDD"/>
          </w:tcPr>
          <w:p>
            <w:pPr>
              <w:spacing w:after="0"/>
              <w:rPr>
                <w:sz w:val="14"/>
                <w:szCs w:val="14"/>
                <w:color w:val="auto"/>
              </w:rPr>
            </w:pPr>
          </w:p>
        </w:tc>
        <w:tc>
          <w:tcPr>
            <w:tcW w:w="640" w:type="dxa"/>
            <w:vAlign w:val="bottom"/>
            <w:tcBorders>
              <w:bottom w:val="single" w:sz="8" w:color="auto"/>
            </w:tcBorders>
            <w:vMerge w:val="continue"/>
            <w:shd w:val="clear" w:color="auto" w:fill="DDDDDD"/>
          </w:tcPr>
          <w:p>
            <w:pPr>
              <w:spacing w:after="0"/>
              <w:rPr>
                <w:sz w:val="14"/>
                <w:szCs w:val="14"/>
                <w:color w:val="auto"/>
              </w:rPr>
            </w:pPr>
          </w:p>
        </w:tc>
        <w:tc>
          <w:tcPr>
            <w:tcW w:w="1740" w:type="dxa"/>
            <w:vAlign w:val="bottom"/>
            <w:tcBorders>
              <w:bottom w:val="single" w:sz="8" w:color="auto"/>
            </w:tcBorders>
            <w:shd w:val="clear" w:color="auto" w:fill="DDDDDD"/>
          </w:tcPr>
          <w:p>
            <w:pPr>
              <w:spacing w:after="0"/>
              <w:rPr>
                <w:sz w:val="14"/>
                <w:szCs w:val="14"/>
                <w:color w:val="auto"/>
              </w:rPr>
            </w:pPr>
          </w:p>
        </w:tc>
        <w:tc>
          <w:tcPr>
            <w:tcW w:w="0" w:type="dxa"/>
            <w:vAlign w:val="bottom"/>
          </w:tcPr>
          <w:p>
            <w:pPr>
              <w:spacing w:after="0"/>
              <w:rPr>
                <w:sz w:val="1"/>
                <w:szCs w:val="1"/>
                <w:color w:val="auto"/>
              </w:rPr>
            </w:pPr>
          </w:p>
        </w:tc>
      </w:tr>
      <w:tr>
        <w:trPr>
          <w:trHeight w:val="294"/>
        </w:trPr>
        <w:tc>
          <w:tcPr>
            <w:tcW w:w="40" w:type="dxa"/>
            <w:vAlign w:val="bottom"/>
            <w:shd w:val="clear" w:color="auto" w:fill="DDDDDD"/>
          </w:tcPr>
          <w:p>
            <w:pPr>
              <w:spacing w:after="0"/>
              <w:rPr>
                <w:sz w:val="24"/>
                <w:szCs w:val="24"/>
                <w:color w:val="auto"/>
              </w:rPr>
            </w:pPr>
          </w:p>
        </w:tc>
        <w:tc>
          <w:tcPr>
            <w:tcW w:w="920" w:type="dxa"/>
            <w:vAlign w:val="bottom"/>
            <w:tcBorders>
              <w:right w:val="single" w:sz="8" w:color="DDDDDD"/>
            </w:tcBorders>
            <w:shd w:val="clear" w:color="auto" w:fill="DDDDDD"/>
          </w:tcPr>
          <w:p>
            <w:pPr>
              <w:spacing w:after="0"/>
              <w:rPr>
                <w:sz w:val="24"/>
                <w:szCs w:val="24"/>
                <w:color w:val="auto"/>
              </w:rPr>
            </w:pPr>
          </w:p>
        </w:tc>
        <w:tc>
          <w:tcPr>
            <w:tcW w:w="1020" w:type="dxa"/>
            <w:vAlign w:val="bottom"/>
            <w:gridSpan w:val="3"/>
          </w:tcPr>
          <w:p>
            <w:pPr>
              <w:ind w:left="100"/>
              <w:spacing w:after="0"/>
              <w:rPr>
                <w:sz w:val="20"/>
                <w:szCs w:val="20"/>
                <w:color w:val="auto"/>
              </w:rPr>
            </w:pPr>
            <w:r>
              <w:rPr>
                <w:rFonts w:ascii="Times New Roman" w:cs="Times New Roman" w:eastAsia="Times New Roman" w:hAnsi="Times New Roman"/>
                <w:sz w:val="18"/>
                <w:szCs w:val="18"/>
                <w:color w:val="auto"/>
              </w:rPr>
              <w:t>8/30/2021</w:t>
            </w:r>
          </w:p>
        </w:tc>
        <w:tc>
          <w:tcPr>
            <w:tcW w:w="680" w:type="dxa"/>
            <w:vAlign w:val="bottom"/>
            <w:gridSpan w:val="2"/>
          </w:tcPr>
          <w:p>
            <w:pPr>
              <w:jc w:val="right"/>
              <w:ind w:right="290"/>
              <w:spacing w:after="0"/>
              <w:rPr>
                <w:sz w:val="20"/>
                <w:szCs w:val="20"/>
                <w:color w:val="auto"/>
              </w:rPr>
            </w:pPr>
            <w:r>
              <w:rPr>
                <w:rFonts w:ascii="Times New Roman" w:cs="Times New Roman" w:eastAsia="Times New Roman" w:hAnsi="Times New Roman"/>
                <w:sz w:val="18"/>
                <w:szCs w:val="18"/>
                <w:color w:val="auto"/>
              </w:rPr>
              <w:t>(3)</w:t>
            </w:r>
          </w:p>
        </w:tc>
        <w:tc>
          <w:tcPr>
            <w:tcW w:w="12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3300" w:type="dxa"/>
            <w:vAlign w:val="bottom"/>
            <w:gridSpan w:val="4"/>
          </w:tcPr>
          <w:p>
            <w:pPr>
              <w:ind w:left="2640"/>
              <w:spacing w:after="0"/>
              <w:rPr>
                <w:sz w:val="20"/>
                <w:szCs w:val="20"/>
                <w:color w:val="auto"/>
              </w:rPr>
            </w:pPr>
            <w:r>
              <w:rPr>
                <w:rFonts w:ascii="Times New Roman" w:cs="Times New Roman" w:eastAsia="Times New Roman" w:hAnsi="Times New Roman"/>
                <w:sz w:val="18"/>
                <w:szCs w:val="18"/>
                <w:color w:val="auto"/>
              </w:rPr>
              <w:t>35,553</w:t>
            </w:r>
          </w:p>
        </w:tc>
        <w:tc>
          <w:tcPr>
            <w:tcW w:w="78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rPr>
              <w:t>25,609</w:t>
            </w:r>
          </w:p>
        </w:tc>
        <w:tc>
          <w:tcPr>
            <w:tcW w:w="17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5"/>
        </w:trPr>
        <w:tc>
          <w:tcPr>
            <w:tcW w:w="40" w:type="dxa"/>
            <w:vAlign w:val="bottom"/>
            <w:tcBorders>
              <w:top w:val="single" w:sz="8" w:color="DDDDDD"/>
              <w:bottom w:val="single" w:sz="8" w:color="DDDDDD"/>
            </w:tcBorders>
            <w:shd w:val="clear" w:color="auto" w:fill="DDDDDD"/>
          </w:tcPr>
          <w:p>
            <w:pPr>
              <w:spacing w:after="0"/>
              <w:rPr>
                <w:sz w:val="22"/>
                <w:szCs w:val="22"/>
                <w:color w:val="auto"/>
              </w:rPr>
            </w:pPr>
          </w:p>
        </w:tc>
        <w:tc>
          <w:tcPr>
            <w:tcW w:w="920" w:type="dxa"/>
            <w:vAlign w:val="bottom"/>
            <w:tcBorders>
              <w:top w:val="single" w:sz="8" w:color="DDDDDD"/>
              <w:bottom w:val="single" w:sz="8" w:color="DDDDDD"/>
              <w:right w:val="single" w:sz="8" w:color="DDDDDD"/>
            </w:tcBorders>
            <w:shd w:val="clear" w:color="auto" w:fill="DDDDDD"/>
          </w:tcPr>
          <w:p>
            <w:pPr>
              <w:spacing w:after="0"/>
              <w:rPr>
                <w:sz w:val="22"/>
                <w:szCs w:val="22"/>
                <w:color w:val="auto"/>
              </w:rPr>
            </w:pPr>
          </w:p>
        </w:tc>
        <w:tc>
          <w:tcPr>
            <w:tcW w:w="40" w:type="dxa"/>
            <w:vAlign w:val="bottom"/>
            <w:tcBorders>
              <w:top w:val="single" w:sz="8" w:color="DDDDDD"/>
            </w:tcBorders>
            <w:shd w:val="clear" w:color="auto" w:fill="DDDDDD"/>
          </w:tcPr>
          <w:p>
            <w:pPr>
              <w:spacing w:after="0"/>
              <w:rPr>
                <w:sz w:val="22"/>
                <w:szCs w:val="22"/>
                <w:color w:val="auto"/>
              </w:rPr>
            </w:pPr>
          </w:p>
        </w:tc>
        <w:tc>
          <w:tcPr>
            <w:tcW w:w="60" w:type="dxa"/>
            <w:vAlign w:val="bottom"/>
            <w:tcBorders>
              <w:top w:val="single" w:sz="8" w:color="auto"/>
              <w:bottom w:val="single" w:sz="8" w:color="auto"/>
            </w:tcBorders>
            <w:shd w:val="clear" w:color="auto" w:fill="DDDDDD"/>
          </w:tcPr>
          <w:p>
            <w:pPr>
              <w:spacing w:after="0"/>
              <w:rPr>
                <w:sz w:val="22"/>
                <w:szCs w:val="22"/>
                <w:color w:val="auto"/>
              </w:rPr>
            </w:pPr>
          </w:p>
        </w:tc>
        <w:tc>
          <w:tcPr>
            <w:tcW w:w="920" w:type="dxa"/>
            <w:vAlign w:val="bottom"/>
            <w:tcBorders>
              <w:top w:val="single" w:sz="8" w:color="auto"/>
              <w:bottom w:val="single" w:sz="8" w:color="auto"/>
            </w:tcBorders>
            <w:shd w:val="clear" w:color="auto" w:fill="DDDDDD"/>
          </w:tcPr>
          <w:p>
            <w:pPr>
              <w:spacing w:after="0"/>
              <w:rPr>
                <w:sz w:val="20"/>
                <w:szCs w:val="20"/>
                <w:color w:val="auto"/>
              </w:rPr>
            </w:pPr>
            <w:r>
              <w:rPr>
                <w:rFonts w:ascii="Times New Roman" w:cs="Times New Roman" w:eastAsia="Times New Roman" w:hAnsi="Times New Roman"/>
                <w:sz w:val="18"/>
                <w:szCs w:val="18"/>
                <w:color w:val="auto"/>
              </w:rPr>
              <w:t>12/8/2020</w:t>
            </w:r>
          </w:p>
        </w:tc>
        <w:tc>
          <w:tcPr>
            <w:tcW w:w="100" w:type="dxa"/>
            <w:vAlign w:val="bottom"/>
            <w:tcBorders>
              <w:top w:val="single" w:sz="8" w:color="auto"/>
              <w:bottom w:val="single" w:sz="8" w:color="auto"/>
            </w:tcBorders>
            <w:shd w:val="clear" w:color="auto" w:fill="DDDDDD"/>
          </w:tcPr>
          <w:p>
            <w:pPr>
              <w:spacing w:after="0"/>
              <w:rPr>
                <w:sz w:val="22"/>
                <w:szCs w:val="22"/>
                <w:color w:val="auto"/>
              </w:rPr>
            </w:pPr>
          </w:p>
        </w:tc>
        <w:tc>
          <w:tcPr>
            <w:tcW w:w="580" w:type="dxa"/>
            <w:vAlign w:val="bottom"/>
            <w:tcBorders>
              <w:top w:val="single" w:sz="8" w:color="auto"/>
              <w:bottom w:val="single" w:sz="8" w:color="auto"/>
            </w:tcBorders>
            <w:shd w:val="clear" w:color="auto" w:fill="DDDDDD"/>
          </w:tcPr>
          <w:p>
            <w:pPr>
              <w:jc w:val="right"/>
              <w:ind w:right="290"/>
              <w:spacing w:after="0"/>
              <w:rPr>
                <w:sz w:val="20"/>
                <w:szCs w:val="20"/>
                <w:color w:val="auto"/>
              </w:rPr>
            </w:pPr>
            <w:r>
              <w:rPr>
                <w:rFonts w:ascii="Times New Roman" w:cs="Times New Roman" w:eastAsia="Times New Roman" w:hAnsi="Times New Roman"/>
                <w:sz w:val="18"/>
                <w:szCs w:val="18"/>
                <w:color w:val="auto"/>
                <w:w w:val="85"/>
              </w:rPr>
              <w:t>(9)</w:t>
            </w:r>
          </w:p>
        </w:tc>
        <w:tc>
          <w:tcPr>
            <w:tcW w:w="120" w:type="dxa"/>
            <w:vAlign w:val="bottom"/>
            <w:tcBorders>
              <w:top w:val="single" w:sz="8" w:color="auto"/>
              <w:bottom w:val="single" w:sz="8" w:color="auto"/>
            </w:tcBorders>
            <w:shd w:val="clear" w:color="auto" w:fill="DDDDDD"/>
          </w:tcPr>
          <w:p>
            <w:pPr>
              <w:spacing w:after="0"/>
              <w:rPr>
                <w:sz w:val="22"/>
                <w:szCs w:val="22"/>
                <w:color w:val="auto"/>
              </w:rPr>
            </w:pPr>
          </w:p>
        </w:tc>
        <w:tc>
          <w:tcPr>
            <w:tcW w:w="860" w:type="dxa"/>
            <w:vAlign w:val="bottom"/>
            <w:tcBorders>
              <w:top w:val="single" w:sz="8" w:color="auto"/>
              <w:bottom w:val="single" w:sz="8" w:color="auto"/>
            </w:tcBorders>
            <w:shd w:val="clear" w:color="auto" w:fill="DDDDDD"/>
          </w:tcPr>
          <w:p>
            <w:pPr>
              <w:jc w:val="right"/>
              <w:ind w:right="270"/>
              <w:spacing w:after="0"/>
              <w:rPr>
                <w:sz w:val="20"/>
                <w:szCs w:val="20"/>
                <w:color w:val="auto"/>
              </w:rPr>
            </w:pPr>
            <w:r>
              <w:rPr>
                <w:rFonts w:ascii="Times New Roman" w:cs="Times New Roman" w:eastAsia="Times New Roman" w:hAnsi="Times New Roman"/>
                <w:sz w:val="18"/>
                <w:szCs w:val="18"/>
                <w:color w:val="auto"/>
                <w:w w:val="96"/>
              </w:rPr>
              <w:t>46,482</w:t>
            </w:r>
          </w:p>
        </w:tc>
        <w:tc>
          <w:tcPr>
            <w:tcW w:w="120" w:type="dxa"/>
            <w:vAlign w:val="bottom"/>
            <w:tcBorders>
              <w:top w:val="single" w:sz="8" w:color="auto"/>
              <w:bottom w:val="single" w:sz="8" w:color="auto"/>
            </w:tcBorders>
            <w:shd w:val="clear" w:color="auto" w:fill="DDDDDD"/>
          </w:tcPr>
          <w:p>
            <w:pPr>
              <w:spacing w:after="0"/>
              <w:rPr>
                <w:sz w:val="22"/>
                <w:szCs w:val="22"/>
                <w:color w:val="auto"/>
              </w:rPr>
            </w:pPr>
          </w:p>
        </w:tc>
        <w:tc>
          <w:tcPr>
            <w:tcW w:w="720" w:type="dxa"/>
            <w:vAlign w:val="bottom"/>
            <w:tcBorders>
              <w:top w:val="single" w:sz="8" w:color="auto"/>
              <w:bottom w:val="single" w:sz="8" w:color="auto"/>
            </w:tcBorders>
            <w:shd w:val="clear" w:color="auto" w:fill="DDDDDD"/>
          </w:tcPr>
          <w:p>
            <w:pPr>
              <w:jc w:val="right"/>
              <w:ind w:right="130"/>
              <w:spacing w:after="0"/>
              <w:rPr>
                <w:sz w:val="20"/>
                <w:szCs w:val="20"/>
                <w:color w:val="auto"/>
              </w:rPr>
            </w:pPr>
            <w:r>
              <w:rPr>
                <w:rFonts w:ascii="Times New Roman" w:cs="Times New Roman" w:eastAsia="Times New Roman" w:hAnsi="Times New Roman"/>
                <w:sz w:val="18"/>
                <w:szCs w:val="18"/>
                <w:color w:val="auto"/>
                <w:w w:val="96"/>
              </w:rPr>
              <w:t>15,495</w:t>
            </w:r>
          </w:p>
        </w:tc>
        <w:tc>
          <w:tcPr>
            <w:tcW w:w="1140" w:type="dxa"/>
            <w:vAlign w:val="bottom"/>
            <w:tcBorders>
              <w:top w:val="single" w:sz="8" w:color="auto"/>
              <w:bottom w:val="single" w:sz="8" w:color="auto"/>
            </w:tcBorders>
            <w:shd w:val="clear" w:color="auto" w:fill="DDDDDD"/>
          </w:tcPr>
          <w:p>
            <w:pPr>
              <w:spacing w:after="0"/>
              <w:rPr>
                <w:sz w:val="22"/>
                <w:szCs w:val="22"/>
                <w:color w:val="auto"/>
              </w:rPr>
            </w:pPr>
          </w:p>
        </w:tc>
        <w:tc>
          <w:tcPr>
            <w:tcW w:w="700" w:type="dxa"/>
            <w:vAlign w:val="bottom"/>
            <w:tcBorders>
              <w:top w:val="single" w:sz="8" w:color="auto"/>
              <w:bottom w:val="single" w:sz="8" w:color="auto"/>
            </w:tcBorders>
            <w:shd w:val="clear" w:color="auto" w:fill="DDDDDD"/>
          </w:tcPr>
          <w:p>
            <w:pPr>
              <w:spacing w:after="0"/>
              <w:rPr>
                <w:sz w:val="20"/>
                <w:szCs w:val="20"/>
                <w:color w:val="auto"/>
              </w:rPr>
            </w:pPr>
            <w:r>
              <w:rPr>
                <w:rFonts w:ascii="Times New Roman" w:cs="Times New Roman" w:eastAsia="Times New Roman" w:hAnsi="Times New Roman"/>
                <w:sz w:val="18"/>
                <w:szCs w:val="18"/>
                <w:color w:val="auto"/>
              </w:rPr>
              <w:t>10</w:t>
            </w:r>
          </w:p>
        </w:tc>
        <w:tc>
          <w:tcPr>
            <w:tcW w:w="800" w:type="dxa"/>
            <w:vAlign w:val="bottom"/>
            <w:tcBorders>
              <w:top w:val="single" w:sz="8" w:color="auto"/>
              <w:bottom w:val="single" w:sz="8" w:color="auto"/>
            </w:tcBorders>
            <w:shd w:val="clear" w:color="auto" w:fill="DDDDDD"/>
          </w:tcPr>
          <w:p>
            <w:pPr>
              <w:spacing w:after="0"/>
              <w:rPr>
                <w:sz w:val="22"/>
                <w:szCs w:val="22"/>
                <w:color w:val="auto"/>
              </w:rPr>
            </w:pPr>
          </w:p>
        </w:tc>
        <w:tc>
          <w:tcPr>
            <w:tcW w:w="660" w:type="dxa"/>
            <w:vAlign w:val="bottom"/>
            <w:tcBorders>
              <w:top w:val="single" w:sz="8" w:color="auto"/>
              <w:bottom w:val="single" w:sz="8" w:color="auto"/>
            </w:tcBorders>
            <w:shd w:val="clear" w:color="auto" w:fill="DDDDDD"/>
          </w:tcPr>
          <w:p>
            <w:pPr>
              <w:spacing w:after="0"/>
              <w:rPr>
                <w:sz w:val="22"/>
                <w:szCs w:val="22"/>
                <w:color w:val="auto"/>
              </w:rPr>
            </w:pPr>
          </w:p>
        </w:tc>
        <w:tc>
          <w:tcPr>
            <w:tcW w:w="140" w:type="dxa"/>
            <w:vAlign w:val="bottom"/>
            <w:tcBorders>
              <w:top w:val="single" w:sz="8" w:color="auto"/>
              <w:bottom w:val="single" w:sz="8" w:color="auto"/>
            </w:tcBorders>
            <w:shd w:val="clear" w:color="auto" w:fill="DDDDDD"/>
          </w:tcPr>
          <w:p>
            <w:pPr>
              <w:spacing w:after="0"/>
              <w:rPr>
                <w:sz w:val="22"/>
                <w:szCs w:val="22"/>
                <w:color w:val="auto"/>
              </w:rPr>
            </w:pPr>
          </w:p>
        </w:tc>
        <w:tc>
          <w:tcPr>
            <w:tcW w:w="640" w:type="dxa"/>
            <w:vAlign w:val="bottom"/>
            <w:tcBorders>
              <w:top w:val="single" w:sz="8" w:color="auto"/>
              <w:bottom w:val="single" w:sz="8" w:color="auto"/>
            </w:tcBorders>
            <w:shd w:val="clear" w:color="auto" w:fill="DDDDDD"/>
          </w:tcPr>
          <w:p>
            <w:pPr>
              <w:spacing w:after="0"/>
              <w:rPr>
                <w:sz w:val="22"/>
                <w:szCs w:val="22"/>
                <w:color w:val="auto"/>
              </w:rPr>
            </w:pPr>
          </w:p>
        </w:tc>
        <w:tc>
          <w:tcPr>
            <w:tcW w:w="1740" w:type="dxa"/>
            <w:vAlign w:val="bottom"/>
            <w:tcBorders>
              <w:top w:val="single" w:sz="8" w:color="auto"/>
              <w:bottom w:val="single" w:sz="8" w:color="auto"/>
            </w:tcBorders>
            <w:shd w:val="clear" w:color="auto" w:fill="DDDDDD"/>
          </w:tcPr>
          <w:p>
            <w:pPr>
              <w:spacing w:after="0"/>
              <w:rPr>
                <w:sz w:val="22"/>
                <w:szCs w:val="22"/>
                <w:color w:val="auto"/>
              </w:rPr>
            </w:pPr>
          </w:p>
        </w:tc>
        <w:tc>
          <w:tcPr>
            <w:tcW w:w="0" w:type="dxa"/>
            <w:vAlign w:val="bottom"/>
          </w:tcPr>
          <w:p>
            <w:pPr>
              <w:spacing w:after="0"/>
              <w:rPr>
                <w:sz w:val="1"/>
                <w:szCs w:val="1"/>
                <w:color w:val="auto"/>
              </w:rPr>
            </w:pPr>
          </w:p>
        </w:tc>
      </w:tr>
      <w:tr>
        <w:trPr>
          <w:trHeight w:val="263"/>
        </w:trPr>
        <w:tc>
          <w:tcPr>
            <w:tcW w:w="40" w:type="dxa"/>
            <w:vAlign w:val="bottom"/>
            <w:shd w:val="clear" w:color="auto" w:fill="DDDDDD"/>
          </w:tcPr>
          <w:p>
            <w:pPr>
              <w:spacing w:after="0"/>
              <w:rPr>
                <w:sz w:val="22"/>
                <w:szCs w:val="22"/>
                <w:color w:val="auto"/>
              </w:rPr>
            </w:pPr>
          </w:p>
        </w:tc>
        <w:tc>
          <w:tcPr>
            <w:tcW w:w="920" w:type="dxa"/>
            <w:vAlign w:val="bottom"/>
            <w:tcBorders>
              <w:right w:val="single" w:sz="8" w:color="DDDDDD"/>
            </w:tcBorders>
            <w:shd w:val="clear" w:color="auto" w:fill="DDDDDD"/>
          </w:tcPr>
          <w:p>
            <w:pPr>
              <w:spacing w:after="0"/>
              <w:rPr>
                <w:sz w:val="22"/>
                <w:szCs w:val="22"/>
                <w:color w:val="auto"/>
              </w:rPr>
            </w:pPr>
          </w:p>
        </w:tc>
        <w:tc>
          <w:tcPr>
            <w:tcW w:w="1020" w:type="dxa"/>
            <w:vAlign w:val="bottom"/>
            <w:gridSpan w:val="3"/>
          </w:tcPr>
          <w:p>
            <w:pPr>
              <w:ind w:left="100"/>
              <w:spacing w:after="0"/>
              <w:rPr>
                <w:sz w:val="20"/>
                <w:szCs w:val="20"/>
                <w:color w:val="auto"/>
              </w:rPr>
            </w:pPr>
            <w:r>
              <w:rPr>
                <w:rFonts w:ascii="Times New Roman" w:cs="Times New Roman" w:eastAsia="Times New Roman" w:hAnsi="Times New Roman"/>
                <w:sz w:val="18"/>
                <w:szCs w:val="18"/>
                <w:color w:val="auto"/>
              </w:rPr>
              <w:t>12/10/2019</w:t>
            </w:r>
          </w:p>
        </w:tc>
        <w:tc>
          <w:tcPr>
            <w:tcW w:w="100" w:type="dxa"/>
            <w:vAlign w:val="bottom"/>
          </w:tcPr>
          <w:p>
            <w:pPr>
              <w:spacing w:after="0"/>
              <w:rPr>
                <w:sz w:val="22"/>
                <w:szCs w:val="22"/>
                <w:color w:val="auto"/>
              </w:rPr>
            </w:pPr>
          </w:p>
        </w:tc>
        <w:tc>
          <w:tcPr>
            <w:tcW w:w="580" w:type="dxa"/>
            <w:vAlign w:val="bottom"/>
          </w:tcPr>
          <w:p>
            <w:pPr>
              <w:spacing w:after="0"/>
              <w:rPr>
                <w:sz w:val="22"/>
                <w:szCs w:val="22"/>
                <w:color w:val="auto"/>
              </w:rPr>
            </w:pPr>
          </w:p>
        </w:tc>
        <w:tc>
          <w:tcPr>
            <w:tcW w:w="980" w:type="dxa"/>
            <w:vAlign w:val="bottom"/>
            <w:gridSpan w:val="2"/>
          </w:tcPr>
          <w:p>
            <w:pPr>
              <w:jc w:val="right"/>
              <w:ind w:right="270"/>
              <w:spacing w:after="0"/>
              <w:rPr>
                <w:sz w:val="20"/>
                <w:szCs w:val="20"/>
                <w:color w:val="auto"/>
              </w:rPr>
            </w:pPr>
            <w:r>
              <w:rPr>
                <w:rFonts w:ascii="Times New Roman" w:cs="Times New Roman" w:eastAsia="Times New Roman" w:hAnsi="Times New Roman"/>
                <w:sz w:val="18"/>
                <w:szCs w:val="18"/>
                <w:color w:val="auto"/>
              </w:rPr>
              <w:t>61,977</w:t>
            </w:r>
          </w:p>
        </w:tc>
        <w:tc>
          <w:tcPr>
            <w:tcW w:w="120" w:type="dxa"/>
            <w:vAlign w:val="bottom"/>
          </w:tcPr>
          <w:p>
            <w:pPr>
              <w:spacing w:after="0"/>
              <w:rPr>
                <w:sz w:val="22"/>
                <w:szCs w:val="22"/>
                <w:color w:val="auto"/>
              </w:rPr>
            </w:pPr>
          </w:p>
        </w:tc>
        <w:tc>
          <w:tcPr>
            <w:tcW w:w="720" w:type="dxa"/>
            <w:vAlign w:val="bottom"/>
          </w:tcPr>
          <w:p>
            <w:pPr>
              <w:spacing w:after="0"/>
              <w:rPr>
                <w:sz w:val="22"/>
                <w:szCs w:val="22"/>
                <w:color w:val="auto"/>
              </w:rPr>
            </w:pPr>
          </w:p>
        </w:tc>
        <w:tc>
          <w:tcPr>
            <w:tcW w:w="1840" w:type="dxa"/>
            <w:vAlign w:val="bottom"/>
            <w:gridSpan w:val="2"/>
          </w:tcPr>
          <w:p>
            <w:pPr>
              <w:ind w:left="1140"/>
              <w:spacing w:after="0"/>
              <w:rPr>
                <w:sz w:val="20"/>
                <w:szCs w:val="20"/>
                <w:color w:val="auto"/>
              </w:rPr>
            </w:pPr>
            <w:r>
              <w:rPr>
                <w:rFonts w:ascii="Times New Roman" w:cs="Times New Roman" w:eastAsia="Times New Roman" w:hAnsi="Times New Roman"/>
                <w:sz w:val="18"/>
                <w:szCs w:val="18"/>
                <w:color w:val="auto"/>
              </w:rPr>
              <w:t>8.03</w:t>
            </w:r>
          </w:p>
        </w:tc>
        <w:tc>
          <w:tcPr>
            <w:tcW w:w="800" w:type="dxa"/>
            <w:vAlign w:val="bottom"/>
          </w:tcPr>
          <w:p>
            <w:pPr>
              <w:spacing w:after="0"/>
              <w:rPr>
                <w:sz w:val="22"/>
                <w:szCs w:val="22"/>
                <w:color w:val="auto"/>
              </w:rPr>
            </w:pPr>
          </w:p>
        </w:tc>
        <w:tc>
          <w:tcPr>
            <w:tcW w:w="66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640" w:type="dxa"/>
            <w:vAlign w:val="bottom"/>
          </w:tcPr>
          <w:p>
            <w:pPr>
              <w:spacing w:after="0"/>
              <w:rPr>
                <w:sz w:val="22"/>
                <w:szCs w:val="22"/>
                <w:color w:val="auto"/>
              </w:rPr>
            </w:pPr>
          </w:p>
        </w:tc>
        <w:tc>
          <w:tcPr>
            <w:tcW w:w="17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86"/>
        </w:trPr>
        <w:tc>
          <w:tcPr>
            <w:tcW w:w="40" w:type="dxa"/>
            <w:vAlign w:val="bottom"/>
            <w:tcBorders>
              <w:bottom w:val="single" w:sz="8" w:color="auto"/>
            </w:tcBorders>
            <w:shd w:val="clear" w:color="auto" w:fill="DDDDDD"/>
          </w:tcPr>
          <w:p>
            <w:pPr>
              <w:spacing w:after="0"/>
              <w:rPr>
                <w:sz w:val="7"/>
                <w:szCs w:val="7"/>
                <w:color w:val="auto"/>
              </w:rPr>
            </w:pPr>
          </w:p>
        </w:tc>
        <w:tc>
          <w:tcPr>
            <w:tcW w:w="920" w:type="dxa"/>
            <w:vAlign w:val="bottom"/>
            <w:tcBorders>
              <w:bottom w:val="single" w:sz="8" w:color="auto"/>
              <w:right w:val="single" w:sz="8" w:color="DDDDDD"/>
            </w:tcBorders>
            <w:shd w:val="clear" w:color="auto" w:fill="DDDDDD"/>
          </w:tcPr>
          <w:p>
            <w:pPr>
              <w:spacing w:after="0"/>
              <w:rPr>
                <w:sz w:val="7"/>
                <w:szCs w:val="7"/>
                <w:color w:val="auto"/>
              </w:rPr>
            </w:pPr>
          </w:p>
        </w:tc>
        <w:tc>
          <w:tcPr>
            <w:tcW w:w="40" w:type="dxa"/>
            <w:vAlign w:val="bottom"/>
            <w:tcBorders>
              <w:bottom w:val="single" w:sz="8" w:color="auto"/>
            </w:tcBorders>
          </w:tcPr>
          <w:p>
            <w:pPr>
              <w:spacing w:after="0"/>
              <w:rPr>
                <w:sz w:val="7"/>
                <w:szCs w:val="7"/>
                <w:color w:val="auto"/>
              </w:rPr>
            </w:pPr>
          </w:p>
        </w:tc>
        <w:tc>
          <w:tcPr>
            <w:tcW w:w="60" w:type="dxa"/>
            <w:vAlign w:val="bottom"/>
            <w:tcBorders>
              <w:bottom w:val="single" w:sz="8" w:color="auto"/>
            </w:tcBorders>
          </w:tcPr>
          <w:p>
            <w:pPr>
              <w:spacing w:after="0"/>
              <w:rPr>
                <w:sz w:val="7"/>
                <w:szCs w:val="7"/>
                <w:color w:val="auto"/>
              </w:rPr>
            </w:pPr>
          </w:p>
        </w:tc>
        <w:tc>
          <w:tcPr>
            <w:tcW w:w="920" w:type="dxa"/>
            <w:vAlign w:val="bottom"/>
            <w:tcBorders>
              <w:bottom w:val="single" w:sz="8" w:color="auto"/>
            </w:tcBorders>
          </w:tcPr>
          <w:p>
            <w:pPr>
              <w:spacing w:after="0"/>
              <w:rPr>
                <w:sz w:val="7"/>
                <w:szCs w:val="7"/>
                <w:color w:val="auto"/>
              </w:rPr>
            </w:pPr>
          </w:p>
        </w:tc>
        <w:tc>
          <w:tcPr>
            <w:tcW w:w="100" w:type="dxa"/>
            <w:vAlign w:val="bottom"/>
            <w:tcBorders>
              <w:bottom w:val="single" w:sz="8" w:color="auto"/>
            </w:tcBorders>
          </w:tcPr>
          <w:p>
            <w:pPr>
              <w:spacing w:after="0"/>
              <w:rPr>
                <w:sz w:val="7"/>
                <w:szCs w:val="7"/>
                <w:color w:val="auto"/>
              </w:rPr>
            </w:pPr>
          </w:p>
        </w:tc>
        <w:tc>
          <w:tcPr>
            <w:tcW w:w="580" w:type="dxa"/>
            <w:vAlign w:val="bottom"/>
            <w:tcBorders>
              <w:bottom w:val="single" w:sz="8" w:color="auto"/>
            </w:tcBorders>
          </w:tcPr>
          <w:p>
            <w:pPr>
              <w:spacing w:after="0"/>
              <w:rPr>
                <w:sz w:val="7"/>
                <w:szCs w:val="7"/>
                <w:color w:val="auto"/>
              </w:rPr>
            </w:pPr>
          </w:p>
        </w:tc>
        <w:tc>
          <w:tcPr>
            <w:tcW w:w="120" w:type="dxa"/>
            <w:vAlign w:val="bottom"/>
            <w:tcBorders>
              <w:bottom w:val="single" w:sz="8" w:color="auto"/>
            </w:tcBorders>
          </w:tcPr>
          <w:p>
            <w:pPr>
              <w:spacing w:after="0"/>
              <w:rPr>
                <w:sz w:val="7"/>
                <w:szCs w:val="7"/>
                <w:color w:val="auto"/>
              </w:rPr>
            </w:pPr>
          </w:p>
        </w:tc>
        <w:tc>
          <w:tcPr>
            <w:tcW w:w="860" w:type="dxa"/>
            <w:vAlign w:val="bottom"/>
            <w:tcBorders>
              <w:bottom w:val="single" w:sz="8" w:color="auto"/>
            </w:tcBorders>
          </w:tcPr>
          <w:p>
            <w:pPr>
              <w:spacing w:after="0"/>
              <w:rPr>
                <w:sz w:val="7"/>
                <w:szCs w:val="7"/>
                <w:color w:val="auto"/>
              </w:rPr>
            </w:pPr>
          </w:p>
        </w:tc>
        <w:tc>
          <w:tcPr>
            <w:tcW w:w="120" w:type="dxa"/>
            <w:vAlign w:val="bottom"/>
            <w:tcBorders>
              <w:bottom w:val="single" w:sz="8" w:color="auto"/>
            </w:tcBorders>
          </w:tcPr>
          <w:p>
            <w:pPr>
              <w:spacing w:after="0"/>
              <w:rPr>
                <w:sz w:val="7"/>
                <w:szCs w:val="7"/>
                <w:color w:val="auto"/>
              </w:rPr>
            </w:pPr>
          </w:p>
        </w:tc>
        <w:tc>
          <w:tcPr>
            <w:tcW w:w="720" w:type="dxa"/>
            <w:vAlign w:val="bottom"/>
            <w:tcBorders>
              <w:bottom w:val="single" w:sz="8" w:color="auto"/>
            </w:tcBorders>
          </w:tcPr>
          <w:p>
            <w:pPr>
              <w:spacing w:after="0"/>
              <w:rPr>
                <w:sz w:val="7"/>
                <w:szCs w:val="7"/>
                <w:color w:val="auto"/>
              </w:rPr>
            </w:pPr>
          </w:p>
        </w:tc>
        <w:tc>
          <w:tcPr>
            <w:tcW w:w="1140" w:type="dxa"/>
            <w:vAlign w:val="bottom"/>
            <w:tcBorders>
              <w:bottom w:val="single" w:sz="8" w:color="auto"/>
            </w:tcBorders>
          </w:tcPr>
          <w:p>
            <w:pPr>
              <w:spacing w:after="0"/>
              <w:rPr>
                <w:sz w:val="7"/>
                <w:szCs w:val="7"/>
                <w:color w:val="auto"/>
              </w:rPr>
            </w:pPr>
          </w:p>
        </w:tc>
        <w:tc>
          <w:tcPr>
            <w:tcW w:w="700" w:type="dxa"/>
            <w:vAlign w:val="bottom"/>
            <w:tcBorders>
              <w:bottom w:val="single" w:sz="8" w:color="auto"/>
            </w:tcBorders>
          </w:tcPr>
          <w:p>
            <w:pPr>
              <w:spacing w:after="0"/>
              <w:rPr>
                <w:sz w:val="7"/>
                <w:szCs w:val="7"/>
                <w:color w:val="auto"/>
              </w:rPr>
            </w:pPr>
          </w:p>
        </w:tc>
        <w:tc>
          <w:tcPr>
            <w:tcW w:w="800" w:type="dxa"/>
            <w:vAlign w:val="bottom"/>
            <w:tcBorders>
              <w:bottom w:val="single" w:sz="8" w:color="auto"/>
            </w:tcBorders>
          </w:tcPr>
          <w:p>
            <w:pPr>
              <w:spacing w:after="0"/>
              <w:rPr>
                <w:sz w:val="7"/>
                <w:szCs w:val="7"/>
                <w:color w:val="auto"/>
              </w:rPr>
            </w:pPr>
          </w:p>
        </w:tc>
        <w:tc>
          <w:tcPr>
            <w:tcW w:w="660" w:type="dxa"/>
            <w:vAlign w:val="bottom"/>
            <w:tcBorders>
              <w:bottom w:val="single" w:sz="8" w:color="auto"/>
            </w:tcBorders>
          </w:tcPr>
          <w:p>
            <w:pPr>
              <w:spacing w:after="0"/>
              <w:rPr>
                <w:sz w:val="7"/>
                <w:szCs w:val="7"/>
                <w:color w:val="auto"/>
              </w:rPr>
            </w:pPr>
          </w:p>
        </w:tc>
        <w:tc>
          <w:tcPr>
            <w:tcW w:w="140" w:type="dxa"/>
            <w:vAlign w:val="bottom"/>
            <w:tcBorders>
              <w:bottom w:val="single" w:sz="8" w:color="auto"/>
            </w:tcBorders>
          </w:tcPr>
          <w:p>
            <w:pPr>
              <w:spacing w:after="0"/>
              <w:rPr>
                <w:sz w:val="7"/>
                <w:szCs w:val="7"/>
                <w:color w:val="auto"/>
              </w:rPr>
            </w:pPr>
          </w:p>
        </w:tc>
        <w:tc>
          <w:tcPr>
            <w:tcW w:w="640" w:type="dxa"/>
            <w:vAlign w:val="bottom"/>
            <w:tcBorders>
              <w:bottom w:val="single" w:sz="8" w:color="auto"/>
            </w:tcBorders>
          </w:tcPr>
          <w:p>
            <w:pPr>
              <w:spacing w:after="0"/>
              <w:rPr>
                <w:sz w:val="7"/>
                <w:szCs w:val="7"/>
                <w:color w:val="auto"/>
              </w:rPr>
            </w:pPr>
          </w:p>
        </w:tc>
        <w:tc>
          <w:tcPr>
            <w:tcW w:w="1740" w:type="dxa"/>
            <w:vAlign w:val="bottom"/>
            <w:tcBorders>
              <w:bottom w:val="single" w:sz="8" w:color="auto"/>
            </w:tcBorders>
          </w:tcPr>
          <w:p>
            <w:pPr>
              <w:spacing w:after="0"/>
              <w:rPr>
                <w:sz w:val="7"/>
                <w:szCs w:val="7"/>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644525</wp:posOffset>
                </wp:positionH>
                <wp:positionV relativeFrom="paragraph">
                  <wp:posOffset>-605155</wp:posOffset>
                </wp:positionV>
                <wp:extent cx="5897880" cy="0"/>
                <wp:wrapNone/>
                <wp:docPr id="29" name="Shape 29"/>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5897880" cy="4763"/>
                        </a:xfrm>
                        <a:prstGeom prst="line">
                          <a:avLst/>
                        </a:prstGeom>
                        <a:solidFill>
                          <a:srgbClr val="FFFFFF"/>
                        </a:solidFill>
                        <a:ln w="4572">
                          <a:solidFill>
                            <a:srgbClr val="FFFFFF"/>
                          </a:solidFill>
                          <a:miter lim="800000"/>
                          <a:headEnd/>
                          <a:tailEnd/>
                        </a:ln>
                      </wps:spPr>
                      <wps:bodyPr/>
                    </wps:wsp>
                  </a:graphicData>
                </a:graphic>
              </wp:anchor>
            </w:drawing>
          </mc:Choice>
          <mc:Fallback>
            <w:pict>
              <v:line id="Shape 29" o:spid="_x0000_s1054"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50.75pt,-47.6499pt" to="515.15pt,-47.6499pt" o:allowincell="f" strokecolor="#FFFFFF" strokeweight="0.36pt"/>
            </w:pict>
          </mc:Fallback>
        </mc:AlternateContent>
      </w:r>
    </w:p>
    <w:p>
      <w:pPr>
        <w:spacing w:after="0" w:line="80" w:lineRule="exact"/>
        <w:rPr>
          <w:sz w:val="20"/>
          <w:szCs w:val="20"/>
          <w:color w:val="auto"/>
        </w:rPr>
      </w:pPr>
    </w:p>
    <w:p>
      <w:pPr>
        <w:ind w:left="6"/>
        <w:spacing w:after="0"/>
        <w:rPr>
          <w:sz w:val="20"/>
          <w:szCs w:val="20"/>
          <w:color w:val="auto"/>
        </w:rPr>
      </w:pPr>
      <w:r>
        <w:rPr>
          <w:rFonts w:ascii="Times New Roman" w:cs="Times New Roman" w:eastAsia="Times New Roman" w:hAnsi="Times New Roman"/>
          <w:sz w:val="20"/>
          <w:szCs w:val="20"/>
          <w:color w:val="auto"/>
        </w:rPr>
        <w:t>___________________________</w:t>
      </w:r>
    </w:p>
    <w:p>
      <w:pPr>
        <w:spacing w:after="0" w:line="160" w:lineRule="exact"/>
        <w:rPr>
          <w:sz w:val="20"/>
          <w:szCs w:val="20"/>
          <w:color w:val="auto"/>
        </w:rPr>
      </w:pPr>
    </w:p>
    <w:p>
      <w:pPr>
        <w:ind w:left="366" w:hanging="366"/>
        <w:spacing w:after="0"/>
        <w:tabs>
          <w:tab w:leader="none" w:pos="366" w:val="left"/>
        </w:tabs>
        <w:numPr>
          <w:ilvl w:val="0"/>
          <w:numId w:val="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market value is based on the closing price of our common stock as of December 31, 2023 of $0.7203 per share.</w:t>
      </w:r>
    </w:p>
    <w:p>
      <w:pPr>
        <w:spacing w:after="0" w:line="66" w:lineRule="exact"/>
        <w:rPr>
          <w:rFonts w:ascii="Times New Roman" w:cs="Times New Roman" w:eastAsia="Times New Roman" w:hAnsi="Times New Roman"/>
          <w:sz w:val="18"/>
          <w:szCs w:val="18"/>
          <w:color w:val="auto"/>
        </w:rPr>
      </w:pPr>
    </w:p>
    <w:p>
      <w:pPr>
        <w:ind w:left="366" w:hanging="366"/>
        <w:spacing w:after="0"/>
        <w:tabs>
          <w:tab w:leader="none" w:pos="366" w:val="left"/>
        </w:tabs>
        <w:numPr>
          <w:ilvl w:val="0"/>
          <w:numId w:val="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remaining unvested RSU award vests on June 16, 2024, subject to continued service with us.</w:t>
      </w:r>
    </w:p>
    <w:p>
      <w:pPr>
        <w:spacing w:after="0" w:line="59" w:lineRule="exact"/>
        <w:rPr>
          <w:rFonts w:ascii="Times New Roman" w:cs="Times New Roman" w:eastAsia="Times New Roman" w:hAnsi="Times New Roman"/>
          <w:sz w:val="18"/>
          <w:szCs w:val="18"/>
          <w:color w:val="auto"/>
        </w:rPr>
      </w:pPr>
    </w:p>
    <w:p>
      <w:pPr>
        <w:ind w:left="366" w:right="60" w:hanging="366"/>
        <w:spacing w:after="0" w:line="300" w:lineRule="auto"/>
        <w:tabs>
          <w:tab w:leader="none" w:pos="366" w:val="left"/>
        </w:tabs>
        <w:numPr>
          <w:ilvl w:val="0"/>
          <w:numId w:val="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remaining unvested RSU award vests in seven equal quarterly installments beginning on February 15, 2024, subject to continued service with us.</w:t>
      </w:r>
    </w:p>
    <w:p>
      <w:pPr>
        <w:ind w:left="366" w:right="60" w:hanging="366"/>
        <w:spacing w:after="0" w:line="300" w:lineRule="auto"/>
        <w:tabs>
          <w:tab w:leader="none" w:pos="366" w:val="left"/>
        </w:tabs>
        <w:numPr>
          <w:ilvl w:val="0"/>
          <w:numId w:val="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remaining unvested RSU award vests in nine equal quarterly installments beginning on February 15, 2024, subject to continued service with us.</w:t>
      </w:r>
    </w:p>
    <w:p>
      <w:pPr>
        <w:ind w:left="366" w:right="40" w:hanging="366"/>
        <w:spacing w:after="0" w:line="296" w:lineRule="auto"/>
        <w:tabs>
          <w:tab w:leader="none" w:pos="366" w:val="left"/>
        </w:tabs>
        <w:numPr>
          <w:ilvl w:val="0"/>
          <w:numId w:val="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remaining unvested RSU award vests in eleven equal quarterly installments beginning on February 15, 2024, subject to continued service with us.</w:t>
      </w:r>
    </w:p>
    <w:p>
      <w:pPr>
        <w:ind w:left="366" w:right="60" w:hanging="366"/>
        <w:spacing w:after="0" w:line="300" w:lineRule="auto"/>
        <w:tabs>
          <w:tab w:leader="none" w:pos="366" w:val="left"/>
        </w:tabs>
        <w:numPr>
          <w:ilvl w:val="0"/>
          <w:numId w:val="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remaining unvested RSU award vests in three equal quarterly installments beginning on February 15, 2024, subject to continued service with us.</w:t>
      </w:r>
    </w:p>
    <w:p>
      <w:pPr>
        <w:ind w:left="366" w:right="40" w:hanging="366"/>
        <w:spacing w:after="0" w:line="300" w:lineRule="auto"/>
        <w:tabs>
          <w:tab w:leader="none" w:pos="366" w:val="left"/>
        </w:tabs>
        <w:numPr>
          <w:ilvl w:val="0"/>
          <w:numId w:val="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remaining unvested RSU award vests in eleven equal quarterly installments beginning on February 15, 2024, subject to continued service with us.</w:t>
      </w:r>
    </w:p>
    <w:p>
      <w:pPr>
        <w:jc w:val="both"/>
        <w:ind w:left="366" w:right="40" w:hanging="366"/>
        <w:spacing w:after="0" w:line="294" w:lineRule="auto"/>
        <w:tabs>
          <w:tab w:leader="none" w:pos="366" w:val="left"/>
        </w:tabs>
        <w:numPr>
          <w:ilvl w:val="0"/>
          <w:numId w:val="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PRSU award vests on January 1, 2024 in accordance with the performance-based vesting conditions described above under “Equity-Based Incentive Awards.” The number of shares subject to each named executive officer’s PRSU award assumes threshold achievement, with the Adjusted EBITDA Margin Percentage deemed to equal 100% and Revenue CAGR Percentage deemed to equal 0%.</w:t>
      </w:r>
    </w:p>
    <w:p>
      <w:pPr>
        <w:spacing w:after="0" w:line="2" w:lineRule="exact"/>
        <w:rPr>
          <w:rFonts w:ascii="Times New Roman" w:cs="Times New Roman" w:eastAsia="Times New Roman" w:hAnsi="Times New Roman"/>
          <w:sz w:val="18"/>
          <w:szCs w:val="18"/>
          <w:color w:val="auto"/>
        </w:rPr>
      </w:pPr>
    </w:p>
    <w:p>
      <w:pPr>
        <w:ind w:left="366" w:right="60" w:hanging="366"/>
        <w:spacing w:after="0" w:line="300" w:lineRule="auto"/>
        <w:tabs>
          <w:tab w:leader="none" w:pos="366" w:val="left"/>
        </w:tabs>
        <w:numPr>
          <w:ilvl w:val="0"/>
          <w:numId w:val="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remaining unvested Class P Unit award vests in four quarterly installments beginning on January 12, 2024, subject to continued service with us.</w:t>
      </w:r>
    </w:p>
    <w:p>
      <w:pPr>
        <w:ind w:left="366" w:right="60" w:hanging="366"/>
        <w:spacing w:after="0" w:line="322" w:lineRule="auto"/>
        <w:tabs>
          <w:tab w:leader="none" w:pos="366" w:val="left"/>
        </w:tabs>
        <w:numPr>
          <w:ilvl w:val="0"/>
          <w:numId w:val="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remaining unvested Class P Unit award vests in four quarterly installments beginning on March 8, 2024, subject to continued service with us.</w:t>
      </w:r>
    </w:p>
    <w:p>
      <w:pPr>
        <w:spacing w:after="0" w:line="60" w:lineRule="exact"/>
        <w:rPr>
          <w:sz w:val="20"/>
          <w:szCs w:val="20"/>
          <w:color w:val="auto"/>
        </w:rPr>
      </w:pPr>
    </w:p>
    <w:p>
      <w:pPr>
        <w:ind w:left="6"/>
        <w:spacing w:after="0"/>
        <w:rPr>
          <w:sz w:val="20"/>
          <w:szCs w:val="20"/>
          <w:color w:val="auto"/>
        </w:rPr>
      </w:pPr>
      <w:r>
        <w:rPr>
          <w:rFonts w:ascii="Times New Roman" w:cs="Times New Roman" w:eastAsia="Times New Roman" w:hAnsi="Times New Roman"/>
          <w:sz w:val="20"/>
          <w:szCs w:val="20"/>
          <w:b w:val="1"/>
          <w:bCs w:val="1"/>
          <w:color w:val="auto"/>
        </w:rPr>
        <w:t>Narrative to Summary Compensation Table</w:t>
      </w:r>
    </w:p>
    <w:p>
      <w:pPr>
        <w:spacing w:after="0" w:line="168" w:lineRule="exact"/>
        <w:rPr>
          <w:sz w:val="20"/>
          <w:szCs w:val="20"/>
          <w:color w:val="auto"/>
        </w:rPr>
      </w:pPr>
    </w:p>
    <w:p>
      <w:pPr>
        <w:jc w:val="both"/>
        <w:ind w:left="6" w:right="60"/>
        <w:spacing w:after="0" w:line="306" w:lineRule="auto"/>
        <w:rPr>
          <w:sz w:val="20"/>
          <w:szCs w:val="20"/>
          <w:color w:val="auto"/>
        </w:rPr>
      </w:pPr>
      <w:r>
        <w:rPr>
          <w:rFonts w:ascii="Times New Roman" w:cs="Times New Roman" w:eastAsia="Times New Roman" w:hAnsi="Times New Roman"/>
          <w:sz w:val="20"/>
          <w:szCs w:val="20"/>
          <w:color w:val="auto"/>
        </w:rPr>
        <w:t xml:space="preserve">For 2023, the compensation programs for our Named Executive Officers consisted of base salary, cash bonuses and equity-based incentive awards. Detailed information about these compensation programs can be found above in the section </w:t>
      </w:r>
      <w:r>
        <w:rPr>
          <w:rFonts w:ascii="Times New Roman" w:cs="Times New Roman" w:eastAsia="Times New Roman" w:hAnsi="Times New Roman"/>
          <w:sz w:val="20"/>
          <w:szCs w:val="20"/>
          <w:i w:val="1"/>
          <w:iCs w:val="1"/>
          <w:color w:val="auto"/>
        </w:rPr>
        <w:t>Executive</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i w:val="1"/>
          <w:iCs w:val="1"/>
          <w:color w:val="auto"/>
        </w:rPr>
        <w:t>Compensation – Compensation Elements</w:t>
      </w:r>
      <w:r>
        <w:rPr>
          <w:rFonts w:ascii="Times New Roman" w:cs="Times New Roman" w:eastAsia="Times New Roman" w:hAnsi="Times New Roman"/>
          <w:sz w:val="20"/>
          <w:szCs w:val="20"/>
          <w:color w:val="auto"/>
        </w:rPr>
        <w:t>.</w:t>
      </w:r>
    </w:p>
    <w:p>
      <w:pPr>
        <w:spacing w:after="0" w:line="61" w:lineRule="exact"/>
        <w:rPr>
          <w:sz w:val="20"/>
          <w:szCs w:val="20"/>
          <w:color w:val="auto"/>
        </w:rPr>
      </w:pPr>
    </w:p>
    <w:p>
      <w:pPr>
        <w:ind w:left="6"/>
        <w:spacing w:after="0"/>
        <w:rPr>
          <w:sz w:val="20"/>
          <w:szCs w:val="20"/>
          <w:color w:val="auto"/>
        </w:rPr>
      </w:pPr>
      <w:r>
        <w:rPr>
          <w:rFonts w:ascii="Times New Roman" w:cs="Times New Roman" w:eastAsia="Times New Roman" w:hAnsi="Times New Roman"/>
          <w:sz w:val="20"/>
          <w:szCs w:val="20"/>
          <w:b w:val="1"/>
          <w:bCs w:val="1"/>
          <w:color w:val="auto"/>
        </w:rPr>
        <w:t>Executive Employment Arrangements</w:t>
      </w:r>
    </w:p>
    <w:p>
      <w:pPr>
        <w:spacing w:after="0" w:line="168" w:lineRule="exact"/>
        <w:rPr>
          <w:sz w:val="20"/>
          <w:szCs w:val="20"/>
          <w:color w:val="auto"/>
        </w:rPr>
      </w:pPr>
    </w:p>
    <w:p>
      <w:pPr>
        <w:jc w:val="both"/>
        <w:ind w:left="6" w:right="60"/>
        <w:spacing w:after="0" w:line="334" w:lineRule="auto"/>
        <w:rPr>
          <w:sz w:val="20"/>
          <w:szCs w:val="20"/>
          <w:color w:val="auto"/>
        </w:rPr>
      </w:pPr>
      <w:r>
        <w:rPr>
          <w:rFonts w:ascii="Times New Roman" w:cs="Times New Roman" w:eastAsia="Times New Roman" w:hAnsi="Times New Roman"/>
          <w:sz w:val="20"/>
          <w:szCs w:val="20"/>
          <w:color w:val="auto"/>
        </w:rPr>
        <w:t>Each of our Named Executive Officers, have entered into an offer letter with Ghost Management Group, LLC, which provides for employment on an at-will basis.</w:t>
      </w:r>
    </w:p>
    <w:p>
      <w:pPr>
        <w:spacing w:after="0" w:line="41" w:lineRule="exact"/>
        <w:rPr>
          <w:sz w:val="20"/>
          <w:szCs w:val="20"/>
          <w:color w:val="auto"/>
        </w:rPr>
      </w:pPr>
    </w:p>
    <w:p>
      <w:pPr>
        <w:ind w:left="6"/>
        <w:spacing w:after="0"/>
        <w:rPr>
          <w:sz w:val="20"/>
          <w:szCs w:val="20"/>
          <w:color w:val="auto"/>
        </w:rPr>
      </w:pPr>
      <w:r>
        <w:rPr>
          <w:rFonts w:ascii="Times New Roman" w:cs="Times New Roman" w:eastAsia="Times New Roman" w:hAnsi="Times New Roman"/>
          <w:sz w:val="20"/>
          <w:szCs w:val="20"/>
          <w:i w:val="1"/>
          <w:iCs w:val="1"/>
          <w:color w:val="auto"/>
        </w:rPr>
        <w:t>Douglas Francis</w:t>
      </w:r>
    </w:p>
    <w:p>
      <w:pPr>
        <w:spacing w:after="0" w:line="162" w:lineRule="exact"/>
        <w:rPr>
          <w:sz w:val="20"/>
          <w:szCs w:val="20"/>
          <w:color w:val="auto"/>
        </w:rPr>
      </w:pPr>
    </w:p>
    <w:p>
      <w:pPr>
        <w:jc w:val="both"/>
        <w:ind w:left="6" w:right="60"/>
        <w:spacing w:after="0" w:line="301" w:lineRule="auto"/>
        <w:rPr>
          <w:sz w:val="20"/>
          <w:szCs w:val="20"/>
          <w:color w:val="auto"/>
        </w:rPr>
      </w:pPr>
      <w:r>
        <w:rPr>
          <w:rFonts w:ascii="Times New Roman" w:cs="Times New Roman" w:eastAsia="Times New Roman" w:hAnsi="Times New Roman"/>
          <w:sz w:val="20"/>
          <w:szCs w:val="20"/>
          <w:color w:val="auto"/>
        </w:rPr>
        <w:t>Mr. Francis entered into an offer of continued employment with Ghost Management Group, LLC, dated August 15, 2023, reflecting his continued service as our Executive Chair. Pursuant to the terms of the offer letter, Mr. Francis’ annual base salary is $1,020,000, and he received a signing bonus of $700,000. Mr. Francis also is eligible to participate in the employee benefit plans generally available to our employees and maintained by us.</w:t>
      </w:r>
    </w:p>
    <w:p>
      <w:pPr>
        <w:spacing w:after="0" w:line="74" w:lineRule="exact"/>
        <w:rPr>
          <w:sz w:val="20"/>
          <w:szCs w:val="20"/>
          <w:color w:val="auto"/>
        </w:rPr>
      </w:pPr>
    </w:p>
    <w:p>
      <w:pPr>
        <w:ind w:left="6"/>
        <w:spacing w:after="0"/>
        <w:rPr>
          <w:sz w:val="20"/>
          <w:szCs w:val="20"/>
          <w:color w:val="auto"/>
        </w:rPr>
      </w:pPr>
      <w:r>
        <w:rPr>
          <w:rFonts w:ascii="Times New Roman" w:cs="Times New Roman" w:eastAsia="Times New Roman" w:hAnsi="Times New Roman"/>
          <w:sz w:val="20"/>
          <w:szCs w:val="20"/>
          <w:i w:val="1"/>
          <w:iCs w:val="1"/>
          <w:color w:val="auto"/>
        </w:rPr>
        <w:t>Duncan Grazier</w:t>
      </w:r>
    </w:p>
    <w:p>
      <w:pPr>
        <w:spacing w:after="0" w:line="162" w:lineRule="exact"/>
        <w:rPr>
          <w:sz w:val="20"/>
          <w:szCs w:val="20"/>
          <w:color w:val="auto"/>
        </w:rPr>
      </w:pPr>
    </w:p>
    <w:p>
      <w:pPr>
        <w:jc w:val="both"/>
        <w:ind w:left="6" w:right="40"/>
        <w:spacing w:after="0" w:line="295" w:lineRule="auto"/>
        <w:rPr>
          <w:sz w:val="20"/>
          <w:szCs w:val="20"/>
          <w:color w:val="auto"/>
        </w:rPr>
      </w:pPr>
      <w:r>
        <w:rPr>
          <w:rFonts w:ascii="Times New Roman" w:cs="Times New Roman" w:eastAsia="Times New Roman" w:hAnsi="Times New Roman"/>
          <w:sz w:val="20"/>
          <w:szCs w:val="20"/>
          <w:color w:val="auto"/>
        </w:rPr>
        <w:t>Mr. Grazier previously entered into an offer letter with Ghost Management Group, LLC, dated August 20, 2019. Pursuant to the terms of the offer letter, Mr. Grazier’s annual base salary was $250,000 per year, which increased to $425,000 following his promotion to Chief Technology Officer. Mr. Grazier also was advanced a retention bonus in the amount of $200,000 pursuant to the retention bonus agreement entered into on October 2, 2023, as further described in the Form 8-K filed on October 6, 2023. Mr. Grazier also is eligible to participate in the employee benefit plans generally available to our employees and maintained by us.</w:t>
      </w:r>
    </w:p>
    <w:p>
      <w:pPr>
        <w:spacing w:after="0" w:line="200" w:lineRule="exact"/>
        <w:rPr>
          <w:sz w:val="20"/>
          <w:szCs w:val="20"/>
          <w:color w:val="auto"/>
        </w:rPr>
      </w:pPr>
    </w:p>
    <w:p>
      <w:pPr>
        <w:spacing w:after="0" w:line="200" w:lineRule="exact"/>
        <w:rPr>
          <w:sz w:val="20"/>
          <w:szCs w:val="20"/>
          <w:color w:val="auto"/>
        </w:rPr>
      </w:pPr>
    </w:p>
    <w:p>
      <w:pPr>
        <w:spacing w:after="0" w:line="252" w:lineRule="exact"/>
        <w:rPr>
          <w:sz w:val="20"/>
          <w:szCs w:val="20"/>
          <w:color w:val="auto"/>
        </w:rPr>
      </w:pPr>
    </w:p>
    <w:p>
      <w:pPr>
        <w:jc w:val="center"/>
        <w:ind w:right="54"/>
        <w:spacing w:after="0"/>
        <w:rPr>
          <w:sz w:val="20"/>
          <w:szCs w:val="20"/>
          <w:color w:val="auto"/>
        </w:rPr>
      </w:pPr>
      <w:r>
        <w:rPr>
          <w:rFonts w:ascii="Times New Roman" w:cs="Times New Roman" w:eastAsia="Times New Roman" w:hAnsi="Times New Roman"/>
          <w:sz w:val="20"/>
          <w:szCs w:val="20"/>
          <w:color w:val="auto"/>
        </w:rPr>
        <w:t>95</w:t>
      </w:r>
    </w:p>
    <w:p>
      <w:pPr>
        <w:sectPr>
          <w:pgSz w:w="12240" w:h="15840" w:orient="portrait"/>
          <w:cols w:equalWidth="0" w:num="1">
            <w:col w:w="10306"/>
          </w:cols>
          <w:pgMar w:left="994" w:top="887" w:right="940" w:bottom="222" w:gutter="0" w:footer="0" w:header="0"/>
        </w:sectPr>
      </w:pPr>
    </w:p>
    <w:bookmarkStart w:id="99" w:name="page100"/>
    <w:bookmarkEnd w:id="99"/>
    <w:p>
      <w:pPr>
        <w:ind w:left="7"/>
        <w:spacing w:after="0"/>
        <w:rPr>
          <w:sz w:val="20"/>
          <w:szCs w:val="20"/>
          <w:color w:val="auto"/>
        </w:rPr>
      </w:pPr>
      <w:r>
        <w:rPr>
          <w:rFonts w:ascii="Times New Roman" w:cs="Times New Roman" w:eastAsia="Times New Roman" w:hAnsi="Times New Roman"/>
          <w:sz w:val="20"/>
          <w:szCs w:val="20"/>
          <w:i w:val="1"/>
          <w:iCs w:val="1"/>
          <w:color w:val="auto"/>
        </w:rPr>
        <w:t>Brian Camire</w:t>
      </w:r>
    </w:p>
    <w:p>
      <w:pPr>
        <w:spacing w:after="0" w:line="162" w:lineRule="exact"/>
        <w:rPr>
          <w:sz w:val="20"/>
          <w:szCs w:val="20"/>
          <w:color w:val="auto"/>
        </w:rPr>
      </w:pPr>
    </w:p>
    <w:p>
      <w:pPr>
        <w:jc w:val="both"/>
        <w:ind w:left="7" w:right="20"/>
        <w:spacing w:after="0" w:line="309" w:lineRule="auto"/>
        <w:rPr>
          <w:sz w:val="20"/>
          <w:szCs w:val="20"/>
          <w:color w:val="auto"/>
        </w:rPr>
      </w:pPr>
      <w:r>
        <w:rPr>
          <w:rFonts w:ascii="Times New Roman" w:cs="Times New Roman" w:eastAsia="Times New Roman" w:hAnsi="Times New Roman"/>
          <w:sz w:val="20"/>
          <w:szCs w:val="20"/>
          <w:color w:val="auto"/>
        </w:rPr>
        <w:t>Mr. Camire previously entered into an offer letter with Ghost Management Group, LLC, dated April 4, 2019. Pursuant to the terms of the offer letter, Mr. Camire’s annual base salary was $350,000, which increased to $410,000 per year. Mr. Camire also is eligible to participate in the employee benefit plans generally available to our employees and maintained by us.</w:t>
      </w:r>
    </w:p>
    <w:p>
      <w:pPr>
        <w:spacing w:after="0" w:line="60" w:lineRule="exact"/>
        <w:rPr>
          <w:sz w:val="20"/>
          <w:szCs w:val="20"/>
          <w:color w:val="auto"/>
        </w:rPr>
      </w:pPr>
    </w:p>
    <w:p>
      <w:pPr>
        <w:ind w:left="7"/>
        <w:spacing w:after="0"/>
        <w:rPr>
          <w:sz w:val="20"/>
          <w:szCs w:val="20"/>
          <w:color w:val="auto"/>
        </w:rPr>
      </w:pPr>
      <w:r>
        <w:rPr>
          <w:rFonts w:ascii="Times New Roman" w:cs="Times New Roman" w:eastAsia="Times New Roman" w:hAnsi="Times New Roman"/>
          <w:sz w:val="20"/>
          <w:szCs w:val="20"/>
          <w:b w:val="1"/>
          <w:bCs w:val="1"/>
          <w:color w:val="auto"/>
        </w:rPr>
        <w:t>Potential Payments Upon Termination or Change in Control</w:t>
      </w:r>
    </w:p>
    <w:p>
      <w:pPr>
        <w:spacing w:after="0" w:line="168" w:lineRule="exact"/>
        <w:rPr>
          <w:sz w:val="20"/>
          <w:szCs w:val="20"/>
          <w:color w:val="auto"/>
        </w:rPr>
      </w:pPr>
    </w:p>
    <w:p>
      <w:pPr>
        <w:jc w:val="both"/>
        <w:ind w:left="7" w:right="20"/>
        <w:spacing w:after="0" w:line="326" w:lineRule="auto"/>
        <w:rPr>
          <w:sz w:val="20"/>
          <w:szCs w:val="20"/>
          <w:color w:val="auto"/>
        </w:rPr>
      </w:pPr>
      <w:r>
        <w:rPr>
          <w:rFonts w:ascii="Times New Roman" w:cs="Times New Roman" w:eastAsia="Times New Roman" w:hAnsi="Times New Roman"/>
          <w:sz w:val="20"/>
          <w:szCs w:val="20"/>
          <w:color w:val="auto"/>
        </w:rPr>
        <w:t>Each of Mr. Grazier and Mr. Camire is eligible to participate in the Severance Plan, which provides certain benefits. Mr. Francis is not a participant in the Severance Plan and did not have any severance benefits as of December 31, 2023.</w:t>
      </w:r>
    </w:p>
    <w:p>
      <w:pPr>
        <w:spacing w:after="0" w:line="45" w:lineRule="exact"/>
        <w:rPr>
          <w:sz w:val="20"/>
          <w:szCs w:val="20"/>
          <w:color w:val="auto"/>
        </w:rPr>
      </w:pPr>
    </w:p>
    <w:p>
      <w:pPr>
        <w:jc w:val="both"/>
        <w:ind w:left="7"/>
        <w:spacing w:after="0" w:line="303" w:lineRule="auto"/>
        <w:rPr>
          <w:sz w:val="20"/>
          <w:szCs w:val="20"/>
          <w:color w:val="auto"/>
        </w:rPr>
      </w:pPr>
      <w:r>
        <w:rPr>
          <w:rFonts w:ascii="Times New Roman" w:cs="Times New Roman" w:eastAsia="Times New Roman" w:hAnsi="Times New Roman"/>
          <w:sz w:val="19"/>
          <w:szCs w:val="19"/>
          <w:color w:val="auto"/>
        </w:rPr>
        <w:t>The Severance Plan provides for severance and change in control benefits to our Named Executive Officers upon a “change in control termination” or a “regular termination” (each, as described below). Upon a change in control termination, each of Mr. Grazier and Mr. Camire (our current Named Executive Officers eligible to participate in the Severance Plan) is entitled to (i) a lump sum payment equal to 12 months of his base salary, (ii) a lump sum payment equal to 100% of the Named Executive Officer’s annual target cash bonus, (iii) full vesting acceleration of all outstanding equity awards (with any performance-based vesting awards deemed achieved at target level), and (iv) payment of group health insurance premiums for 12 months. Upon a regular termination, each of Mr. Grazier and Mr. Camire is entitled to (i) continued payment of the Named Executive Officer’s base salary for 9 months, (ii) a lump sum payment equal to 75% of the Named Executive Officer’s annual target cash bonus, and</w:t>
      </w:r>
    </w:p>
    <w:p>
      <w:pPr>
        <w:spacing w:after="0" w:line="4" w:lineRule="exact"/>
        <w:rPr>
          <w:sz w:val="20"/>
          <w:szCs w:val="20"/>
          <w:color w:val="auto"/>
        </w:rPr>
      </w:pPr>
    </w:p>
    <w:p>
      <w:pPr>
        <w:ind w:left="7" w:right="20" w:hanging="7"/>
        <w:spacing w:after="0" w:line="326" w:lineRule="auto"/>
        <w:tabs>
          <w:tab w:leader="none" w:pos="360" w:val="left"/>
        </w:tabs>
        <w:numPr>
          <w:ilvl w:val="0"/>
          <w:numId w:val="5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payment of group health insurance premiums for 9 months. All benefits under the Severance Plan are subject to the Named Executive Officer’s execution of an effective release of claims against us.</w:t>
      </w:r>
    </w:p>
    <w:p>
      <w:pPr>
        <w:spacing w:after="0" w:line="45" w:lineRule="exact"/>
        <w:rPr>
          <w:sz w:val="20"/>
          <w:szCs w:val="20"/>
          <w:color w:val="auto"/>
        </w:rPr>
      </w:pPr>
    </w:p>
    <w:p>
      <w:pPr>
        <w:jc w:val="both"/>
        <w:ind w:left="7"/>
        <w:spacing w:after="0" w:line="294" w:lineRule="auto"/>
        <w:rPr>
          <w:sz w:val="20"/>
          <w:szCs w:val="20"/>
          <w:color w:val="auto"/>
        </w:rPr>
      </w:pPr>
      <w:r>
        <w:rPr>
          <w:rFonts w:ascii="Times New Roman" w:cs="Times New Roman" w:eastAsia="Times New Roman" w:hAnsi="Times New Roman"/>
          <w:sz w:val="20"/>
          <w:szCs w:val="20"/>
          <w:color w:val="auto"/>
        </w:rPr>
        <w:t>For purposes of the Severance Plan, a “change in control termination” is a termination by us without “cause” (and not as a result of death or disability) or a resignation by the Named Executive Officer for “good reason” (each, as defined in the Severance Plan), that occurs during the period of time beginning three months before the closing of, and ending 12 months following the closing of, a “change in control” (as defined in our 2021 Equity Plan), which we refer to as the “change in control period.” A “regular termination” is a termination by us without cause that does not occur during a change in control period. No benefits are payable pursuant to our Severance Plan in the event of a Named Executive Officer’s retirement or voluntary resignation (other than for Good Reason, as described above).</w:t>
      </w:r>
    </w:p>
    <w:p>
      <w:pPr>
        <w:spacing w:after="0" w:line="80" w:lineRule="exact"/>
        <w:rPr>
          <w:sz w:val="20"/>
          <w:szCs w:val="20"/>
          <w:color w:val="auto"/>
        </w:rPr>
      </w:pPr>
    </w:p>
    <w:p>
      <w:pPr>
        <w:jc w:val="both"/>
        <w:ind w:left="7" w:right="20"/>
        <w:spacing w:after="0" w:line="309" w:lineRule="auto"/>
        <w:rPr>
          <w:sz w:val="20"/>
          <w:szCs w:val="20"/>
          <w:color w:val="auto"/>
        </w:rPr>
      </w:pPr>
      <w:r>
        <w:rPr>
          <w:rFonts w:ascii="Times New Roman" w:cs="Times New Roman" w:eastAsia="Times New Roman" w:hAnsi="Times New Roman"/>
          <w:sz w:val="20"/>
          <w:szCs w:val="20"/>
          <w:color w:val="auto"/>
        </w:rPr>
        <w:t>The following table quantifies the amount of cash payments, continued health benefits, and the value of any equity acceleration our eligible Named Executive Officers would have received in connection with certain terminations of employment as if such termination of employment had occurred on December 31, 2023.</w:t>
      </w:r>
    </w:p>
    <w:p>
      <w:pPr>
        <w:spacing w:after="0" w:line="54" w:lineRule="exact"/>
        <w:rPr>
          <w:sz w:val="20"/>
          <w:szCs w:val="20"/>
          <w:color w:val="auto"/>
        </w:rPr>
      </w:pPr>
    </w:p>
    <w:tbl>
      <w:tblPr>
        <w:tblLayout w:type="fixed"/>
        <w:tblInd w:w="7" w:type="dxa"/>
        <w:tblCellMar>
          <w:top w:w="0" w:type="dxa"/>
          <w:left w:w="0" w:type="dxa"/>
          <w:bottom w:w="0" w:type="dxa"/>
          <w:right w:w="0" w:type="dxa"/>
        </w:tblCellMar>
      </w:tblPr>
      <w:tr>
        <w:trPr>
          <w:trHeight w:val="230"/>
        </w:trPr>
        <w:tc>
          <w:tcPr>
            <w:tcW w:w="1520" w:type="dxa"/>
            <w:vAlign w:val="bottom"/>
            <w:gridSpan w:val="2"/>
            <w:vMerge w:val="restart"/>
          </w:tcPr>
          <w:p>
            <w:pPr>
              <w:ind w:left="40"/>
              <w:spacing w:after="0"/>
              <w:rPr>
                <w:sz w:val="20"/>
                <w:szCs w:val="20"/>
                <w:color w:val="auto"/>
              </w:rPr>
            </w:pPr>
            <w:r>
              <w:rPr>
                <w:rFonts w:ascii="Times New Roman" w:cs="Times New Roman" w:eastAsia="Times New Roman" w:hAnsi="Times New Roman"/>
                <w:sz w:val="20"/>
                <w:szCs w:val="20"/>
                <w:b w:val="1"/>
                <w:bCs w:val="1"/>
                <w:color w:val="auto"/>
              </w:rPr>
              <w:t>Name</w:t>
            </w:r>
            <w:r>
              <w:rPr>
                <w:rFonts w:ascii="Times New Roman" w:cs="Times New Roman" w:eastAsia="Times New Roman" w:hAnsi="Times New Roman"/>
                <w:sz w:val="25"/>
                <w:szCs w:val="25"/>
                <w:b w:val="1"/>
                <w:bCs w:val="1"/>
                <w:color w:val="auto"/>
                <w:vertAlign w:val="superscript"/>
              </w:rPr>
              <w:t>(1)</w:t>
            </w:r>
          </w:p>
        </w:tc>
        <w:tc>
          <w:tcPr>
            <w:tcW w:w="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3120" w:type="dxa"/>
            <w:vAlign w:val="bottom"/>
            <w:gridSpan w:val="2"/>
            <w:vMerge w:val="restart"/>
          </w:tcPr>
          <w:p>
            <w:pPr>
              <w:spacing w:after="0"/>
              <w:rPr>
                <w:sz w:val="20"/>
                <w:szCs w:val="20"/>
                <w:color w:val="auto"/>
              </w:rPr>
            </w:pPr>
            <w:r>
              <w:rPr>
                <w:rFonts w:ascii="Times New Roman" w:cs="Times New Roman" w:eastAsia="Times New Roman" w:hAnsi="Times New Roman"/>
                <w:sz w:val="20"/>
                <w:szCs w:val="20"/>
                <w:b w:val="1"/>
                <w:bCs w:val="1"/>
                <w:color w:val="auto"/>
              </w:rPr>
              <w:t>Triggering Event</w:t>
            </w:r>
          </w:p>
        </w:tc>
        <w:tc>
          <w:tcPr>
            <w:tcW w:w="60" w:type="dxa"/>
            <w:vAlign w:val="bottom"/>
          </w:tcPr>
          <w:p>
            <w:pPr>
              <w:spacing w:after="0"/>
              <w:rPr>
                <w:sz w:val="20"/>
                <w:szCs w:val="20"/>
                <w:color w:val="auto"/>
              </w:rPr>
            </w:pPr>
          </w:p>
        </w:tc>
        <w:tc>
          <w:tcPr>
            <w:tcW w:w="940" w:type="dxa"/>
            <w:vAlign w:val="bottom"/>
            <w:gridSpan w:val="2"/>
            <w:vMerge w:val="restart"/>
          </w:tcPr>
          <w:p>
            <w:pPr>
              <w:ind w:left="60"/>
              <w:spacing w:after="0"/>
              <w:rPr>
                <w:sz w:val="20"/>
                <w:szCs w:val="20"/>
                <w:color w:val="auto"/>
              </w:rPr>
            </w:pPr>
            <w:r>
              <w:rPr>
                <w:rFonts w:ascii="Times New Roman" w:cs="Times New Roman" w:eastAsia="Times New Roman" w:hAnsi="Times New Roman"/>
                <w:sz w:val="20"/>
                <w:szCs w:val="20"/>
                <w:b w:val="1"/>
                <w:bCs w:val="1"/>
                <w:color w:val="auto"/>
              </w:rPr>
              <w:t>Salary ($)</w:t>
            </w:r>
          </w:p>
        </w:tc>
        <w:tc>
          <w:tcPr>
            <w:tcW w:w="900" w:type="dxa"/>
            <w:vAlign w:val="bottom"/>
            <w:gridSpan w:val="2"/>
            <w:vMerge w:val="restart"/>
          </w:tcPr>
          <w:p>
            <w:pPr>
              <w:ind w:left="140"/>
              <w:spacing w:after="0"/>
              <w:rPr>
                <w:sz w:val="20"/>
                <w:szCs w:val="20"/>
                <w:color w:val="auto"/>
              </w:rPr>
            </w:pPr>
            <w:r>
              <w:rPr>
                <w:rFonts w:ascii="Times New Roman" w:cs="Times New Roman" w:eastAsia="Times New Roman" w:hAnsi="Times New Roman"/>
                <w:sz w:val="20"/>
                <w:szCs w:val="20"/>
                <w:b w:val="1"/>
                <w:bCs w:val="1"/>
                <w:color w:val="auto"/>
              </w:rPr>
              <w:t>Bonus</w:t>
            </w:r>
          </w:p>
        </w:tc>
        <w:tc>
          <w:tcPr>
            <w:tcW w:w="1180" w:type="dxa"/>
            <w:vAlign w:val="bottom"/>
            <w:gridSpan w:val="2"/>
            <w:vMerge w:val="restart"/>
          </w:tcPr>
          <w:p>
            <w:pPr>
              <w:ind w:left="120"/>
              <w:spacing w:after="0"/>
              <w:rPr>
                <w:sz w:val="20"/>
                <w:szCs w:val="20"/>
                <w:color w:val="auto"/>
              </w:rPr>
            </w:pPr>
            <w:r>
              <w:rPr>
                <w:rFonts w:ascii="Times New Roman" w:cs="Times New Roman" w:eastAsia="Times New Roman" w:hAnsi="Times New Roman"/>
                <w:sz w:val="20"/>
                <w:szCs w:val="20"/>
                <w:b w:val="1"/>
                <w:bCs w:val="1"/>
                <w:color w:val="auto"/>
              </w:rPr>
              <w:t>Continued</w:t>
            </w:r>
          </w:p>
        </w:tc>
        <w:tc>
          <w:tcPr>
            <w:tcW w:w="1380" w:type="dxa"/>
            <w:vAlign w:val="bottom"/>
            <w:gridSpan w:val="2"/>
          </w:tcPr>
          <w:p>
            <w:pPr>
              <w:ind w:left="120"/>
              <w:spacing w:after="0"/>
              <w:rPr>
                <w:sz w:val="20"/>
                <w:szCs w:val="20"/>
                <w:color w:val="auto"/>
              </w:rPr>
            </w:pPr>
            <w:r>
              <w:rPr>
                <w:rFonts w:ascii="Times New Roman" w:cs="Times New Roman" w:eastAsia="Times New Roman" w:hAnsi="Times New Roman"/>
                <w:sz w:val="20"/>
                <w:szCs w:val="20"/>
                <w:b w:val="1"/>
                <w:bCs w:val="1"/>
                <w:color w:val="auto"/>
              </w:rPr>
              <w:t>Equity</w:t>
            </w:r>
          </w:p>
        </w:tc>
        <w:tc>
          <w:tcPr>
            <w:tcW w:w="1020" w:type="dxa"/>
            <w:vAlign w:val="bottom"/>
            <w:gridSpan w:val="2"/>
            <w:vMerge w:val="restart"/>
          </w:tcPr>
          <w:p>
            <w:pPr>
              <w:ind w:left="120"/>
              <w:spacing w:after="0"/>
              <w:rPr>
                <w:sz w:val="20"/>
                <w:szCs w:val="20"/>
                <w:color w:val="auto"/>
              </w:rPr>
            </w:pPr>
            <w:r>
              <w:rPr>
                <w:rFonts w:ascii="Times New Roman" w:cs="Times New Roman" w:eastAsia="Times New Roman" w:hAnsi="Times New Roman"/>
                <w:sz w:val="20"/>
                <w:szCs w:val="20"/>
                <w:b w:val="1"/>
                <w:bCs w:val="1"/>
                <w:color w:val="auto"/>
              </w:rPr>
              <w:t>Total ($)</w:t>
            </w:r>
          </w:p>
        </w:tc>
        <w:tc>
          <w:tcPr>
            <w:tcW w:w="0" w:type="dxa"/>
            <w:vAlign w:val="bottom"/>
          </w:tcPr>
          <w:p>
            <w:pPr>
              <w:spacing w:after="0"/>
              <w:rPr>
                <w:sz w:val="1"/>
                <w:szCs w:val="1"/>
                <w:color w:val="auto"/>
              </w:rPr>
            </w:pPr>
          </w:p>
        </w:tc>
      </w:tr>
      <w:tr>
        <w:trPr>
          <w:trHeight w:val="212"/>
        </w:trPr>
        <w:tc>
          <w:tcPr>
            <w:tcW w:w="1520" w:type="dxa"/>
            <w:vAlign w:val="bottom"/>
            <w:gridSpan w:val="2"/>
            <w:vMerge w:val="continue"/>
          </w:tcPr>
          <w:p>
            <w:pPr>
              <w:spacing w:after="0"/>
              <w:rPr>
                <w:sz w:val="18"/>
                <w:szCs w:val="18"/>
                <w:color w:val="auto"/>
              </w:rPr>
            </w:pPr>
          </w:p>
        </w:tc>
        <w:tc>
          <w:tcPr>
            <w:tcW w:w="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3120" w:type="dxa"/>
            <w:vAlign w:val="bottom"/>
            <w:gridSpan w:val="2"/>
            <w:vMerge w:val="continue"/>
          </w:tcPr>
          <w:p>
            <w:pPr>
              <w:spacing w:after="0"/>
              <w:rPr>
                <w:sz w:val="18"/>
                <w:szCs w:val="18"/>
                <w:color w:val="auto"/>
              </w:rPr>
            </w:pPr>
          </w:p>
        </w:tc>
        <w:tc>
          <w:tcPr>
            <w:tcW w:w="60" w:type="dxa"/>
            <w:vAlign w:val="bottom"/>
          </w:tcPr>
          <w:p>
            <w:pPr>
              <w:spacing w:after="0"/>
              <w:rPr>
                <w:sz w:val="18"/>
                <w:szCs w:val="18"/>
                <w:color w:val="auto"/>
              </w:rPr>
            </w:pPr>
          </w:p>
        </w:tc>
        <w:tc>
          <w:tcPr>
            <w:tcW w:w="940" w:type="dxa"/>
            <w:vAlign w:val="bottom"/>
            <w:gridSpan w:val="2"/>
            <w:vMerge w:val="continue"/>
          </w:tcPr>
          <w:p>
            <w:pPr>
              <w:spacing w:after="0"/>
              <w:rPr>
                <w:sz w:val="18"/>
                <w:szCs w:val="18"/>
                <w:color w:val="auto"/>
              </w:rPr>
            </w:pPr>
          </w:p>
        </w:tc>
        <w:tc>
          <w:tcPr>
            <w:tcW w:w="900" w:type="dxa"/>
            <w:vAlign w:val="bottom"/>
            <w:gridSpan w:val="2"/>
            <w:vMerge w:val="continue"/>
          </w:tcPr>
          <w:p>
            <w:pPr>
              <w:spacing w:after="0"/>
              <w:rPr>
                <w:sz w:val="18"/>
                <w:szCs w:val="18"/>
                <w:color w:val="auto"/>
              </w:rPr>
            </w:pPr>
          </w:p>
        </w:tc>
        <w:tc>
          <w:tcPr>
            <w:tcW w:w="1180" w:type="dxa"/>
            <w:vAlign w:val="bottom"/>
            <w:gridSpan w:val="2"/>
            <w:vMerge w:val="continue"/>
          </w:tcPr>
          <w:p>
            <w:pPr>
              <w:spacing w:after="0"/>
              <w:rPr>
                <w:sz w:val="18"/>
                <w:szCs w:val="18"/>
                <w:color w:val="auto"/>
              </w:rPr>
            </w:pPr>
          </w:p>
        </w:tc>
        <w:tc>
          <w:tcPr>
            <w:tcW w:w="1380" w:type="dxa"/>
            <w:vAlign w:val="bottom"/>
            <w:gridSpan w:val="2"/>
          </w:tcPr>
          <w:p>
            <w:pPr>
              <w:ind w:left="120"/>
              <w:spacing w:after="0" w:line="211" w:lineRule="exact"/>
              <w:rPr>
                <w:sz w:val="20"/>
                <w:szCs w:val="20"/>
                <w:color w:val="auto"/>
              </w:rPr>
            </w:pPr>
            <w:r>
              <w:rPr>
                <w:rFonts w:ascii="Times New Roman" w:cs="Times New Roman" w:eastAsia="Times New Roman" w:hAnsi="Times New Roman"/>
                <w:sz w:val="20"/>
                <w:szCs w:val="20"/>
                <w:b w:val="1"/>
                <w:bCs w:val="1"/>
                <w:color w:val="auto"/>
              </w:rPr>
              <w:t>Acceleration</w:t>
            </w:r>
          </w:p>
        </w:tc>
        <w:tc>
          <w:tcPr>
            <w:tcW w:w="1020" w:type="dxa"/>
            <w:vAlign w:val="bottom"/>
            <w:gridSpan w:val="2"/>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99"/>
        </w:trPr>
        <w:tc>
          <w:tcPr>
            <w:tcW w:w="40" w:type="dxa"/>
            <w:vAlign w:val="bottom"/>
            <w:tcBorders>
              <w:bottom w:val="single" w:sz="8" w:color="auto"/>
            </w:tcBorders>
          </w:tcPr>
          <w:p>
            <w:pPr>
              <w:spacing w:after="0"/>
              <w:rPr>
                <w:sz w:val="24"/>
                <w:szCs w:val="24"/>
                <w:color w:val="auto"/>
              </w:rPr>
            </w:pPr>
          </w:p>
        </w:tc>
        <w:tc>
          <w:tcPr>
            <w:tcW w:w="148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306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tcPr>
          <w:p>
            <w:pPr>
              <w:spacing w:after="0"/>
              <w:rPr>
                <w:sz w:val="24"/>
                <w:szCs w:val="24"/>
                <w:color w:val="auto"/>
              </w:rPr>
            </w:pPr>
          </w:p>
        </w:tc>
        <w:tc>
          <w:tcPr>
            <w:tcW w:w="900" w:type="dxa"/>
            <w:vAlign w:val="bottom"/>
            <w:tcBorders>
              <w:bottom w:val="single" w:sz="8" w:color="auto"/>
            </w:tcBorders>
            <w:gridSpan w:val="2"/>
          </w:tcPr>
          <w:p>
            <w:pPr>
              <w:ind w:left="140"/>
              <w:spacing w:after="0"/>
              <w:rPr>
                <w:sz w:val="20"/>
                <w:szCs w:val="20"/>
                <w:color w:val="auto"/>
              </w:rPr>
            </w:pPr>
            <w:r>
              <w:rPr>
                <w:rFonts w:ascii="Times New Roman" w:cs="Times New Roman" w:eastAsia="Times New Roman" w:hAnsi="Times New Roman"/>
                <w:sz w:val="20"/>
                <w:szCs w:val="20"/>
                <w:b w:val="1"/>
                <w:bCs w:val="1"/>
                <w:color w:val="auto"/>
              </w:rPr>
              <w:t>($)</w:t>
            </w:r>
          </w:p>
        </w:tc>
        <w:tc>
          <w:tcPr>
            <w:tcW w:w="1180" w:type="dxa"/>
            <w:vAlign w:val="bottom"/>
            <w:tcBorders>
              <w:bottom w:val="single" w:sz="8" w:color="auto"/>
            </w:tcBorders>
            <w:gridSpan w:val="2"/>
          </w:tcPr>
          <w:p>
            <w:pPr>
              <w:ind w:left="120"/>
              <w:spacing w:after="0"/>
              <w:rPr>
                <w:sz w:val="20"/>
                <w:szCs w:val="20"/>
                <w:color w:val="auto"/>
              </w:rPr>
            </w:pPr>
            <w:r>
              <w:rPr>
                <w:rFonts w:ascii="Times New Roman" w:cs="Times New Roman" w:eastAsia="Times New Roman" w:hAnsi="Times New Roman"/>
                <w:sz w:val="20"/>
                <w:szCs w:val="20"/>
                <w:b w:val="1"/>
                <w:bCs w:val="1"/>
                <w:color w:val="auto"/>
              </w:rPr>
              <w:t>Benefits ($)</w:t>
            </w:r>
          </w:p>
        </w:tc>
        <w:tc>
          <w:tcPr>
            <w:tcW w:w="1380" w:type="dxa"/>
            <w:vAlign w:val="bottom"/>
            <w:tcBorders>
              <w:bottom w:val="single" w:sz="8" w:color="auto"/>
            </w:tcBorders>
            <w:gridSpan w:val="2"/>
          </w:tcPr>
          <w:p>
            <w:pPr>
              <w:ind w:left="120"/>
              <w:spacing w:after="0" w:line="274" w:lineRule="exact"/>
              <w:rPr>
                <w:sz w:val="20"/>
                <w:szCs w:val="20"/>
                <w:color w:val="auto"/>
              </w:rPr>
            </w:pPr>
            <w:r>
              <w:rPr>
                <w:rFonts w:ascii="Times New Roman" w:cs="Times New Roman" w:eastAsia="Times New Roman" w:hAnsi="Times New Roman"/>
                <w:sz w:val="31"/>
                <w:szCs w:val="31"/>
                <w:b w:val="1"/>
                <w:bCs w:val="1"/>
                <w:color w:val="auto"/>
                <w:vertAlign w:val="subscript"/>
              </w:rPr>
              <w:t>($)</w:t>
            </w:r>
            <w:r>
              <w:rPr>
                <w:rFonts w:ascii="Times New Roman" w:cs="Times New Roman" w:eastAsia="Times New Roman" w:hAnsi="Times New Roman"/>
                <w:sz w:val="12"/>
                <w:szCs w:val="12"/>
                <w:b w:val="1"/>
                <w:bCs w:val="1"/>
                <w:color w:val="auto"/>
              </w:rPr>
              <w:t>(2)(3)</w:t>
            </w:r>
          </w:p>
        </w:tc>
        <w:tc>
          <w:tcPr>
            <w:tcW w:w="120" w:type="dxa"/>
            <w:vAlign w:val="bottom"/>
            <w:tcBorders>
              <w:bottom w:val="single" w:sz="8" w:color="auto"/>
            </w:tcBorders>
          </w:tcPr>
          <w:p>
            <w:pPr>
              <w:spacing w:after="0"/>
              <w:rPr>
                <w:sz w:val="24"/>
                <w:szCs w:val="24"/>
                <w:color w:val="auto"/>
              </w:rPr>
            </w:pPr>
          </w:p>
        </w:tc>
        <w:tc>
          <w:tcPr>
            <w:tcW w:w="90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37"/>
        </w:trPr>
        <w:tc>
          <w:tcPr>
            <w:tcW w:w="40" w:type="dxa"/>
            <w:vAlign w:val="bottom"/>
            <w:tcBorders>
              <w:top w:val="single" w:sz="8" w:color="DDDDDD"/>
            </w:tcBorders>
            <w:shd w:val="clear" w:color="auto" w:fill="DDDDDD"/>
          </w:tcPr>
          <w:p>
            <w:pPr>
              <w:spacing w:after="0"/>
              <w:rPr>
                <w:sz w:val="20"/>
                <w:szCs w:val="20"/>
                <w:color w:val="auto"/>
              </w:rPr>
            </w:pPr>
          </w:p>
        </w:tc>
        <w:tc>
          <w:tcPr>
            <w:tcW w:w="1480" w:type="dxa"/>
            <w:vAlign w:val="bottom"/>
            <w:tcBorders>
              <w:top w:val="single" w:sz="8" w:color="DDDDDD"/>
            </w:tcBorders>
            <w:shd w:val="clear" w:color="auto" w:fill="DDDDDD"/>
          </w:tcPr>
          <w:p>
            <w:pPr>
              <w:spacing w:after="0"/>
              <w:rPr>
                <w:sz w:val="20"/>
                <w:szCs w:val="20"/>
                <w:color w:val="auto"/>
              </w:rPr>
            </w:pPr>
            <w:r>
              <w:rPr>
                <w:rFonts w:ascii="Times New Roman" w:cs="Times New Roman" w:eastAsia="Times New Roman" w:hAnsi="Times New Roman"/>
                <w:sz w:val="18"/>
                <w:szCs w:val="18"/>
                <w:color w:val="auto"/>
              </w:rPr>
              <w:t>Duncan Grazier</w:t>
            </w:r>
          </w:p>
        </w:tc>
        <w:tc>
          <w:tcPr>
            <w:tcW w:w="60" w:type="dxa"/>
            <w:vAlign w:val="bottom"/>
            <w:tcBorders>
              <w:top w:val="single" w:sz="8" w:color="DDDDDD"/>
            </w:tcBorders>
            <w:shd w:val="clear" w:color="auto" w:fill="DDDDDD"/>
          </w:tcPr>
          <w:p>
            <w:pPr>
              <w:spacing w:after="0"/>
              <w:rPr>
                <w:sz w:val="20"/>
                <w:szCs w:val="20"/>
                <w:color w:val="auto"/>
              </w:rPr>
            </w:pPr>
          </w:p>
        </w:tc>
        <w:tc>
          <w:tcPr>
            <w:tcW w:w="60" w:type="dxa"/>
            <w:vAlign w:val="bottom"/>
            <w:tcBorders>
              <w:top w:val="single" w:sz="8" w:color="DDDDDD"/>
            </w:tcBorders>
            <w:shd w:val="clear" w:color="auto" w:fill="DDDDDD"/>
          </w:tcPr>
          <w:p>
            <w:pPr>
              <w:spacing w:after="0"/>
              <w:rPr>
                <w:sz w:val="20"/>
                <w:szCs w:val="20"/>
                <w:color w:val="auto"/>
              </w:rPr>
            </w:pPr>
          </w:p>
        </w:tc>
        <w:tc>
          <w:tcPr>
            <w:tcW w:w="3060" w:type="dxa"/>
            <w:vAlign w:val="bottom"/>
            <w:tcBorders>
              <w:top w:val="single" w:sz="8" w:color="DDDDDD"/>
            </w:tcBorders>
            <w:shd w:val="clear" w:color="auto" w:fill="DDDDDD"/>
          </w:tcPr>
          <w:p>
            <w:pPr>
              <w:spacing w:after="0"/>
              <w:rPr>
                <w:sz w:val="20"/>
                <w:szCs w:val="20"/>
                <w:color w:val="auto"/>
              </w:rPr>
            </w:pPr>
            <w:r>
              <w:rPr>
                <w:rFonts w:ascii="Times New Roman" w:cs="Times New Roman" w:eastAsia="Times New Roman" w:hAnsi="Times New Roman"/>
                <w:sz w:val="18"/>
                <w:szCs w:val="18"/>
                <w:color w:val="auto"/>
              </w:rPr>
              <w:t>Involuntary Termination (non-CIC)</w:t>
            </w:r>
          </w:p>
        </w:tc>
        <w:tc>
          <w:tcPr>
            <w:tcW w:w="60" w:type="dxa"/>
            <w:vAlign w:val="bottom"/>
            <w:tcBorders>
              <w:top w:val="single" w:sz="8" w:color="DDDDDD"/>
            </w:tcBorders>
            <w:shd w:val="clear" w:color="auto" w:fill="DDDDDD"/>
          </w:tcPr>
          <w:p>
            <w:pPr>
              <w:spacing w:after="0"/>
              <w:rPr>
                <w:sz w:val="20"/>
                <w:szCs w:val="20"/>
                <w:color w:val="auto"/>
              </w:rPr>
            </w:pPr>
          </w:p>
        </w:tc>
        <w:tc>
          <w:tcPr>
            <w:tcW w:w="60" w:type="dxa"/>
            <w:vAlign w:val="bottom"/>
            <w:tcBorders>
              <w:top w:val="single" w:sz="8" w:color="DDDDDD"/>
            </w:tcBorders>
            <w:shd w:val="clear" w:color="auto" w:fill="DDDDDD"/>
          </w:tcPr>
          <w:p>
            <w:pPr>
              <w:spacing w:after="0"/>
              <w:rPr>
                <w:sz w:val="20"/>
                <w:szCs w:val="20"/>
                <w:color w:val="auto"/>
              </w:rPr>
            </w:pPr>
          </w:p>
        </w:tc>
        <w:tc>
          <w:tcPr>
            <w:tcW w:w="60" w:type="dxa"/>
            <w:vAlign w:val="bottom"/>
            <w:tcBorders>
              <w:top w:val="single" w:sz="8" w:color="DDDDDD"/>
            </w:tcBorders>
            <w:shd w:val="clear" w:color="auto" w:fill="DDDDDD"/>
          </w:tcPr>
          <w:p>
            <w:pPr>
              <w:spacing w:after="0"/>
              <w:rPr>
                <w:sz w:val="20"/>
                <w:szCs w:val="20"/>
                <w:color w:val="auto"/>
              </w:rPr>
            </w:pPr>
          </w:p>
        </w:tc>
        <w:tc>
          <w:tcPr>
            <w:tcW w:w="880" w:type="dxa"/>
            <w:vAlign w:val="bottom"/>
            <w:tcBorders>
              <w:top w:val="single" w:sz="8" w:color="DDDDDD"/>
            </w:tcBorders>
            <w:shd w:val="clear" w:color="auto" w:fill="DDDDDD"/>
          </w:tcPr>
          <w:p>
            <w:pPr>
              <w:spacing w:after="0"/>
              <w:rPr>
                <w:sz w:val="20"/>
                <w:szCs w:val="20"/>
                <w:color w:val="auto"/>
              </w:rPr>
            </w:pPr>
            <w:r>
              <w:rPr>
                <w:rFonts w:ascii="Times New Roman" w:cs="Times New Roman" w:eastAsia="Times New Roman" w:hAnsi="Times New Roman"/>
                <w:sz w:val="18"/>
                <w:szCs w:val="18"/>
                <w:color w:val="auto"/>
              </w:rPr>
              <w:t>318,750</w:t>
            </w:r>
          </w:p>
        </w:tc>
        <w:tc>
          <w:tcPr>
            <w:tcW w:w="140" w:type="dxa"/>
            <w:vAlign w:val="bottom"/>
            <w:tcBorders>
              <w:top w:val="single" w:sz="8" w:color="DDDDDD"/>
            </w:tcBorders>
            <w:shd w:val="clear" w:color="auto" w:fill="DDDDDD"/>
          </w:tcPr>
          <w:p>
            <w:pPr>
              <w:spacing w:after="0"/>
              <w:rPr>
                <w:sz w:val="20"/>
                <w:szCs w:val="20"/>
                <w:color w:val="auto"/>
              </w:rPr>
            </w:pPr>
          </w:p>
        </w:tc>
        <w:tc>
          <w:tcPr>
            <w:tcW w:w="760" w:type="dxa"/>
            <w:vAlign w:val="bottom"/>
            <w:tcBorders>
              <w:top w:val="single" w:sz="8" w:color="DDDDDD"/>
            </w:tcBorders>
            <w:shd w:val="clear" w:color="auto" w:fill="DDDDDD"/>
          </w:tcPr>
          <w:p>
            <w:pPr>
              <w:spacing w:after="0"/>
              <w:rPr>
                <w:sz w:val="20"/>
                <w:szCs w:val="20"/>
                <w:color w:val="auto"/>
              </w:rPr>
            </w:pPr>
            <w:r>
              <w:rPr>
                <w:rFonts w:ascii="Times New Roman" w:cs="Times New Roman" w:eastAsia="Times New Roman" w:hAnsi="Times New Roman"/>
                <w:sz w:val="18"/>
                <w:szCs w:val="18"/>
                <w:color w:val="auto"/>
              </w:rPr>
              <w:t>159,375</w:t>
            </w:r>
          </w:p>
        </w:tc>
        <w:tc>
          <w:tcPr>
            <w:tcW w:w="120" w:type="dxa"/>
            <w:vAlign w:val="bottom"/>
            <w:tcBorders>
              <w:top w:val="single" w:sz="8" w:color="DDDDDD"/>
            </w:tcBorders>
            <w:shd w:val="clear" w:color="auto" w:fill="DDDDDD"/>
          </w:tcPr>
          <w:p>
            <w:pPr>
              <w:spacing w:after="0"/>
              <w:rPr>
                <w:sz w:val="20"/>
                <w:szCs w:val="20"/>
                <w:color w:val="auto"/>
              </w:rPr>
            </w:pPr>
          </w:p>
        </w:tc>
        <w:tc>
          <w:tcPr>
            <w:tcW w:w="1060" w:type="dxa"/>
            <w:vAlign w:val="bottom"/>
            <w:tcBorders>
              <w:top w:val="single" w:sz="8" w:color="DDDDDD"/>
            </w:tcBorders>
            <w:shd w:val="clear" w:color="auto" w:fill="DDDDDD"/>
          </w:tcPr>
          <w:p>
            <w:pPr>
              <w:spacing w:after="0"/>
              <w:rPr>
                <w:sz w:val="20"/>
                <w:szCs w:val="20"/>
                <w:color w:val="auto"/>
              </w:rPr>
            </w:pPr>
            <w:r>
              <w:rPr>
                <w:rFonts w:ascii="Times New Roman" w:cs="Times New Roman" w:eastAsia="Times New Roman" w:hAnsi="Times New Roman"/>
                <w:sz w:val="18"/>
                <w:szCs w:val="18"/>
                <w:color w:val="auto"/>
              </w:rPr>
              <w:t>24,151</w:t>
            </w:r>
          </w:p>
        </w:tc>
        <w:tc>
          <w:tcPr>
            <w:tcW w:w="120" w:type="dxa"/>
            <w:vAlign w:val="bottom"/>
            <w:tcBorders>
              <w:top w:val="single" w:sz="8" w:color="DDDDDD"/>
            </w:tcBorders>
            <w:shd w:val="clear" w:color="auto" w:fill="DDDDDD"/>
          </w:tcPr>
          <w:p>
            <w:pPr>
              <w:spacing w:after="0"/>
              <w:rPr>
                <w:sz w:val="20"/>
                <w:szCs w:val="20"/>
                <w:color w:val="auto"/>
              </w:rPr>
            </w:pPr>
          </w:p>
        </w:tc>
        <w:tc>
          <w:tcPr>
            <w:tcW w:w="1260" w:type="dxa"/>
            <w:vAlign w:val="bottom"/>
            <w:tcBorders>
              <w:top w:val="single" w:sz="8" w:color="DDDDDD"/>
            </w:tcBorders>
            <w:shd w:val="clear" w:color="auto" w:fill="DDDDDD"/>
          </w:tcPr>
          <w:p>
            <w:pPr>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Borders>
              <w:top w:val="single" w:sz="8" w:color="DDDDDD"/>
            </w:tcBorders>
            <w:shd w:val="clear" w:color="auto" w:fill="DDDDDD"/>
          </w:tcPr>
          <w:p>
            <w:pPr>
              <w:spacing w:after="0"/>
              <w:rPr>
                <w:sz w:val="20"/>
                <w:szCs w:val="20"/>
                <w:color w:val="auto"/>
              </w:rPr>
            </w:pPr>
          </w:p>
        </w:tc>
        <w:tc>
          <w:tcPr>
            <w:tcW w:w="900" w:type="dxa"/>
            <w:vAlign w:val="bottom"/>
            <w:tcBorders>
              <w:top w:val="single" w:sz="8" w:color="DDDDDD"/>
            </w:tcBorders>
            <w:shd w:val="clear" w:color="auto" w:fill="DDDDDD"/>
          </w:tcPr>
          <w:p>
            <w:pPr>
              <w:spacing w:after="0"/>
              <w:rPr>
                <w:sz w:val="20"/>
                <w:szCs w:val="20"/>
                <w:color w:val="auto"/>
              </w:rPr>
            </w:pPr>
            <w:r>
              <w:rPr>
                <w:rFonts w:ascii="Times New Roman" w:cs="Times New Roman" w:eastAsia="Times New Roman" w:hAnsi="Times New Roman"/>
                <w:sz w:val="18"/>
                <w:szCs w:val="18"/>
                <w:color w:val="auto"/>
              </w:rPr>
              <w:t>502,276</w:t>
            </w:r>
          </w:p>
        </w:tc>
        <w:tc>
          <w:tcPr>
            <w:tcW w:w="0" w:type="dxa"/>
            <w:vAlign w:val="bottom"/>
          </w:tcPr>
          <w:p>
            <w:pPr>
              <w:spacing w:after="0"/>
              <w:rPr>
                <w:sz w:val="1"/>
                <w:szCs w:val="1"/>
                <w:color w:val="auto"/>
              </w:rPr>
            </w:pPr>
          </w:p>
        </w:tc>
      </w:tr>
      <w:tr>
        <w:trPr>
          <w:trHeight w:val="162"/>
        </w:trPr>
        <w:tc>
          <w:tcPr>
            <w:tcW w:w="40" w:type="dxa"/>
            <w:vAlign w:val="bottom"/>
            <w:tcBorders>
              <w:bottom w:val="single" w:sz="8" w:color="DDDDDD"/>
            </w:tcBorders>
            <w:shd w:val="clear" w:color="auto" w:fill="DDDDDD"/>
          </w:tcPr>
          <w:p>
            <w:pPr>
              <w:spacing w:after="0"/>
              <w:rPr>
                <w:sz w:val="14"/>
                <w:szCs w:val="14"/>
                <w:color w:val="auto"/>
              </w:rPr>
            </w:pPr>
          </w:p>
        </w:tc>
        <w:tc>
          <w:tcPr>
            <w:tcW w:w="1480" w:type="dxa"/>
            <w:vAlign w:val="bottom"/>
            <w:tcBorders>
              <w:bottom w:val="single" w:sz="8" w:color="DDDDDD"/>
            </w:tcBorders>
            <w:shd w:val="clear" w:color="auto" w:fill="DDDDDD"/>
          </w:tcPr>
          <w:p>
            <w:pPr>
              <w:spacing w:after="0"/>
              <w:rPr>
                <w:sz w:val="14"/>
                <w:szCs w:val="14"/>
                <w:color w:val="auto"/>
              </w:rPr>
            </w:pPr>
          </w:p>
        </w:tc>
        <w:tc>
          <w:tcPr>
            <w:tcW w:w="60" w:type="dxa"/>
            <w:vAlign w:val="bottom"/>
            <w:shd w:val="clear" w:color="auto" w:fill="DDDDDD"/>
          </w:tcPr>
          <w:p>
            <w:pPr>
              <w:spacing w:after="0"/>
              <w:rPr>
                <w:sz w:val="14"/>
                <w:szCs w:val="14"/>
                <w:color w:val="auto"/>
              </w:rPr>
            </w:pPr>
          </w:p>
        </w:tc>
        <w:tc>
          <w:tcPr>
            <w:tcW w:w="60" w:type="dxa"/>
            <w:vAlign w:val="bottom"/>
            <w:tcBorders>
              <w:bottom w:val="single" w:sz="8" w:color="auto"/>
            </w:tcBorders>
            <w:shd w:val="clear" w:color="auto" w:fill="DDDDDD"/>
          </w:tcPr>
          <w:p>
            <w:pPr>
              <w:spacing w:after="0"/>
              <w:rPr>
                <w:sz w:val="14"/>
                <w:szCs w:val="14"/>
                <w:color w:val="auto"/>
              </w:rPr>
            </w:pPr>
          </w:p>
        </w:tc>
        <w:tc>
          <w:tcPr>
            <w:tcW w:w="3060" w:type="dxa"/>
            <w:vAlign w:val="bottom"/>
            <w:tcBorders>
              <w:bottom w:val="single" w:sz="8" w:color="auto"/>
            </w:tcBorders>
            <w:shd w:val="clear" w:color="auto" w:fill="DDDDDD"/>
          </w:tcPr>
          <w:p>
            <w:pPr>
              <w:spacing w:after="0"/>
              <w:rPr>
                <w:sz w:val="14"/>
                <w:szCs w:val="14"/>
                <w:color w:val="auto"/>
              </w:rPr>
            </w:pPr>
          </w:p>
        </w:tc>
        <w:tc>
          <w:tcPr>
            <w:tcW w:w="60" w:type="dxa"/>
            <w:vAlign w:val="bottom"/>
            <w:tcBorders>
              <w:bottom w:val="single" w:sz="8" w:color="auto"/>
            </w:tcBorders>
            <w:shd w:val="clear" w:color="auto" w:fill="DDDDDD"/>
          </w:tcPr>
          <w:p>
            <w:pPr>
              <w:spacing w:after="0"/>
              <w:rPr>
                <w:sz w:val="14"/>
                <w:szCs w:val="14"/>
                <w:color w:val="auto"/>
              </w:rPr>
            </w:pPr>
          </w:p>
        </w:tc>
        <w:tc>
          <w:tcPr>
            <w:tcW w:w="60" w:type="dxa"/>
            <w:vAlign w:val="bottom"/>
            <w:tcBorders>
              <w:bottom w:val="single" w:sz="8" w:color="auto"/>
            </w:tcBorders>
            <w:shd w:val="clear" w:color="auto" w:fill="DDDDDD"/>
          </w:tcPr>
          <w:p>
            <w:pPr>
              <w:spacing w:after="0"/>
              <w:rPr>
                <w:sz w:val="14"/>
                <w:szCs w:val="14"/>
                <w:color w:val="auto"/>
              </w:rPr>
            </w:pPr>
          </w:p>
        </w:tc>
        <w:tc>
          <w:tcPr>
            <w:tcW w:w="60" w:type="dxa"/>
            <w:vAlign w:val="bottom"/>
            <w:tcBorders>
              <w:bottom w:val="single" w:sz="8" w:color="auto"/>
            </w:tcBorders>
            <w:shd w:val="clear" w:color="auto" w:fill="DDDDDD"/>
          </w:tcPr>
          <w:p>
            <w:pPr>
              <w:spacing w:after="0"/>
              <w:rPr>
                <w:sz w:val="14"/>
                <w:szCs w:val="14"/>
                <w:color w:val="auto"/>
              </w:rPr>
            </w:pPr>
          </w:p>
        </w:tc>
        <w:tc>
          <w:tcPr>
            <w:tcW w:w="880" w:type="dxa"/>
            <w:vAlign w:val="bottom"/>
            <w:tcBorders>
              <w:bottom w:val="single" w:sz="8" w:color="auto"/>
            </w:tcBorders>
            <w:shd w:val="clear" w:color="auto" w:fill="DDDDDD"/>
          </w:tcPr>
          <w:p>
            <w:pPr>
              <w:spacing w:after="0"/>
              <w:rPr>
                <w:sz w:val="14"/>
                <w:szCs w:val="14"/>
                <w:color w:val="auto"/>
              </w:rPr>
            </w:pPr>
          </w:p>
        </w:tc>
        <w:tc>
          <w:tcPr>
            <w:tcW w:w="140" w:type="dxa"/>
            <w:vAlign w:val="bottom"/>
            <w:tcBorders>
              <w:bottom w:val="single" w:sz="8" w:color="auto"/>
            </w:tcBorders>
            <w:shd w:val="clear" w:color="auto" w:fill="DDDDDD"/>
          </w:tcPr>
          <w:p>
            <w:pPr>
              <w:spacing w:after="0"/>
              <w:rPr>
                <w:sz w:val="14"/>
                <w:szCs w:val="14"/>
                <w:color w:val="auto"/>
              </w:rPr>
            </w:pPr>
          </w:p>
        </w:tc>
        <w:tc>
          <w:tcPr>
            <w:tcW w:w="760" w:type="dxa"/>
            <w:vAlign w:val="bottom"/>
            <w:tcBorders>
              <w:bottom w:val="single" w:sz="8" w:color="auto"/>
            </w:tcBorders>
            <w:shd w:val="clear" w:color="auto" w:fill="DDDDDD"/>
          </w:tcPr>
          <w:p>
            <w:pPr>
              <w:spacing w:after="0"/>
              <w:rPr>
                <w:sz w:val="14"/>
                <w:szCs w:val="14"/>
                <w:color w:val="auto"/>
              </w:rPr>
            </w:pPr>
          </w:p>
        </w:tc>
        <w:tc>
          <w:tcPr>
            <w:tcW w:w="120" w:type="dxa"/>
            <w:vAlign w:val="bottom"/>
            <w:tcBorders>
              <w:bottom w:val="single" w:sz="8" w:color="auto"/>
            </w:tcBorders>
            <w:shd w:val="clear" w:color="auto" w:fill="DDDDDD"/>
          </w:tcPr>
          <w:p>
            <w:pPr>
              <w:spacing w:after="0"/>
              <w:rPr>
                <w:sz w:val="14"/>
                <w:szCs w:val="14"/>
                <w:color w:val="auto"/>
              </w:rPr>
            </w:pPr>
          </w:p>
        </w:tc>
        <w:tc>
          <w:tcPr>
            <w:tcW w:w="1060" w:type="dxa"/>
            <w:vAlign w:val="bottom"/>
            <w:tcBorders>
              <w:bottom w:val="single" w:sz="8" w:color="auto"/>
            </w:tcBorders>
            <w:shd w:val="clear" w:color="auto" w:fill="DDDDDD"/>
          </w:tcPr>
          <w:p>
            <w:pPr>
              <w:spacing w:after="0"/>
              <w:rPr>
                <w:sz w:val="14"/>
                <w:szCs w:val="14"/>
                <w:color w:val="auto"/>
              </w:rPr>
            </w:pPr>
          </w:p>
        </w:tc>
        <w:tc>
          <w:tcPr>
            <w:tcW w:w="120" w:type="dxa"/>
            <w:vAlign w:val="bottom"/>
            <w:tcBorders>
              <w:bottom w:val="single" w:sz="8" w:color="auto"/>
            </w:tcBorders>
            <w:shd w:val="clear" w:color="auto" w:fill="DDDDDD"/>
          </w:tcPr>
          <w:p>
            <w:pPr>
              <w:spacing w:after="0"/>
              <w:rPr>
                <w:sz w:val="14"/>
                <w:szCs w:val="14"/>
                <w:color w:val="auto"/>
              </w:rPr>
            </w:pPr>
          </w:p>
        </w:tc>
        <w:tc>
          <w:tcPr>
            <w:tcW w:w="1260" w:type="dxa"/>
            <w:vAlign w:val="bottom"/>
            <w:tcBorders>
              <w:bottom w:val="single" w:sz="8" w:color="auto"/>
            </w:tcBorders>
            <w:shd w:val="clear" w:color="auto" w:fill="DDDDDD"/>
          </w:tcPr>
          <w:p>
            <w:pPr>
              <w:spacing w:after="0"/>
              <w:rPr>
                <w:sz w:val="14"/>
                <w:szCs w:val="14"/>
                <w:color w:val="auto"/>
              </w:rPr>
            </w:pPr>
          </w:p>
        </w:tc>
        <w:tc>
          <w:tcPr>
            <w:tcW w:w="120" w:type="dxa"/>
            <w:vAlign w:val="bottom"/>
            <w:tcBorders>
              <w:bottom w:val="single" w:sz="8" w:color="auto"/>
            </w:tcBorders>
            <w:shd w:val="clear" w:color="auto" w:fill="DDDDDD"/>
          </w:tcPr>
          <w:p>
            <w:pPr>
              <w:spacing w:after="0"/>
              <w:rPr>
                <w:sz w:val="14"/>
                <w:szCs w:val="14"/>
                <w:color w:val="auto"/>
              </w:rPr>
            </w:pPr>
          </w:p>
        </w:tc>
        <w:tc>
          <w:tcPr>
            <w:tcW w:w="900" w:type="dxa"/>
            <w:vAlign w:val="bottom"/>
            <w:tcBorders>
              <w:bottom w:val="single" w:sz="8" w:color="auto"/>
            </w:tcBorders>
            <w:shd w:val="clear" w:color="auto" w:fill="DDDDDD"/>
          </w:tcPr>
          <w:p>
            <w:pPr>
              <w:spacing w:after="0"/>
              <w:rPr>
                <w:sz w:val="14"/>
                <w:szCs w:val="14"/>
                <w:color w:val="auto"/>
              </w:rPr>
            </w:pPr>
          </w:p>
        </w:tc>
        <w:tc>
          <w:tcPr>
            <w:tcW w:w="0" w:type="dxa"/>
            <w:vAlign w:val="bottom"/>
          </w:tcPr>
          <w:p>
            <w:pPr>
              <w:spacing w:after="0"/>
              <w:rPr>
                <w:sz w:val="1"/>
                <w:szCs w:val="1"/>
                <w:color w:val="auto"/>
              </w:rPr>
            </w:pPr>
          </w:p>
        </w:tc>
      </w:tr>
      <w:tr>
        <w:trPr>
          <w:trHeight w:val="226"/>
        </w:trPr>
        <w:tc>
          <w:tcPr>
            <w:tcW w:w="40" w:type="dxa"/>
            <w:vAlign w:val="bottom"/>
            <w:shd w:val="clear" w:color="auto" w:fill="DDDDDD"/>
          </w:tcPr>
          <w:p>
            <w:pPr>
              <w:spacing w:after="0"/>
              <w:rPr>
                <w:sz w:val="19"/>
                <w:szCs w:val="19"/>
                <w:color w:val="auto"/>
              </w:rPr>
            </w:pPr>
          </w:p>
        </w:tc>
        <w:tc>
          <w:tcPr>
            <w:tcW w:w="1480" w:type="dxa"/>
            <w:vAlign w:val="bottom"/>
            <w:shd w:val="clear" w:color="auto" w:fill="DDDDDD"/>
          </w:tcPr>
          <w:p>
            <w:pPr>
              <w:spacing w:after="0"/>
              <w:rPr>
                <w:sz w:val="19"/>
                <w:szCs w:val="19"/>
                <w:color w:val="auto"/>
              </w:rPr>
            </w:pPr>
          </w:p>
        </w:tc>
        <w:tc>
          <w:tcPr>
            <w:tcW w:w="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31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Involuntary Termination during CIC</w:t>
            </w:r>
          </w:p>
        </w:tc>
        <w:tc>
          <w:tcPr>
            <w:tcW w:w="1000" w:type="dxa"/>
            <w:vAlign w:val="bottom"/>
            <w:gridSpan w:val="3"/>
          </w:tcPr>
          <w:p>
            <w:pPr>
              <w:ind w:left="120"/>
              <w:spacing w:after="0"/>
              <w:rPr>
                <w:sz w:val="20"/>
                <w:szCs w:val="20"/>
                <w:color w:val="auto"/>
              </w:rPr>
            </w:pPr>
            <w:r>
              <w:rPr>
                <w:rFonts w:ascii="Times New Roman" w:cs="Times New Roman" w:eastAsia="Times New Roman" w:hAnsi="Times New Roman"/>
                <w:sz w:val="18"/>
                <w:szCs w:val="18"/>
                <w:color w:val="auto"/>
              </w:rPr>
              <w:t>425,000</w:t>
            </w:r>
          </w:p>
        </w:tc>
        <w:tc>
          <w:tcPr>
            <w:tcW w:w="90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rPr>
              <w:t>212,500</w:t>
            </w:r>
          </w:p>
        </w:tc>
        <w:tc>
          <w:tcPr>
            <w:tcW w:w="118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32,202</w:t>
            </w:r>
          </w:p>
        </w:tc>
        <w:tc>
          <w:tcPr>
            <w:tcW w:w="138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504,301</w:t>
            </w:r>
          </w:p>
        </w:tc>
        <w:tc>
          <w:tcPr>
            <w:tcW w:w="102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1,174,003</w:t>
            </w:r>
          </w:p>
        </w:tc>
        <w:tc>
          <w:tcPr>
            <w:tcW w:w="0" w:type="dxa"/>
            <w:vAlign w:val="bottom"/>
          </w:tcPr>
          <w:p>
            <w:pPr>
              <w:spacing w:after="0"/>
              <w:rPr>
                <w:sz w:val="1"/>
                <w:szCs w:val="1"/>
                <w:color w:val="auto"/>
              </w:rPr>
            </w:pPr>
          </w:p>
        </w:tc>
      </w:tr>
      <w:tr>
        <w:trPr>
          <w:trHeight w:val="188"/>
        </w:trPr>
        <w:tc>
          <w:tcPr>
            <w:tcW w:w="40" w:type="dxa"/>
            <w:vAlign w:val="bottom"/>
            <w:tcBorders>
              <w:bottom w:val="single" w:sz="8" w:color="auto"/>
            </w:tcBorders>
            <w:shd w:val="clear" w:color="auto" w:fill="DDDDDD"/>
          </w:tcPr>
          <w:p>
            <w:pPr>
              <w:spacing w:after="0"/>
              <w:rPr>
                <w:sz w:val="16"/>
                <w:szCs w:val="16"/>
                <w:color w:val="auto"/>
              </w:rPr>
            </w:pPr>
          </w:p>
        </w:tc>
        <w:tc>
          <w:tcPr>
            <w:tcW w:w="1480" w:type="dxa"/>
            <w:vAlign w:val="bottom"/>
            <w:tcBorders>
              <w:bottom w:val="single" w:sz="8" w:color="auto"/>
            </w:tcBorders>
            <w:shd w:val="clear" w:color="auto" w:fill="DDDDDD"/>
          </w:tcPr>
          <w:p>
            <w:pPr>
              <w:spacing w:after="0"/>
              <w:rPr>
                <w:sz w:val="16"/>
                <w:szCs w:val="16"/>
                <w:color w:val="auto"/>
              </w:rPr>
            </w:pPr>
          </w:p>
        </w:tc>
        <w:tc>
          <w:tcPr>
            <w:tcW w:w="60" w:type="dxa"/>
            <w:vAlign w:val="bottom"/>
            <w:tcBorders>
              <w:bottom w:val="single" w:sz="8" w:color="auto"/>
            </w:tcBorders>
          </w:tcPr>
          <w:p>
            <w:pPr>
              <w:spacing w:after="0"/>
              <w:rPr>
                <w:sz w:val="16"/>
                <w:szCs w:val="16"/>
                <w:color w:val="auto"/>
              </w:rPr>
            </w:pPr>
          </w:p>
        </w:tc>
        <w:tc>
          <w:tcPr>
            <w:tcW w:w="60" w:type="dxa"/>
            <w:vAlign w:val="bottom"/>
            <w:tcBorders>
              <w:bottom w:val="single" w:sz="8" w:color="auto"/>
            </w:tcBorders>
          </w:tcPr>
          <w:p>
            <w:pPr>
              <w:spacing w:after="0"/>
              <w:rPr>
                <w:sz w:val="16"/>
                <w:szCs w:val="16"/>
                <w:color w:val="auto"/>
              </w:rPr>
            </w:pPr>
          </w:p>
        </w:tc>
        <w:tc>
          <w:tcPr>
            <w:tcW w:w="3120" w:type="dxa"/>
            <w:vAlign w:val="bottom"/>
            <w:tcBorders>
              <w:bottom w:val="single" w:sz="8" w:color="auto"/>
            </w:tcBorders>
            <w:gridSpan w:val="2"/>
          </w:tcPr>
          <w:p>
            <w:pPr>
              <w:spacing w:after="0" w:line="166" w:lineRule="exact"/>
              <w:rPr>
                <w:sz w:val="20"/>
                <w:szCs w:val="20"/>
                <w:color w:val="auto"/>
              </w:rPr>
            </w:pPr>
            <w:r>
              <w:rPr>
                <w:rFonts w:ascii="Times New Roman" w:cs="Times New Roman" w:eastAsia="Times New Roman" w:hAnsi="Times New Roman"/>
                <w:sz w:val="18"/>
                <w:szCs w:val="18"/>
                <w:color w:val="auto"/>
              </w:rPr>
              <w:t>period</w:t>
            </w:r>
          </w:p>
        </w:tc>
        <w:tc>
          <w:tcPr>
            <w:tcW w:w="60" w:type="dxa"/>
            <w:vAlign w:val="bottom"/>
            <w:tcBorders>
              <w:bottom w:val="single" w:sz="8" w:color="auto"/>
            </w:tcBorders>
          </w:tcPr>
          <w:p>
            <w:pPr>
              <w:spacing w:after="0"/>
              <w:rPr>
                <w:sz w:val="16"/>
                <w:szCs w:val="16"/>
                <w:color w:val="auto"/>
              </w:rPr>
            </w:pPr>
          </w:p>
        </w:tc>
        <w:tc>
          <w:tcPr>
            <w:tcW w:w="6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76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26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90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56"/>
        </w:trPr>
        <w:tc>
          <w:tcPr>
            <w:tcW w:w="40" w:type="dxa"/>
            <w:vAlign w:val="bottom"/>
            <w:shd w:val="clear" w:color="auto" w:fill="DDDDDD"/>
          </w:tcPr>
          <w:p>
            <w:pPr>
              <w:spacing w:after="0"/>
              <w:rPr>
                <w:sz w:val="22"/>
                <w:szCs w:val="22"/>
                <w:color w:val="auto"/>
              </w:rPr>
            </w:pPr>
          </w:p>
        </w:tc>
        <w:tc>
          <w:tcPr>
            <w:tcW w:w="1480" w:type="dxa"/>
            <w:vAlign w:val="bottom"/>
            <w:shd w:val="clear" w:color="auto" w:fill="DDDDDD"/>
          </w:tcPr>
          <w:p>
            <w:pPr>
              <w:spacing w:after="0"/>
              <w:rPr>
                <w:sz w:val="20"/>
                <w:szCs w:val="20"/>
                <w:color w:val="auto"/>
              </w:rPr>
            </w:pPr>
            <w:r>
              <w:rPr>
                <w:rFonts w:ascii="Times New Roman" w:cs="Times New Roman" w:eastAsia="Times New Roman" w:hAnsi="Times New Roman"/>
                <w:sz w:val="18"/>
                <w:szCs w:val="18"/>
                <w:color w:val="auto"/>
              </w:rPr>
              <w:t>Brian Camire</w:t>
            </w:r>
          </w:p>
        </w:tc>
        <w:tc>
          <w:tcPr>
            <w:tcW w:w="60" w:type="dxa"/>
            <w:vAlign w:val="bottom"/>
            <w:shd w:val="clear" w:color="auto" w:fill="DDDDDD"/>
          </w:tcPr>
          <w:p>
            <w:pPr>
              <w:spacing w:after="0"/>
              <w:rPr>
                <w:sz w:val="22"/>
                <w:szCs w:val="22"/>
                <w:color w:val="auto"/>
              </w:rPr>
            </w:pPr>
          </w:p>
        </w:tc>
        <w:tc>
          <w:tcPr>
            <w:tcW w:w="60" w:type="dxa"/>
            <w:vAlign w:val="bottom"/>
            <w:shd w:val="clear" w:color="auto" w:fill="DDDDDD"/>
          </w:tcPr>
          <w:p>
            <w:pPr>
              <w:spacing w:after="0"/>
              <w:rPr>
                <w:sz w:val="22"/>
                <w:szCs w:val="22"/>
                <w:color w:val="auto"/>
              </w:rPr>
            </w:pPr>
          </w:p>
        </w:tc>
        <w:tc>
          <w:tcPr>
            <w:tcW w:w="3060" w:type="dxa"/>
            <w:vAlign w:val="bottom"/>
            <w:shd w:val="clear" w:color="auto" w:fill="DDDDDD"/>
          </w:tcPr>
          <w:p>
            <w:pPr>
              <w:spacing w:after="0"/>
              <w:rPr>
                <w:sz w:val="20"/>
                <w:szCs w:val="20"/>
                <w:color w:val="auto"/>
              </w:rPr>
            </w:pPr>
            <w:r>
              <w:rPr>
                <w:rFonts w:ascii="Times New Roman" w:cs="Times New Roman" w:eastAsia="Times New Roman" w:hAnsi="Times New Roman"/>
                <w:sz w:val="18"/>
                <w:szCs w:val="18"/>
                <w:color w:val="auto"/>
              </w:rPr>
              <w:t>Involuntary Termination (non-CIC)</w:t>
            </w:r>
          </w:p>
        </w:tc>
        <w:tc>
          <w:tcPr>
            <w:tcW w:w="60" w:type="dxa"/>
            <w:vAlign w:val="bottom"/>
            <w:shd w:val="clear" w:color="auto" w:fill="DDDDDD"/>
          </w:tcPr>
          <w:p>
            <w:pPr>
              <w:spacing w:after="0"/>
              <w:rPr>
                <w:sz w:val="22"/>
                <w:szCs w:val="22"/>
                <w:color w:val="auto"/>
              </w:rPr>
            </w:pPr>
          </w:p>
        </w:tc>
        <w:tc>
          <w:tcPr>
            <w:tcW w:w="120" w:type="dxa"/>
            <w:vAlign w:val="bottom"/>
            <w:gridSpan w:val="2"/>
            <w:shd w:val="clear" w:color="auto" w:fill="DDDDDD"/>
          </w:tcPr>
          <w:p>
            <w:pPr>
              <w:spacing w:after="0"/>
              <w:rPr>
                <w:sz w:val="22"/>
                <w:szCs w:val="22"/>
                <w:color w:val="auto"/>
              </w:rPr>
            </w:pPr>
          </w:p>
        </w:tc>
        <w:tc>
          <w:tcPr>
            <w:tcW w:w="880" w:type="dxa"/>
            <w:vAlign w:val="bottom"/>
            <w:shd w:val="clear" w:color="auto" w:fill="DDDDDD"/>
          </w:tcPr>
          <w:p>
            <w:pPr>
              <w:spacing w:after="0"/>
              <w:rPr>
                <w:sz w:val="20"/>
                <w:szCs w:val="20"/>
                <w:color w:val="auto"/>
              </w:rPr>
            </w:pPr>
            <w:r>
              <w:rPr>
                <w:rFonts w:ascii="Times New Roman" w:cs="Times New Roman" w:eastAsia="Times New Roman" w:hAnsi="Times New Roman"/>
                <w:sz w:val="18"/>
                <w:szCs w:val="18"/>
                <w:color w:val="auto"/>
              </w:rPr>
              <w:t>307,500</w:t>
            </w:r>
          </w:p>
        </w:tc>
        <w:tc>
          <w:tcPr>
            <w:tcW w:w="140" w:type="dxa"/>
            <w:vAlign w:val="bottom"/>
            <w:shd w:val="clear" w:color="auto" w:fill="DDDDDD"/>
          </w:tcPr>
          <w:p>
            <w:pPr>
              <w:spacing w:after="0"/>
              <w:rPr>
                <w:sz w:val="22"/>
                <w:szCs w:val="22"/>
                <w:color w:val="auto"/>
              </w:rPr>
            </w:pPr>
          </w:p>
        </w:tc>
        <w:tc>
          <w:tcPr>
            <w:tcW w:w="760" w:type="dxa"/>
            <w:vAlign w:val="bottom"/>
            <w:shd w:val="clear" w:color="auto" w:fill="DDDDDD"/>
          </w:tcPr>
          <w:p>
            <w:pPr>
              <w:spacing w:after="0"/>
              <w:rPr>
                <w:sz w:val="20"/>
                <w:szCs w:val="20"/>
                <w:color w:val="auto"/>
              </w:rPr>
            </w:pPr>
            <w:r>
              <w:rPr>
                <w:rFonts w:ascii="Times New Roman" w:cs="Times New Roman" w:eastAsia="Times New Roman" w:hAnsi="Times New Roman"/>
                <w:sz w:val="18"/>
                <w:szCs w:val="18"/>
                <w:color w:val="auto"/>
              </w:rPr>
              <w:t>153,750</w:t>
            </w:r>
          </w:p>
        </w:tc>
        <w:tc>
          <w:tcPr>
            <w:tcW w:w="120" w:type="dxa"/>
            <w:vAlign w:val="bottom"/>
            <w:shd w:val="clear" w:color="auto" w:fill="DDDDDD"/>
          </w:tcPr>
          <w:p>
            <w:pPr>
              <w:spacing w:after="0"/>
              <w:rPr>
                <w:sz w:val="22"/>
                <w:szCs w:val="22"/>
                <w:color w:val="auto"/>
              </w:rPr>
            </w:pPr>
          </w:p>
        </w:tc>
        <w:tc>
          <w:tcPr>
            <w:tcW w:w="1060" w:type="dxa"/>
            <w:vAlign w:val="bottom"/>
            <w:shd w:val="clear" w:color="auto" w:fill="DDDDDD"/>
          </w:tcPr>
          <w:p>
            <w:pPr>
              <w:spacing w:after="0"/>
              <w:rPr>
                <w:sz w:val="20"/>
                <w:szCs w:val="20"/>
                <w:color w:val="auto"/>
              </w:rPr>
            </w:pPr>
            <w:r>
              <w:rPr>
                <w:rFonts w:ascii="Times New Roman" w:cs="Times New Roman" w:eastAsia="Times New Roman" w:hAnsi="Times New Roman"/>
                <w:sz w:val="18"/>
                <w:szCs w:val="18"/>
                <w:color w:val="auto"/>
              </w:rPr>
              <w:t>16,841</w:t>
            </w:r>
          </w:p>
        </w:tc>
        <w:tc>
          <w:tcPr>
            <w:tcW w:w="120" w:type="dxa"/>
            <w:vAlign w:val="bottom"/>
            <w:shd w:val="clear" w:color="auto" w:fill="DDDDDD"/>
          </w:tcPr>
          <w:p>
            <w:pPr>
              <w:spacing w:after="0"/>
              <w:rPr>
                <w:sz w:val="22"/>
                <w:szCs w:val="22"/>
                <w:color w:val="auto"/>
              </w:rPr>
            </w:pPr>
          </w:p>
        </w:tc>
        <w:tc>
          <w:tcPr>
            <w:tcW w:w="1260" w:type="dxa"/>
            <w:vAlign w:val="bottom"/>
            <w:shd w:val="clear" w:color="auto" w:fill="DDDDDD"/>
          </w:tcPr>
          <w:p>
            <w:pPr>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DDDDDD"/>
          </w:tcPr>
          <w:p>
            <w:pPr>
              <w:spacing w:after="0"/>
              <w:rPr>
                <w:sz w:val="22"/>
                <w:szCs w:val="22"/>
                <w:color w:val="auto"/>
              </w:rPr>
            </w:pPr>
          </w:p>
        </w:tc>
        <w:tc>
          <w:tcPr>
            <w:tcW w:w="900" w:type="dxa"/>
            <w:vAlign w:val="bottom"/>
            <w:shd w:val="clear" w:color="auto" w:fill="DDDDDD"/>
          </w:tcPr>
          <w:p>
            <w:pPr>
              <w:spacing w:after="0"/>
              <w:rPr>
                <w:sz w:val="20"/>
                <w:szCs w:val="20"/>
                <w:color w:val="auto"/>
              </w:rPr>
            </w:pPr>
            <w:r>
              <w:rPr>
                <w:rFonts w:ascii="Times New Roman" w:cs="Times New Roman" w:eastAsia="Times New Roman" w:hAnsi="Times New Roman"/>
                <w:sz w:val="18"/>
                <w:szCs w:val="18"/>
                <w:color w:val="auto"/>
              </w:rPr>
              <w:t>478,091</w:t>
            </w:r>
          </w:p>
        </w:tc>
        <w:tc>
          <w:tcPr>
            <w:tcW w:w="0" w:type="dxa"/>
            <w:vAlign w:val="bottom"/>
          </w:tcPr>
          <w:p>
            <w:pPr>
              <w:spacing w:after="0"/>
              <w:rPr>
                <w:sz w:val="1"/>
                <w:szCs w:val="1"/>
                <w:color w:val="auto"/>
              </w:rPr>
            </w:pPr>
          </w:p>
        </w:tc>
      </w:tr>
      <w:tr>
        <w:trPr>
          <w:trHeight w:val="162"/>
        </w:trPr>
        <w:tc>
          <w:tcPr>
            <w:tcW w:w="40" w:type="dxa"/>
            <w:vAlign w:val="bottom"/>
            <w:tcBorders>
              <w:bottom w:val="single" w:sz="8" w:color="DDDDDD"/>
            </w:tcBorders>
            <w:shd w:val="clear" w:color="auto" w:fill="DDDDDD"/>
          </w:tcPr>
          <w:p>
            <w:pPr>
              <w:spacing w:after="0"/>
              <w:rPr>
                <w:sz w:val="14"/>
                <w:szCs w:val="14"/>
                <w:color w:val="auto"/>
              </w:rPr>
            </w:pPr>
          </w:p>
        </w:tc>
        <w:tc>
          <w:tcPr>
            <w:tcW w:w="1480" w:type="dxa"/>
            <w:vAlign w:val="bottom"/>
            <w:tcBorders>
              <w:bottom w:val="single" w:sz="8" w:color="DDDDDD"/>
            </w:tcBorders>
            <w:shd w:val="clear" w:color="auto" w:fill="DDDDDD"/>
          </w:tcPr>
          <w:p>
            <w:pPr>
              <w:spacing w:after="0"/>
              <w:rPr>
                <w:sz w:val="14"/>
                <w:szCs w:val="14"/>
                <w:color w:val="auto"/>
              </w:rPr>
            </w:pPr>
          </w:p>
        </w:tc>
        <w:tc>
          <w:tcPr>
            <w:tcW w:w="60" w:type="dxa"/>
            <w:vAlign w:val="bottom"/>
            <w:tcBorders>
              <w:bottom w:val="single" w:sz="8" w:color="DDDDDD"/>
            </w:tcBorders>
            <w:shd w:val="clear" w:color="auto" w:fill="DDDDDD"/>
          </w:tcPr>
          <w:p>
            <w:pPr>
              <w:spacing w:after="0"/>
              <w:rPr>
                <w:sz w:val="14"/>
                <w:szCs w:val="14"/>
                <w:color w:val="auto"/>
              </w:rPr>
            </w:pPr>
          </w:p>
        </w:tc>
        <w:tc>
          <w:tcPr>
            <w:tcW w:w="60" w:type="dxa"/>
            <w:vAlign w:val="bottom"/>
            <w:tcBorders>
              <w:bottom w:val="single" w:sz="8" w:color="auto"/>
            </w:tcBorders>
            <w:shd w:val="clear" w:color="auto" w:fill="DDDDDD"/>
          </w:tcPr>
          <w:p>
            <w:pPr>
              <w:spacing w:after="0"/>
              <w:rPr>
                <w:sz w:val="14"/>
                <w:szCs w:val="14"/>
                <w:color w:val="auto"/>
              </w:rPr>
            </w:pPr>
          </w:p>
        </w:tc>
        <w:tc>
          <w:tcPr>
            <w:tcW w:w="3120" w:type="dxa"/>
            <w:vAlign w:val="bottom"/>
            <w:tcBorders>
              <w:bottom w:val="single" w:sz="8" w:color="auto"/>
            </w:tcBorders>
            <w:gridSpan w:val="2"/>
            <w:shd w:val="clear" w:color="auto" w:fill="DDDDDD"/>
          </w:tcPr>
          <w:p>
            <w:pPr>
              <w:spacing w:after="0"/>
              <w:rPr>
                <w:sz w:val="14"/>
                <w:szCs w:val="14"/>
                <w:color w:val="auto"/>
              </w:rPr>
            </w:pPr>
          </w:p>
        </w:tc>
        <w:tc>
          <w:tcPr>
            <w:tcW w:w="1000" w:type="dxa"/>
            <w:vAlign w:val="bottom"/>
            <w:tcBorders>
              <w:bottom w:val="single" w:sz="8" w:color="auto"/>
            </w:tcBorders>
            <w:gridSpan w:val="3"/>
            <w:shd w:val="clear" w:color="auto" w:fill="DDDDDD"/>
          </w:tcPr>
          <w:p>
            <w:pPr>
              <w:spacing w:after="0"/>
              <w:rPr>
                <w:sz w:val="14"/>
                <w:szCs w:val="14"/>
                <w:color w:val="auto"/>
              </w:rPr>
            </w:pPr>
          </w:p>
        </w:tc>
        <w:tc>
          <w:tcPr>
            <w:tcW w:w="900" w:type="dxa"/>
            <w:vAlign w:val="bottom"/>
            <w:tcBorders>
              <w:bottom w:val="single" w:sz="8" w:color="auto"/>
            </w:tcBorders>
            <w:gridSpan w:val="2"/>
            <w:shd w:val="clear" w:color="auto" w:fill="DDDDDD"/>
          </w:tcPr>
          <w:p>
            <w:pPr>
              <w:spacing w:after="0"/>
              <w:rPr>
                <w:sz w:val="14"/>
                <w:szCs w:val="14"/>
                <w:color w:val="auto"/>
              </w:rPr>
            </w:pPr>
          </w:p>
        </w:tc>
        <w:tc>
          <w:tcPr>
            <w:tcW w:w="1180" w:type="dxa"/>
            <w:vAlign w:val="bottom"/>
            <w:tcBorders>
              <w:bottom w:val="single" w:sz="8" w:color="auto"/>
            </w:tcBorders>
            <w:gridSpan w:val="2"/>
            <w:shd w:val="clear" w:color="auto" w:fill="DDDDDD"/>
          </w:tcPr>
          <w:p>
            <w:pPr>
              <w:spacing w:after="0"/>
              <w:rPr>
                <w:sz w:val="14"/>
                <w:szCs w:val="14"/>
                <w:color w:val="auto"/>
              </w:rPr>
            </w:pPr>
          </w:p>
        </w:tc>
        <w:tc>
          <w:tcPr>
            <w:tcW w:w="1380" w:type="dxa"/>
            <w:vAlign w:val="bottom"/>
            <w:tcBorders>
              <w:bottom w:val="single" w:sz="8" w:color="auto"/>
            </w:tcBorders>
            <w:gridSpan w:val="2"/>
            <w:shd w:val="clear" w:color="auto" w:fill="DDDDDD"/>
          </w:tcPr>
          <w:p>
            <w:pPr>
              <w:spacing w:after="0"/>
              <w:rPr>
                <w:sz w:val="14"/>
                <w:szCs w:val="14"/>
                <w:color w:val="auto"/>
              </w:rPr>
            </w:pPr>
          </w:p>
        </w:tc>
        <w:tc>
          <w:tcPr>
            <w:tcW w:w="1020" w:type="dxa"/>
            <w:vAlign w:val="bottom"/>
            <w:tcBorders>
              <w:bottom w:val="single" w:sz="8" w:color="auto"/>
            </w:tcBorders>
            <w:gridSpan w:val="2"/>
            <w:shd w:val="clear" w:color="auto" w:fill="DDDDDD"/>
          </w:tcPr>
          <w:p>
            <w:pPr>
              <w:spacing w:after="0"/>
              <w:rPr>
                <w:sz w:val="14"/>
                <w:szCs w:val="14"/>
                <w:color w:val="auto"/>
              </w:rPr>
            </w:pPr>
          </w:p>
        </w:tc>
        <w:tc>
          <w:tcPr>
            <w:tcW w:w="0" w:type="dxa"/>
            <w:vAlign w:val="bottom"/>
          </w:tcPr>
          <w:p>
            <w:pPr>
              <w:spacing w:after="0"/>
              <w:rPr>
                <w:sz w:val="1"/>
                <w:szCs w:val="1"/>
                <w:color w:val="auto"/>
              </w:rPr>
            </w:pPr>
          </w:p>
        </w:tc>
      </w:tr>
      <w:tr>
        <w:trPr>
          <w:trHeight w:val="226"/>
        </w:trPr>
        <w:tc>
          <w:tcPr>
            <w:tcW w:w="40" w:type="dxa"/>
            <w:vAlign w:val="bottom"/>
            <w:shd w:val="clear" w:color="auto" w:fill="DDDDDD"/>
          </w:tcPr>
          <w:p>
            <w:pPr>
              <w:spacing w:after="0"/>
              <w:rPr>
                <w:sz w:val="19"/>
                <w:szCs w:val="19"/>
                <w:color w:val="auto"/>
              </w:rPr>
            </w:pPr>
          </w:p>
        </w:tc>
        <w:tc>
          <w:tcPr>
            <w:tcW w:w="1480" w:type="dxa"/>
            <w:vAlign w:val="bottom"/>
            <w:shd w:val="clear" w:color="auto" w:fill="DDDDDD"/>
          </w:tcPr>
          <w:p>
            <w:pPr>
              <w:spacing w:after="0"/>
              <w:rPr>
                <w:sz w:val="19"/>
                <w:szCs w:val="19"/>
                <w:color w:val="auto"/>
              </w:rPr>
            </w:pPr>
          </w:p>
        </w:tc>
        <w:tc>
          <w:tcPr>
            <w:tcW w:w="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31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Involuntary Termination during CIC</w:t>
            </w:r>
          </w:p>
        </w:tc>
        <w:tc>
          <w:tcPr>
            <w:tcW w:w="1000" w:type="dxa"/>
            <w:vAlign w:val="bottom"/>
            <w:gridSpan w:val="3"/>
          </w:tcPr>
          <w:p>
            <w:pPr>
              <w:ind w:left="120"/>
              <w:spacing w:after="0"/>
              <w:rPr>
                <w:sz w:val="20"/>
                <w:szCs w:val="20"/>
                <w:color w:val="auto"/>
              </w:rPr>
            </w:pPr>
            <w:r>
              <w:rPr>
                <w:rFonts w:ascii="Times New Roman" w:cs="Times New Roman" w:eastAsia="Times New Roman" w:hAnsi="Times New Roman"/>
                <w:sz w:val="18"/>
                <w:szCs w:val="18"/>
                <w:color w:val="auto"/>
              </w:rPr>
              <w:t>410,000</w:t>
            </w:r>
          </w:p>
        </w:tc>
        <w:tc>
          <w:tcPr>
            <w:tcW w:w="90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rPr>
              <w:t>205,000</w:t>
            </w:r>
          </w:p>
        </w:tc>
        <w:tc>
          <w:tcPr>
            <w:tcW w:w="118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22,454</w:t>
            </w:r>
          </w:p>
        </w:tc>
        <w:tc>
          <w:tcPr>
            <w:tcW w:w="138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474,996</w:t>
            </w:r>
          </w:p>
        </w:tc>
        <w:tc>
          <w:tcPr>
            <w:tcW w:w="102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1,112,450</w:t>
            </w:r>
          </w:p>
        </w:tc>
        <w:tc>
          <w:tcPr>
            <w:tcW w:w="0" w:type="dxa"/>
            <w:vAlign w:val="bottom"/>
          </w:tcPr>
          <w:p>
            <w:pPr>
              <w:spacing w:after="0"/>
              <w:rPr>
                <w:sz w:val="1"/>
                <w:szCs w:val="1"/>
                <w:color w:val="auto"/>
              </w:rPr>
            </w:pPr>
          </w:p>
        </w:tc>
      </w:tr>
      <w:tr>
        <w:trPr>
          <w:trHeight w:val="194"/>
        </w:trPr>
        <w:tc>
          <w:tcPr>
            <w:tcW w:w="40" w:type="dxa"/>
            <w:vAlign w:val="bottom"/>
            <w:tcBorders>
              <w:bottom w:val="single" w:sz="8" w:color="auto"/>
            </w:tcBorders>
            <w:shd w:val="clear" w:color="auto" w:fill="DDDDDD"/>
          </w:tcPr>
          <w:p>
            <w:pPr>
              <w:spacing w:after="0"/>
              <w:rPr>
                <w:sz w:val="16"/>
                <w:szCs w:val="16"/>
                <w:color w:val="auto"/>
              </w:rPr>
            </w:pPr>
          </w:p>
        </w:tc>
        <w:tc>
          <w:tcPr>
            <w:tcW w:w="1480" w:type="dxa"/>
            <w:vAlign w:val="bottom"/>
            <w:tcBorders>
              <w:bottom w:val="single" w:sz="8" w:color="auto"/>
            </w:tcBorders>
            <w:shd w:val="clear" w:color="auto" w:fill="DDDDDD"/>
          </w:tcPr>
          <w:p>
            <w:pPr>
              <w:spacing w:after="0"/>
              <w:rPr>
                <w:sz w:val="16"/>
                <w:szCs w:val="16"/>
                <w:color w:val="auto"/>
              </w:rPr>
            </w:pPr>
          </w:p>
        </w:tc>
        <w:tc>
          <w:tcPr>
            <w:tcW w:w="60" w:type="dxa"/>
            <w:vAlign w:val="bottom"/>
            <w:tcBorders>
              <w:bottom w:val="single" w:sz="8" w:color="auto"/>
            </w:tcBorders>
          </w:tcPr>
          <w:p>
            <w:pPr>
              <w:spacing w:after="0"/>
              <w:rPr>
                <w:sz w:val="16"/>
                <w:szCs w:val="16"/>
                <w:color w:val="auto"/>
              </w:rPr>
            </w:pPr>
          </w:p>
        </w:tc>
        <w:tc>
          <w:tcPr>
            <w:tcW w:w="60" w:type="dxa"/>
            <w:vAlign w:val="bottom"/>
            <w:tcBorders>
              <w:bottom w:val="single" w:sz="8" w:color="auto"/>
            </w:tcBorders>
          </w:tcPr>
          <w:p>
            <w:pPr>
              <w:spacing w:after="0"/>
              <w:rPr>
                <w:sz w:val="16"/>
                <w:szCs w:val="16"/>
                <w:color w:val="auto"/>
              </w:rPr>
            </w:pPr>
          </w:p>
        </w:tc>
        <w:tc>
          <w:tcPr>
            <w:tcW w:w="3120" w:type="dxa"/>
            <w:vAlign w:val="bottom"/>
            <w:tcBorders>
              <w:bottom w:val="single" w:sz="8" w:color="auto"/>
            </w:tcBorders>
            <w:gridSpan w:val="2"/>
          </w:tcPr>
          <w:p>
            <w:pPr>
              <w:spacing w:after="0" w:line="194" w:lineRule="exact"/>
              <w:rPr>
                <w:sz w:val="20"/>
                <w:szCs w:val="20"/>
                <w:color w:val="auto"/>
              </w:rPr>
            </w:pPr>
            <w:r>
              <w:rPr>
                <w:rFonts w:ascii="Times New Roman" w:cs="Times New Roman" w:eastAsia="Times New Roman" w:hAnsi="Times New Roman"/>
                <w:sz w:val="18"/>
                <w:szCs w:val="18"/>
                <w:color w:val="auto"/>
              </w:rPr>
              <w:t>period</w:t>
            </w:r>
          </w:p>
        </w:tc>
        <w:tc>
          <w:tcPr>
            <w:tcW w:w="60" w:type="dxa"/>
            <w:vAlign w:val="bottom"/>
            <w:tcBorders>
              <w:bottom w:val="single" w:sz="8" w:color="auto"/>
            </w:tcBorders>
          </w:tcPr>
          <w:p>
            <w:pPr>
              <w:spacing w:after="0"/>
              <w:rPr>
                <w:sz w:val="16"/>
                <w:szCs w:val="16"/>
                <w:color w:val="auto"/>
              </w:rPr>
            </w:pPr>
          </w:p>
        </w:tc>
        <w:tc>
          <w:tcPr>
            <w:tcW w:w="6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76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26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90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1010285</wp:posOffset>
                </wp:positionH>
                <wp:positionV relativeFrom="paragraph">
                  <wp:posOffset>-829310</wp:posOffset>
                </wp:positionV>
                <wp:extent cx="5495290" cy="0"/>
                <wp:wrapNone/>
                <wp:docPr id="30" name="Shape 30"/>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5495290" cy="4763"/>
                        </a:xfrm>
                        <a:prstGeom prst="line">
                          <a:avLst/>
                        </a:prstGeom>
                        <a:solidFill>
                          <a:srgbClr val="FFFFFF"/>
                        </a:solidFill>
                        <a:ln w="4572">
                          <a:solidFill>
                            <a:srgbClr val="FFFFFF"/>
                          </a:solidFill>
                          <a:miter lim="800000"/>
                          <a:headEnd/>
                          <a:tailEnd/>
                        </a:ln>
                      </wps:spPr>
                      <wps:bodyPr/>
                    </wps:wsp>
                  </a:graphicData>
                </a:graphic>
              </wp:anchor>
            </w:drawing>
          </mc:Choice>
          <mc:Fallback>
            <w:pict>
              <v:line id="Shape 30" o:spid="_x0000_s1055"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79.55pt,-65.2999pt" to="512.25pt,-65.2999pt" o:allowincell="f" strokecolor="#FFFFFF" strokeweight="0.36pt"/>
            </w:pict>
          </mc:Fallback>
        </mc:AlternateContent>
      </w:r>
    </w:p>
    <w:p>
      <w:pPr>
        <w:spacing w:after="0" w:line="90" w:lineRule="exact"/>
        <w:rPr>
          <w:sz w:val="20"/>
          <w:szCs w:val="20"/>
          <w:color w:val="auto"/>
        </w:rPr>
      </w:pPr>
    </w:p>
    <w:p>
      <w:pPr>
        <w:ind w:left="7"/>
        <w:spacing w:after="0"/>
        <w:rPr>
          <w:sz w:val="20"/>
          <w:szCs w:val="20"/>
          <w:color w:val="auto"/>
        </w:rPr>
      </w:pPr>
      <w:r>
        <w:rPr>
          <w:rFonts w:ascii="Times New Roman" w:cs="Times New Roman" w:eastAsia="Times New Roman" w:hAnsi="Times New Roman"/>
          <w:sz w:val="16"/>
          <w:szCs w:val="16"/>
          <w:color w:val="auto"/>
        </w:rPr>
        <w:t>___________________________</w:t>
      </w:r>
    </w:p>
    <w:p>
      <w:pPr>
        <w:spacing w:after="0" w:line="54" w:lineRule="exact"/>
        <w:rPr>
          <w:sz w:val="20"/>
          <w:szCs w:val="20"/>
          <w:color w:val="auto"/>
        </w:rPr>
      </w:pPr>
    </w:p>
    <w:p>
      <w:pPr>
        <w:ind w:left="367" w:hanging="366"/>
        <w:spacing w:after="0"/>
        <w:tabs>
          <w:tab w:leader="none" w:pos="367" w:val="left"/>
        </w:tabs>
        <w:numPr>
          <w:ilvl w:val="0"/>
          <w:numId w:val="5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Excludes Mr. Francis, who was not a participant in the Severance Plan as of December 31, 2023.</w:t>
      </w:r>
    </w:p>
    <w:p>
      <w:pPr>
        <w:spacing w:after="0" w:line="46" w:lineRule="exact"/>
        <w:rPr>
          <w:rFonts w:ascii="Times New Roman" w:cs="Times New Roman" w:eastAsia="Times New Roman" w:hAnsi="Times New Roman"/>
          <w:sz w:val="16"/>
          <w:szCs w:val="16"/>
          <w:color w:val="auto"/>
        </w:rPr>
      </w:pPr>
    </w:p>
    <w:p>
      <w:pPr>
        <w:ind w:left="367" w:hanging="366"/>
        <w:spacing w:after="0"/>
        <w:tabs>
          <w:tab w:leader="none" w:pos="367" w:val="left"/>
        </w:tabs>
        <w:numPr>
          <w:ilvl w:val="0"/>
          <w:numId w:val="5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market value of equity acceleration is calculated based on the closing price of our common stock as of December 31, 2023 of $0.7203 per share.</w:t>
      </w:r>
    </w:p>
    <w:p>
      <w:pPr>
        <w:spacing w:after="0" w:line="53" w:lineRule="exact"/>
        <w:rPr>
          <w:rFonts w:ascii="Times New Roman" w:cs="Times New Roman" w:eastAsia="Times New Roman" w:hAnsi="Times New Roman"/>
          <w:sz w:val="16"/>
          <w:szCs w:val="16"/>
          <w:color w:val="auto"/>
        </w:rPr>
      </w:pPr>
    </w:p>
    <w:p>
      <w:pPr>
        <w:ind w:left="367" w:hanging="366"/>
        <w:spacing w:after="0"/>
        <w:tabs>
          <w:tab w:leader="none" w:pos="367" w:val="left"/>
        </w:tabs>
        <w:numPr>
          <w:ilvl w:val="0"/>
          <w:numId w:val="5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remaining unvested RSU award vests on June 16, 2024, subject to continued service with us.</w:t>
      </w:r>
    </w:p>
    <w:p>
      <w:pPr>
        <w:spacing w:after="0" w:line="142" w:lineRule="exact"/>
        <w:rPr>
          <w:sz w:val="20"/>
          <w:szCs w:val="20"/>
          <w:color w:val="auto"/>
        </w:rPr>
      </w:pPr>
    </w:p>
    <w:p>
      <w:pPr>
        <w:ind w:left="7"/>
        <w:spacing w:after="0"/>
        <w:rPr>
          <w:sz w:val="20"/>
          <w:szCs w:val="20"/>
          <w:color w:val="auto"/>
        </w:rPr>
      </w:pPr>
      <w:r>
        <w:rPr>
          <w:rFonts w:ascii="Times New Roman" w:cs="Times New Roman" w:eastAsia="Times New Roman" w:hAnsi="Times New Roman"/>
          <w:sz w:val="20"/>
          <w:szCs w:val="20"/>
          <w:b w:val="1"/>
          <w:bCs w:val="1"/>
          <w:color w:val="auto"/>
        </w:rPr>
        <w:t>Pension Benefits</w:t>
      </w:r>
    </w:p>
    <w:p>
      <w:pPr>
        <w:spacing w:after="0" w:line="168" w:lineRule="exact"/>
        <w:rPr>
          <w:sz w:val="20"/>
          <w:szCs w:val="20"/>
          <w:color w:val="auto"/>
        </w:rPr>
      </w:pPr>
    </w:p>
    <w:p>
      <w:pPr>
        <w:ind w:left="7" w:right="20"/>
        <w:spacing w:after="0" w:line="326" w:lineRule="auto"/>
        <w:rPr>
          <w:sz w:val="20"/>
          <w:szCs w:val="20"/>
          <w:color w:val="auto"/>
        </w:rPr>
      </w:pPr>
      <w:r>
        <w:rPr>
          <w:rFonts w:ascii="Times New Roman" w:cs="Times New Roman" w:eastAsia="Times New Roman" w:hAnsi="Times New Roman"/>
          <w:sz w:val="20"/>
          <w:szCs w:val="20"/>
          <w:color w:val="auto"/>
        </w:rPr>
        <w:t>Our Named Executive Officers did not participate in, or otherwise receive any benefits under, any pension or retirement plan sponsored by us during 2023 other than the 401(k) Plan.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0" w:lineRule="exact"/>
        <w:rPr>
          <w:sz w:val="20"/>
          <w:szCs w:val="20"/>
          <w:color w:val="auto"/>
        </w:rPr>
      </w:pPr>
    </w:p>
    <w:p>
      <w:pPr>
        <w:jc w:val="center"/>
        <w:ind w:right="13"/>
        <w:spacing w:after="0"/>
        <w:rPr>
          <w:sz w:val="20"/>
          <w:szCs w:val="20"/>
          <w:color w:val="auto"/>
        </w:rPr>
      </w:pPr>
      <w:r>
        <w:rPr>
          <w:rFonts w:ascii="Times New Roman" w:cs="Times New Roman" w:eastAsia="Times New Roman" w:hAnsi="Times New Roman"/>
          <w:sz w:val="20"/>
          <w:szCs w:val="20"/>
          <w:color w:val="auto"/>
        </w:rPr>
        <w:t>96</w:t>
      </w:r>
    </w:p>
    <w:p>
      <w:pPr>
        <w:sectPr>
          <w:pgSz w:w="12240" w:h="15840" w:orient="portrait"/>
          <w:cols w:equalWidth="0" w:num="1">
            <w:col w:w="10267"/>
          </w:cols>
          <w:pgMar w:left="993" w:top="888" w:right="980" w:bottom="222" w:gutter="0" w:footer="0" w:header="0"/>
        </w:sectPr>
      </w:pPr>
    </w:p>
    <w:bookmarkStart w:id="100" w:name="page101"/>
    <w:bookmarkEnd w:id="100"/>
    <w:p>
      <w:pPr>
        <w:ind w:left="7"/>
        <w:spacing w:after="0"/>
        <w:rPr>
          <w:sz w:val="20"/>
          <w:szCs w:val="20"/>
          <w:color w:val="auto"/>
        </w:rPr>
      </w:pPr>
      <w:r>
        <w:rPr>
          <w:rFonts w:ascii="Times New Roman" w:cs="Times New Roman" w:eastAsia="Times New Roman" w:hAnsi="Times New Roman"/>
          <w:sz w:val="20"/>
          <w:szCs w:val="20"/>
          <w:b w:val="1"/>
          <w:bCs w:val="1"/>
          <w:color w:val="auto"/>
        </w:rPr>
        <w:t>Clawback Policy</w:t>
      </w:r>
    </w:p>
    <w:p>
      <w:pPr>
        <w:spacing w:after="0" w:line="168" w:lineRule="exact"/>
        <w:rPr>
          <w:sz w:val="20"/>
          <w:szCs w:val="20"/>
          <w:color w:val="auto"/>
        </w:rPr>
      </w:pPr>
    </w:p>
    <w:p>
      <w:pPr>
        <w:jc w:val="both"/>
        <w:ind w:left="7"/>
        <w:spacing w:after="0" w:line="326" w:lineRule="auto"/>
        <w:rPr>
          <w:sz w:val="20"/>
          <w:szCs w:val="20"/>
          <w:color w:val="auto"/>
        </w:rPr>
      </w:pPr>
      <w:r>
        <w:rPr>
          <w:rFonts w:ascii="Times New Roman" w:cs="Times New Roman" w:eastAsia="Times New Roman" w:hAnsi="Times New Roman"/>
          <w:sz w:val="20"/>
          <w:szCs w:val="20"/>
          <w:color w:val="auto"/>
        </w:rPr>
        <w:t>In 2023, we adopted our Incentive Compensation Recoupment Policy in compliance with requirements under the Dodd Frank Wall Street Reform and Consumer Protection Act and related Nasdaq listing rules.</w:t>
      </w:r>
    </w:p>
    <w:p>
      <w:pPr>
        <w:spacing w:after="0" w:line="43" w:lineRule="exact"/>
        <w:rPr>
          <w:sz w:val="20"/>
          <w:szCs w:val="20"/>
          <w:color w:val="auto"/>
        </w:rPr>
      </w:pPr>
    </w:p>
    <w:p>
      <w:pPr>
        <w:ind w:left="7"/>
        <w:spacing w:after="0"/>
        <w:rPr>
          <w:sz w:val="20"/>
          <w:szCs w:val="20"/>
          <w:color w:val="auto"/>
        </w:rPr>
      </w:pPr>
      <w:r>
        <w:rPr>
          <w:rFonts w:ascii="Times New Roman" w:cs="Times New Roman" w:eastAsia="Times New Roman" w:hAnsi="Times New Roman"/>
          <w:sz w:val="20"/>
          <w:szCs w:val="20"/>
          <w:b w:val="1"/>
          <w:bCs w:val="1"/>
          <w:color w:val="auto"/>
        </w:rPr>
        <w:t>Director Compensation</w:t>
      </w:r>
    </w:p>
    <w:p>
      <w:pPr>
        <w:spacing w:after="0" w:line="170" w:lineRule="exact"/>
        <w:rPr>
          <w:sz w:val="20"/>
          <w:szCs w:val="20"/>
          <w:color w:val="auto"/>
        </w:rPr>
      </w:pPr>
    </w:p>
    <w:p>
      <w:pPr>
        <w:ind w:left="7"/>
        <w:spacing w:after="0"/>
        <w:rPr>
          <w:sz w:val="20"/>
          <w:szCs w:val="20"/>
          <w:color w:val="auto"/>
        </w:rPr>
      </w:pPr>
      <w:r>
        <w:rPr>
          <w:rFonts w:ascii="Times New Roman" w:cs="Times New Roman" w:eastAsia="Times New Roman" w:hAnsi="Times New Roman"/>
          <w:sz w:val="20"/>
          <w:szCs w:val="20"/>
          <w:b w:val="1"/>
          <w:bCs w:val="1"/>
          <w:i w:val="1"/>
          <w:iCs w:val="1"/>
          <w:color w:val="auto"/>
        </w:rPr>
        <w:t>Non-Employee Director Compensation</w:t>
      </w:r>
    </w:p>
    <w:p>
      <w:pPr>
        <w:spacing w:after="0" w:line="164" w:lineRule="exact"/>
        <w:rPr>
          <w:sz w:val="20"/>
          <w:szCs w:val="20"/>
          <w:color w:val="auto"/>
        </w:rPr>
      </w:pPr>
    </w:p>
    <w:p>
      <w:pPr>
        <w:jc w:val="both"/>
        <w:ind w:left="7"/>
        <w:spacing w:after="0" w:line="299" w:lineRule="auto"/>
        <w:rPr>
          <w:sz w:val="20"/>
          <w:szCs w:val="20"/>
          <w:color w:val="auto"/>
        </w:rPr>
      </w:pPr>
      <w:r>
        <w:rPr>
          <w:rFonts w:ascii="Times New Roman" w:cs="Times New Roman" w:eastAsia="Times New Roman" w:hAnsi="Times New Roman"/>
          <w:sz w:val="20"/>
          <w:szCs w:val="20"/>
          <w:color w:val="auto"/>
        </w:rPr>
        <w:t>In 2023, we compensated our non-employee directors in accordance with a Non-Employee Director Compensation Policy established by our Compensation Committee in consultation with the Board, compensation consultants, Chief Executive Officer, and other members of our senior management team. The Non-Employee Director Compensation Policy is intended to provide a total compensation package that enables us to attract and retain, on a long-term basis, high-caliber directors who are not our employees or officers.</w:t>
      </w:r>
    </w:p>
    <w:p>
      <w:pPr>
        <w:spacing w:after="0" w:line="72" w:lineRule="exact"/>
        <w:rPr>
          <w:sz w:val="20"/>
          <w:szCs w:val="20"/>
          <w:color w:val="auto"/>
        </w:rPr>
      </w:pPr>
    </w:p>
    <w:p>
      <w:pPr>
        <w:jc w:val="both"/>
        <w:ind w:left="7"/>
        <w:spacing w:after="0" w:line="326" w:lineRule="auto"/>
        <w:rPr>
          <w:sz w:val="20"/>
          <w:szCs w:val="20"/>
          <w:color w:val="auto"/>
        </w:rPr>
      </w:pPr>
      <w:r>
        <w:rPr>
          <w:rFonts w:ascii="Times New Roman" w:cs="Times New Roman" w:eastAsia="Times New Roman" w:hAnsi="Times New Roman"/>
          <w:sz w:val="20"/>
          <w:szCs w:val="20"/>
          <w:color w:val="auto"/>
        </w:rPr>
        <w:t>The Non-Employee Director Compensation Policy was amended in 2023 with changes effective on 1/1/2023. The Non-Employee Director Compensation Policy that was effective for 2023 consisted of the following elements:</w:t>
      </w:r>
    </w:p>
    <w:p>
      <w:pPr>
        <w:spacing w:after="0" w:line="94" w:lineRule="exact"/>
        <w:rPr>
          <w:sz w:val="20"/>
          <w:szCs w:val="20"/>
          <w:color w:val="auto"/>
        </w:rPr>
      </w:pPr>
    </w:p>
    <w:tbl>
      <w:tblPr>
        <w:tblLayout w:type="fixed"/>
        <w:tblInd w:w="7" w:type="dxa"/>
        <w:tblCellMar>
          <w:top w:w="0" w:type="dxa"/>
          <w:left w:w="0" w:type="dxa"/>
          <w:bottom w:w="0" w:type="dxa"/>
          <w:right w:w="0" w:type="dxa"/>
        </w:tblCellMar>
      </w:tblPr>
      <w:tr>
        <w:trPr>
          <w:trHeight w:val="281"/>
        </w:trPr>
        <w:tc>
          <w:tcPr>
            <w:tcW w:w="8740" w:type="dxa"/>
            <w:vAlign w:val="bottom"/>
          </w:tcPr>
          <w:p>
            <w:pPr>
              <w:ind w:left="40"/>
              <w:spacing w:after="0"/>
              <w:rPr>
                <w:sz w:val="20"/>
                <w:szCs w:val="20"/>
                <w:color w:val="auto"/>
              </w:rPr>
            </w:pPr>
            <w:r>
              <w:rPr>
                <w:rFonts w:ascii="Times New Roman" w:cs="Times New Roman" w:eastAsia="Times New Roman" w:hAnsi="Times New Roman"/>
                <w:sz w:val="20"/>
                <w:szCs w:val="20"/>
                <w:b w:val="1"/>
                <w:bCs w:val="1"/>
                <w:color w:val="auto"/>
              </w:rPr>
              <w:t>Description of Non-Employee Director Compensation</w:t>
            </w:r>
          </w:p>
        </w:tc>
        <w:tc>
          <w:tcPr>
            <w:tcW w:w="1520" w:type="dxa"/>
            <w:vAlign w:val="bottom"/>
          </w:tcPr>
          <w:p>
            <w:pPr>
              <w:jc w:val="right"/>
              <w:ind w:right="99"/>
              <w:spacing w:after="0"/>
              <w:rPr>
                <w:sz w:val="20"/>
                <w:szCs w:val="20"/>
                <w:color w:val="auto"/>
              </w:rPr>
            </w:pPr>
            <w:r>
              <w:rPr>
                <w:rFonts w:ascii="Times New Roman" w:cs="Times New Roman" w:eastAsia="Times New Roman" w:hAnsi="Times New Roman"/>
                <w:sz w:val="20"/>
                <w:szCs w:val="20"/>
                <w:b w:val="1"/>
                <w:bCs w:val="1"/>
                <w:color w:val="auto"/>
              </w:rPr>
              <w:t>Amount ($)</w:t>
            </w:r>
          </w:p>
        </w:tc>
      </w:tr>
      <w:tr>
        <w:trPr>
          <w:trHeight w:val="320"/>
        </w:trPr>
        <w:tc>
          <w:tcPr>
            <w:tcW w:w="8740" w:type="dxa"/>
            <w:vAlign w:val="bottom"/>
            <w:shd w:val="clear" w:color="auto" w:fill="DDDDDD"/>
          </w:tcPr>
          <w:p>
            <w:pPr>
              <w:ind w:left="400"/>
              <w:spacing w:after="0"/>
              <w:rPr>
                <w:sz w:val="20"/>
                <w:szCs w:val="20"/>
                <w:color w:val="auto"/>
              </w:rPr>
            </w:pPr>
            <w:r>
              <w:rPr>
                <w:rFonts w:ascii="Times New Roman" w:cs="Times New Roman" w:eastAsia="Times New Roman" w:hAnsi="Times New Roman"/>
                <w:sz w:val="20"/>
                <w:szCs w:val="20"/>
                <w:b w:val="1"/>
                <w:bCs w:val="1"/>
                <w:color w:val="auto"/>
              </w:rPr>
              <w:t>Annual Retainer for Board Membership</w:t>
            </w:r>
            <w:r>
              <w:rPr>
                <w:rFonts w:ascii="Times New Roman" w:cs="Times New Roman" w:eastAsia="Times New Roman" w:hAnsi="Times New Roman"/>
                <w:sz w:val="25"/>
                <w:szCs w:val="25"/>
                <w:b w:val="1"/>
                <w:bCs w:val="1"/>
                <w:color w:val="auto"/>
                <w:vertAlign w:val="superscript"/>
              </w:rPr>
              <w:t>(1)(2)</w:t>
            </w:r>
          </w:p>
        </w:tc>
        <w:tc>
          <w:tcPr>
            <w:tcW w:w="1520" w:type="dxa"/>
            <w:vAlign w:val="bottom"/>
            <w:shd w:val="clear" w:color="auto" w:fill="DDDDDD"/>
          </w:tcPr>
          <w:p>
            <w:pPr>
              <w:jc w:val="right"/>
              <w:spacing w:after="0"/>
              <w:rPr>
                <w:sz w:val="20"/>
                <w:szCs w:val="20"/>
                <w:color w:val="auto"/>
              </w:rPr>
            </w:pPr>
            <w:r>
              <w:rPr>
                <w:rFonts w:ascii="Times New Roman" w:cs="Times New Roman" w:eastAsia="Times New Roman" w:hAnsi="Times New Roman"/>
                <w:sz w:val="20"/>
                <w:szCs w:val="20"/>
                <w:color w:val="auto"/>
              </w:rPr>
              <w:t>50,000</w:t>
            </w:r>
          </w:p>
        </w:tc>
      </w:tr>
      <w:tr>
        <w:trPr>
          <w:trHeight w:val="317"/>
        </w:trPr>
        <w:tc>
          <w:tcPr>
            <w:tcW w:w="8740" w:type="dxa"/>
            <w:vAlign w:val="bottom"/>
          </w:tcPr>
          <w:p>
            <w:pPr>
              <w:ind w:left="400"/>
              <w:spacing w:after="0"/>
              <w:rPr>
                <w:sz w:val="20"/>
                <w:szCs w:val="20"/>
                <w:color w:val="auto"/>
              </w:rPr>
            </w:pPr>
            <w:r>
              <w:rPr>
                <w:rFonts w:ascii="Times New Roman" w:cs="Times New Roman" w:eastAsia="Times New Roman" w:hAnsi="Times New Roman"/>
                <w:sz w:val="20"/>
                <w:szCs w:val="20"/>
                <w:b w:val="1"/>
                <w:bCs w:val="1"/>
                <w:color w:val="auto"/>
              </w:rPr>
              <w:t>New Director Grant of RSUs for New Non-Employee Directors</w:t>
            </w:r>
            <w:r>
              <w:rPr>
                <w:rFonts w:ascii="Times New Roman" w:cs="Times New Roman" w:eastAsia="Times New Roman" w:hAnsi="Times New Roman"/>
                <w:sz w:val="25"/>
                <w:szCs w:val="25"/>
                <w:b w:val="1"/>
                <w:bCs w:val="1"/>
                <w:color w:val="auto"/>
                <w:vertAlign w:val="superscript"/>
              </w:rPr>
              <w:t>(3)(4)</w:t>
            </w:r>
          </w:p>
        </w:tc>
        <w:tc>
          <w:tcPr>
            <w:tcW w:w="15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200,000</w:t>
            </w:r>
          </w:p>
        </w:tc>
      </w:tr>
      <w:tr>
        <w:trPr>
          <w:trHeight w:val="317"/>
        </w:trPr>
        <w:tc>
          <w:tcPr>
            <w:tcW w:w="8740" w:type="dxa"/>
            <w:vAlign w:val="bottom"/>
            <w:shd w:val="clear" w:color="auto" w:fill="DDDDDD"/>
          </w:tcPr>
          <w:p>
            <w:pPr>
              <w:ind w:left="400"/>
              <w:spacing w:after="0"/>
              <w:rPr>
                <w:sz w:val="20"/>
                <w:szCs w:val="20"/>
                <w:color w:val="auto"/>
              </w:rPr>
            </w:pPr>
            <w:r>
              <w:rPr>
                <w:rFonts w:ascii="Times New Roman" w:cs="Times New Roman" w:eastAsia="Times New Roman" w:hAnsi="Times New Roman"/>
                <w:sz w:val="20"/>
                <w:szCs w:val="20"/>
                <w:b w:val="1"/>
                <w:bCs w:val="1"/>
                <w:color w:val="auto"/>
              </w:rPr>
              <w:t>Initial Term Grants for Existing Non-Employee Directors</w:t>
            </w:r>
            <w:r>
              <w:rPr>
                <w:rFonts w:ascii="Times New Roman" w:cs="Times New Roman" w:eastAsia="Times New Roman" w:hAnsi="Times New Roman"/>
                <w:sz w:val="25"/>
                <w:szCs w:val="25"/>
                <w:b w:val="1"/>
                <w:bCs w:val="1"/>
                <w:color w:val="auto"/>
                <w:vertAlign w:val="superscript"/>
              </w:rPr>
              <w:t>(4)(5)</w:t>
            </w:r>
          </w:p>
        </w:tc>
        <w:tc>
          <w:tcPr>
            <w:tcW w:w="1520" w:type="dxa"/>
            <w:vAlign w:val="bottom"/>
            <w:shd w:val="clear" w:color="auto" w:fill="DDDDDD"/>
          </w:tcPr>
          <w:p>
            <w:pPr>
              <w:jc w:val="right"/>
              <w:spacing w:after="0"/>
              <w:rPr>
                <w:sz w:val="20"/>
                <w:szCs w:val="20"/>
                <w:color w:val="auto"/>
              </w:rPr>
            </w:pPr>
            <w:r>
              <w:rPr>
                <w:rFonts w:ascii="Times New Roman" w:cs="Times New Roman" w:eastAsia="Times New Roman" w:hAnsi="Times New Roman"/>
                <w:sz w:val="20"/>
                <w:szCs w:val="20"/>
                <w:color w:val="auto"/>
              </w:rPr>
              <w:t>200,000</w:t>
            </w:r>
          </w:p>
        </w:tc>
      </w:tr>
      <w:tr>
        <w:trPr>
          <w:trHeight w:val="310"/>
        </w:trPr>
        <w:tc>
          <w:tcPr>
            <w:tcW w:w="8740" w:type="dxa"/>
            <w:vAlign w:val="bottom"/>
          </w:tcPr>
          <w:p>
            <w:pPr>
              <w:ind w:left="400"/>
              <w:spacing w:after="0"/>
              <w:rPr>
                <w:sz w:val="20"/>
                <w:szCs w:val="20"/>
                <w:color w:val="auto"/>
              </w:rPr>
            </w:pPr>
            <w:r>
              <w:rPr>
                <w:rFonts w:ascii="Times New Roman" w:cs="Times New Roman" w:eastAsia="Times New Roman" w:hAnsi="Times New Roman"/>
                <w:sz w:val="20"/>
                <w:szCs w:val="20"/>
                <w:b w:val="1"/>
                <w:bCs w:val="1"/>
                <w:color w:val="auto"/>
              </w:rPr>
              <w:t>Annual RSU Grant for All Non-Employee Directors</w:t>
            </w:r>
            <w:r>
              <w:rPr>
                <w:rFonts w:ascii="Times New Roman" w:cs="Times New Roman" w:eastAsia="Times New Roman" w:hAnsi="Times New Roman"/>
                <w:sz w:val="25"/>
                <w:szCs w:val="25"/>
                <w:b w:val="1"/>
                <w:bCs w:val="1"/>
                <w:color w:val="auto"/>
                <w:vertAlign w:val="superscript"/>
              </w:rPr>
              <w:t>(5)(6)</w:t>
            </w:r>
          </w:p>
        </w:tc>
        <w:tc>
          <w:tcPr>
            <w:tcW w:w="15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200,000</w:t>
            </w:r>
          </w:p>
        </w:tc>
      </w:tr>
      <w:tr>
        <w:trPr>
          <w:trHeight w:val="317"/>
        </w:trPr>
        <w:tc>
          <w:tcPr>
            <w:tcW w:w="8740" w:type="dxa"/>
            <w:vAlign w:val="bottom"/>
            <w:shd w:val="clear" w:color="auto" w:fill="DDDDDD"/>
          </w:tcPr>
          <w:p>
            <w:pPr>
              <w:ind w:left="400"/>
              <w:spacing w:after="0"/>
              <w:rPr>
                <w:sz w:val="20"/>
                <w:szCs w:val="20"/>
                <w:color w:val="auto"/>
              </w:rPr>
            </w:pPr>
            <w:r>
              <w:rPr>
                <w:rFonts w:ascii="Times New Roman" w:cs="Times New Roman" w:eastAsia="Times New Roman" w:hAnsi="Times New Roman"/>
                <w:sz w:val="20"/>
                <w:szCs w:val="20"/>
                <w:b w:val="1"/>
                <w:bCs w:val="1"/>
                <w:color w:val="auto"/>
              </w:rPr>
              <w:t>Committee Additional Cash Retainer</w:t>
            </w:r>
          </w:p>
        </w:tc>
        <w:tc>
          <w:tcPr>
            <w:tcW w:w="1520" w:type="dxa"/>
            <w:vAlign w:val="bottom"/>
            <w:shd w:val="clear" w:color="auto" w:fill="DDDDDD"/>
          </w:tcPr>
          <w:p>
            <w:pPr>
              <w:spacing w:after="0"/>
              <w:rPr>
                <w:sz w:val="24"/>
                <w:szCs w:val="24"/>
                <w:color w:val="auto"/>
              </w:rPr>
            </w:pPr>
          </w:p>
        </w:tc>
      </w:tr>
      <w:tr>
        <w:trPr>
          <w:trHeight w:val="317"/>
        </w:trPr>
        <w:tc>
          <w:tcPr>
            <w:tcW w:w="8740" w:type="dxa"/>
            <w:vAlign w:val="bottom"/>
          </w:tcPr>
          <w:p>
            <w:pPr>
              <w:ind w:left="760"/>
              <w:spacing w:after="0"/>
              <w:rPr>
                <w:sz w:val="20"/>
                <w:szCs w:val="20"/>
                <w:color w:val="auto"/>
              </w:rPr>
            </w:pPr>
            <w:r>
              <w:rPr>
                <w:rFonts w:ascii="Times New Roman" w:cs="Times New Roman" w:eastAsia="Times New Roman" w:hAnsi="Times New Roman"/>
                <w:sz w:val="20"/>
                <w:szCs w:val="20"/>
                <w:color w:val="auto"/>
              </w:rPr>
              <w:t>Audit Committee Chairperson</w:t>
            </w:r>
            <w:r>
              <w:rPr>
                <w:rFonts w:ascii="Times New Roman" w:cs="Times New Roman" w:eastAsia="Times New Roman" w:hAnsi="Times New Roman"/>
                <w:sz w:val="25"/>
                <w:szCs w:val="25"/>
                <w:color w:val="auto"/>
                <w:vertAlign w:val="superscript"/>
              </w:rPr>
              <w:t>(1)(2)</w:t>
            </w:r>
          </w:p>
        </w:tc>
        <w:tc>
          <w:tcPr>
            <w:tcW w:w="15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20,000</w:t>
            </w:r>
          </w:p>
        </w:tc>
      </w:tr>
      <w:tr>
        <w:trPr>
          <w:trHeight w:val="317"/>
        </w:trPr>
        <w:tc>
          <w:tcPr>
            <w:tcW w:w="8740" w:type="dxa"/>
            <w:vAlign w:val="bottom"/>
            <w:shd w:val="clear" w:color="auto" w:fill="DDDDDD"/>
          </w:tcPr>
          <w:p>
            <w:pPr>
              <w:ind w:left="760"/>
              <w:spacing w:after="0"/>
              <w:rPr>
                <w:sz w:val="20"/>
                <w:szCs w:val="20"/>
                <w:color w:val="auto"/>
              </w:rPr>
            </w:pPr>
            <w:r>
              <w:rPr>
                <w:rFonts w:ascii="Times New Roman" w:cs="Times New Roman" w:eastAsia="Times New Roman" w:hAnsi="Times New Roman"/>
                <w:sz w:val="20"/>
                <w:szCs w:val="20"/>
                <w:color w:val="auto"/>
              </w:rPr>
              <w:t>Audit Committee member (other than Chairperson)</w:t>
            </w:r>
            <w:r>
              <w:rPr>
                <w:rFonts w:ascii="Times New Roman" w:cs="Times New Roman" w:eastAsia="Times New Roman" w:hAnsi="Times New Roman"/>
                <w:sz w:val="25"/>
                <w:szCs w:val="25"/>
                <w:color w:val="auto"/>
                <w:vertAlign w:val="superscript"/>
              </w:rPr>
              <w:t>(1)(2)</w:t>
            </w:r>
          </w:p>
        </w:tc>
        <w:tc>
          <w:tcPr>
            <w:tcW w:w="1520" w:type="dxa"/>
            <w:vAlign w:val="bottom"/>
            <w:shd w:val="clear" w:color="auto" w:fill="DDDDDD"/>
          </w:tcPr>
          <w:p>
            <w:pPr>
              <w:jc w:val="right"/>
              <w:spacing w:after="0"/>
              <w:rPr>
                <w:sz w:val="20"/>
                <w:szCs w:val="20"/>
                <w:color w:val="auto"/>
              </w:rPr>
            </w:pPr>
            <w:r>
              <w:rPr>
                <w:rFonts w:ascii="Times New Roman" w:cs="Times New Roman" w:eastAsia="Times New Roman" w:hAnsi="Times New Roman"/>
                <w:sz w:val="20"/>
                <w:szCs w:val="20"/>
                <w:color w:val="auto"/>
              </w:rPr>
              <w:t>10,000</w:t>
            </w:r>
          </w:p>
        </w:tc>
      </w:tr>
      <w:tr>
        <w:trPr>
          <w:trHeight w:val="310"/>
        </w:trPr>
        <w:tc>
          <w:tcPr>
            <w:tcW w:w="8740" w:type="dxa"/>
            <w:vAlign w:val="bottom"/>
          </w:tcPr>
          <w:p>
            <w:pPr>
              <w:ind w:left="760"/>
              <w:spacing w:after="0"/>
              <w:rPr>
                <w:sz w:val="20"/>
                <w:szCs w:val="20"/>
                <w:color w:val="auto"/>
              </w:rPr>
            </w:pPr>
            <w:r>
              <w:rPr>
                <w:rFonts w:ascii="Times New Roman" w:cs="Times New Roman" w:eastAsia="Times New Roman" w:hAnsi="Times New Roman"/>
                <w:sz w:val="20"/>
                <w:szCs w:val="20"/>
                <w:color w:val="auto"/>
              </w:rPr>
              <w:t xml:space="preserve">Compensation Committee Chairperson </w:t>
            </w:r>
            <w:r>
              <w:rPr>
                <w:rFonts w:ascii="Times New Roman" w:cs="Times New Roman" w:eastAsia="Times New Roman" w:hAnsi="Times New Roman"/>
                <w:sz w:val="25"/>
                <w:szCs w:val="25"/>
                <w:color w:val="auto"/>
                <w:vertAlign w:val="superscript"/>
              </w:rPr>
              <w:t>(1)(2)</w:t>
            </w:r>
          </w:p>
        </w:tc>
        <w:tc>
          <w:tcPr>
            <w:tcW w:w="15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15,000</w:t>
            </w:r>
          </w:p>
        </w:tc>
      </w:tr>
      <w:tr>
        <w:trPr>
          <w:trHeight w:val="317"/>
        </w:trPr>
        <w:tc>
          <w:tcPr>
            <w:tcW w:w="8740" w:type="dxa"/>
            <w:vAlign w:val="bottom"/>
            <w:shd w:val="clear" w:color="auto" w:fill="DDDDDD"/>
          </w:tcPr>
          <w:p>
            <w:pPr>
              <w:ind w:left="760"/>
              <w:spacing w:after="0"/>
              <w:rPr>
                <w:sz w:val="20"/>
                <w:szCs w:val="20"/>
                <w:color w:val="auto"/>
              </w:rPr>
            </w:pPr>
            <w:r>
              <w:rPr>
                <w:rFonts w:ascii="Times New Roman" w:cs="Times New Roman" w:eastAsia="Times New Roman" w:hAnsi="Times New Roman"/>
                <w:sz w:val="20"/>
                <w:szCs w:val="20"/>
                <w:color w:val="auto"/>
              </w:rPr>
              <w:t>Compensation Committee member (other than Chairperson)</w:t>
            </w:r>
            <w:r>
              <w:rPr>
                <w:rFonts w:ascii="Times New Roman" w:cs="Times New Roman" w:eastAsia="Times New Roman" w:hAnsi="Times New Roman"/>
                <w:sz w:val="25"/>
                <w:szCs w:val="25"/>
                <w:color w:val="auto"/>
                <w:vertAlign w:val="superscript"/>
              </w:rPr>
              <w:t>(1)(2)</w:t>
            </w:r>
          </w:p>
        </w:tc>
        <w:tc>
          <w:tcPr>
            <w:tcW w:w="1520" w:type="dxa"/>
            <w:vAlign w:val="bottom"/>
            <w:shd w:val="clear" w:color="auto" w:fill="DDDDDD"/>
          </w:tcPr>
          <w:p>
            <w:pPr>
              <w:jc w:val="right"/>
              <w:spacing w:after="0"/>
              <w:rPr>
                <w:sz w:val="20"/>
                <w:szCs w:val="20"/>
                <w:color w:val="auto"/>
              </w:rPr>
            </w:pPr>
            <w:r>
              <w:rPr>
                <w:rFonts w:ascii="Times New Roman" w:cs="Times New Roman" w:eastAsia="Times New Roman" w:hAnsi="Times New Roman"/>
                <w:sz w:val="20"/>
                <w:szCs w:val="20"/>
                <w:color w:val="auto"/>
              </w:rPr>
              <w:t>7,500</w:t>
            </w:r>
          </w:p>
        </w:tc>
      </w:tr>
      <w:tr>
        <w:trPr>
          <w:trHeight w:val="317"/>
        </w:trPr>
        <w:tc>
          <w:tcPr>
            <w:tcW w:w="8740" w:type="dxa"/>
            <w:vAlign w:val="bottom"/>
          </w:tcPr>
          <w:p>
            <w:pPr>
              <w:ind w:left="760"/>
              <w:spacing w:after="0"/>
              <w:rPr>
                <w:sz w:val="20"/>
                <w:szCs w:val="20"/>
                <w:color w:val="auto"/>
              </w:rPr>
            </w:pPr>
            <w:r>
              <w:rPr>
                <w:rFonts w:ascii="Times New Roman" w:cs="Times New Roman" w:eastAsia="Times New Roman" w:hAnsi="Times New Roman"/>
                <w:sz w:val="20"/>
                <w:szCs w:val="20"/>
                <w:color w:val="auto"/>
              </w:rPr>
              <w:t>Nominating and Corporate Governance Committee Chairperson</w:t>
            </w:r>
            <w:r>
              <w:rPr>
                <w:rFonts w:ascii="Times New Roman" w:cs="Times New Roman" w:eastAsia="Times New Roman" w:hAnsi="Times New Roman"/>
                <w:sz w:val="25"/>
                <w:szCs w:val="25"/>
                <w:color w:val="auto"/>
                <w:vertAlign w:val="superscript"/>
              </w:rPr>
              <w:t>(1)(2)</w:t>
            </w:r>
          </w:p>
        </w:tc>
        <w:tc>
          <w:tcPr>
            <w:tcW w:w="15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10,000</w:t>
            </w:r>
          </w:p>
        </w:tc>
      </w:tr>
      <w:tr>
        <w:trPr>
          <w:trHeight w:val="252"/>
        </w:trPr>
        <w:tc>
          <w:tcPr>
            <w:tcW w:w="8740" w:type="dxa"/>
            <w:vAlign w:val="bottom"/>
            <w:shd w:val="clear" w:color="auto" w:fill="DDDDDD"/>
          </w:tcPr>
          <w:p>
            <w:pPr>
              <w:ind w:left="760"/>
              <w:spacing w:after="0" w:line="252" w:lineRule="exact"/>
              <w:rPr>
                <w:sz w:val="20"/>
                <w:szCs w:val="20"/>
                <w:color w:val="auto"/>
              </w:rPr>
            </w:pPr>
            <w:r>
              <w:rPr>
                <w:rFonts w:ascii="Times New Roman" w:cs="Times New Roman" w:eastAsia="Times New Roman" w:hAnsi="Times New Roman"/>
                <w:sz w:val="20"/>
                <w:szCs w:val="20"/>
                <w:color w:val="auto"/>
              </w:rPr>
              <w:t>Nominating and Corporate Governance Committee member (other than Chairperson)</w:t>
            </w:r>
            <w:r>
              <w:rPr>
                <w:rFonts w:ascii="Times New Roman" w:cs="Times New Roman" w:eastAsia="Times New Roman" w:hAnsi="Times New Roman"/>
                <w:sz w:val="25"/>
                <w:szCs w:val="25"/>
                <w:color w:val="auto"/>
                <w:vertAlign w:val="superscript"/>
              </w:rPr>
              <w:t>(1)(2)</w:t>
            </w:r>
          </w:p>
        </w:tc>
        <w:tc>
          <w:tcPr>
            <w:tcW w:w="1520" w:type="dxa"/>
            <w:vAlign w:val="bottom"/>
            <w:shd w:val="clear" w:color="auto" w:fill="DDDDDD"/>
          </w:tcPr>
          <w:p>
            <w:pPr>
              <w:jc w:val="right"/>
              <w:spacing w:after="0"/>
              <w:rPr>
                <w:sz w:val="20"/>
                <w:szCs w:val="20"/>
                <w:color w:val="auto"/>
              </w:rPr>
            </w:pPr>
            <w:r>
              <w:rPr>
                <w:rFonts w:ascii="Times New Roman" w:cs="Times New Roman" w:eastAsia="Times New Roman" w:hAnsi="Times New Roman"/>
                <w:sz w:val="20"/>
                <w:szCs w:val="20"/>
                <w:color w:val="auto"/>
              </w:rPr>
              <w:t>5,000</w:t>
            </w:r>
          </w:p>
        </w:tc>
      </w:tr>
      <w:tr>
        <w:trPr>
          <w:trHeight w:val="317"/>
        </w:trPr>
        <w:tc>
          <w:tcPr>
            <w:tcW w:w="8740" w:type="dxa"/>
            <w:vAlign w:val="bottom"/>
          </w:tcPr>
          <w:p>
            <w:pPr>
              <w:ind w:left="760"/>
              <w:spacing w:after="0"/>
              <w:rPr>
                <w:sz w:val="20"/>
                <w:szCs w:val="20"/>
                <w:color w:val="auto"/>
              </w:rPr>
            </w:pPr>
            <w:r>
              <w:rPr>
                <w:rFonts w:ascii="Times New Roman" w:cs="Times New Roman" w:eastAsia="Times New Roman" w:hAnsi="Times New Roman"/>
                <w:sz w:val="20"/>
                <w:szCs w:val="20"/>
                <w:color w:val="auto"/>
              </w:rPr>
              <w:t>Technology Committee Chairperson</w:t>
            </w:r>
            <w:r>
              <w:rPr>
                <w:rFonts w:ascii="Times New Roman" w:cs="Times New Roman" w:eastAsia="Times New Roman" w:hAnsi="Times New Roman"/>
                <w:sz w:val="25"/>
                <w:szCs w:val="25"/>
                <w:color w:val="auto"/>
                <w:vertAlign w:val="superscript"/>
              </w:rPr>
              <w:t>(1)(2)</w:t>
            </w:r>
          </w:p>
        </w:tc>
        <w:tc>
          <w:tcPr>
            <w:tcW w:w="15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15,000</w:t>
            </w:r>
          </w:p>
        </w:tc>
      </w:tr>
      <w:tr>
        <w:trPr>
          <w:trHeight w:val="317"/>
        </w:trPr>
        <w:tc>
          <w:tcPr>
            <w:tcW w:w="8740" w:type="dxa"/>
            <w:vAlign w:val="bottom"/>
            <w:shd w:val="clear" w:color="auto" w:fill="DDDDDD"/>
          </w:tcPr>
          <w:p>
            <w:pPr>
              <w:ind w:left="760"/>
              <w:spacing w:after="0"/>
              <w:rPr>
                <w:sz w:val="20"/>
                <w:szCs w:val="20"/>
                <w:color w:val="auto"/>
              </w:rPr>
            </w:pPr>
            <w:r>
              <w:rPr>
                <w:rFonts w:ascii="Times New Roman" w:cs="Times New Roman" w:eastAsia="Times New Roman" w:hAnsi="Times New Roman"/>
                <w:sz w:val="20"/>
                <w:szCs w:val="20"/>
                <w:color w:val="auto"/>
              </w:rPr>
              <w:t>Technology Committee member (other than Chairperson)</w:t>
            </w:r>
            <w:r>
              <w:rPr>
                <w:rFonts w:ascii="Times New Roman" w:cs="Times New Roman" w:eastAsia="Times New Roman" w:hAnsi="Times New Roman"/>
                <w:sz w:val="25"/>
                <w:szCs w:val="25"/>
                <w:color w:val="auto"/>
                <w:vertAlign w:val="superscript"/>
              </w:rPr>
              <w:t>(1)(2)</w:t>
            </w:r>
          </w:p>
        </w:tc>
        <w:tc>
          <w:tcPr>
            <w:tcW w:w="1520" w:type="dxa"/>
            <w:vAlign w:val="bottom"/>
            <w:shd w:val="clear" w:color="auto" w:fill="DDDDDD"/>
          </w:tcPr>
          <w:p>
            <w:pPr>
              <w:jc w:val="right"/>
              <w:spacing w:after="0"/>
              <w:rPr>
                <w:sz w:val="20"/>
                <w:szCs w:val="20"/>
                <w:color w:val="auto"/>
              </w:rPr>
            </w:pPr>
            <w:r>
              <w:rPr>
                <w:rFonts w:ascii="Times New Roman" w:cs="Times New Roman" w:eastAsia="Times New Roman" w:hAnsi="Times New Roman"/>
                <w:sz w:val="20"/>
                <w:szCs w:val="20"/>
                <w:color w:val="auto"/>
              </w:rPr>
              <w:t>7,500</w:t>
            </w:r>
          </w:p>
        </w:tc>
      </w:tr>
      <w:tr>
        <w:trPr>
          <w:trHeight w:val="317"/>
        </w:trPr>
        <w:tc>
          <w:tcPr>
            <w:tcW w:w="8740" w:type="dxa"/>
            <w:vAlign w:val="bottom"/>
          </w:tcPr>
          <w:p>
            <w:pPr>
              <w:ind w:left="760"/>
              <w:spacing w:after="0"/>
              <w:rPr>
                <w:sz w:val="20"/>
                <w:szCs w:val="20"/>
                <w:color w:val="auto"/>
              </w:rPr>
            </w:pPr>
            <w:r>
              <w:rPr>
                <w:rFonts w:ascii="Times New Roman" w:cs="Times New Roman" w:eastAsia="Times New Roman" w:hAnsi="Times New Roman"/>
                <w:sz w:val="20"/>
                <w:szCs w:val="20"/>
                <w:color w:val="auto"/>
              </w:rPr>
              <w:t>Additional Annual Retainer for Chairperson of the Board (if a Non-Employee Director)</w:t>
            </w:r>
            <w:r>
              <w:rPr>
                <w:rFonts w:ascii="Times New Roman" w:cs="Times New Roman" w:eastAsia="Times New Roman" w:hAnsi="Times New Roman"/>
                <w:sz w:val="25"/>
                <w:szCs w:val="25"/>
                <w:color w:val="auto"/>
                <w:vertAlign w:val="superscript"/>
              </w:rPr>
              <w:t>(1)(2)</w:t>
            </w:r>
          </w:p>
        </w:tc>
        <w:tc>
          <w:tcPr>
            <w:tcW w:w="15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60,000</w:t>
            </w:r>
          </w:p>
        </w:tc>
      </w:tr>
      <w:tr>
        <w:trPr>
          <w:trHeight w:val="310"/>
        </w:trPr>
        <w:tc>
          <w:tcPr>
            <w:tcW w:w="8740" w:type="dxa"/>
            <w:vAlign w:val="bottom"/>
            <w:shd w:val="clear" w:color="auto" w:fill="DDDDDD"/>
          </w:tcPr>
          <w:p>
            <w:pPr>
              <w:ind w:left="760"/>
              <w:spacing w:after="0"/>
              <w:rPr>
                <w:sz w:val="20"/>
                <w:szCs w:val="20"/>
                <w:color w:val="auto"/>
              </w:rPr>
            </w:pPr>
            <w:r>
              <w:rPr>
                <w:rFonts w:ascii="Times New Roman" w:cs="Times New Roman" w:eastAsia="Times New Roman" w:hAnsi="Times New Roman"/>
                <w:sz w:val="20"/>
                <w:szCs w:val="20"/>
                <w:color w:val="auto"/>
              </w:rPr>
              <w:t>Additional Annual Retainer for Lead Independent Director</w:t>
            </w:r>
            <w:r>
              <w:rPr>
                <w:rFonts w:ascii="Times New Roman" w:cs="Times New Roman" w:eastAsia="Times New Roman" w:hAnsi="Times New Roman"/>
                <w:sz w:val="25"/>
                <w:szCs w:val="25"/>
                <w:color w:val="auto"/>
                <w:vertAlign w:val="superscript"/>
              </w:rPr>
              <w:t>(1)(2)</w:t>
            </w:r>
          </w:p>
        </w:tc>
        <w:tc>
          <w:tcPr>
            <w:tcW w:w="1520" w:type="dxa"/>
            <w:vAlign w:val="bottom"/>
            <w:shd w:val="clear" w:color="auto" w:fill="DDDDDD"/>
          </w:tcPr>
          <w:p>
            <w:pPr>
              <w:jc w:val="right"/>
              <w:spacing w:after="0"/>
              <w:rPr>
                <w:sz w:val="20"/>
                <w:szCs w:val="20"/>
                <w:color w:val="auto"/>
              </w:rPr>
            </w:pPr>
            <w:r>
              <w:rPr>
                <w:rFonts w:ascii="Times New Roman" w:cs="Times New Roman" w:eastAsia="Times New Roman" w:hAnsi="Times New Roman"/>
                <w:sz w:val="20"/>
                <w:szCs w:val="20"/>
                <w:color w:val="auto"/>
              </w:rPr>
              <w:t>25,000</w:t>
            </w:r>
          </w:p>
        </w:tc>
      </w:tr>
      <w:tr>
        <w:trPr>
          <w:trHeight w:val="294"/>
        </w:trPr>
        <w:tc>
          <w:tcPr>
            <w:tcW w:w="8740" w:type="dxa"/>
            <w:vAlign w:val="bottom"/>
          </w:tcPr>
          <w:p>
            <w:pPr>
              <w:ind w:left="760"/>
              <w:spacing w:after="0"/>
              <w:rPr>
                <w:sz w:val="20"/>
                <w:szCs w:val="20"/>
                <w:color w:val="auto"/>
              </w:rPr>
            </w:pPr>
            <w:r>
              <w:rPr>
                <w:rFonts w:ascii="Times New Roman" w:cs="Times New Roman" w:eastAsia="Times New Roman" w:hAnsi="Times New Roman"/>
                <w:sz w:val="20"/>
                <w:szCs w:val="20"/>
                <w:color w:val="auto"/>
              </w:rPr>
              <w:t>Additional Meeting Fees for each Director</w:t>
            </w:r>
            <w:r>
              <w:rPr>
                <w:rFonts w:ascii="Times New Roman" w:cs="Times New Roman" w:eastAsia="Times New Roman" w:hAnsi="Times New Roman"/>
                <w:sz w:val="25"/>
                <w:szCs w:val="25"/>
                <w:color w:val="auto"/>
                <w:vertAlign w:val="superscript"/>
              </w:rPr>
              <w:t>(7)</w:t>
            </w:r>
          </w:p>
        </w:tc>
        <w:tc>
          <w:tcPr>
            <w:tcW w:w="15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1,000</w:t>
            </w:r>
          </w:p>
        </w:tc>
      </w:tr>
      <w:tr>
        <w:trPr>
          <w:trHeight w:val="270"/>
        </w:trPr>
        <w:tc>
          <w:tcPr>
            <w:tcW w:w="8740" w:type="dxa"/>
            <w:vAlign w:val="bottom"/>
          </w:tcPr>
          <w:p>
            <w:pPr>
              <w:spacing w:after="0"/>
              <w:rPr>
                <w:sz w:val="20"/>
                <w:szCs w:val="20"/>
                <w:color w:val="auto"/>
              </w:rPr>
            </w:pPr>
            <w:r>
              <w:rPr>
                <w:rFonts w:ascii="Times New Roman" w:cs="Times New Roman" w:eastAsia="Times New Roman" w:hAnsi="Times New Roman"/>
                <w:sz w:val="20"/>
                <w:szCs w:val="20"/>
                <w:color w:val="auto"/>
              </w:rPr>
              <w:t>___________________________</w:t>
            </w:r>
          </w:p>
        </w:tc>
        <w:tc>
          <w:tcPr>
            <w:tcW w:w="1520" w:type="dxa"/>
            <w:vAlign w:val="bottom"/>
          </w:tcPr>
          <w:p>
            <w:pPr>
              <w:spacing w:after="0"/>
              <w:rPr>
                <w:sz w:val="23"/>
                <w:szCs w:val="23"/>
                <w:color w:val="auto"/>
              </w:rPr>
            </w:pPr>
          </w:p>
        </w:tc>
      </w:tr>
    </w:tbl>
    <w:p>
      <w:pPr>
        <w:spacing w:after="0" w:line="36" w:lineRule="exact"/>
        <w:rPr>
          <w:sz w:val="20"/>
          <w:szCs w:val="20"/>
          <w:color w:val="auto"/>
        </w:rPr>
      </w:pPr>
    </w:p>
    <w:p>
      <w:pPr>
        <w:ind w:left="367" w:hanging="366"/>
        <w:spacing w:after="0"/>
        <w:tabs>
          <w:tab w:leader="none" w:pos="367" w:val="left"/>
        </w:tabs>
        <w:numPr>
          <w:ilvl w:val="0"/>
          <w:numId w:val="58"/>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Vested upon payment and paid in arrears on the last business day of each fiscal quarter in which the Non-Employee Director’s service occurred.</w:t>
      </w:r>
    </w:p>
    <w:p>
      <w:pPr>
        <w:spacing w:after="0" w:line="60" w:lineRule="exact"/>
        <w:rPr>
          <w:rFonts w:ascii="Times New Roman" w:cs="Times New Roman" w:eastAsia="Times New Roman" w:hAnsi="Times New Roman"/>
          <w:sz w:val="16"/>
          <w:szCs w:val="16"/>
          <w:color w:val="auto"/>
        </w:rPr>
      </w:pPr>
    </w:p>
    <w:p>
      <w:pPr>
        <w:jc w:val="both"/>
        <w:ind w:left="367" w:right="20" w:hanging="367"/>
        <w:spacing w:after="0" w:line="294" w:lineRule="auto"/>
        <w:tabs>
          <w:tab w:leader="none" w:pos="366" w:val="left"/>
        </w:tabs>
        <w:numPr>
          <w:ilvl w:val="0"/>
          <w:numId w:val="58"/>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If a Non-Employee Director joins the Board or a committee of the Board at a time other than effective as of the first day of a fiscal quarter, this annual retainer will be pro-rated based on days served in the applicable fiscal year, with the pro-rated amount paid for the first fiscal quarter in which the Non-Employee Director provides the service, and regular full quarterly payments thereafter.</w:t>
      </w:r>
    </w:p>
    <w:p>
      <w:pPr>
        <w:jc w:val="both"/>
        <w:ind w:left="367" w:right="20" w:hanging="366"/>
        <w:spacing w:after="0" w:line="308" w:lineRule="auto"/>
        <w:tabs>
          <w:tab w:leader="none" w:pos="366" w:val="left"/>
        </w:tabs>
        <w:numPr>
          <w:ilvl w:val="0"/>
          <w:numId w:val="58"/>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Each Non-Employee Director elected or appointed to be a Non-Employee Director for the first time will receive an initial one-time RSU grant (the “New Director Grant”) with an aggregate value of approximately (i) $200,000 multiplied by the ratio of (A) the number of calendar months between their commencement date and the first anniversary of the date of our most recent annual meeting of our stockholders, rounded up to the nearest whole number, and (B) 12, plus (ii) $200,000 multiplied by the number of whole calendar years remaining on their initial term. The portion of the grant described in clause</w:t>
      </w:r>
    </w:p>
    <w:p>
      <w:pPr>
        <w:jc w:val="both"/>
        <w:ind w:left="367" w:right="20"/>
        <w:spacing w:after="0" w:line="297" w:lineRule="auto"/>
        <w:rPr>
          <w:rFonts w:ascii="Times New Roman" w:cs="Times New Roman" w:eastAsia="Times New Roman" w:hAnsi="Times New Roman"/>
          <w:sz w:val="15"/>
          <w:szCs w:val="15"/>
          <w:color w:val="auto"/>
        </w:rPr>
      </w:pPr>
      <w:r>
        <w:rPr>
          <w:rFonts w:ascii="Times New Roman" w:cs="Times New Roman" w:eastAsia="Times New Roman" w:hAnsi="Times New Roman"/>
          <w:sz w:val="16"/>
          <w:szCs w:val="16"/>
          <w:color w:val="auto"/>
        </w:rPr>
        <w:t>(i) of the prior sentence will vest on the date of the next annual meeting of our stockholders (the “First Meeting Date”) and the portion of the grant described in clause (ii) of the prior sentence, if any, will vest in equal annual installments on the date of each annual meeting of our stockholders (an “Annual Meeting Date”) following the First Meeting Date that is part of their initial term.</w:t>
      </w:r>
    </w:p>
    <w:p>
      <w:pPr>
        <w:jc w:val="both"/>
        <w:ind w:left="367" w:right="20" w:hanging="366"/>
        <w:spacing w:after="0" w:line="317" w:lineRule="auto"/>
        <w:tabs>
          <w:tab w:leader="none" w:pos="367" w:val="left"/>
        </w:tabs>
        <w:numPr>
          <w:ilvl w:val="0"/>
          <w:numId w:val="58"/>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All vesting is subject to the Non-Employee Director’s Continuous Service (as defined in the 2021 Equity Plan) through the applicable vesting date. In the event of a change of control (as defined in the 2021 Equity Plan), any unvested portion of an equity award granted to our Non-Employee Directors pursuant to the Non-Employee Director Compensation Policy shall vest as follows: (i) the portion of each New Director Grant held by such Non-Employee Director that, if the change in control had not occurred, would have vested at each of the next two Annual Meeting Dates following the closing date will, immediately prior to the closing, accelerate and become vested; (ii) the portion of each Initial Term Grant held by such Non-Employee Director that, if the change in control had not occurred, would have vested at the next Annual Meeting Date following the closing date will, immediately prior to the closing, accelerate</w:t>
      </w:r>
    </w:p>
    <w:p>
      <w:pPr>
        <w:spacing w:after="0" w:line="200" w:lineRule="exact"/>
        <w:rPr>
          <w:sz w:val="20"/>
          <w:szCs w:val="20"/>
          <w:color w:val="auto"/>
        </w:rPr>
      </w:pPr>
    </w:p>
    <w:p>
      <w:pPr>
        <w:spacing w:after="0" w:line="251" w:lineRule="exact"/>
        <w:rPr>
          <w:sz w:val="20"/>
          <w:szCs w:val="20"/>
          <w:color w:val="auto"/>
        </w:rPr>
      </w:pPr>
    </w:p>
    <w:p>
      <w:pPr>
        <w:jc w:val="center"/>
        <w:ind w:right="13"/>
        <w:spacing w:after="0"/>
        <w:rPr>
          <w:sz w:val="20"/>
          <w:szCs w:val="20"/>
          <w:color w:val="auto"/>
        </w:rPr>
      </w:pPr>
      <w:r>
        <w:rPr>
          <w:rFonts w:ascii="Times New Roman" w:cs="Times New Roman" w:eastAsia="Times New Roman" w:hAnsi="Times New Roman"/>
          <w:sz w:val="20"/>
          <w:szCs w:val="20"/>
          <w:color w:val="auto"/>
        </w:rPr>
        <w:t>97</w:t>
      </w:r>
    </w:p>
    <w:p>
      <w:pPr>
        <w:sectPr>
          <w:pgSz w:w="12240" w:h="15840" w:orient="portrait"/>
          <w:cols w:equalWidth="0" w:num="1">
            <w:col w:w="10267"/>
          </w:cols>
          <w:pgMar w:left="993" w:top="882" w:right="980" w:bottom="222" w:gutter="0" w:footer="0" w:header="0"/>
        </w:sectPr>
      </w:pPr>
    </w:p>
    <w:bookmarkStart w:id="101" w:name="page102"/>
    <w:bookmarkEnd w:id="101"/>
    <w:p>
      <w:pPr>
        <w:ind w:left="380" w:right="20"/>
        <w:spacing w:after="0" w:line="320" w:lineRule="auto"/>
        <w:rPr>
          <w:sz w:val="20"/>
          <w:szCs w:val="20"/>
          <w:color w:val="auto"/>
        </w:rPr>
      </w:pPr>
      <w:r>
        <w:rPr>
          <w:rFonts w:ascii="Times New Roman" w:cs="Times New Roman" w:eastAsia="Times New Roman" w:hAnsi="Times New Roman"/>
          <w:sz w:val="15"/>
          <w:szCs w:val="15"/>
          <w:color w:val="auto"/>
        </w:rPr>
        <w:t>and become vested; and (iii) the portion of each Renewal Term Grant held by such Non-Employee Director that, if the change in control had not occurred, would have vested at the next Annual Meeting Date following the closing date will, immediately prior to the closing, accelerate and become vested.</w:t>
      </w:r>
    </w:p>
    <w:p>
      <w:pPr>
        <w:spacing w:after="0" w:line="1" w:lineRule="exact"/>
        <w:rPr>
          <w:sz w:val="20"/>
          <w:szCs w:val="20"/>
          <w:color w:val="auto"/>
        </w:rPr>
      </w:pPr>
    </w:p>
    <w:p>
      <w:pPr>
        <w:jc w:val="both"/>
        <w:ind w:left="380" w:right="20" w:hanging="366"/>
        <w:spacing w:after="0" w:line="293" w:lineRule="auto"/>
        <w:tabs>
          <w:tab w:leader="none" w:pos="380" w:val="left"/>
        </w:tabs>
        <w:numPr>
          <w:ilvl w:val="0"/>
          <w:numId w:val="59"/>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On October 1, 2023, each Non-Employee Director who was then in office automatically received a one-time grant of restricted stock units (each, an “Initial Term Grant”) with an aggregate value of approximately $200,000 multiplied by the number of whole calendar years remaining on the Non-Employee Director’s term. Each Initial Term Grant will vest in equal annual installments on the date of each remaining Annual Meeting Date following the First Meeting Date subsequent to the effectiveness of the Initial Term Grant that is part of the Non-Employee Directors current term. The Initial Term Grant may only be granted once to any Non-Employee Director.</w:t>
      </w:r>
    </w:p>
    <w:p>
      <w:pPr>
        <w:jc w:val="both"/>
        <w:ind w:left="380" w:right="20" w:hanging="366"/>
        <w:spacing w:after="0" w:line="297" w:lineRule="auto"/>
        <w:tabs>
          <w:tab w:leader="none" w:pos="380" w:val="left"/>
        </w:tabs>
        <w:numPr>
          <w:ilvl w:val="0"/>
          <w:numId w:val="59"/>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At the close of business on the date of each annual meeting of our stockholders, each Non-Employee Director who will continue as a member of the Board following the date of such annual meeting of our stockholders will receive an RSU grant (the “Renewal Term Grant”) with an aggregate value of approximately $600,000, that vests in three equal annual installments over the next three Annual Meeting Dates.</w:t>
      </w:r>
    </w:p>
    <w:p>
      <w:pPr>
        <w:jc w:val="both"/>
        <w:ind w:left="380" w:hanging="366"/>
        <w:spacing w:after="0" w:line="299" w:lineRule="auto"/>
        <w:tabs>
          <w:tab w:leader="none" w:pos="380" w:val="left"/>
        </w:tabs>
        <w:numPr>
          <w:ilvl w:val="0"/>
          <w:numId w:val="59"/>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Any Outside Director who attends more than eight (8) meetings of (i) the Board plus (ii) any ad hoc or special committee meetings not named in I.(b) above during any calendar year will receive an additional $1,000 for each meeting attended in the calendar year in excess of eight (8). Any Outside Director who attends more than eight (8) meetings of any Committee named in I.(b) above on which that Outside Director serves during any calendar year will receive $1,000 for each meeting of that Committee attended in the calendar year in excess of eight (8).</w:t>
      </w:r>
    </w:p>
    <w:p>
      <w:pPr>
        <w:spacing w:after="0" w:line="73" w:lineRule="exact"/>
        <w:rPr>
          <w:sz w:val="20"/>
          <w:szCs w:val="20"/>
          <w:color w:val="auto"/>
        </w:rPr>
      </w:pPr>
    </w:p>
    <w:p>
      <w:pPr>
        <w:jc w:val="both"/>
        <w:ind w:left="20"/>
        <w:spacing w:after="0" w:line="332" w:lineRule="auto"/>
        <w:rPr>
          <w:sz w:val="20"/>
          <w:szCs w:val="20"/>
          <w:color w:val="auto"/>
        </w:rPr>
      </w:pPr>
      <w:r>
        <w:rPr>
          <w:rFonts w:ascii="Times New Roman" w:cs="Times New Roman" w:eastAsia="Times New Roman" w:hAnsi="Times New Roman"/>
          <w:sz w:val="19"/>
          <w:szCs w:val="19"/>
          <w:color w:val="auto"/>
        </w:rPr>
        <w:t>The following table shows certain information with respect to the compensation of all non-employee directors of the Company in 2023. These amounts reflect our accounting expense for these RSUs, as further described in the footnotes to the table, and do not represent the actual economic value that was realized in 2023 or may be realized upon vesting by the non-employee director.</w:t>
      </w:r>
    </w:p>
    <w:p>
      <w:pPr>
        <w:spacing w:after="0" w:line="92" w:lineRule="exact"/>
        <w:rPr>
          <w:sz w:val="20"/>
          <w:szCs w:val="20"/>
          <w:color w:val="auto"/>
        </w:rPr>
      </w:pPr>
    </w:p>
    <w:tbl>
      <w:tblPr>
        <w:tblLayout w:type="fixed"/>
        <w:tblInd w:w="20" w:type="dxa"/>
        <w:tblCellMar>
          <w:top w:w="0" w:type="dxa"/>
          <w:left w:w="0" w:type="dxa"/>
          <w:bottom w:w="0" w:type="dxa"/>
          <w:right w:w="0" w:type="dxa"/>
        </w:tblCellMar>
      </w:tblPr>
      <w:tr>
        <w:trPr>
          <w:trHeight w:val="230"/>
        </w:trPr>
        <w:tc>
          <w:tcPr>
            <w:tcW w:w="40" w:type="dxa"/>
            <w:vAlign w:val="bottom"/>
          </w:tcPr>
          <w:p>
            <w:pPr>
              <w:spacing w:after="0"/>
              <w:rPr>
                <w:sz w:val="20"/>
                <w:szCs w:val="20"/>
                <w:color w:val="auto"/>
              </w:rPr>
            </w:pPr>
          </w:p>
        </w:tc>
        <w:tc>
          <w:tcPr>
            <w:tcW w:w="13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80" w:type="dxa"/>
            <w:vAlign w:val="bottom"/>
            <w:vMerge w:val="restart"/>
          </w:tcPr>
          <w:p>
            <w:pPr>
              <w:jc w:val="center"/>
              <w:spacing w:after="0"/>
              <w:rPr>
                <w:sz w:val="20"/>
                <w:szCs w:val="20"/>
                <w:color w:val="auto"/>
              </w:rPr>
            </w:pPr>
            <w:r>
              <w:rPr>
                <w:rFonts w:ascii="Times New Roman" w:cs="Times New Roman" w:eastAsia="Times New Roman" w:hAnsi="Times New Roman"/>
                <w:sz w:val="20"/>
                <w:szCs w:val="20"/>
                <w:b w:val="1"/>
                <w:bCs w:val="1"/>
                <w:color w:val="auto"/>
              </w:rPr>
              <w:t>Fees Earned</w:t>
            </w:r>
          </w:p>
        </w:tc>
        <w:tc>
          <w:tcPr>
            <w:tcW w:w="80" w:type="dxa"/>
            <w:vAlign w:val="bottom"/>
          </w:tcPr>
          <w:p>
            <w:pPr>
              <w:spacing w:after="0"/>
              <w:rPr>
                <w:sz w:val="20"/>
                <w:szCs w:val="20"/>
                <w:color w:val="auto"/>
              </w:rPr>
            </w:pPr>
          </w:p>
        </w:tc>
        <w:tc>
          <w:tcPr>
            <w:tcW w:w="1000" w:type="dxa"/>
            <w:vAlign w:val="bottom"/>
            <w:vMerge w:val="restart"/>
          </w:tcPr>
          <w:p>
            <w:pPr>
              <w:jc w:val="center"/>
              <w:spacing w:after="0"/>
              <w:rPr>
                <w:sz w:val="20"/>
                <w:szCs w:val="20"/>
                <w:color w:val="auto"/>
              </w:rPr>
            </w:pPr>
            <w:r>
              <w:rPr>
                <w:rFonts w:ascii="Times New Roman" w:cs="Times New Roman" w:eastAsia="Times New Roman" w:hAnsi="Times New Roman"/>
                <w:sz w:val="20"/>
                <w:szCs w:val="20"/>
                <w:b w:val="1"/>
                <w:bCs w:val="1"/>
                <w:color w:val="auto"/>
              </w:rPr>
              <w:t>Stock</w:t>
            </w:r>
          </w:p>
        </w:tc>
        <w:tc>
          <w:tcPr>
            <w:tcW w:w="60" w:type="dxa"/>
            <w:vAlign w:val="bottom"/>
          </w:tcPr>
          <w:p>
            <w:pPr>
              <w:spacing w:after="0"/>
              <w:rPr>
                <w:sz w:val="20"/>
                <w:szCs w:val="20"/>
                <w:color w:val="auto"/>
              </w:rPr>
            </w:pPr>
          </w:p>
        </w:tc>
        <w:tc>
          <w:tcPr>
            <w:tcW w:w="1020" w:type="dxa"/>
            <w:vAlign w:val="bottom"/>
            <w:vMerge w:val="restart"/>
          </w:tcPr>
          <w:p>
            <w:pPr>
              <w:jc w:val="center"/>
              <w:spacing w:after="0"/>
              <w:rPr>
                <w:sz w:val="20"/>
                <w:szCs w:val="20"/>
                <w:color w:val="auto"/>
              </w:rPr>
            </w:pPr>
            <w:r>
              <w:rPr>
                <w:rFonts w:ascii="Times New Roman" w:cs="Times New Roman" w:eastAsia="Times New Roman" w:hAnsi="Times New Roman"/>
                <w:sz w:val="20"/>
                <w:szCs w:val="20"/>
                <w:b w:val="1"/>
                <w:bCs w:val="1"/>
                <w:color w:val="auto"/>
                <w:w w:val="99"/>
              </w:rPr>
              <w:t>Option</w:t>
            </w:r>
          </w:p>
        </w:tc>
        <w:tc>
          <w:tcPr>
            <w:tcW w:w="40" w:type="dxa"/>
            <w:vAlign w:val="bottom"/>
          </w:tcPr>
          <w:p>
            <w:pPr>
              <w:spacing w:after="0"/>
              <w:rPr>
                <w:sz w:val="20"/>
                <w:szCs w:val="20"/>
                <w:color w:val="auto"/>
              </w:rPr>
            </w:pPr>
          </w:p>
        </w:tc>
        <w:tc>
          <w:tcPr>
            <w:tcW w:w="1310" w:type="dxa"/>
            <w:vAlign w:val="bottom"/>
          </w:tcPr>
          <w:p>
            <w:pPr>
              <w:jc w:val="center"/>
              <w:spacing w:after="0"/>
              <w:rPr>
                <w:sz w:val="20"/>
                <w:szCs w:val="20"/>
                <w:color w:val="auto"/>
              </w:rPr>
            </w:pPr>
            <w:r>
              <w:rPr>
                <w:rFonts w:ascii="Times New Roman" w:cs="Times New Roman" w:eastAsia="Times New Roman" w:hAnsi="Times New Roman"/>
                <w:sz w:val="20"/>
                <w:szCs w:val="20"/>
                <w:b w:val="1"/>
                <w:bCs w:val="1"/>
                <w:color w:val="auto"/>
              </w:rPr>
              <w:t>Non-equity</w:t>
            </w:r>
          </w:p>
        </w:tc>
        <w:tc>
          <w:tcPr>
            <w:tcW w:w="70" w:type="dxa"/>
            <w:vAlign w:val="bottom"/>
          </w:tcPr>
          <w:p>
            <w:pPr>
              <w:spacing w:after="0"/>
              <w:rPr>
                <w:sz w:val="20"/>
                <w:szCs w:val="20"/>
                <w:color w:val="auto"/>
              </w:rPr>
            </w:pPr>
          </w:p>
        </w:tc>
        <w:tc>
          <w:tcPr>
            <w:tcW w:w="1480" w:type="dxa"/>
            <w:vAlign w:val="bottom"/>
          </w:tcPr>
          <w:p>
            <w:pPr>
              <w:jc w:val="center"/>
              <w:spacing w:after="0"/>
              <w:rPr>
                <w:sz w:val="20"/>
                <w:szCs w:val="20"/>
                <w:color w:val="auto"/>
              </w:rPr>
            </w:pPr>
            <w:r>
              <w:rPr>
                <w:rFonts w:ascii="Times New Roman" w:cs="Times New Roman" w:eastAsia="Times New Roman" w:hAnsi="Times New Roman"/>
                <w:sz w:val="20"/>
                <w:szCs w:val="20"/>
                <w:b w:val="1"/>
                <w:bCs w:val="1"/>
                <w:color w:val="auto"/>
              </w:rPr>
              <w:t>Nonqualified</w:t>
            </w:r>
          </w:p>
        </w:tc>
        <w:tc>
          <w:tcPr>
            <w:tcW w:w="80" w:type="dxa"/>
            <w:vAlign w:val="bottom"/>
          </w:tcPr>
          <w:p>
            <w:pPr>
              <w:spacing w:after="0"/>
              <w:rPr>
                <w:sz w:val="20"/>
                <w:szCs w:val="20"/>
                <w:color w:val="auto"/>
              </w:rPr>
            </w:pPr>
          </w:p>
        </w:tc>
        <w:tc>
          <w:tcPr>
            <w:tcW w:w="1280" w:type="dxa"/>
            <w:vAlign w:val="bottom"/>
            <w:vMerge w:val="restart"/>
          </w:tcPr>
          <w:p>
            <w:pPr>
              <w:jc w:val="center"/>
              <w:spacing w:after="0"/>
              <w:rPr>
                <w:sz w:val="20"/>
                <w:szCs w:val="20"/>
                <w:color w:val="auto"/>
              </w:rPr>
            </w:pPr>
            <w:r>
              <w:rPr>
                <w:rFonts w:ascii="Times New Roman" w:cs="Times New Roman" w:eastAsia="Times New Roman" w:hAnsi="Times New Roman"/>
                <w:sz w:val="20"/>
                <w:szCs w:val="20"/>
                <w:b w:val="1"/>
                <w:bCs w:val="1"/>
                <w:color w:val="auto"/>
              </w:rPr>
              <w:t>All Other</w:t>
            </w:r>
          </w:p>
        </w:tc>
        <w:tc>
          <w:tcPr>
            <w:tcW w:w="8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40" w:type="dxa"/>
            <w:vAlign w:val="bottom"/>
          </w:tcPr>
          <w:p>
            <w:pPr>
              <w:spacing w:after="0"/>
              <w:rPr>
                <w:sz w:val="20"/>
                <w:szCs w:val="20"/>
                <w:color w:val="auto"/>
              </w:rPr>
            </w:pPr>
          </w:p>
        </w:tc>
        <w:tc>
          <w:tcPr>
            <w:tcW w:w="13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80" w:type="dxa"/>
            <w:vAlign w:val="bottom"/>
            <w:vMerge w:val="continue"/>
          </w:tcPr>
          <w:p>
            <w:pPr>
              <w:spacing w:after="0"/>
              <w:rPr>
                <w:sz w:val="20"/>
                <w:szCs w:val="20"/>
                <w:color w:val="auto"/>
              </w:rPr>
            </w:pPr>
          </w:p>
        </w:tc>
        <w:tc>
          <w:tcPr>
            <w:tcW w:w="80" w:type="dxa"/>
            <w:vAlign w:val="bottom"/>
          </w:tcPr>
          <w:p>
            <w:pPr>
              <w:spacing w:after="0"/>
              <w:rPr>
                <w:sz w:val="20"/>
                <w:szCs w:val="20"/>
                <w:color w:val="auto"/>
              </w:rPr>
            </w:pPr>
          </w:p>
        </w:tc>
        <w:tc>
          <w:tcPr>
            <w:tcW w:w="1000" w:type="dxa"/>
            <w:vAlign w:val="bottom"/>
            <w:vMerge w:val="continue"/>
          </w:tcPr>
          <w:p>
            <w:pPr>
              <w:spacing w:after="0"/>
              <w:rPr>
                <w:sz w:val="20"/>
                <w:szCs w:val="20"/>
                <w:color w:val="auto"/>
              </w:rPr>
            </w:pPr>
          </w:p>
        </w:tc>
        <w:tc>
          <w:tcPr>
            <w:tcW w:w="60" w:type="dxa"/>
            <w:vAlign w:val="bottom"/>
          </w:tcPr>
          <w:p>
            <w:pPr>
              <w:spacing w:after="0"/>
              <w:rPr>
                <w:sz w:val="20"/>
                <w:szCs w:val="20"/>
                <w:color w:val="auto"/>
              </w:rPr>
            </w:pPr>
          </w:p>
        </w:tc>
        <w:tc>
          <w:tcPr>
            <w:tcW w:w="1020" w:type="dxa"/>
            <w:vAlign w:val="bottom"/>
            <w:vMerge w:val="continue"/>
          </w:tcPr>
          <w:p>
            <w:pPr>
              <w:spacing w:after="0"/>
              <w:rPr>
                <w:sz w:val="20"/>
                <w:szCs w:val="20"/>
                <w:color w:val="auto"/>
              </w:rPr>
            </w:pPr>
          </w:p>
        </w:tc>
        <w:tc>
          <w:tcPr>
            <w:tcW w:w="40" w:type="dxa"/>
            <w:vAlign w:val="bottom"/>
          </w:tcPr>
          <w:p>
            <w:pPr>
              <w:spacing w:after="0"/>
              <w:rPr>
                <w:sz w:val="20"/>
                <w:szCs w:val="20"/>
                <w:color w:val="auto"/>
              </w:rPr>
            </w:pPr>
          </w:p>
        </w:tc>
        <w:tc>
          <w:tcPr>
            <w:tcW w:w="1310" w:type="dxa"/>
            <w:vAlign w:val="bottom"/>
          </w:tcPr>
          <w:p>
            <w:pPr>
              <w:jc w:val="center"/>
              <w:spacing w:after="0"/>
              <w:rPr>
                <w:sz w:val="20"/>
                <w:szCs w:val="20"/>
                <w:color w:val="auto"/>
              </w:rPr>
            </w:pPr>
            <w:r>
              <w:rPr>
                <w:rFonts w:ascii="Times New Roman" w:cs="Times New Roman" w:eastAsia="Times New Roman" w:hAnsi="Times New Roman"/>
                <w:sz w:val="20"/>
                <w:szCs w:val="20"/>
                <w:b w:val="1"/>
                <w:bCs w:val="1"/>
                <w:color w:val="auto"/>
              </w:rPr>
              <w:t>incentive plan</w:t>
            </w:r>
          </w:p>
        </w:tc>
        <w:tc>
          <w:tcPr>
            <w:tcW w:w="70" w:type="dxa"/>
            <w:vAlign w:val="bottom"/>
          </w:tcPr>
          <w:p>
            <w:pPr>
              <w:spacing w:after="0"/>
              <w:rPr>
                <w:sz w:val="20"/>
                <w:szCs w:val="20"/>
                <w:color w:val="auto"/>
              </w:rPr>
            </w:pPr>
          </w:p>
        </w:tc>
        <w:tc>
          <w:tcPr>
            <w:tcW w:w="1480" w:type="dxa"/>
            <w:vAlign w:val="bottom"/>
          </w:tcPr>
          <w:p>
            <w:pPr>
              <w:jc w:val="center"/>
              <w:spacing w:after="0"/>
              <w:rPr>
                <w:sz w:val="20"/>
                <w:szCs w:val="20"/>
                <w:color w:val="auto"/>
              </w:rPr>
            </w:pPr>
            <w:r>
              <w:rPr>
                <w:rFonts w:ascii="Times New Roman" w:cs="Times New Roman" w:eastAsia="Times New Roman" w:hAnsi="Times New Roman"/>
                <w:sz w:val="20"/>
                <w:szCs w:val="20"/>
                <w:b w:val="1"/>
                <w:bCs w:val="1"/>
                <w:color w:val="auto"/>
                <w:w w:val="98"/>
              </w:rPr>
              <w:t>deferred</w:t>
            </w:r>
          </w:p>
        </w:tc>
        <w:tc>
          <w:tcPr>
            <w:tcW w:w="80" w:type="dxa"/>
            <w:vAlign w:val="bottom"/>
          </w:tcPr>
          <w:p>
            <w:pPr>
              <w:spacing w:after="0"/>
              <w:rPr>
                <w:sz w:val="20"/>
                <w:szCs w:val="20"/>
                <w:color w:val="auto"/>
              </w:rPr>
            </w:pPr>
          </w:p>
        </w:tc>
        <w:tc>
          <w:tcPr>
            <w:tcW w:w="1280" w:type="dxa"/>
            <w:vAlign w:val="bottom"/>
            <w:vMerge w:val="continue"/>
          </w:tcPr>
          <w:p>
            <w:pPr>
              <w:spacing w:after="0"/>
              <w:rPr>
                <w:sz w:val="20"/>
                <w:szCs w:val="20"/>
                <w:color w:val="auto"/>
              </w:rPr>
            </w:pPr>
          </w:p>
        </w:tc>
        <w:tc>
          <w:tcPr>
            <w:tcW w:w="8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40" w:type="dxa"/>
            <w:vAlign w:val="bottom"/>
          </w:tcPr>
          <w:p>
            <w:pPr>
              <w:spacing w:after="0"/>
              <w:rPr>
                <w:sz w:val="20"/>
                <w:szCs w:val="20"/>
                <w:color w:val="auto"/>
              </w:rPr>
            </w:pPr>
          </w:p>
        </w:tc>
        <w:tc>
          <w:tcPr>
            <w:tcW w:w="1320" w:type="dxa"/>
            <w:vAlign w:val="bottom"/>
            <w:vMerge w:val="restart"/>
          </w:tcPr>
          <w:p>
            <w:pPr>
              <w:spacing w:after="0"/>
              <w:rPr>
                <w:sz w:val="20"/>
                <w:szCs w:val="20"/>
                <w:color w:val="auto"/>
              </w:rPr>
            </w:pPr>
            <w:r>
              <w:rPr>
                <w:rFonts w:ascii="Times New Roman" w:cs="Times New Roman" w:eastAsia="Times New Roman" w:hAnsi="Times New Roman"/>
                <w:sz w:val="20"/>
                <w:szCs w:val="20"/>
                <w:b w:val="1"/>
                <w:bCs w:val="1"/>
                <w:color w:val="auto"/>
              </w:rPr>
              <w:t>Name</w:t>
            </w:r>
          </w:p>
        </w:tc>
        <w:tc>
          <w:tcPr>
            <w:tcW w:w="120" w:type="dxa"/>
            <w:vAlign w:val="bottom"/>
          </w:tcPr>
          <w:p>
            <w:pPr>
              <w:spacing w:after="0"/>
              <w:rPr>
                <w:sz w:val="20"/>
                <w:szCs w:val="20"/>
                <w:color w:val="auto"/>
              </w:rPr>
            </w:pPr>
          </w:p>
        </w:tc>
        <w:tc>
          <w:tcPr>
            <w:tcW w:w="1180" w:type="dxa"/>
            <w:vAlign w:val="bottom"/>
          </w:tcPr>
          <w:p>
            <w:pPr>
              <w:jc w:val="center"/>
              <w:spacing w:after="0"/>
              <w:rPr>
                <w:sz w:val="20"/>
                <w:szCs w:val="20"/>
                <w:color w:val="auto"/>
              </w:rPr>
            </w:pPr>
            <w:r>
              <w:rPr>
                <w:rFonts w:ascii="Times New Roman" w:cs="Times New Roman" w:eastAsia="Times New Roman" w:hAnsi="Times New Roman"/>
                <w:sz w:val="20"/>
                <w:szCs w:val="20"/>
                <w:b w:val="1"/>
                <w:bCs w:val="1"/>
                <w:color w:val="auto"/>
                <w:w w:val="99"/>
              </w:rPr>
              <w:t>or Paid in</w:t>
            </w:r>
          </w:p>
        </w:tc>
        <w:tc>
          <w:tcPr>
            <w:tcW w:w="80" w:type="dxa"/>
            <w:vAlign w:val="bottom"/>
          </w:tcPr>
          <w:p>
            <w:pPr>
              <w:spacing w:after="0"/>
              <w:rPr>
                <w:sz w:val="20"/>
                <w:szCs w:val="20"/>
                <w:color w:val="auto"/>
              </w:rPr>
            </w:pPr>
          </w:p>
        </w:tc>
        <w:tc>
          <w:tcPr>
            <w:tcW w:w="1000" w:type="dxa"/>
            <w:vAlign w:val="bottom"/>
          </w:tcPr>
          <w:p>
            <w:pPr>
              <w:jc w:val="center"/>
              <w:spacing w:after="0"/>
              <w:rPr>
                <w:sz w:val="20"/>
                <w:szCs w:val="20"/>
                <w:color w:val="auto"/>
              </w:rPr>
            </w:pPr>
            <w:r>
              <w:rPr>
                <w:rFonts w:ascii="Times New Roman" w:cs="Times New Roman" w:eastAsia="Times New Roman" w:hAnsi="Times New Roman"/>
                <w:sz w:val="20"/>
                <w:szCs w:val="20"/>
                <w:b w:val="1"/>
                <w:bCs w:val="1"/>
                <w:color w:val="auto"/>
                <w:w w:val="98"/>
              </w:rPr>
              <w:t>Awards</w:t>
            </w:r>
          </w:p>
        </w:tc>
        <w:tc>
          <w:tcPr>
            <w:tcW w:w="60" w:type="dxa"/>
            <w:vAlign w:val="bottom"/>
          </w:tcPr>
          <w:p>
            <w:pPr>
              <w:spacing w:after="0"/>
              <w:rPr>
                <w:sz w:val="20"/>
                <w:szCs w:val="20"/>
                <w:color w:val="auto"/>
              </w:rPr>
            </w:pPr>
          </w:p>
        </w:tc>
        <w:tc>
          <w:tcPr>
            <w:tcW w:w="1020" w:type="dxa"/>
            <w:vAlign w:val="bottom"/>
          </w:tcPr>
          <w:p>
            <w:pPr>
              <w:jc w:val="center"/>
              <w:spacing w:after="0"/>
              <w:rPr>
                <w:sz w:val="20"/>
                <w:szCs w:val="20"/>
                <w:color w:val="auto"/>
              </w:rPr>
            </w:pPr>
            <w:r>
              <w:rPr>
                <w:rFonts w:ascii="Times New Roman" w:cs="Times New Roman" w:eastAsia="Times New Roman" w:hAnsi="Times New Roman"/>
                <w:sz w:val="20"/>
                <w:szCs w:val="20"/>
                <w:b w:val="1"/>
                <w:bCs w:val="1"/>
                <w:color w:val="auto"/>
                <w:w w:val="99"/>
              </w:rPr>
              <w:t>awards</w:t>
            </w:r>
          </w:p>
        </w:tc>
        <w:tc>
          <w:tcPr>
            <w:tcW w:w="40" w:type="dxa"/>
            <w:vAlign w:val="bottom"/>
          </w:tcPr>
          <w:p>
            <w:pPr>
              <w:spacing w:after="0"/>
              <w:rPr>
                <w:sz w:val="20"/>
                <w:szCs w:val="20"/>
                <w:color w:val="auto"/>
              </w:rPr>
            </w:pPr>
          </w:p>
        </w:tc>
        <w:tc>
          <w:tcPr>
            <w:tcW w:w="1310" w:type="dxa"/>
            <w:vAlign w:val="bottom"/>
          </w:tcPr>
          <w:p>
            <w:pPr>
              <w:jc w:val="center"/>
              <w:spacing w:after="0"/>
              <w:rPr>
                <w:sz w:val="20"/>
                <w:szCs w:val="20"/>
                <w:color w:val="auto"/>
              </w:rPr>
            </w:pPr>
            <w:r>
              <w:rPr>
                <w:rFonts w:ascii="Times New Roman" w:cs="Times New Roman" w:eastAsia="Times New Roman" w:hAnsi="Times New Roman"/>
                <w:sz w:val="20"/>
                <w:szCs w:val="20"/>
                <w:b w:val="1"/>
                <w:bCs w:val="1"/>
                <w:color w:val="auto"/>
              </w:rPr>
              <w:t>compensation</w:t>
            </w:r>
          </w:p>
        </w:tc>
        <w:tc>
          <w:tcPr>
            <w:tcW w:w="70" w:type="dxa"/>
            <w:vAlign w:val="bottom"/>
          </w:tcPr>
          <w:p>
            <w:pPr>
              <w:spacing w:after="0"/>
              <w:rPr>
                <w:sz w:val="20"/>
                <w:szCs w:val="20"/>
                <w:color w:val="auto"/>
              </w:rPr>
            </w:pPr>
          </w:p>
        </w:tc>
        <w:tc>
          <w:tcPr>
            <w:tcW w:w="1480" w:type="dxa"/>
            <w:vAlign w:val="bottom"/>
          </w:tcPr>
          <w:p>
            <w:pPr>
              <w:jc w:val="center"/>
              <w:spacing w:after="0"/>
              <w:rPr>
                <w:sz w:val="20"/>
                <w:szCs w:val="20"/>
                <w:color w:val="auto"/>
              </w:rPr>
            </w:pPr>
            <w:r>
              <w:rPr>
                <w:rFonts w:ascii="Times New Roman" w:cs="Times New Roman" w:eastAsia="Times New Roman" w:hAnsi="Times New Roman"/>
                <w:sz w:val="20"/>
                <w:szCs w:val="20"/>
                <w:b w:val="1"/>
                <w:bCs w:val="1"/>
                <w:color w:val="auto"/>
              </w:rPr>
              <w:t>compensation</w:t>
            </w:r>
          </w:p>
        </w:tc>
        <w:tc>
          <w:tcPr>
            <w:tcW w:w="80" w:type="dxa"/>
            <w:vAlign w:val="bottom"/>
          </w:tcPr>
          <w:p>
            <w:pPr>
              <w:spacing w:after="0"/>
              <w:rPr>
                <w:sz w:val="20"/>
                <w:szCs w:val="20"/>
                <w:color w:val="auto"/>
              </w:rPr>
            </w:pPr>
          </w:p>
        </w:tc>
        <w:tc>
          <w:tcPr>
            <w:tcW w:w="1280" w:type="dxa"/>
            <w:vAlign w:val="bottom"/>
          </w:tcPr>
          <w:p>
            <w:pPr>
              <w:jc w:val="center"/>
              <w:spacing w:after="0"/>
              <w:rPr>
                <w:sz w:val="20"/>
                <w:szCs w:val="20"/>
                <w:color w:val="auto"/>
              </w:rPr>
            </w:pPr>
            <w:r>
              <w:rPr>
                <w:rFonts w:ascii="Times New Roman" w:cs="Times New Roman" w:eastAsia="Times New Roman" w:hAnsi="Times New Roman"/>
                <w:sz w:val="20"/>
                <w:szCs w:val="20"/>
                <w:b w:val="1"/>
                <w:bCs w:val="1"/>
                <w:color w:val="auto"/>
              </w:rPr>
              <w:t>compensation</w:t>
            </w:r>
          </w:p>
        </w:tc>
        <w:tc>
          <w:tcPr>
            <w:tcW w:w="80" w:type="dxa"/>
            <w:vAlign w:val="bottom"/>
          </w:tcPr>
          <w:p>
            <w:pPr>
              <w:spacing w:after="0"/>
              <w:rPr>
                <w:sz w:val="20"/>
                <w:szCs w:val="20"/>
                <w:color w:val="auto"/>
              </w:rPr>
            </w:pPr>
          </w:p>
        </w:tc>
        <w:tc>
          <w:tcPr>
            <w:tcW w:w="1100" w:type="dxa"/>
            <w:vAlign w:val="bottom"/>
            <w:vMerge w:val="restart"/>
          </w:tcPr>
          <w:p>
            <w:pPr>
              <w:jc w:val="right"/>
              <w:ind w:right="108"/>
              <w:spacing w:after="0"/>
              <w:rPr>
                <w:sz w:val="20"/>
                <w:szCs w:val="20"/>
                <w:color w:val="auto"/>
              </w:rPr>
            </w:pPr>
            <w:r>
              <w:rPr>
                <w:rFonts w:ascii="Times New Roman" w:cs="Times New Roman" w:eastAsia="Times New Roman" w:hAnsi="Times New Roman"/>
                <w:sz w:val="20"/>
                <w:szCs w:val="20"/>
                <w:b w:val="1"/>
                <w:bCs w:val="1"/>
                <w:color w:val="auto"/>
              </w:rPr>
              <w:t>Total ($)</w:t>
            </w:r>
          </w:p>
        </w:tc>
        <w:tc>
          <w:tcPr>
            <w:tcW w:w="0" w:type="dxa"/>
            <w:vAlign w:val="bottom"/>
          </w:tcPr>
          <w:p>
            <w:pPr>
              <w:spacing w:after="0"/>
              <w:rPr>
                <w:sz w:val="1"/>
                <w:szCs w:val="1"/>
                <w:color w:val="auto"/>
              </w:rPr>
            </w:pPr>
          </w:p>
        </w:tc>
      </w:tr>
      <w:tr>
        <w:trPr>
          <w:trHeight w:val="304"/>
        </w:trPr>
        <w:tc>
          <w:tcPr>
            <w:tcW w:w="40" w:type="dxa"/>
            <w:vAlign w:val="bottom"/>
            <w:tcBorders>
              <w:bottom w:val="single" w:sz="8" w:color="auto"/>
            </w:tcBorders>
          </w:tcPr>
          <w:p>
            <w:pPr>
              <w:spacing w:after="0"/>
              <w:rPr>
                <w:sz w:val="24"/>
                <w:szCs w:val="24"/>
                <w:color w:val="auto"/>
              </w:rPr>
            </w:pPr>
          </w:p>
        </w:tc>
        <w:tc>
          <w:tcPr>
            <w:tcW w:w="1320" w:type="dxa"/>
            <w:vAlign w:val="bottom"/>
            <w:tcBorders>
              <w:bottom w:val="single" w:sz="8" w:color="auto"/>
            </w:tcBorders>
            <w:vMerge w:val="continue"/>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1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20"/>
                <w:szCs w:val="20"/>
                <w:b w:val="1"/>
                <w:bCs w:val="1"/>
                <w:color w:val="auto"/>
              </w:rPr>
              <w:t>Cash ($)</w:t>
            </w:r>
          </w:p>
        </w:tc>
        <w:tc>
          <w:tcPr>
            <w:tcW w:w="1080" w:type="dxa"/>
            <w:vAlign w:val="bottom"/>
            <w:tcBorders>
              <w:bottom w:val="single" w:sz="8" w:color="auto"/>
            </w:tcBorders>
            <w:gridSpan w:val="2"/>
          </w:tcPr>
          <w:p>
            <w:pPr>
              <w:jc w:val="center"/>
              <w:spacing w:after="0" w:line="283" w:lineRule="exact"/>
              <w:rPr>
                <w:sz w:val="20"/>
                <w:szCs w:val="20"/>
                <w:color w:val="auto"/>
              </w:rPr>
            </w:pPr>
            <w:r>
              <w:rPr>
                <w:rFonts w:ascii="Times New Roman" w:cs="Times New Roman" w:eastAsia="Times New Roman" w:hAnsi="Times New Roman"/>
                <w:sz w:val="32"/>
                <w:szCs w:val="32"/>
                <w:b w:val="1"/>
                <w:bCs w:val="1"/>
                <w:color w:val="auto"/>
                <w:w w:val="98"/>
                <w:vertAlign w:val="subscript"/>
              </w:rPr>
              <w:t>($)</w:t>
            </w:r>
            <w:r>
              <w:rPr>
                <w:rFonts w:ascii="Times New Roman" w:cs="Times New Roman" w:eastAsia="Times New Roman" w:hAnsi="Times New Roman"/>
                <w:sz w:val="12"/>
                <w:szCs w:val="12"/>
                <w:b w:val="1"/>
                <w:bCs w:val="1"/>
                <w:color w:val="auto"/>
                <w:w w:val="98"/>
              </w:rPr>
              <w:t>(1)(2)</w:t>
            </w:r>
          </w:p>
        </w:tc>
        <w:tc>
          <w:tcPr>
            <w:tcW w:w="1080" w:type="dxa"/>
            <w:vAlign w:val="bottom"/>
            <w:tcBorders>
              <w:bottom w:val="single" w:sz="8" w:color="auto"/>
            </w:tcBorders>
            <w:gridSpan w:val="2"/>
          </w:tcPr>
          <w:p>
            <w:pPr>
              <w:jc w:val="center"/>
              <w:spacing w:after="0"/>
              <w:rPr>
                <w:sz w:val="20"/>
                <w:szCs w:val="20"/>
                <w:color w:val="auto"/>
              </w:rPr>
            </w:pPr>
            <w:r>
              <w:rPr>
                <w:rFonts w:ascii="Times New Roman" w:cs="Times New Roman" w:eastAsia="Times New Roman" w:hAnsi="Times New Roman"/>
                <w:sz w:val="20"/>
                <w:szCs w:val="20"/>
                <w:b w:val="1"/>
                <w:bCs w:val="1"/>
                <w:color w:val="auto"/>
                <w:w w:val="94"/>
              </w:rPr>
              <w:t>($)</w:t>
            </w:r>
          </w:p>
        </w:tc>
        <w:tc>
          <w:tcPr>
            <w:tcW w:w="1350" w:type="dxa"/>
            <w:vAlign w:val="bottom"/>
            <w:tcBorders>
              <w:bottom w:val="single" w:sz="8" w:color="auto"/>
            </w:tcBorders>
            <w:gridSpan w:val="2"/>
          </w:tcPr>
          <w:p>
            <w:pPr>
              <w:jc w:val="center"/>
              <w:spacing w:after="0"/>
              <w:rPr>
                <w:sz w:val="20"/>
                <w:szCs w:val="20"/>
                <w:color w:val="auto"/>
              </w:rPr>
            </w:pPr>
            <w:r>
              <w:rPr>
                <w:rFonts w:ascii="Times New Roman" w:cs="Times New Roman" w:eastAsia="Times New Roman" w:hAnsi="Times New Roman"/>
                <w:sz w:val="20"/>
                <w:szCs w:val="20"/>
                <w:b w:val="1"/>
                <w:bCs w:val="1"/>
                <w:color w:val="auto"/>
              </w:rPr>
              <w:t>($)</w:t>
            </w:r>
          </w:p>
        </w:tc>
        <w:tc>
          <w:tcPr>
            <w:tcW w:w="70" w:type="dxa"/>
            <w:vAlign w:val="bottom"/>
            <w:tcBorders>
              <w:bottom w:val="single" w:sz="8" w:color="auto"/>
            </w:tcBorders>
          </w:tcPr>
          <w:p>
            <w:pPr>
              <w:spacing w:after="0"/>
              <w:rPr>
                <w:sz w:val="24"/>
                <w:szCs w:val="24"/>
                <w:color w:val="auto"/>
              </w:rPr>
            </w:pPr>
          </w:p>
        </w:tc>
        <w:tc>
          <w:tcPr>
            <w:tcW w:w="14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20"/>
                <w:szCs w:val="20"/>
                <w:b w:val="1"/>
                <w:bCs w:val="1"/>
                <w:color w:val="auto"/>
              </w:rPr>
              <w:t>earnings ($)</w:t>
            </w:r>
          </w:p>
        </w:tc>
        <w:tc>
          <w:tcPr>
            <w:tcW w:w="1360" w:type="dxa"/>
            <w:vAlign w:val="bottom"/>
            <w:tcBorders>
              <w:bottom w:val="single" w:sz="8" w:color="auto"/>
            </w:tcBorders>
            <w:gridSpan w:val="2"/>
          </w:tcPr>
          <w:p>
            <w:pPr>
              <w:jc w:val="center"/>
              <w:ind w:left="18"/>
              <w:spacing w:after="0" w:line="283" w:lineRule="exact"/>
              <w:rPr>
                <w:sz w:val="20"/>
                <w:szCs w:val="20"/>
                <w:color w:val="auto"/>
              </w:rPr>
            </w:pPr>
            <w:r>
              <w:rPr>
                <w:rFonts w:ascii="Times New Roman" w:cs="Times New Roman" w:eastAsia="Times New Roman" w:hAnsi="Times New Roman"/>
                <w:sz w:val="32"/>
                <w:szCs w:val="32"/>
                <w:b w:val="1"/>
                <w:bCs w:val="1"/>
                <w:color w:val="auto"/>
                <w:w w:val="97"/>
                <w:vertAlign w:val="subscript"/>
              </w:rPr>
              <w:t>($)</w:t>
            </w:r>
            <w:r>
              <w:rPr>
                <w:rFonts w:ascii="Times New Roman" w:cs="Times New Roman" w:eastAsia="Times New Roman" w:hAnsi="Times New Roman"/>
                <w:sz w:val="12"/>
                <w:szCs w:val="12"/>
                <w:b w:val="1"/>
                <w:bCs w:val="1"/>
                <w:color w:val="auto"/>
                <w:w w:val="97"/>
              </w:rPr>
              <w:t>(4)</w:t>
            </w:r>
          </w:p>
        </w:tc>
        <w:tc>
          <w:tcPr>
            <w:tcW w:w="80" w:type="dxa"/>
            <w:vAlign w:val="bottom"/>
            <w:tcBorders>
              <w:bottom w:val="single" w:sz="8" w:color="auto"/>
            </w:tcBorders>
          </w:tcPr>
          <w:p>
            <w:pPr>
              <w:spacing w:after="0"/>
              <w:rPr>
                <w:sz w:val="24"/>
                <w:szCs w:val="24"/>
                <w:color w:val="auto"/>
              </w:rPr>
            </w:pPr>
          </w:p>
        </w:tc>
        <w:tc>
          <w:tcPr>
            <w:tcW w:w="1100" w:type="dxa"/>
            <w:vAlign w:val="bottom"/>
            <w:tcBorders>
              <w:bottom w:val="single" w:sz="8" w:color="auto"/>
            </w:tcBorders>
            <w:vMerge w:val="continue"/>
          </w:tcPr>
          <w:p>
            <w:pPr>
              <w:spacing w:after="0"/>
              <w:rPr>
                <w:sz w:val="24"/>
                <w:szCs w:val="24"/>
                <w:color w:val="auto"/>
              </w:rPr>
            </w:pPr>
          </w:p>
        </w:tc>
        <w:tc>
          <w:tcPr>
            <w:tcW w:w="0" w:type="dxa"/>
            <w:vAlign w:val="bottom"/>
          </w:tcPr>
          <w:p>
            <w:pPr>
              <w:spacing w:after="0"/>
              <w:rPr>
                <w:sz w:val="1"/>
                <w:szCs w:val="1"/>
                <w:color w:val="auto"/>
              </w:rPr>
            </w:pPr>
          </w:p>
        </w:tc>
      </w:tr>
      <w:tr>
        <w:trPr>
          <w:trHeight w:val="320"/>
        </w:trPr>
        <w:tc>
          <w:tcPr>
            <w:tcW w:w="40" w:type="dxa"/>
            <w:vAlign w:val="bottom"/>
            <w:tcBorders>
              <w:top w:val="single" w:sz="8" w:color="DDDDDD"/>
            </w:tcBorders>
            <w:shd w:val="clear" w:color="auto" w:fill="DDDDDD"/>
          </w:tcPr>
          <w:p>
            <w:pPr>
              <w:spacing w:after="0"/>
              <w:rPr>
                <w:sz w:val="24"/>
                <w:szCs w:val="24"/>
                <w:color w:val="auto"/>
              </w:rPr>
            </w:pPr>
          </w:p>
        </w:tc>
        <w:tc>
          <w:tcPr>
            <w:tcW w:w="1320" w:type="dxa"/>
            <w:vAlign w:val="bottom"/>
            <w:tcBorders>
              <w:top w:val="single" w:sz="8" w:color="DDDDDD"/>
            </w:tcBorders>
            <w:shd w:val="clear" w:color="auto" w:fill="DDDDDD"/>
          </w:tcPr>
          <w:p>
            <w:pPr>
              <w:spacing w:after="0"/>
              <w:rPr>
                <w:sz w:val="20"/>
                <w:szCs w:val="20"/>
                <w:color w:val="auto"/>
              </w:rPr>
            </w:pPr>
            <w:r>
              <w:rPr>
                <w:rFonts w:ascii="Times New Roman" w:cs="Times New Roman" w:eastAsia="Times New Roman" w:hAnsi="Times New Roman"/>
                <w:sz w:val="18"/>
                <w:szCs w:val="18"/>
                <w:color w:val="auto"/>
              </w:rPr>
              <w:t>Tony Aquila</w:t>
            </w:r>
          </w:p>
        </w:tc>
        <w:tc>
          <w:tcPr>
            <w:tcW w:w="120" w:type="dxa"/>
            <w:vAlign w:val="bottom"/>
            <w:tcBorders>
              <w:top w:val="single" w:sz="8" w:color="DDDDDD"/>
            </w:tcBorders>
            <w:shd w:val="clear" w:color="auto" w:fill="DDDDDD"/>
          </w:tcPr>
          <w:p>
            <w:pPr>
              <w:spacing w:after="0"/>
              <w:rPr>
                <w:sz w:val="24"/>
                <w:szCs w:val="24"/>
                <w:color w:val="auto"/>
              </w:rPr>
            </w:pPr>
          </w:p>
        </w:tc>
        <w:tc>
          <w:tcPr>
            <w:tcW w:w="1180" w:type="dxa"/>
            <w:vAlign w:val="bottom"/>
            <w:tcBorders>
              <w:top w:val="single" w:sz="8" w:color="DDDDDD"/>
            </w:tcBorders>
            <w:shd w:val="clear" w:color="auto" w:fill="DDDDDD"/>
          </w:tcPr>
          <w:p>
            <w:pPr>
              <w:jc w:val="right"/>
              <w:spacing w:after="0"/>
              <w:rPr>
                <w:sz w:val="20"/>
                <w:szCs w:val="20"/>
                <w:color w:val="auto"/>
              </w:rPr>
            </w:pPr>
            <w:r>
              <w:rPr>
                <w:rFonts w:ascii="Times New Roman" w:cs="Times New Roman" w:eastAsia="Times New Roman" w:hAnsi="Times New Roman"/>
                <w:sz w:val="18"/>
                <w:szCs w:val="18"/>
                <w:color w:val="auto"/>
              </w:rPr>
              <w:t>65,000</w:t>
            </w:r>
          </w:p>
        </w:tc>
        <w:tc>
          <w:tcPr>
            <w:tcW w:w="80" w:type="dxa"/>
            <w:vAlign w:val="bottom"/>
            <w:tcBorders>
              <w:top w:val="single" w:sz="8" w:color="DDDDDD"/>
            </w:tcBorders>
            <w:shd w:val="clear" w:color="auto" w:fill="DDDDDD"/>
          </w:tcPr>
          <w:p>
            <w:pPr>
              <w:spacing w:after="0"/>
              <w:rPr>
                <w:sz w:val="24"/>
                <w:szCs w:val="24"/>
                <w:color w:val="auto"/>
              </w:rPr>
            </w:pPr>
          </w:p>
        </w:tc>
        <w:tc>
          <w:tcPr>
            <w:tcW w:w="1000" w:type="dxa"/>
            <w:vAlign w:val="bottom"/>
            <w:tcBorders>
              <w:top w:val="single" w:sz="8" w:color="DDDDDD"/>
            </w:tcBorders>
            <w:shd w:val="clear" w:color="auto" w:fill="DDDDDD"/>
          </w:tcPr>
          <w:p>
            <w:pPr>
              <w:jc w:val="right"/>
              <w:spacing w:after="0"/>
              <w:rPr>
                <w:sz w:val="20"/>
                <w:szCs w:val="20"/>
                <w:color w:val="auto"/>
              </w:rPr>
            </w:pPr>
            <w:r>
              <w:rPr>
                <w:rFonts w:ascii="Times New Roman" w:cs="Times New Roman" w:eastAsia="Times New Roman" w:hAnsi="Times New Roman"/>
                <w:sz w:val="18"/>
                <w:szCs w:val="18"/>
                <w:color w:val="auto"/>
              </w:rPr>
              <w:t>600,364</w:t>
            </w:r>
          </w:p>
        </w:tc>
        <w:tc>
          <w:tcPr>
            <w:tcW w:w="60" w:type="dxa"/>
            <w:vAlign w:val="bottom"/>
            <w:tcBorders>
              <w:top w:val="single" w:sz="8" w:color="DDDDDD"/>
            </w:tcBorders>
            <w:shd w:val="clear" w:color="auto" w:fill="DDDDDD"/>
          </w:tcPr>
          <w:p>
            <w:pPr>
              <w:spacing w:after="0"/>
              <w:rPr>
                <w:sz w:val="24"/>
                <w:szCs w:val="24"/>
                <w:color w:val="auto"/>
              </w:rPr>
            </w:pPr>
          </w:p>
        </w:tc>
        <w:tc>
          <w:tcPr>
            <w:tcW w:w="1020" w:type="dxa"/>
            <w:vAlign w:val="bottom"/>
            <w:tcBorders>
              <w:top w:val="single" w:sz="8" w:color="DDDDDD"/>
            </w:tcBorders>
            <w:shd w:val="clear" w:color="auto" w:fill="DDDDDD"/>
          </w:tcPr>
          <w:p>
            <w:pPr>
              <w:ind w:left="760"/>
              <w:spacing w:after="0"/>
              <w:rPr>
                <w:sz w:val="20"/>
                <w:szCs w:val="20"/>
                <w:color w:val="auto"/>
              </w:rPr>
            </w:pPr>
            <w:r>
              <w:rPr>
                <w:rFonts w:ascii="Times New Roman" w:cs="Times New Roman" w:eastAsia="Times New Roman" w:hAnsi="Times New Roman"/>
                <w:sz w:val="18"/>
                <w:szCs w:val="18"/>
                <w:color w:val="auto"/>
              </w:rPr>
              <w:t>—</w:t>
            </w:r>
          </w:p>
        </w:tc>
        <w:tc>
          <w:tcPr>
            <w:tcW w:w="40" w:type="dxa"/>
            <w:vAlign w:val="bottom"/>
            <w:tcBorders>
              <w:top w:val="single" w:sz="8" w:color="DDDDDD"/>
            </w:tcBorders>
            <w:shd w:val="clear" w:color="auto" w:fill="DDDDDD"/>
          </w:tcPr>
          <w:p>
            <w:pPr>
              <w:spacing w:after="0"/>
              <w:rPr>
                <w:sz w:val="24"/>
                <w:szCs w:val="24"/>
                <w:color w:val="auto"/>
              </w:rPr>
            </w:pPr>
          </w:p>
        </w:tc>
        <w:tc>
          <w:tcPr>
            <w:tcW w:w="1310" w:type="dxa"/>
            <w:vAlign w:val="bottom"/>
            <w:tcBorders>
              <w:top w:val="single" w:sz="8" w:color="DDDDDD"/>
            </w:tcBorders>
            <w:shd w:val="clear" w:color="auto" w:fill="DDDDDD"/>
          </w:tcPr>
          <w:p>
            <w:pPr>
              <w:ind w:left="1060"/>
              <w:spacing w:after="0"/>
              <w:rPr>
                <w:sz w:val="20"/>
                <w:szCs w:val="20"/>
                <w:color w:val="auto"/>
              </w:rPr>
            </w:pPr>
            <w:r>
              <w:rPr>
                <w:rFonts w:ascii="Times New Roman" w:cs="Times New Roman" w:eastAsia="Times New Roman" w:hAnsi="Times New Roman"/>
                <w:sz w:val="18"/>
                <w:szCs w:val="18"/>
                <w:color w:val="auto"/>
              </w:rPr>
              <w:t>—</w:t>
            </w:r>
          </w:p>
        </w:tc>
        <w:tc>
          <w:tcPr>
            <w:tcW w:w="70" w:type="dxa"/>
            <w:vAlign w:val="bottom"/>
            <w:tcBorders>
              <w:top w:val="single" w:sz="8" w:color="DDDDDD"/>
            </w:tcBorders>
            <w:shd w:val="clear" w:color="auto" w:fill="DDDDDD"/>
          </w:tcPr>
          <w:p>
            <w:pPr>
              <w:spacing w:after="0"/>
              <w:rPr>
                <w:sz w:val="24"/>
                <w:szCs w:val="24"/>
                <w:color w:val="auto"/>
              </w:rPr>
            </w:pPr>
          </w:p>
        </w:tc>
        <w:tc>
          <w:tcPr>
            <w:tcW w:w="1480" w:type="dxa"/>
            <w:vAlign w:val="bottom"/>
            <w:tcBorders>
              <w:top w:val="single" w:sz="8" w:color="DDDDDD"/>
            </w:tcBorders>
            <w:shd w:val="clear" w:color="auto" w:fill="DDDDDD"/>
          </w:tcPr>
          <w:p>
            <w:pPr>
              <w:ind w:left="124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Borders>
              <w:top w:val="single" w:sz="8" w:color="DDDDDD"/>
            </w:tcBorders>
            <w:shd w:val="clear" w:color="auto" w:fill="DDDDDD"/>
          </w:tcPr>
          <w:p>
            <w:pPr>
              <w:spacing w:after="0"/>
              <w:rPr>
                <w:sz w:val="24"/>
                <w:szCs w:val="24"/>
                <w:color w:val="auto"/>
              </w:rPr>
            </w:pPr>
          </w:p>
        </w:tc>
        <w:tc>
          <w:tcPr>
            <w:tcW w:w="1280" w:type="dxa"/>
            <w:vAlign w:val="bottom"/>
            <w:tcBorders>
              <w:top w:val="single" w:sz="8" w:color="DDDDDD"/>
            </w:tcBorders>
            <w:shd w:val="clear" w:color="auto" w:fill="DDDDDD"/>
          </w:tcPr>
          <w:p>
            <w:pPr>
              <w:jc w:val="right"/>
              <w:spacing w:after="0"/>
              <w:rPr>
                <w:sz w:val="20"/>
                <w:szCs w:val="20"/>
                <w:color w:val="auto"/>
              </w:rPr>
            </w:pPr>
            <w:r>
              <w:rPr>
                <w:rFonts w:ascii="Times New Roman" w:cs="Times New Roman" w:eastAsia="Times New Roman" w:hAnsi="Times New Roman"/>
                <w:sz w:val="18"/>
                <w:szCs w:val="18"/>
                <w:color w:val="auto"/>
              </w:rPr>
              <w:t>35,297</w:t>
            </w:r>
          </w:p>
        </w:tc>
        <w:tc>
          <w:tcPr>
            <w:tcW w:w="80" w:type="dxa"/>
            <w:vAlign w:val="bottom"/>
            <w:tcBorders>
              <w:top w:val="single" w:sz="8" w:color="DDDDDD"/>
            </w:tcBorders>
            <w:shd w:val="clear" w:color="auto" w:fill="DDDDDD"/>
          </w:tcPr>
          <w:p>
            <w:pPr>
              <w:spacing w:after="0"/>
              <w:rPr>
                <w:sz w:val="24"/>
                <w:szCs w:val="24"/>
                <w:color w:val="auto"/>
              </w:rPr>
            </w:pPr>
          </w:p>
        </w:tc>
        <w:tc>
          <w:tcPr>
            <w:tcW w:w="1100" w:type="dxa"/>
            <w:vAlign w:val="bottom"/>
            <w:tcBorders>
              <w:top w:val="single" w:sz="8" w:color="DDDDDD"/>
            </w:tcBorders>
            <w:shd w:val="clear" w:color="auto" w:fill="DDDDDD"/>
          </w:tcPr>
          <w:p>
            <w:pPr>
              <w:jc w:val="right"/>
              <w:spacing w:after="0"/>
              <w:rPr>
                <w:sz w:val="20"/>
                <w:szCs w:val="20"/>
                <w:color w:val="auto"/>
              </w:rPr>
            </w:pPr>
            <w:r>
              <w:rPr>
                <w:rFonts w:ascii="Times New Roman" w:cs="Times New Roman" w:eastAsia="Times New Roman" w:hAnsi="Times New Roman"/>
                <w:sz w:val="18"/>
                <w:szCs w:val="18"/>
                <w:color w:val="auto"/>
              </w:rPr>
              <w:t>700,661</w:t>
            </w:r>
          </w:p>
        </w:tc>
        <w:tc>
          <w:tcPr>
            <w:tcW w:w="0" w:type="dxa"/>
            <w:vAlign w:val="bottom"/>
          </w:tcPr>
          <w:p>
            <w:pPr>
              <w:spacing w:after="0"/>
              <w:rPr>
                <w:sz w:val="1"/>
                <w:szCs w:val="1"/>
                <w:color w:val="auto"/>
              </w:rPr>
            </w:pPr>
          </w:p>
        </w:tc>
      </w:tr>
      <w:tr>
        <w:trPr>
          <w:trHeight w:val="283"/>
        </w:trPr>
        <w:tc>
          <w:tcPr>
            <w:tcW w:w="40" w:type="dxa"/>
            <w:vAlign w:val="bottom"/>
          </w:tcPr>
          <w:p>
            <w:pPr>
              <w:spacing w:after="0"/>
              <w:rPr>
                <w:sz w:val="24"/>
                <w:szCs w:val="24"/>
                <w:color w:val="auto"/>
              </w:rPr>
            </w:pPr>
          </w:p>
        </w:tc>
        <w:tc>
          <w:tcPr>
            <w:tcW w:w="1320" w:type="dxa"/>
            <w:vAlign w:val="bottom"/>
          </w:tcPr>
          <w:p>
            <w:pPr>
              <w:spacing w:after="0"/>
              <w:rPr>
                <w:sz w:val="20"/>
                <w:szCs w:val="20"/>
                <w:color w:val="auto"/>
              </w:rPr>
            </w:pPr>
            <w:r>
              <w:rPr>
                <w:rFonts w:ascii="Times New Roman" w:cs="Times New Roman" w:eastAsia="Times New Roman" w:hAnsi="Times New Roman"/>
                <w:sz w:val="18"/>
                <w:szCs w:val="18"/>
                <w:color w:val="auto"/>
              </w:rPr>
              <w:t>Anthony Bay</w:t>
            </w:r>
          </w:p>
        </w:tc>
        <w:tc>
          <w:tcPr>
            <w:tcW w:w="13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122,500</w:t>
            </w:r>
          </w:p>
        </w:tc>
        <w:tc>
          <w:tcPr>
            <w:tcW w:w="10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394,114</w:t>
            </w:r>
          </w:p>
        </w:tc>
        <w:tc>
          <w:tcPr>
            <w:tcW w:w="60" w:type="dxa"/>
            <w:vAlign w:val="bottom"/>
          </w:tcPr>
          <w:p>
            <w:pPr>
              <w:spacing w:after="0"/>
              <w:rPr>
                <w:sz w:val="24"/>
                <w:szCs w:val="24"/>
                <w:color w:val="auto"/>
              </w:rPr>
            </w:pPr>
          </w:p>
        </w:tc>
        <w:tc>
          <w:tcPr>
            <w:tcW w:w="1020" w:type="dxa"/>
            <w:vAlign w:val="bottom"/>
          </w:tcPr>
          <w:p>
            <w:pPr>
              <w:ind w:left="760"/>
              <w:spacing w:after="0"/>
              <w:rPr>
                <w:sz w:val="20"/>
                <w:szCs w:val="20"/>
                <w:color w:val="auto"/>
              </w:rPr>
            </w:pPr>
            <w:r>
              <w:rPr>
                <w:rFonts w:ascii="Times New Roman" w:cs="Times New Roman" w:eastAsia="Times New Roman" w:hAnsi="Times New Roman"/>
                <w:sz w:val="18"/>
                <w:szCs w:val="18"/>
                <w:color w:val="auto"/>
              </w:rPr>
              <w:t>—</w:t>
            </w:r>
          </w:p>
        </w:tc>
        <w:tc>
          <w:tcPr>
            <w:tcW w:w="40" w:type="dxa"/>
            <w:vAlign w:val="bottom"/>
          </w:tcPr>
          <w:p>
            <w:pPr>
              <w:spacing w:after="0"/>
              <w:rPr>
                <w:sz w:val="24"/>
                <w:szCs w:val="24"/>
                <w:color w:val="auto"/>
              </w:rPr>
            </w:pPr>
          </w:p>
        </w:tc>
        <w:tc>
          <w:tcPr>
            <w:tcW w:w="1310" w:type="dxa"/>
            <w:vAlign w:val="bottom"/>
          </w:tcPr>
          <w:p>
            <w:pPr>
              <w:ind w:left="1060"/>
              <w:spacing w:after="0"/>
              <w:rPr>
                <w:sz w:val="20"/>
                <w:szCs w:val="20"/>
                <w:color w:val="auto"/>
              </w:rPr>
            </w:pPr>
            <w:r>
              <w:rPr>
                <w:rFonts w:ascii="Times New Roman" w:cs="Times New Roman" w:eastAsia="Times New Roman" w:hAnsi="Times New Roman"/>
                <w:sz w:val="18"/>
                <w:szCs w:val="18"/>
                <w:color w:val="auto"/>
              </w:rPr>
              <w:t>—</w:t>
            </w:r>
          </w:p>
        </w:tc>
        <w:tc>
          <w:tcPr>
            <w:tcW w:w="70" w:type="dxa"/>
            <w:vAlign w:val="bottom"/>
          </w:tcPr>
          <w:p>
            <w:pPr>
              <w:spacing w:after="0"/>
              <w:rPr>
                <w:sz w:val="24"/>
                <w:szCs w:val="24"/>
                <w:color w:val="auto"/>
              </w:rPr>
            </w:pPr>
          </w:p>
        </w:tc>
        <w:tc>
          <w:tcPr>
            <w:tcW w:w="1480" w:type="dxa"/>
            <w:vAlign w:val="bottom"/>
          </w:tcPr>
          <w:p>
            <w:pPr>
              <w:ind w:left="124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24"/>
                <w:szCs w:val="24"/>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516,614</w:t>
            </w:r>
          </w:p>
        </w:tc>
        <w:tc>
          <w:tcPr>
            <w:tcW w:w="0" w:type="dxa"/>
            <w:vAlign w:val="bottom"/>
          </w:tcPr>
          <w:p>
            <w:pPr>
              <w:spacing w:after="0"/>
              <w:rPr>
                <w:sz w:val="1"/>
                <w:szCs w:val="1"/>
                <w:color w:val="auto"/>
              </w:rPr>
            </w:pPr>
          </w:p>
        </w:tc>
      </w:tr>
      <w:tr>
        <w:trPr>
          <w:trHeight w:val="301"/>
        </w:trPr>
        <w:tc>
          <w:tcPr>
            <w:tcW w:w="40" w:type="dxa"/>
            <w:vAlign w:val="bottom"/>
            <w:shd w:val="clear" w:color="auto" w:fill="DDDDDD"/>
          </w:tcPr>
          <w:p>
            <w:pPr>
              <w:spacing w:after="0"/>
              <w:rPr>
                <w:sz w:val="24"/>
                <w:szCs w:val="24"/>
                <w:color w:val="auto"/>
              </w:rPr>
            </w:pPr>
          </w:p>
        </w:tc>
        <w:tc>
          <w:tcPr>
            <w:tcW w:w="1320" w:type="dxa"/>
            <w:vAlign w:val="bottom"/>
            <w:shd w:val="clear" w:color="auto" w:fill="DDDDDD"/>
          </w:tcPr>
          <w:p>
            <w:pPr>
              <w:spacing w:after="0"/>
              <w:rPr>
                <w:sz w:val="20"/>
                <w:szCs w:val="20"/>
                <w:color w:val="auto"/>
              </w:rPr>
            </w:pPr>
            <w:r>
              <w:rPr>
                <w:rFonts w:ascii="Times New Roman" w:cs="Times New Roman" w:eastAsia="Times New Roman" w:hAnsi="Times New Roman"/>
                <w:sz w:val="18"/>
                <w:szCs w:val="18"/>
                <w:color w:val="auto"/>
                <w:w w:val="95"/>
              </w:rPr>
              <w:t>Douglas Francis</w:t>
            </w:r>
            <w:r>
              <w:rPr>
                <w:rFonts w:ascii="Times New Roman" w:cs="Times New Roman" w:eastAsia="Times New Roman" w:hAnsi="Times New Roman"/>
                <w:sz w:val="24"/>
                <w:szCs w:val="24"/>
                <w:color w:val="auto"/>
                <w:w w:val="95"/>
                <w:vertAlign w:val="superscript"/>
              </w:rPr>
              <w:t>(5)</w:t>
            </w:r>
          </w:p>
        </w:tc>
        <w:tc>
          <w:tcPr>
            <w:tcW w:w="120" w:type="dxa"/>
            <w:vAlign w:val="bottom"/>
            <w:shd w:val="clear" w:color="auto" w:fill="DDDDDD"/>
          </w:tcPr>
          <w:p>
            <w:pPr>
              <w:spacing w:after="0"/>
              <w:rPr>
                <w:sz w:val="24"/>
                <w:szCs w:val="24"/>
                <w:color w:val="auto"/>
              </w:rPr>
            </w:pPr>
          </w:p>
        </w:tc>
        <w:tc>
          <w:tcPr>
            <w:tcW w:w="1180" w:type="dxa"/>
            <w:vAlign w:val="bottom"/>
            <w:shd w:val="clear" w:color="auto" w:fill="DDDDDD"/>
          </w:tcPr>
          <w:p>
            <w:pPr>
              <w:jc w:val="right"/>
              <w:spacing w:after="0"/>
              <w:rPr>
                <w:sz w:val="20"/>
                <w:szCs w:val="20"/>
                <w:color w:val="auto"/>
              </w:rPr>
            </w:pPr>
            <w:r>
              <w:rPr>
                <w:rFonts w:ascii="Times New Roman" w:cs="Times New Roman" w:eastAsia="Times New Roman" w:hAnsi="Times New Roman"/>
                <w:sz w:val="18"/>
                <w:szCs w:val="18"/>
                <w:color w:val="auto"/>
              </w:rPr>
              <w:t>37,768</w:t>
            </w:r>
          </w:p>
        </w:tc>
        <w:tc>
          <w:tcPr>
            <w:tcW w:w="80" w:type="dxa"/>
            <w:vAlign w:val="bottom"/>
            <w:shd w:val="clear" w:color="auto" w:fill="DDDDDD"/>
          </w:tcPr>
          <w:p>
            <w:pPr>
              <w:spacing w:after="0"/>
              <w:rPr>
                <w:sz w:val="24"/>
                <w:szCs w:val="24"/>
                <w:color w:val="auto"/>
              </w:rPr>
            </w:pPr>
          </w:p>
        </w:tc>
        <w:tc>
          <w:tcPr>
            <w:tcW w:w="1000" w:type="dxa"/>
            <w:vAlign w:val="bottom"/>
            <w:shd w:val="clear" w:color="auto" w:fill="DDDDDD"/>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shd w:val="clear" w:color="auto" w:fill="DDDDDD"/>
          </w:tcPr>
          <w:p>
            <w:pPr>
              <w:spacing w:after="0"/>
              <w:rPr>
                <w:sz w:val="24"/>
                <w:szCs w:val="24"/>
                <w:color w:val="auto"/>
              </w:rPr>
            </w:pPr>
          </w:p>
        </w:tc>
        <w:tc>
          <w:tcPr>
            <w:tcW w:w="1020" w:type="dxa"/>
            <w:vAlign w:val="bottom"/>
            <w:shd w:val="clear" w:color="auto" w:fill="DDDDDD"/>
          </w:tcPr>
          <w:p>
            <w:pPr>
              <w:ind w:left="760"/>
              <w:spacing w:after="0"/>
              <w:rPr>
                <w:sz w:val="20"/>
                <w:szCs w:val="20"/>
                <w:color w:val="auto"/>
              </w:rPr>
            </w:pPr>
            <w:r>
              <w:rPr>
                <w:rFonts w:ascii="Times New Roman" w:cs="Times New Roman" w:eastAsia="Times New Roman" w:hAnsi="Times New Roman"/>
                <w:sz w:val="18"/>
                <w:szCs w:val="18"/>
                <w:color w:val="auto"/>
              </w:rPr>
              <w:t>—</w:t>
            </w:r>
          </w:p>
        </w:tc>
        <w:tc>
          <w:tcPr>
            <w:tcW w:w="40" w:type="dxa"/>
            <w:vAlign w:val="bottom"/>
            <w:shd w:val="clear" w:color="auto" w:fill="DDDDDD"/>
          </w:tcPr>
          <w:p>
            <w:pPr>
              <w:spacing w:after="0"/>
              <w:rPr>
                <w:sz w:val="24"/>
                <w:szCs w:val="24"/>
                <w:color w:val="auto"/>
              </w:rPr>
            </w:pPr>
          </w:p>
        </w:tc>
        <w:tc>
          <w:tcPr>
            <w:tcW w:w="1310" w:type="dxa"/>
            <w:vAlign w:val="bottom"/>
            <w:shd w:val="clear" w:color="auto" w:fill="DDDDDD"/>
          </w:tcPr>
          <w:p>
            <w:pPr>
              <w:ind w:left="1060"/>
              <w:spacing w:after="0"/>
              <w:rPr>
                <w:sz w:val="20"/>
                <w:szCs w:val="20"/>
                <w:color w:val="auto"/>
              </w:rPr>
            </w:pPr>
            <w:r>
              <w:rPr>
                <w:rFonts w:ascii="Times New Roman" w:cs="Times New Roman" w:eastAsia="Times New Roman" w:hAnsi="Times New Roman"/>
                <w:sz w:val="18"/>
                <w:szCs w:val="18"/>
                <w:color w:val="auto"/>
              </w:rPr>
              <w:t>—</w:t>
            </w:r>
          </w:p>
        </w:tc>
        <w:tc>
          <w:tcPr>
            <w:tcW w:w="70" w:type="dxa"/>
            <w:vAlign w:val="bottom"/>
            <w:shd w:val="clear" w:color="auto" w:fill="DDDDDD"/>
          </w:tcPr>
          <w:p>
            <w:pPr>
              <w:spacing w:after="0"/>
              <w:rPr>
                <w:sz w:val="24"/>
                <w:szCs w:val="24"/>
                <w:color w:val="auto"/>
              </w:rPr>
            </w:pPr>
          </w:p>
        </w:tc>
        <w:tc>
          <w:tcPr>
            <w:tcW w:w="1480" w:type="dxa"/>
            <w:vAlign w:val="bottom"/>
            <w:shd w:val="clear" w:color="auto" w:fill="DDDDDD"/>
          </w:tcPr>
          <w:p>
            <w:pPr>
              <w:ind w:left="124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DDDDDD"/>
          </w:tcPr>
          <w:p>
            <w:pPr>
              <w:spacing w:after="0"/>
              <w:rPr>
                <w:sz w:val="24"/>
                <w:szCs w:val="24"/>
                <w:color w:val="auto"/>
              </w:rPr>
            </w:pPr>
          </w:p>
        </w:tc>
        <w:tc>
          <w:tcPr>
            <w:tcW w:w="1280" w:type="dxa"/>
            <w:vAlign w:val="bottom"/>
            <w:shd w:val="clear" w:color="auto" w:fill="DDDDDD"/>
          </w:tcPr>
          <w:p>
            <w:pPr>
              <w:jc w:val="right"/>
              <w:spacing w:after="0"/>
              <w:rPr>
                <w:sz w:val="20"/>
                <w:szCs w:val="20"/>
                <w:color w:val="auto"/>
              </w:rPr>
            </w:pPr>
            <w:r>
              <w:rPr>
                <w:rFonts w:ascii="Times New Roman" w:cs="Times New Roman" w:eastAsia="Times New Roman" w:hAnsi="Times New Roman"/>
                <w:sz w:val="18"/>
                <w:szCs w:val="18"/>
                <w:color w:val="auto"/>
              </w:rPr>
              <w:t>30,905</w:t>
            </w:r>
          </w:p>
        </w:tc>
        <w:tc>
          <w:tcPr>
            <w:tcW w:w="80" w:type="dxa"/>
            <w:vAlign w:val="bottom"/>
            <w:shd w:val="clear" w:color="auto" w:fill="DDDDDD"/>
          </w:tcPr>
          <w:p>
            <w:pPr>
              <w:spacing w:after="0"/>
              <w:rPr>
                <w:sz w:val="24"/>
                <w:szCs w:val="24"/>
                <w:color w:val="auto"/>
              </w:rPr>
            </w:pPr>
          </w:p>
        </w:tc>
        <w:tc>
          <w:tcPr>
            <w:tcW w:w="1100" w:type="dxa"/>
            <w:vAlign w:val="bottom"/>
            <w:shd w:val="clear" w:color="auto" w:fill="DDDDDD"/>
          </w:tcPr>
          <w:p>
            <w:pPr>
              <w:jc w:val="right"/>
              <w:spacing w:after="0"/>
              <w:rPr>
                <w:sz w:val="20"/>
                <w:szCs w:val="20"/>
                <w:color w:val="auto"/>
              </w:rPr>
            </w:pPr>
            <w:r>
              <w:rPr>
                <w:rFonts w:ascii="Times New Roman" w:cs="Times New Roman" w:eastAsia="Times New Roman" w:hAnsi="Times New Roman"/>
                <w:sz w:val="18"/>
                <w:szCs w:val="18"/>
                <w:color w:val="auto"/>
              </w:rPr>
              <w:t>68,673</w:t>
            </w:r>
          </w:p>
        </w:tc>
        <w:tc>
          <w:tcPr>
            <w:tcW w:w="0" w:type="dxa"/>
            <w:vAlign w:val="bottom"/>
          </w:tcPr>
          <w:p>
            <w:pPr>
              <w:spacing w:after="0"/>
              <w:rPr>
                <w:sz w:val="1"/>
                <w:szCs w:val="1"/>
                <w:color w:val="auto"/>
              </w:rPr>
            </w:pPr>
          </w:p>
        </w:tc>
      </w:tr>
      <w:tr>
        <w:trPr>
          <w:trHeight w:val="347"/>
        </w:trPr>
        <w:tc>
          <w:tcPr>
            <w:tcW w:w="40" w:type="dxa"/>
            <w:vAlign w:val="bottom"/>
          </w:tcPr>
          <w:p>
            <w:pPr>
              <w:spacing w:after="0"/>
              <w:rPr>
                <w:sz w:val="24"/>
                <w:szCs w:val="24"/>
                <w:color w:val="auto"/>
              </w:rPr>
            </w:pPr>
          </w:p>
        </w:tc>
        <w:tc>
          <w:tcPr>
            <w:tcW w:w="1320" w:type="dxa"/>
            <w:vAlign w:val="bottom"/>
          </w:tcPr>
          <w:p>
            <w:pPr>
              <w:spacing w:after="0"/>
              <w:rPr>
                <w:sz w:val="20"/>
                <w:szCs w:val="20"/>
                <w:color w:val="auto"/>
              </w:rPr>
            </w:pPr>
            <w:r>
              <w:rPr>
                <w:rFonts w:ascii="Times New Roman" w:cs="Times New Roman" w:eastAsia="Times New Roman" w:hAnsi="Times New Roman"/>
                <w:sz w:val="18"/>
                <w:szCs w:val="18"/>
                <w:color w:val="auto"/>
              </w:rPr>
              <w:t>Brenda Freeman</w:t>
            </w:r>
          </w:p>
        </w:tc>
        <w:tc>
          <w:tcPr>
            <w:tcW w:w="13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183,000</w:t>
            </w:r>
          </w:p>
        </w:tc>
        <w:tc>
          <w:tcPr>
            <w:tcW w:w="10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500,363</w:t>
            </w:r>
          </w:p>
        </w:tc>
        <w:tc>
          <w:tcPr>
            <w:tcW w:w="60" w:type="dxa"/>
            <w:vAlign w:val="bottom"/>
          </w:tcPr>
          <w:p>
            <w:pPr>
              <w:spacing w:after="0"/>
              <w:rPr>
                <w:sz w:val="24"/>
                <w:szCs w:val="24"/>
                <w:color w:val="auto"/>
              </w:rPr>
            </w:pPr>
          </w:p>
        </w:tc>
        <w:tc>
          <w:tcPr>
            <w:tcW w:w="1020" w:type="dxa"/>
            <w:vAlign w:val="bottom"/>
          </w:tcPr>
          <w:p>
            <w:pPr>
              <w:ind w:left="760"/>
              <w:spacing w:after="0"/>
              <w:rPr>
                <w:sz w:val="20"/>
                <w:szCs w:val="20"/>
                <w:color w:val="auto"/>
              </w:rPr>
            </w:pPr>
            <w:r>
              <w:rPr>
                <w:rFonts w:ascii="Times New Roman" w:cs="Times New Roman" w:eastAsia="Times New Roman" w:hAnsi="Times New Roman"/>
                <w:sz w:val="18"/>
                <w:szCs w:val="18"/>
                <w:color w:val="auto"/>
              </w:rPr>
              <w:t>—</w:t>
            </w:r>
          </w:p>
        </w:tc>
        <w:tc>
          <w:tcPr>
            <w:tcW w:w="40" w:type="dxa"/>
            <w:vAlign w:val="bottom"/>
          </w:tcPr>
          <w:p>
            <w:pPr>
              <w:spacing w:after="0"/>
              <w:rPr>
                <w:sz w:val="24"/>
                <w:szCs w:val="24"/>
                <w:color w:val="auto"/>
              </w:rPr>
            </w:pPr>
          </w:p>
        </w:tc>
        <w:tc>
          <w:tcPr>
            <w:tcW w:w="1310" w:type="dxa"/>
            <w:vAlign w:val="bottom"/>
          </w:tcPr>
          <w:p>
            <w:pPr>
              <w:ind w:left="1060"/>
              <w:spacing w:after="0"/>
              <w:rPr>
                <w:sz w:val="20"/>
                <w:szCs w:val="20"/>
                <w:color w:val="auto"/>
              </w:rPr>
            </w:pPr>
            <w:r>
              <w:rPr>
                <w:rFonts w:ascii="Times New Roman" w:cs="Times New Roman" w:eastAsia="Times New Roman" w:hAnsi="Times New Roman"/>
                <w:sz w:val="18"/>
                <w:szCs w:val="18"/>
                <w:color w:val="auto"/>
              </w:rPr>
              <w:t>—</w:t>
            </w:r>
          </w:p>
        </w:tc>
        <w:tc>
          <w:tcPr>
            <w:tcW w:w="70" w:type="dxa"/>
            <w:vAlign w:val="bottom"/>
          </w:tcPr>
          <w:p>
            <w:pPr>
              <w:spacing w:after="0"/>
              <w:rPr>
                <w:sz w:val="24"/>
                <w:szCs w:val="24"/>
                <w:color w:val="auto"/>
              </w:rPr>
            </w:pPr>
          </w:p>
        </w:tc>
        <w:tc>
          <w:tcPr>
            <w:tcW w:w="1480" w:type="dxa"/>
            <w:vAlign w:val="bottom"/>
          </w:tcPr>
          <w:p>
            <w:pPr>
              <w:ind w:left="1240"/>
              <w:spacing w:after="0"/>
              <w:rPr>
                <w:sz w:val="20"/>
                <w:szCs w:val="20"/>
                <w:color w:val="auto"/>
              </w:rPr>
            </w:pPr>
            <w:r>
              <w:rPr>
                <w:rFonts w:ascii="Times New Roman" w:cs="Times New Roman" w:eastAsia="Times New Roman" w:hAnsi="Times New Roman"/>
                <w:sz w:val="18"/>
                <w:szCs w:val="18"/>
                <w:color w:val="auto"/>
              </w:rPr>
              <w:t>—</w:t>
            </w:r>
          </w:p>
        </w:tc>
        <w:tc>
          <w:tcPr>
            <w:tcW w:w="13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26,775</w:t>
            </w:r>
          </w:p>
        </w:tc>
        <w:tc>
          <w:tcPr>
            <w:tcW w:w="11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710,138</w:t>
            </w:r>
          </w:p>
        </w:tc>
        <w:tc>
          <w:tcPr>
            <w:tcW w:w="0" w:type="dxa"/>
            <w:vAlign w:val="bottom"/>
          </w:tcPr>
          <w:p>
            <w:pPr>
              <w:spacing w:after="0"/>
              <w:rPr>
                <w:sz w:val="1"/>
                <w:szCs w:val="1"/>
                <w:color w:val="auto"/>
              </w:rPr>
            </w:pPr>
          </w:p>
        </w:tc>
      </w:tr>
      <w:tr>
        <w:trPr>
          <w:trHeight w:val="365"/>
        </w:trPr>
        <w:tc>
          <w:tcPr>
            <w:tcW w:w="40" w:type="dxa"/>
            <w:vAlign w:val="bottom"/>
            <w:shd w:val="clear" w:color="auto" w:fill="DDDDDD"/>
          </w:tcPr>
          <w:p>
            <w:pPr>
              <w:spacing w:after="0"/>
              <w:rPr>
                <w:sz w:val="24"/>
                <w:szCs w:val="24"/>
                <w:color w:val="auto"/>
              </w:rPr>
            </w:pPr>
          </w:p>
        </w:tc>
        <w:tc>
          <w:tcPr>
            <w:tcW w:w="1320" w:type="dxa"/>
            <w:vAlign w:val="bottom"/>
            <w:shd w:val="clear" w:color="auto" w:fill="DDDDDD"/>
          </w:tcPr>
          <w:p>
            <w:pPr>
              <w:spacing w:after="0"/>
              <w:rPr>
                <w:sz w:val="20"/>
                <w:szCs w:val="20"/>
                <w:color w:val="auto"/>
              </w:rPr>
            </w:pPr>
            <w:r>
              <w:rPr>
                <w:rFonts w:ascii="Times New Roman" w:cs="Times New Roman" w:eastAsia="Times New Roman" w:hAnsi="Times New Roman"/>
                <w:sz w:val="18"/>
                <w:szCs w:val="18"/>
                <w:color w:val="auto"/>
              </w:rPr>
              <w:t>Olga Gonzalez</w:t>
            </w:r>
          </w:p>
        </w:tc>
        <w:tc>
          <w:tcPr>
            <w:tcW w:w="120" w:type="dxa"/>
            <w:vAlign w:val="bottom"/>
            <w:shd w:val="clear" w:color="auto" w:fill="DDDDDD"/>
          </w:tcPr>
          <w:p>
            <w:pPr>
              <w:spacing w:after="0"/>
              <w:rPr>
                <w:sz w:val="24"/>
                <w:szCs w:val="24"/>
                <w:color w:val="auto"/>
              </w:rPr>
            </w:pPr>
          </w:p>
        </w:tc>
        <w:tc>
          <w:tcPr>
            <w:tcW w:w="1180" w:type="dxa"/>
            <w:vAlign w:val="bottom"/>
            <w:shd w:val="clear" w:color="auto" w:fill="DDDDDD"/>
          </w:tcPr>
          <w:p>
            <w:pPr>
              <w:jc w:val="right"/>
              <w:spacing w:after="0"/>
              <w:rPr>
                <w:sz w:val="20"/>
                <w:szCs w:val="20"/>
                <w:color w:val="auto"/>
              </w:rPr>
            </w:pPr>
            <w:r>
              <w:rPr>
                <w:rFonts w:ascii="Times New Roman" w:cs="Times New Roman" w:eastAsia="Times New Roman" w:hAnsi="Times New Roman"/>
                <w:sz w:val="18"/>
                <w:szCs w:val="18"/>
                <w:color w:val="auto"/>
              </w:rPr>
              <w:t>120,000</w:t>
            </w:r>
          </w:p>
        </w:tc>
        <w:tc>
          <w:tcPr>
            <w:tcW w:w="80" w:type="dxa"/>
            <w:vAlign w:val="bottom"/>
            <w:shd w:val="clear" w:color="auto" w:fill="DDDDDD"/>
          </w:tcPr>
          <w:p>
            <w:pPr>
              <w:spacing w:after="0"/>
              <w:rPr>
                <w:sz w:val="24"/>
                <w:szCs w:val="24"/>
                <w:color w:val="auto"/>
              </w:rPr>
            </w:pPr>
          </w:p>
        </w:tc>
        <w:tc>
          <w:tcPr>
            <w:tcW w:w="1000" w:type="dxa"/>
            <w:vAlign w:val="bottom"/>
            <w:shd w:val="clear" w:color="auto" w:fill="DDDDDD"/>
          </w:tcPr>
          <w:p>
            <w:pPr>
              <w:jc w:val="right"/>
              <w:spacing w:after="0"/>
              <w:rPr>
                <w:sz w:val="20"/>
                <w:szCs w:val="20"/>
                <w:color w:val="auto"/>
              </w:rPr>
            </w:pPr>
            <w:r>
              <w:rPr>
                <w:rFonts w:ascii="Times New Roman" w:cs="Times New Roman" w:eastAsia="Times New Roman" w:hAnsi="Times New Roman"/>
                <w:sz w:val="18"/>
                <w:szCs w:val="18"/>
                <w:color w:val="auto"/>
              </w:rPr>
              <w:t>500,363</w:t>
            </w:r>
          </w:p>
        </w:tc>
        <w:tc>
          <w:tcPr>
            <w:tcW w:w="60" w:type="dxa"/>
            <w:vAlign w:val="bottom"/>
            <w:shd w:val="clear" w:color="auto" w:fill="DDDDDD"/>
          </w:tcPr>
          <w:p>
            <w:pPr>
              <w:spacing w:after="0"/>
              <w:rPr>
                <w:sz w:val="24"/>
                <w:szCs w:val="24"/>
                <w:color w:val="auto"/>
              </w:rPr>
            </w:pPr>
          </w:p>
        </w:tc>
        <w:tc>
          <w:tcPr>
            <w:tcW w:w="1020" w:type="dxa"/>
            <w:vAlign w:val="bottom"/>
            <w:shd w:val="clear" w:color="auto" w:fill="DDDDDD"/>
          </w:tcPr>
          <w:p>
            <w:pPr>
              <w:ind w:left="760"/>
              <w:spacing w:after="0"/>
              <w:rPr>
                <w:sz w:val="20"/>
                <w:szCs w:val="20"/>
                <w:color w:val="auto"/>
              </w:rPr>
            </w:pPr>
            <w:r>
              <w:rPr>
                <w:rFonts w:ascii="Times New Roman" w:cs="Times New Roman" w:eastAsia="Times New Roman" w:hAnsi="Times New Roman"/>
                <w:sz w:val="18"/>
                <w:szCs w:val="18"/>
                <w:color w:val="auto"/>
              </w:rPr>
              <w:t>—</w:t>
            </w:r>
          </w:p>
        </w:tc>
        <w:tc>
          <w:tcPr>
            <w:tcW w:w="40" w:type="dxa"/>
            <w:vAlign w:val="bottom"/>
            <w:shd w:val="clear" w:color="auto" w:fill="DDDDDD"/>
          </w:tcPr>
          <w:p>
            <w:pPr>
              <w:spacing w:after="0"/>
              <w:rPr>
                <w:sz w:val="24"/>
                <w:szCs w:val="24"/>
                <w:color w:val="auto"/>
              </w:rPr>
            </w:pPr>
          </w:p>
        </w:tc>
        <w:tc>
          <w:tcPr>
            <w:tcW w:w="1310" w:type="dxa"/>
            <w:vAlign w:val="bottom"/>
            <w:shd w:val="clear" w:color="auto" w:fill="DDDDDD"/>
          </w:tcPr>
          <w:p>
            <w:pPr>
              <w:ind w:left="1060"/>
              <w:spacing w:after="0"/>
              <w:rPr>
                <w:sz w:val="20"/>
                <w:szCs w:val="20"/>
                <w:color w:val="auto"/>
              </w:rPr>
            </w:pPr>
            <w:r>
              <w:rPr>
                <w:rFonts w:ascii="Times New Roman" w:cs="Times New Roman" w:eastAsia="Times New Roman" w:hAnsi="Times New Roman"/>
                <w:sz w:val="18"/>
                <w:szCs w:val="18"/>
                <w:color w:val="auto"/>
              </w:rPr>
              <w:t>—</w:t>
            </w:r>
          </w:p>
        </w:tc>
        <w:tc>
          <w:tcPr>
            <w:tcW w:w="70" w:type="dxa"/>
            <w:vAlign w:val="bottom"/>
            <w:shd w:val="clear" w:color="auto" w:fill="DDDDDD"/>
          </w:tcPr>
          <w:p>
            <w:pPr>
              <w:spacing w:after="0"/>
              <w:rPr>
                <w:sz w:val="24"/>
                <w:szCs w:val="24"/>
                <w:color w:val="auto"/>
              </w:rPr>
            </w:pPr>
          </w:p>
        </w:tc>
        <w:tc>
          <w:tcPr>
            <w:tcW w:w="1480" w:type="dxa"/>
            <w:vAlign w:val="bottom"/>
            <w:shd w:val="clear" w:color="auto" w:fill="DDDDDD"/>
          </w:tcPr>
          <w:p>
            <w:pPr>
              <w:ind w:left="124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DDDDDD"/>
          </w:tcPr>
          <w:p>
            <w:pPr>
              <w:spacing w:after="0"/>
              <w:rPr>
                <w:sz w:val="24"/>
                <w:szCs w:val="24"/>
                <w:color w:val="auto"/>
              </w:rPr>
            </w:pPr>
          </w:p>
        </w:tc>
        <w:tc>
          <w:tcPr>
            <w:tcW w:w="1280" w:type="dxa"/>
            <w:vAlign w:val="bottom"/>
            <w:shd w:val="clear" w:color="auto" w:fill="DDDDDD"/>
          </w:tcPr>
          <w:p>
            <w:pPr>
              <w:jc w:val="right"/>
              <w:spacing w:after="0"/>
              <w:rPr>
                <w:sz w:val="20"/>
                <w:szCs w:val="20"/>
                <w:color w:val="auto"/>
              </w:rPr>
            </w:pPr>
            <w:r>
              <w:rPr>
                <w:rFonts w:ascii="Times New Roman" w:cs="Times New Roman" w:eastAsia="Times New Roman" w:hAnsi="Times New Roman"/>
                <w:sz w:val="18"/>
                <w:szCs w:val="18"/>
                <w:color w:val="auto"/>
              </w:rPr>
              <w:t>27,073</w:t>
            </w:r>
          </w:p>
        </w:tc>
        <w:tc>
          <w:tcPr>
            <w:tcW w:w="80" w:type="dxa"/>
            <w:vAlign w:val="bottom"/>
            <w:shd w:val="clear" w:color="auto" w:fill="DDDDDD"/>
          </w:tcPr>
          <w:p>
            <w:pPr>
              <w:spacing w:after="0"/>
              <w:rPr>
                <w:sz w:val="24"/>
                <w:szCs w:val="24"/>
                <w:color w:val="auto"/>
              </w:rPr>
            </w:pPr>
          </w:p>
        </w:tc>
        <w:tc>
          <w:tcPr>
            <w:tcW w:w="1100" w:type="dxa"/>
            <w:vAlign w:val="bottom"/>
            <w:shd w:val="clear" w:color="auto" w:fill="DDDDDD"/>
          </w:tcPr>
          <w:p>
            <w:pPr>
              <w:jc w:val="right"/>
              <w:spacing w:after="0"/>
              <w:rPr>
                <w:sz w:val="20"/>
                <w:szCs w:val="20"/>
                <w:color w:val="auto"/>
              </w:rPr>
            </w:pPr>
            <w:r>
              <w:rPr>
                <w:rFonts w:ascii="Times New Roman" w:cs="Times New Roman" w:eastAsia="Times New Roman" w:hAnsi="Times New Roman"/>
                <w:sz w:val="18"/>
                <w:szCs w:val="18"/>
                <w:color w:val="auto"/>
              </w:rPr>
              <w:t>647,436</w:t>
            </w:r>
          </w:p>
        </w:tc>
        <w:tc>
          <w:tcPr>
            <w:tcW w:w="0" w:type="dxa"/>
            <w:vAlign w:val="bottom"/>
          </w:tcPr>
          <w:p>
            <w:pPr>
              <w:spacing w:after="0"/>
              <w:rPr>
                <w:sz w:val="1"/>
                <w:szCs w:val="1"/>
                <w:color w:val="auto"/>
              </w:rPr>
            </w:pPr>
          </w:p>
        </w:tc>
      </w:tr>
      <w:tr>
        <w:trPr>
          <w:trHeight w:val="355"/>
        </w:trPr>
        <w:tc>
          <w:tcPr>
            <w:tcW w:w="40" w:type="dxa"/>
            <w:vAlign w:val="bottom"/>
          </w:tcPr>
          <w:p>
            <w:pPr>
              <w:spacing w:after="0"/>
              <w:rPr>
                <w:sz w:val="24"/>
                <w:szCs w:val="24"/>
                <w:color w:val="auto"/>
              </w:rPr>
            </w:pPr>
          </w:p>
        </w:tc>
        <w:tc>
          <w:tcPr>
            <w:tcW w:w="1320" w:type="dxa"/>
            <w:vAlign w:val="bottom"/>
          </w:tcPr>
          <w:p>
            <w:pPr>
              <w:spacing w:after="0"/>
              <w:rPr>
                <w:sz w:val="20"/>
                <w:szCs w:val="20"/>
                <w:color w:val="auto"/>
              </w:rPr>
            </w:pPr>
            <w:r>
              <w:rPr>
                <w:rFonts w:ascii="Times New Roman" w:cs="Times New Roman" w:eastAsia="Times New Roman" w:hAnsi="Times New Roman"/>
                <w:sz w:val="18"/>
                <w:szCs w:val="18"/>
                <w:color w:val="auto"/>
              </w:rPr>
              <w:t>Scott Gordon</w:t>
            </w:r>
          </w:p>
        </w:tc>
        <w:tc>
          <w:tcPr>
            <w:tcW w:w="13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97,500</w:t>
            </w:r>
          </w:p>
        </w:tc>
        <w:tc>
          <w:tcPr>
            <w:tcW w:w="10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187,864</w:t>
            </w:r>
          </w:p>
        </w:tc>
        <w:tc>
          <w:tcPr>
            <w:tcW w:w="60" w:type="dxa"/>
            <w:vAlign w:val="bottom"/>
          </w:tcPr>
          <w:p>
            <w:pPr>
              <w:spacing w:after="0"/>
              <w:rPr>
                <w:sz w:val="24"/>
                <w:szCs w:val="24"/>
                <w:color w:val="auto"/>
              </w:rPr>
            </w:pPr>
          </w:p>
        </w:tc>
        <w:tc>
          <w:tcPr>
            <w:tcW w:w="1020" w:type="dxa"/>
            <w:vAlign w:val="bottom"/>
          </w:tcPr>
          <w:p>
            <w:pPr>
              <w:ind w:left="760"/>
              <w:spacing w:after="0"/>
              <w:rPr>
                <w:sz w:val="20"/>
                <w:szCs w:val="20"/>
                <w:color w:val="auto"/>
              </w:rPr>
            </w:pPr>
            <w:r>
              <w:rPr>
                <w:rFonts w:ascii="Times New Roman" w:cs="Times New Roman" w:eastAsia="Times New Roman" w:hAnsi="Times New Roman"/>
                <w:sz w:val="18"/>
                <w:szCs w:val="18"/>
                <w:color w:val="auto"/>
              </w:rPr>
              <w:t>—</w:t>
            </w:r>
          </w:p>
        </w:tc>
        <w:tc>
          <w:tcPr>
            <w:tcW w:w="40" w:type="dxa"/>
            <w:vAlign w:val="bottom"/>
          </w:tcPr>
          <w:p>
            <w:pPr>
              <w:spacing w:after="0"/>
              <w:rPr>
                <w:sz w:val="24"/>
                <w:szCs w:val="24"/>
                <w:color w:val="auto"/>
              </w:rPr>
            </w:pPr>
          </w:p>
        </w:tc>
        <w:tc>
          <w:tcPr>
            <w:tcW w:w="1310" w:type="dxa"/>
            <w:vAlign w:val="bottom"/>
          </w:tcPr>
          <w:p>
            <w:pPr>
              <w:ind w:left="1060"/>
              <w:spacing w:after="0"/>
              <w:rPr>
                <w:sz w:val="20"/>
                <w:szCs w:val="20"/>
                <w:color w:val="auto"/>
              </w:rPr>
            </w:pPr>
            <w:r>
              <w:rPr>
                <w:rFonts w:ascii="Times New Roman" w:cs="Times New Roman" w:eastAsia="Times New Roman" w:hAnsi="Times New Roman"/>
                <w:sz w:val="18"/>
                <w:szCs w:val="18"/>
                <w:color w:val="auto"/>
              </w:rPr>
              <w:t>—</w:t>
            </w:r>
          </w:p>
        </w:tc>
        <w:tc>
          <w:tcPr>
            <w:tcW w:w="70" w:type="dxa"/>
            <w:vAlign w:val="bottom"/>
          </w:tcPr>
          <w:p>
            <w:pPr>
              <w:spacing w:after="0"/>
              <w:rPr>
                <w:sz w:val="24"/>
                <w:szCs w:val="24"/>
                <w:color w:val="auto"/>
              </w:rPr>
            </w:pPr>
          </w:p>
        </w:tc>
        <w:tc>
          <w:tcPr>
            <w:tcW w:w="1480" w:type="dxa"/>
            <w:vAlign w:val="bottom"/>
          </w:tcPr>
          <w:p>
            <w:pPr>
              <w:ind w:left="1240"/>
              <w:spacing w:after="0"/>
              <w:rPr>
                <w:sz w:val="20"/>
                <w:szCs w:val="20"/>
                <w:color w:val="auto"/>
              </w:rPr>
            </w:pPr>
            <w:r>
              <w:rPr>
                <w:rFonts w:ascii="Times New Roman" w:cs="Times New Roman" w:eastAsia="Times New Roman" w:hAnsi="Times New Roman"/>
                <w:sz w:val="18"/>
                <w:szCs w:val="18"/>
                <w:color w:val="auto"/>
              </w:rPr>
              <w:t>—</w:t>
            </w:r>
          </w:p>
        </w:tc>
        <w:tc>
          <w:tcPr>
            <w:tcW w:w="13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37,964</w:t>
            </w:r>
          </w:p>
        </w:tc>
        <w:tc>
          <w:tcPr>
            <w:tcW w:w="11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323,328</w:t>
            </w:r>
          </w:p>
        </w:tc>
        <w:tc>
          <w:tcPr>
            <w:tcW w:w="0" w:type="dxa"/>
            <w:vAlign w:val="bottom"/>
          </w:tcPr>
          <w:p>
            <w:pPr>
              <w:spacing w:after="0"/>
              <w:rPr>
                <w:sz w:val="1"/>
                <w:szCs w:val="1"/>
                <w:color w:val="auto"/>
              </w:rPr>
            </w:pPr>
          </w:p>
        </w:tc>
      </w:tr>
      <w:tr>
        <w:trPr>
          <w:trHeight w:val="365"/>
        </w:trPr>
        <w:tc>
          <w:tcPr>
            <w:tcW w:w="40" w:type="dxa"/>
            <w:vAlign w:val="bottom"/>
            <w:shd w:val="clear" w:color="auto" w:fill="DDDDDD"/>
          </w:tcPr>
          <w:p>
            <w:pPr>
              <w:spacing w:after="0"/>
              <w:rPr>
                <w:sz w:val="24"/>
                <w:szCs w:val="24"/>
                <w:color w:val="auto"/>
              </w:rPr>
            </w:pPr>
          </w:p>
        </w:tc>
        <w:tc>
          <w:tcPr>
            <w:tcW w:w="1320" w:type="dxa"/>
            <w:vAlign w:val="bottom"/>
            <w:shd w:val="clear" w:color="auto" w:fill="DDDDDD"/>
          </w:tcPr>
          <w:p>
            <w:pPr>
              <w:spacing w:after="0"/>
              <w:rPr>
                <w:sz w:val="20"/>
                <w:szCs w:val="20"/>
                <w:color w:val="auto"/>
              </w:rPr>
            </w:pPr>
            <w:r>
              <w:rPr>
                <w:rFonts w:ascii="Times New Roman" w:cs="Times New Roman" w:eastAsia="Times New Roman" w:hAnsi="Times New Roman"/>
                <w:sz w:val="18"/>
                <w:szCs w:val="18"/>
                <w:color w:val="auto"/>
                <w:highlight w:val="lightGray"/>
                <w:w w:val="99"/>
              </w:rPr>
              <w:t>Justin Hartfield</w:t>
            </w:r>
            <w:r>
              <w:rPr>
                <w:rFonts w:ascii="Times New Roman" w:cs="Times New Roman" w:eastAsia="Times New Roman" w:hAnsi="Times New Roman"/>
                <w:sz w:val="24"/>
                <w:szCs w:val="24"/>
                <w:color w:val="auto"/>
                <w:highlight w:val="lightGray"/>
                <w:w w:val="99"/>
                <w:vertAlign w:val="superscript"/>
              </w:rPr>
              <w:t>(3)</w:t>
            </w:r>
          </w:p>
        </w:tc>
        <w:tc>
          <w:tcPr>
            <w:tcW w:w="120" w:type="dxa"/>
            <w:vAlign w:val="bottom"/>
            <w:shd w:val="clear" w:color="auto" w:fill="DDDDDD"/>
          </w:tcPr>
          <w:p>
            <w:pPr>
              <w:spacing w:after="0"/>
              <w:rPr>
                <w:sz w:val="24"/>
                <w:szCs w:val="24"/>
                <w:color w:val="auto"/>
              </w:rPr>
            </w:pPr>
          </w:p>
        </w:tc>
        <w:tc>
          <w:tcPr>
            <w:tcW w:w="1180" w:type="dxa"/>
            <w:vAlign w:val="bottom"/>
            <w:shd w:val="clear" w:color="auto" w:fill="DDDDDD"/>
          </w:tcPr>
          <w:p>
            <w:pPr>
              <w:jc w:val="right"/>
              <w:spacing w:after="0"/>
              <w:rPr>
                <w:sz w:val="20"/>
                <w:szCs w:val="20"/>
                <w:color w:val="auto"/>
              </w:rPr>
            </w:pPr>
            <w:r>
              <w:rPr>
                <w:rFonts w:ascii="Times New Roman" w:cs="Times New Roman" w:eastAsia="Times New Roman" w:hAnsi="Times New Roman"/>
                <w:sz w:val="18"/>
                <w:szCs w:val="18"/>
                <w:color w:val="auto"/>
              </w:rPr>
              <w:t>35,000</w:t>
            </w:r>
          </w:p>
        </w:tc>
        <w:tc>
          <w:tcPr>
            <w:tcW w:w="80" w:type="dxa"/>
            <w:vAlign w:val="bottom"/>
            <w:shd w:val="clear" w:color="auto" w:fill="DDDDDD"/>
          </w:tcPr>
          <w:p>
            <w:pPr>
              <w:spacing w:after="0"/>
              <w:rPr>
                <w:sz w:val="24"/>
                <w:szCs w:val="24"/>
                <w:color w:val="auto"/>
              </w:rPr>
            </w:pPr>
          </w:p>
        </w:tc>
        <w:tc>
          <w:tcPr>
            <w:tcW w:w="1000" w:type="dxa"/>
            <w:vAlign w:val="bottom"/>
            <w:shd w:val="clear" w:color="auto" w:fill="DDDDDD"/>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shd w:val="clear" w:color="auto" w:fill="DDDDDD"/>
          </w:tcPr>
          <w:p>
            <w:pPr>
              <w:spacing w:after="0"/>
              <w:rPr>
                <w:sz w:val="24"/>
                <w:szCs w:val="24"/>
                <w:color w:val="auto"/>
              </w:rPr>
            </w:pPr>
          </w:p>
        </w:tc>
        <w:tc>
          <w:tcPr>
            <w:tcW w:w="1020" w:type="dxa"/>
            <w:vAlign w:val="bottom"/>
            <w:shd w:val="clear" w:color="auto" w:fill="DDDDDD"/>
          </w:tcPr>
          <w:p>
            <w:pPr>
              <w:ind w:left="760"/>
              <w:spacing w:after="0"/>
              <w:rPr>
                <w:sz w:val="20"/>
                <w:szCs w:val="20"/>
                <w:color w:val="auto"/>
              </w:rPr>
            </w:pPr>
            <w:r>
              <w:rPr>
                <w:rFonts w:ascii="Times New Roman" w:cs="Times New Roman" w:eastAsia="Times New Roman" w:hAnsi="Times New Roman"/>
                <w:sz w:val="18"/>
                <w:szCs w:val="18"/>
                <w:color w:val="auto"/>
              </w:rPr>
              <w:t>—</w:t>
            </w:r>
          </w:p>
        </w:tc>
        <w:tc>
          <w:tcPr>
            <w:tcW w:w="40" w:type="dxa"/>
            <w:vAlign w:val="bottom"/>
            <w:shd w:val="clear" w:color="auto" w:fill="DDDDDD"/>
          </w:tcPr>
          <w:p>
            <w:pPr>
              <w:spacing w:after="0"/>
              <w:rPr>
                <w:sz w:val="24"/>
                <w:szCs w:val="24"/>
                <w:color w:val="auto"/>
              </w:rPr>
            </w:pPr>
          </w:p>
        </w:tc>
        <w:tc>
          <w:tcPr>
            <w:tcW w:w="1310" w:type="dxa"/>
            <w:vAlign w:val="bottom"/>
            <w:shd w:val="clear" w:color="auto" w:fill="DDDDDD"/>
          </w:tcPr>
          <w:p>
            <w:pPr>
              <w:ind w:left="1060"/>
              <w:spacing w:after="0"/>
              <w:rPr>
                <w:sz w:val="20"/>
                <w:szCs w:val="20"/>
                <w:color w:val="auto"/>
              </w:rPr>
            </w:pPr>
            <w:r>
              <w:rPr>
                <w:rFonts w:ascii="Times New Roman" w:cs="Times New Roman" w:eastAsia="Times New Roman" w:hAnsi="Times New Roman"/>
                <w:sz w:val="18"/>
                <w:szCs w:val="18"/>
                <w:color w:val="auto"/>
              </w:rPr>
              <w:t>—</w:t>
            </w:r>
          </w:p>
        </w:tc>
        <w:tc>
          <w:tcPr>
            <w:tcW w:w="70" w:type="dxa"/>
            <w:vAlign w:val="bottom"/>
            <w:shd w:val="clear" w:color="auto" w:fill="DDDDDD"/>
          </w:tcPr>
          <w:p>
            <w:pPr>
              <w:spacing w:after="0"/>
              <w:rPr>
                <w:sz w:val="24"/>
                <w:szCs w:val="24"/>
                <w:color w:val="auto"/>
              </w:rPr>
            </w:pPr>
          </w:p>
        </w:tc>
        <w:tc>
          <w:tcPr>
            <w:tcW w:w="1480" w:type="dxa"/>
            <w:vAlign w:val="bottom"/>
            <w:shd w:val="clear" w:color="auto" w:fill="DDDDDD"/>
          </w:tcPr>
          <w:p>
            <w:pPr>
              <w:ind w:left="124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DDDDDD"/>
          </w:tcPr>
          <w:p>
            <w:pPr>
              <w:spacing w:after="0"/>
              <w:rPr>
                <w:sz w:val="24"/>
                <w:szCs w:val="24"/>
                <w:color w:val="auto"/>
              </w:rPr>
            </w:pPr>
          </w:p>
        </w:tc>
        <w:tc>
          <w:tcPr>
            <w:tcW w:w="1280" w:type="dxa"/>
            <w:vAlign w:val="bottom"/>
            <w:shd w:val="clear" w:color="auto" w:fill="DDDDDD"/>
          </w:tcPr>
          <w:p>
            <w:pPr>
              <w:jc w:val="right"/>
              <w:spacing w:after="0"/>
              <w:rPr>
                <w:sz w:val="20"/>
                <w:szCs w:val="20"/>
                <w:color w:val="auto"/>
              </w:rPr>
            </w:pPr>
            <w:r>
              <w:rPr>
                <w:rFonts w:ascii="Times New Roman" w:cs="Times New Roman" w:eastAsia="Times New Roman" w:hAnsi="Times New Roman"/>
                <w:sz w:val="18"/>
                <w:szCs w:val="18"/>
                <w:color w:val="auto"/>
              </w:rPr>
              <w:t>33,684</w:t>
            </w:r>
          </w:p>
        </w:tc>
        <w:tc>
          <w:tcPr>
            <w:tcW w:w="80" w:type="dxa"/>
            <w:vAlign w:val="bottom"/>
            <w:shd w:val="clear" w:color="auto" w:fill="DDDDDD"/>
          </w:tcPr>
          <w:p>
            <w:pPr>
              <w:spacing w:after="0"/>
              <w:rPr>
                <w:sz w:val="24"/>
                <w:szCs w:val="24"/>
                <w:color w:val="auto"/>
              </w:rPr>
            </w:pPr>
          </w:p>
        </w:tc>
        <w:tc>
          <w:tcPr>
            <w:tcW w:w="1100" w:type="dxa"/>
            <w:vAlign w:val="bottom"/>
            <w:shd w:val="clear" w:color="auto" w:fill="DDDDDD"/>
          </w:tcPr>
          <w:p>
            <w:pPr>
              <w:jc w:val="right"/>
              <w:spacing w:after="0"/>
              <w:rPr>
                <w:sz w:val="20"/>
                <w:szCs w:val="20"/>
                <w:color w:val="auto"/>
              </w:rPr>
            </w:pPr>
            <w:r>
              <w:rPr>
                <w:rFonts w:ascii="Times New Roman" w:cs="Times New Roman" w:eastAsia="Times New Roman" w:hAnsi="Times New Roman"/>
                <w:sz w:val="18"/>
                <w:szCs w:val="18"/>
                <w:color w:val="auto"/>
              </w:rPr>
              <w:t>68,684</w:t>
            </w:r>
          </w:p>
        </w:tc>
        <w:tc>
          <w:tcPr>
            <w:tcW w:w="0" w:type="dxa"/>
            <w:vAlign w:val="bottom"/>
          </w:tcPr>
          <w:p>
            <w:pPr>
              <w:spacing w:after="0"/>
              <w:rPr>
                <w:sz w:val="1"/>
                <w:szCs w:val="1"/>
                <w:color w:val="auto"/>
              </w:rPr>
            </w:pPr>
          </w:p>
        </w:tc>
      </w:tr>
      <w:tr>
        <w:trPr>
          <w:trHeight w:val="349"/>
        </w:trPr>
        <w:tc>
          <w:tcPr>
            <w:tcW w:w="40" w:type="dxa"/>
            <w:vAlign w:val="bottom"/>
          </w:tcPr>
          <w:p>
            <w:pPr>
              <w:spacing w:after="0"/>
              <w:rPr>
                <w:sz w:val="24"/>
                <w:szCs w:val="24"/>
                <w:color w:val="auto"/>
              </w:rPr>
            </w:pPr>
          </w:p>
        </w:tc>
        <w:tc>
          <w:tcPr>
            <w:tcW w:w="1320" w:type="dxa"/>
            <w:vAlign w:val="bottom"/>
          </w:tcPr>
          <w:p>
            <w:pPr>
              <w:spacing w:after="0"/>
              <w:rPr>
                <w:sz w:val="20"/>
                <w:szCs w:val="20"/>
                <w:color w:val="auto"/>
              </w:rPr>
            </w:pPr>
            <w:r>
              <w:rPr>
                <w:rFonts w:ascii="Times New Roman" w:cs="Times New Roman" w:eastAsia="Times New Roman" w:hAnsi="Times New Roman"/>
                <w:sz w:val="18"/>
                <w:szCs w:val="18"/>
                <w:color w:val="auto"/>
              </w:rPr>
              <w:t>Fiona Tan</w:t>
            </w:r>
          </w:p>
        </w:tc>
        <w:tc>
          <w:tcPr>
            <w:tcW w:w="13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122,000</w:t>
            </w:r>
          </w:p>
        </w:tc>
        <w:tc>
          <w:tcPr>
            <w:tcW w:w="10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394,114</w:t>
            </w:r>
          </w:p>
        </w:tc>
        <w:tc>
          <w:tcPr>
            <w:tcW w:w="60" w:type="dxa"/>
            <w:vAlign w:val="bottom"/>
          </w:tcPr>
          <w:p>
            <w:pPr>
              <w:spacing w:after="0"/>
              <w:rPr>
                <w:sz w:val="24"/>
                <w:szCs w:val="24"/>
                <w:color w:val="auto"/>
              </w:rPr>
            </w:pPr>
          </w:p>
        </w:tc>
        <w:tc>
          <w:tcPr>
            <w:tcW w:w="1020" w:type="dxa"/>
            <w:vAlign w:val="bottom"/>
          </w:tcPr>
          <w:p>
            <w:pPr>
              <w:ind w:left="760"/>
              <w:spacing w:after="0"/>
              <w:rPr>
                <w:sz w:val="20"/>
                <w:szCs w:val="20"/>
                <w:color w:val="auto"/>
              </w:rPr>
            </w:pPr>
            <w:r>
              <w:rPr>
                <w:rFonts w:ascii="Times New Roman" w:cs="Times New Roman" w:eastAsia="Times New Roman" w:hAnsi="Times New Roman"/>
                <w:sz w:val="18"/>
                <w:szCs w:val="18"/>
                <w:color w:val="auto"/>
              </w:rPr>
              <w:t>—</w:t>
            </w:r>
          </w:p>
        </w:tc>
        <w:tc>
          <w:tcPr>
            <w:tcW w:w="40" w:type="dxa"/>
            <w:vAlign w:val="bottom"/>
          </w:tcPr>
          <w:p>
            <w:pPr>
              <w:spacing w:after="0"/>
              <w:rPr>
                <w:sz w:val="24"/>
                <w:szCs w:val="24"/>
                <w:color w:val="auto"/>
              </w:rPr>
            </w:pPr>
          </w:p>
        </w:tc>
        <w:tc>
          <w:tcPr>
            <w:tcW w:w="1310" w:type="dxa"/>
            <w:vAlign w:val="bottom"/>
          </w:tcPr>
          <w:p>
            <w:pPr>
              <w:ind w:left="1060"/>
              <w:spacing w:after="0"/>
              <w:rPr>
                <w:sz w:val="20"/>
                <w:szCs w:val="20"/>
                <w:color w:val="auto"/>
              </w:rPr>
            </w:pPr>
            <w:r>
              <w:rPr>
                <w:rFonts w:ascii="Times New Roman" w:cs="Times New Roman" w:eastAsia="Times New Roman" w:hAnsi="Times New Roman"/>
                <w:sz w:val="18"/>
                <w:szCs w:val="18"/>
                <w:color w:val="auto"/>
              </w:rPr>
              <w:t>—</w:t>
            </w:r>
          </w:p>
        </w:tc>
        <w:tc>
          <w:tcPr>
            <w:tcW w:w="70" w:type="dxa"/>
            <w:vAlign w:val="bottom"/>
          </w:tcPr>
          <w:p>
            <w:pPr>
              <w:spacing w:after="0"/>
              <w:rPr>
                <w:sz w:val="24"/>
                <w:szCs w:val="24"/>
                <w:color w:val="auto"/>
              </w:rPr>
            </w:pPr>
          </w:p>
        </w:tc>
        <w:tc>
          <w:tcPr>
            <w:tcW w:w="1480" w:type="dxa"/>
            <w:vAlign w:val="bottom"/>
          </w:tcPr>
          <w:p>
            <w:pPr>
              <w:ind w:left="1240"/>
              <w:spacing w:after="0"/>
              <w:rPr>
                <w:sz w:val="20"/>
                <w:szCs w:val="20"/>
                <w:color w:val="auto"/>
              </w:rPr>
            </w:pPr>
            <w:r>
              <w:rPr>
                <w:rFonts w:ascii="Times New Roman" w:cs="Times New Roman" w:eastAsia="Times New Roman" w:hAnsi="Times New Roman"/>
                <w:sz w:val="18"/>
                <w:szCs w:val="18"/>
                <w:color w:val="auto"/>
              </w:rPr>
              <w:t>—</w:t>
            </w:r>
          </w:p>
        </w:tc>
        <w:tc>
          <w:tcPr>
            <w:tcW w:w="13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36,550</w:t>
            </w:r>
          </w:p>
        </w:tc>
        <w:tc>
          <w:tcPr>
            <w:tcW w:w="11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552,664</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0</wp:posOffset>
                </wp:positionH>
                <wp:positionV relativeFrom="paragraph">
                  <wp:posOffset>15875</wp:posOffset>
                </wp:positionV>
                <wp:extent cx="6523355" cy="0"/>
                <wp:wrapNone/>
                <wp:docPr id="31" name="Shape 31"/>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523355" cy="4763"/>
                        </a:xfrm>
                        <a:prstGeom prst="line">
                          <a:avLst/>
                        </a:prstGeom>
                        <a:solidFill>
                          <a:srgbClr val="FFFFFF"/>
                        </a:solidFill>
                        <a:ln w="9144">
                          <a:solidFill>
                            <a:srgbClr val="000000"/>
                          </a:solidFill>
                          <a:miter lim="800000"/>
                          <a:headEnd/>
                          <a:tailEnd/>
                        </a:ln>
                      </wps:spPr>
                      <wps:bodyPr/>
                    </wps:wsp>
                  </a:graphicData>
                </a:graphic>
              </wp:anchor>
            </w:drawing>
          </mc:Choice>
          <mc:Fallback>
            <w:pict>
              <v:line id="Shape 31" o:spid="_x0000_s1056"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0pt,1.25pt" to="513.65pt,1.25pt" o:allowincell="f" strokecolor="#000000" strokeweight="0.72pt"/>
            </w:pict>
          </mc:Fallback>
        </mc:AlternateContent>
      </w:r>
    </w:p>
    <w:p>
      <w:pPr>
        <w:spacing w:after="0" w:line="12"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0"/>
          <w:szCs w:val="20"/>
          <w:color w:val="auto"/>
        </w:rPr>
        <w:t>___________________________</w:t>
      </w:r>
    </w:p>
    <w:p>
      <w:pPr>
        <w:spacing w:after="0" w:line="54" w:lineRule="exact"/>
        <w:rPr>
          <w:sz w:val="20"/>
          <w:szCs w:val="20"/>
          <w:color w:val="auto"/>
        </w:rPr>
      </w:pPr>
    </w:p>
    <w:p>
      <w:pPr>
        <w:ind w:left="380" w:right="20" w:hanging="366"/>
        <w:spacing w:after="0" w:line="300" w:lineRule="auto"/>
        <w:tabs>
          <w:tab w:leader="none" w:pos="380" w:val="left"/>
        </w:tabs>
        <w:numPr>
          <w:ilvl w:val="0"/>
          <w:numId w:val="60"/>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following table shows, for each named individual, the aggregate shares under stock awards and the aggregate shares underlying option awards held by that individual as of December 31, 2023.</w:t>
      </w:r>
    </w:p>
    <w:p>
      <w:pPr>
        <w:jc w:val="both"/>
        <w:ind w:left="380" w:hanging="366"/>
        <w:spacing w:after="0" w:line="293" w:lineRule="auto"/>
        <w:tabs>
          <w:tab w:leader="none" w:pos="380" w:val="left"/>
        </w:tabs>
        <w:numPr>
          <w:ilvl w:val="0"/>
          <w:numId w:val="60"/>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Amounts reflect the grant date fair value of all service-vesting RSU awards in accordance with ASC 718, rather than amounts paid to or realized by the named individual. The grant date fair value of each RSU award was measured based on the closing price of our shares of our Class A Common Stock on the date of grant. The amounts reported do not correspond to the economic value received by each non-employee director from the equity award. For information regarding assumptions underlying the value of equity awards, see Note 14 to our financial statements included in our Annual Report on Form 10-K for the year ended December 31, 2023.</w:t>
      </w:r>
    </w:p>
    <w:p>
      <w:pPr>
        <w:ind w:left="380" w:hanging="366"/>
        <w:spacing w:after="0"/>
        <w:tabs>
          <w:tab w:leader="none" w:pos="380" w:val="left"/>
        </w:tabs>
        <w:numPr>
          <w:ilvl w:val="0"/>
          <w:numId w:val="60"/>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Mr. Hartfield resigned as a member of the Board and forfeited $187,864 of stock awards on August 9, 2023.</w:t>
      </w:r>
    </w:p>
    <w:p>
      <w:pPr>
        <w:spacing w:after="0" w:line="60" w:lineRule="exact"/>
        <w:rPr>
          <w:rFonts w:ascii="Times New Roman" w:cs="Times New Roman" w:eastAsia="Times New Roman" w:hAnsi="Times New Roman"/>
          <w:sz w:val="16"/>
          <w:szCs w:val="16"/>
          <w:color w:val="auto"/>
        </w:rPr>
      </w:pPr>
    </w:p>
    <w:p>
      <w:pPr>
        <w:ind w:left="380" w:hanging="366"/>
        <w:spacing w:after="0"/>
        <w:tabs>
          <w:tab w:leader="none" w:pos="380" w:val="left"/>
        </w:tabs>
        <w:numPr>
          <w:ilvl w:val="0"/>
          <w:numId w:val="60"/>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Amounts include payments made to non-employee directors due to unanticipated tax obligations owed in connection with their 2022 service.</w:t>
      </w:r>
    </w:p>
    <w:p>
      <w:pPr>
        <w:spacing w:after="0" w:line="53" w:lineRule="exact"/>
        <w:rPr>
          <w:rFonts w:ascii="Times New Roman" w:cs="Times New Roman" w:eastAsia="Times New Roman" w:hAnsi="Times New Roman"/>
          <w:sz w:val="16"/>
          <w:szCs w:val="16"/>
          <w:color w:val="auto"/>
        </w:rPr>
      </w:pPr>
    </w:p>
    <w:p>
      <w:pPr>
        <w:ind w:left="380" w:hanging="366"/>
        <w:spacing w:after="0"/>
        <w:tabs>
          <w:tab w:leader="none" w:pos="380" w:val="left"/>
        </w:tabs>
        <w:numPr>
          <w:ilvl w:val="0"/>
          <w:numId w:val="60"/>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Mr. Francis was a Non-Employee Director until he was named an executive officer on April 26, 2023.</w:t>
      </w:r>
    </w:p>
    <w:p>
      <w:pPr>
        <w:spacing w:after="0" w:line="99"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60" w:type="dxa"/>
            <w:vAlign w:val="bottom"/>
          </w:tcPr>
          <w:p>
            <w:pPr>
              <w:spacing w:after="0"/>
              <w:rPr>
                <w:sz w:val="20"/>
                <w:szCs w:val="20"/>
                <w:color w:val="auto"/>
              </w:rPr>
            </w:pPr>
          </w:p>
        </w:tc>
        <w:tc>
          <w:tcPr>
            <w:tcW w:w="7680" w:type="dxa"/>
            <w:vAlign w:val="bottom"/>
          </w:tcPr>
          <w:p>
            <w:pPr>
              <w:spacing w:after="0"/>
              <w:rPr>
                <w:sz w:val="20"/>
                <w:szCs w:val="20"/>
                <w:color w:val="auto"/>
              </w:rPr>
            </w:pPr>
          </w:p>
        </w:tc>
        <w:tc>
          <w:tcPr>
            <w:tcW w:w="2540" w:type="dxa"/>
            <w:vAlign w:val="bottom"/>
          </w:tcPr>
          <w:p>
            <w:pPr>
              <w:jc w:val="center"/>
              <w:ind w:left="27"/>
              <w:spacing w:after="0"/>
              <w:rPr>
                <w:sz w:val="20"/>
                <w:szCs w:val="20"/>
                <w:color w:val="auto"/>
              </w:rPr>
            </w:pPr>
            <w:r>
              <w:rPr>
                <w:rFonts w:ascii="Times New Roman" w:cs="Times New Roman" w:eastAsia="Times New Roman" w:hAnsi="Times New Roman"/>
                <w:sz w:val="20"/>
                <w:szCs w:val="20"/>
                <w:b w:val="1"/>
                <w:bCs w:val="1"/>
                <w:color w:val="auto"/>
                <w:w w:val="98"/>
              </w:rPr>
              <w:t>Aggregate Stock Awards</w:t>
            </w:r>
          </w:p>
        </w:tc>
        <w:tc>
          <w:tcPr>
            <w:tcW w:w="0" w:type="dxa"/>
            <w:vAlign w:val="bottom"/>
          </w:tcPr>
          <w:p>
            <w:pPr>
              <w:spacing w:after="0"/>
              <w:rPr>
                <w:sz w:val="1"/>
                <w:szCs w:val="1"/>
                <w:color w:val="auto"/>
              </w:rPr>
            </w:pPr>
          </w:p>
        </w:tc>
      </w:tr>
      <w:tr>
        <w:trPr>
          <w:trHeight w:val="230"/>
        </w:trPr>
        <w:tc>
          <w:tcPr>
            <w:tcW w:w="60" w:type="dxa"/>
            <w:vAlign w:val="bottom"/>
          </w:tcPr>
          <w:p>
            <w:pPr>
              <w:spacing w:after="0"/>
              <w:rPr>
                <w:sz w:val="20"/>
                <w:szCs w:val="20"/>
                <w:color w:val="auto"/>
              </w:rPr>
            </w:pPr>
          </w:p>
        </w:tc>
        <w:tc>
          <w:tcPr>
            <w:tcW w:w="7680" w:type="dxa"/>
            <w:vAlign w:val="bottom"/>
            <w:vMerge w:val="restart"/>
          </w:tcPr>
          <w:p>
            <w:pPr>
              <w:spacing w:after="0"/>
              <w:rPr>
                <w:sz w:val="20"/>
                <w:szCs w:val="20"/>
                <w:color w:val="auto"/>
              </w:rPr>
            </w:pPr>
            <w:r>
              <w:rPr>
                <w:rFonts w:ascii="Times New Roman" w:cs="Times New Roman" w:eastAsia="Times New Roman" w:hAnsi="Times New Roman"/>
                <w:sz w:val="20"/>
                <w:szCs w:val="20"/>
                <w:b w:val="1"/>
                <w:bCs w:val="1"/>
                <w:color w:val="auto"/>
              </w:rPr>
              <w:t>Name</w:t>
            </w:r>
          </w:p>
        </w:tc>
        <w:tc>
          <w:tcPr>
            <w:tcW w:w="2540" w:type="dxa"/>
            <w:vAlign w:val="bottom"/>
          </w:tcPr>
          <w:p>
            <w:pPr>
              <w:jc w:val="center"/>
              <w:ind w:left="7"/>
              <w:spacing w:after="0"/>
              <w:rPr>
                <w:sz w:val="20"/>
                <w:szCs w:val="20"/>
                <w:color w:val="auto"/>
              </w:rPr>
            </w:pPr>
            <w:r>
              <w:rPr>
                <w:rFonts w:ascii="Times New Roman" w:cs="Times New Roman" w:eastAsia="Times New Roman" w:hAnsi="Times New Roman"/>
                <w:sz w:val="20"/>
                <w:szCs w:val="20"/>
                <w:b w:val="1"/>
                <w:bCs w:val="1"/>
                <w:color w:val="auto"/>
              </w:rPr>
              <w:t>Outstanding as of</w:t>
            </w:r>
          </w:p>
        </w:tc>
        <w:tc>
          <w:tcPr>
            <w:tcW w:w="0" w:type="dxa"/>
            <w:vAlign w:val="bottom"/>
          </w:tcPr>
          <w:p>
            <w:pPr>
              <w:spacing w:after="0"/>
              <w:rPr>
                <w:sz w:val="1"/>
                <w:szCs w:val="1"/>
                <w:color w:val="auto"/>
              </w:rPr>
            </w:pPr>
          </w:p>
        </w:tc>
      </w:tr>
      <w:tr>
        <w:trPr>
          <w:trHeight w:val="281"/>
        </w:trPr>
        <w:tc>
          <w:tcPr>
            <w:tcW w:w="60" w:type="dxa"/>
            <w:vAlign w:val="bottom"/>
          </w:tcPr>
          <w:p>
            <w:pPr>
              <w:spacing w:after="0"/>
              <w:rPr>
                <w:sz w:val="24"/>
                <w:szCs w:val="24"/>
                <w:color w:val="auto"/>
              </w:rPr>
            </w:pPr>
          </w:p>
        </w:tc>
        <w:tc>
          <w:tcPr>
            <w:tcW w:w="7680" w:type="dxa"/>
            <w:vAlign w:val="bottom"/>
            <w:tcBorders>
              <w:bottom w:val="single" w:sz="8" w:color="auto"/>
            </w:tcBorders>
            <w:vMerge w:val="continue"/>
          </w:tcPr>
          <w:p>
            <w:pPr>
              <w:spacing w:after="0"/>
              <w:rPr>
                <w:sz w:val="24"/>
                <w:szCs w:val="24"/>
                <w:color w:val="auto"/>
              </w:rPr>
            </w:pPr>
          </w:p>
        </w:tc>
        <w:tc>
          <w:tcPr>
            <w:tcW w:w="2540" w:type="dxa"/>
            <w:vAlign w:val="bottom"/>
            <w:tcBorders>
              <w:bottom w:val="single" w:sz="8" w:color="auto"/>
            </w:tcBorders>
          </w:tcPr>
          <w:p>
            <w:pPr>
              <w:jc w:val="center"/>
              <w:ind w:left="27"/>
              <w:spacing w:after="0"/>
              <w:rPr>
                <w:sz w:val="20"/>
                <w:szCs w:val="20"/>
                <w:color w:val="auto"/>
              </w:rPr>
            </w:pPr>
            <w:r>
              <w:rPr>
                <w:rFonts w:ascii="Times New Roman" w:cs="Times New Roman" w:eastAsia="Times New Roman" w:hAnsi="Times New Roman"/>
                <w:sz w:val="20"/>
                <w:szCs w:val="20"/>
                <w:b w:val="1"/>
                <w:bCs w:val="1"/>
                <w:color w:val="auto"/>
              </w:rPr>
              <w:t>December 31, 2023</w:t>
            </w:r>
          </w:p>
        </w:tc>
        <w:tc>
          <w:tcPr>
            <w:tcW w:w="0" w:type="dxa"/>
            <w:vAlign w:val="bottom"/>
          </w:tcPr>
          <w:p>
            <w:pPr>
              <w:spacing w:after="0"/>
              <w:rPr>
                <w:sz w:val="1"/>
                <w:szCs w:val="1"/>
                <w:color w:val="auto"/>
              </w:rPr>
            </w:pPr>
          </w:p>
        </w:tc>
      </w:tr>
      <w:tr>
        <w:trPr>
          <w:trHeight w:val="278"/>
        </w:trPr>
        <w:tc>
          <w:tcPr>
            <w:tcW w:w="60" w:type="dxa"/>
            <w:vAlign w:val="bottom"/>
            <w:tcBorders>
              <w:right w:val="single" w:sz="8" w:color="DDDDDD"/>
            </w:tcBorders>
          </w:tcPr>
          <w:p>
            <w:pPr>
              <w:spacing w:after="0"/>
              <w:rPr>
                <w:sz w:val="24"/>
                <w:szCs w:val="24"/>
                <w:color w:val="auto"/>
              </w:rPr>
            </w:pPr>
          </w:p>
        </w:tc>
        <w:tc>
          <w:tcPr>
            <w:tcW w:w="7680" w:type="dxa"/>
            <w:vAlign w:val="bottom"/>
            <w:shd w:val="clear" w:color="auto" w:fill="DDDDDD"/>
          </w:tcPr>
          <w:p>
            <w:pPr>
              <w:spacing w:after="0"/>
              <w:rPr>
                <w:sz w:val="20"/>
                <w:szCs w:val="20"/>
                <w:color w:val="auto"/>
              </w:rPr>
            </w:pPr>
            <w:r>
              <w:rPr>
                <w:rFonts w:ascii="Times New Roman" w:cs="Times New Roman" w:eastAsia="Times New Roman" w:hAnsi="Times New Roman"/>
                <w:sz w:val="18"/>
                <w:szCs w:val="18"/>
                <w:color w:val="auto"/>
              </w:rPr>
              <w:t>Tony Aquila</w:t>
            </w:r>
          </w:p>
        </w:tc>
        <w:tc>
          <w:tcPr>
            <w:tcW w:w="2540" w:type="dxa"/>
            <w:vAlign w:val="bottom"/>
            <w:shd w:val="clear" w:color="auto" w:fill="DDDDDD"/>
          </w:tcPr>
          <w:p>
            <w:pPr>
              <w:jc w:val="right"/>
              <w:spacing w:after="0"/>
              <w:rPr>
                <w:sz w:val="20"/>
                <w:szCs w:val="20"/>
                <w:color w:val="auto"/>
              </w:rPr>
            </w:pPr>
            <w:r>
              <w:rPr>
                <w:rFonts w:ascii="Times New Roman" w:cs="Times New Roman" w:eastAsia="Times New Roman" w:hAnsi="Times New Roman"/>
                <w:sz w:val="18"/>
                <w:szCs w:val="18"/>
                <w:color w:val="auto"/>
              </w:rPr>
              <w:t>548,582</w:t>
            </w:r>
          </w:p>
        </w:tc>
        <w:tc>
          <w:tcPr>
            <w:tcW w:w="0" w:type="dxa"/>
            <w:vAlign w:val="bottom"/>
          </w:tcPr>
          <w:p>
            <w:pPr>
              <w:spacing w:after="0"/>
              <w:rPr>
                <w:sz w:val="1"/>
                <w:szCs w:val="1"/>
                <w:color w:val="auto"/>
              </w:rPr>
            </w:pPr>
          </w:p>
        </w:tc>
      </w:tr>
      <w:tr>
        <w:trPr>
          <w:trHeight w:val="283"/>
        </w:trPr>
        <w:tc>
          <w:tcPr>
            <w:tcW w:w="60" w:type="dxa"/>
            <w:vAlign w:val="bottom"/>
          </w:tcPr>
          <w:p>
            <w:pPr>
              <w:spacing w:after="0"/>
              <w:rPr>
                <w:sz w:val="24"/>
                <w:szCs w:val="24"/>
                <w:color w:val="auto"/>
              </w:rPr>
            </w:pPr>
          </w:p>
        </w:tc>
        <w:tc>
          <w:tcPr>
            <w:tcW w:w="7680" w:type="dxa"/>
            <w:vAlign w:val="bottom"/>
          </w:tcPr>
          <w:p>
            <w:pPr>
              <w:spacing w:after="0"/>
              <w:rPr>
                <w:sz w:val="20"/>
                <w:szCs w:val="20"/>
                <w:color w:val="auto"/>
              </w:rPr>
            </w:pPr>
            <w:r>
              <w:rPr>
                <w:rFonts w:ascii="Times New Roman" w:cs="Times New Roman" w:eastAsia="Times New Roman" w:hAnsi="Times New Roman"/>
                <w:sz w:val="18"/>
                <w:szCs w:val="18"/>
                <w:color w:val="auto"/>
              </w:rPr>
              <w:t>Anthony Bay</w:t>
            </w:r>
          </w:p>
        </w:tc>
        <w:tc>
          <w:tcPr>
            <w:tcW w:w="2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432,743</w:t>
            </w:r>
          </w:p>
        </w:tc>
        <w:tc>
          <w:tcPr>
            <w:tcW w:w="0" w:type="dxa"/>
            <w:vAlign w:val="bottom"/>
          </w:tcPr>
          <w:p>
            <w:pPr>
              <w:spacing w:after="0"/>
              <w:rPr>
                <w:sz w:val="1"/>
                <w:szCs w:val="1"/>
                <w:color w:val="auto"/>
              </w:rPr>
            </w:pPr>
          </w:p>
        </w:tc>
      </w:tr>
      <w:tr>
        <w:trPr>
          <w:trHeight w:val="301"/>
        </w:trPr>
        <w:tc>
          <w:tcPr>
            <w:tcW w:w="60" w:type="dxa"/>
            <w:vAlign w:val="bottom"/>
            <w:tcBorders>
              <w:right w:val="single" w:sz="8" w:color="DDDDDD"/>
            </w:tcBorders>
          </w:tcPr>
          <w:p>
            <w:pPr>
              <w:spacing w:after="0"/>
              <w:rPr>
                <w:sz w:val="24"/>
                <w:szCs w:val="24"/>
                <w:color w:val="auto"/>
              </w:rPr>
            </w:pPr>
          </w:p>
        </w:tc>
        <w:tc>
          <w:tcPr>
            <w:tcW w:w="7680" w:type="dxa"/>
            <w:vAlign w:val="bottom"/>
            <w:shd w:val="clear" w:color="auto" w:fill="DDDDDD"/>
          </w:tcPr>
          <w:p>
            <w:pPr>
              <w:spacing w:after="0"/>
              <w:rPr>
                <w:sz w:val="20"/>
                <w:szCs w:val="20"/>
                <w:color w:val="auto"/>
              </w:rPr>
            </w:pPr>
            <w:r>
              <w:rPr>
                <w:rFonts w:ascii="Times New Roman" w:cs="Times New Roman" w:eastAsia="Times New Roman" w:hAnsi="Times New Roman"/>
                <w:sz w:val="18"/>
                <w:szCs w:val="18"/>
                <w:color w:val="auto"/>
              </w:rPr>
              <w:t>Douglas Francis</w:t>
            </w:r>
            <w:r>
              <w:rPr>
                <w:rFonts w:ascii="Times New Roman" w:cs="Times New Roman" w:eastAsia="Times New Roman" w:hAnsi="Times New Roman"/>
                <w:sz w:val="24"/>
                <w:szCs w:val="24"/>
                <w:color w:val="auto"/>
                <w:vertAlign w:val="superscript"/>
              </w:rPr>
              <w:t>(2)</w:t>
            </w:r>
          </w:p>
        </w:tc>
        <w:tc>
          <w:tcPr>
            <w:tcW w:w="2540" w:type="dxa"/>
            <w:vAlign w:val="bottom"/>
            <w:shd w:val="clear" w:color="auto" w:fill="DDDDDD"/>
          </w:tcPr>
          <w:p>
            <w:pPr>
              <w:jc w:val="right"/>
              <w:spacing w:after="0"/>
              <w:rPr>
                <w:sz w:val="20"/>
                <w:szCs w:val="20"/>
                <w:color w:val="auto"/>
              </w:rPr>
            </w:pPr>
            <w:r>
              <w:rPr>
                <w:rFonts w:ascii="Times New Roman" w:cs="Times New Roman" w:eastAsia="Times New Roman" w:hAnsi="Times New Roman"/>
                <w:sz w:val="18"/>
                <w:szCs w:val="18"/>
                <w:color w:val="auto"/>
              </w:rPr>
              <w:t>10,094</w:t>
            </w:r>
          </w:p>
        </w:tc>
        <w:tc>
          <w:tcPr>
            <w:tcW w:w="0" w:type="dxa"/>
            <w:vAlign w:val="bottom"/>
          </w:tcPr>
          <w:p>
            <w:pPr>
              <w:spacing w:after="0"/>
              <w:rPr>
                <w:sz w:val="1"/>
                <w:szCs w:val="1"/>
                <w:color w:val="auto"/>
              </w:rPr>
            </w:pPr>
          </w:p>
        </w:tc>
      </w:tr>
      <w:tr>
        <w:trPr>
          <w:trHeight w:val="283"/>
        </w:trPr>
        <w:tc>
          <w:tcPr>
            <w:tcW w:w="60" w:type="dxa"/>
            <w:vAlign w:val="bottom"/>
          </w:tcPr>
          <w:p>
            <w:pPr>
              <w:spacing w:after="0"/>
              <w:rPr>
                <w:sz w:val="24"/>
                <w:szCs w:val="24"/>
                <w:color w:val="auto"/>
              </w:rPr>
            </w:pPr>
          </w:p>
        </w:tc>
        <w:tc>
          <w:tcPr>
            <w:tcW w:w="7680" w:type="dxa"/>
            <w:vAlign w:val="bottom"/>
          </w:tcPr>
          <w:p>
            <w:pPr>
              <w:spacing w:after="0"/>
              <w:rPr>
                <w:sz w:val="20"/>
                <w:szCs w:val="20"/>
                <w:color w:val="auto"/>
              </w:rPr>
            </w:pPr>
            <w:r>
              <w:rPr>
                <w:rFonts w:ascii="Times New Roman" w:cs="Times New Roman" w:eastAsia="Times New Roman" w:hAnsi="Times New Roman"/>
                <w:sz w:val="18"/>
                <w:szCs w:val="18"/>
                <w:color w:val="auto"/>
              </w:rPr>
              <w:t>Brenda Freeman</w:t>
            </w:r>
          </w:p>
        </w:tc>
        <w:tc>
          <w:tcPr>
            <w:tcW w:w="2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472,824</w:t>
            </w:r>
          </w:p>
        </w:tc>
        <w:tc>
          <w:tcPr>
            <w:tcW w:w="0" w:type="dxa"/>
            <w:vAlign w:val="bottom"/>
          </w:tcPr>
          <w:p>
            <w:pPr>
              <w:spacing w:after="0"/>
              <w:rPr>
                <w:sz w:val="1"/>
                <w:szCs w:val="1"/>
                <w:color w:val="auto"/>
              </w:rPr>
            </w:pPr>
          </w:p>
        </w:tc>
      </w:tr>
      <w:tr>
        <w:trPr>
          <w:trHeight w:val="293"/>
        </w:trPr>
        <w:tc>
          <w:tcPr>
            <w:tcW w:w="60" w:type="dxa"/>
            <w:vAlign w:val="bottom"/>
            <w:tcBorders>
              <w:right w:val="single" w:sz="8" w:color="DDDDDD"/>
            </w:tcBorders>
          </w:tcPr>
          <w:p>
            <w:pPr>
              <w:spacing w:after="0"/>
              <w:rPr>
                <w:sz w:val="24"/>
                <w:szCs w:val="24"/>
                <w:color w:val="auto"/>
              </w:rPr>
            </w:pPr>
          </w:p>
        </w:tc>
        <w:tc>
          <w:tcPr>
            <w:tcW w:w="7680" w:type="dxa"/>
            <w:vAlign w:val="bottom"/>
            <w:shd w:val="clear" w:color="auto" w:fill="DDDDDD"/>
          </w:tcPr>
          <w:p>
            <w:pPr>
              <w:spacing w:after="0"/>
              <w:rPr>
                <w:sz w:val="20"/>
                <w:szCs w:val="20"/>
                <w:color w:val="auto"/>
              </w:rPr>
            </w:pPr>
            <w:r>
              <w:rPr>
                <w:rFonts w:ascii="Times New Roman" w:cs="Times New Roman" w:eastAsia="Times New Roman" w:hAnsi="Times New Roman"/>
                <w:sz w:val="18"/>
                <w:szCs w:val="18"/>
                <w:color w:val="auto"/>
              </w:rPr>
              <w:t>Olga Gonzalez</w:t>
            </w:r>
          </w:p>
        </w:tc>
        <w:tc>
          <w:tcPr>
            <w:tcW w:w="2540" w:type="dxa"/>
            <w:vAlign w:val="bottom"/>
            <w:shd w:val="clear" w:color="auto" w:fill="DDDDDD"/>
          </w:tcPr>
          <w:p>
            <w:pPr>
              <w:jc w:val="right"/>
              <w:spacing w:after="0"/>
              <w:rPr>
                <w:sz w:val="20"/>
                <w:szCs w:val="20"/>
                <w:color w:val="auto"/>
              </w:rPr>
            </w:pPr>
            <w:r>
              <w:rPr>
                <w:rFonts w:ascii="Times New Roman" w:cs="Times New Roman" w:eastAsia="Times New Roman" w:hAnsi="Times New Roman"/>
                <w:sz w:val="18"/>
                <w:szCs w:val="18"/>
                <w:color w:val="auto"/>
              </w:rPr>
              <w:t>472,824</w:t>
            </w:r>
          </w:p>
        </w:tc>
        <w:tc>
          <w:tcPr>
            <w:tcW w:w="0" w:type="dxa"/>
            <w:vAlign w:val="bottom"/>
          </w:tcPr>
          <w:p>
            <w:pPr>
              <w:spacing w:after="0"/>
              <w:rPr>
                <w:sz w:val="1"/>
                <w:szCs w:val="1"/>
                <w:color w:val="auto"/>
              </w:rPr>
            </w:pPr>
          </w:p>
        </w:tc>
      </w:tr>
      <w:tr>
        <w:trPr>
          <w:trHeight w:val="283"/>
        </w:trPr>
        <w:tc>
          <w:tcPr>
            <w:tcW w:w="60" w:type="dxa"/>
            <w:vAlign w:val="bottom"/>
          </w:tcPr>
          <w:p>
            <w:pPr>
              <w:spacing w:after="0"/>
              <w:rPr>
                <w:sz w:val="24"/>
                <w:szCs w:val="24"/>
                <w:color w:val="auto"/>
              </w:rPr>
            </w:pPr>
          </w:p>
        </w:tc>
        <w:tc>
          <w:tcPr>
            <w:tcW w:w="7680" w:type="dxa"/>
            <w:vAlign w:val="bottom"/>
          </w:tcPr>
          <w:p>
            <w:pPr>
              <w:spacing w:after="0"/>
              <w:rPr>
                <w:sz w:val="20"/>
                <w:szCs w:val="20"/>
                <w:color w:val="auto"/>
              </w:rPr>
            </w:pPr>
            <w:r>
              <w:rPr>
                <w:rFonts w:ascii="Times New Roman" w:cs="Times New Roman" w:eastAsia="Times New Roman" w:hAnsi="Times New Roman"/>
                <w:sz w:val="18"/>
                <w:szCs w:val="18"/>
                <w:color w:val="auto"/>
              </w:rPr>
              <w:t>Scott Gordon</w:t>
            </w:r>
          </w:p>
        </w:tc>
        <w:tc>
          <w:tcPr>
            <w:tcW w:w="2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236,082</w:t>
            </w:r>
          </w:p>
        </w:tc>
        <w:tc>
          <w:tcPr>
            <w:tcW w:w="0" w:type="dxa"/>
            <w:vAlign w:val="bottom"/>
          </w:tcPr>
          <w:p>
            <w:pPr>
              <w:spacing w:after="0"/>
              <w:rPr>
                <w:sz w:val="1"/>
                <w:szCs w:val="1"/>
                <w:color w:val="auto"/>
              </w:rPr>
            </w:pPr>
          </w:p>
        </w:tc>
      </w:tr>
      <w:tr>
        <w:trPr>
          <w:trHeight w:val="301"/>
        </w:trPr>
        <w:tc>
          <w:tcPr>
            <w:tcW w:w="60" w:type="dxa"/>
            <w:vAlign w:val="bottom"/>
            <w:tcBorders>
              <w:right w:val="single" w:sz="8" w:color="DDDDDD"/>
            </w:tcBorders>
          </w:tcPr>
          <w:p>
            <w:pPr>
              <w:spacing w:after="0"/>
              <w:rPr>
                <w:sz w:val="24"/>
                <w:szCs w:val="24"/>
                <w:color w:val="auto"/>
              </w:rPr>
            </w:pPr>
          </w:p>
        </w:tc>
        <w:tc>
          <w:tcPr>
            <w:tcW w:w="7680" w:type="dxa"/>
            <w:vAlign w:val="bottom"/>
            <w:shd w:val="clear" w:color="auto" w:fill="DDDDDD"/>
          </w:tcPr>
          <w:p>
            <w:pPr>
              <w:spacing w:after="0"/>
              <w:rPr>
                <w:sz w:val="20"/>
                <w:szCs w:val="20"/>
                <w:color w:val="auto"/>
              </w:rPr>
            </w:pPr>
            <w:r>
              <w:rPr>
                <w:rFonts w:ascii="Times New Roman" w:cs="Times New Roman" w:eastAsia="Times New Roman" w:hAnsi="Times New Roman"/>
                <w:sz w:val="18"/>
                <w:szCs w:val="18"/>
                <w:color w:val="auto"/>
              </w:rPr>
              <w:t>Justin Hartfield</w:t>
            </w:r>
            <w:r>
              <w:rPr>
                <w:rFonts w:ascii="Times New Roman" w:cs="Times New Roman" w:eastAsia="Times New Roman" w:hAnsi="Times New Roman"/>
                <w:sz w:val="24"/>
                <w:szCs w:val="24"/>
                <w:color w:val="auto"/>
                <w:vertAlign w:val="superscript"/>
              </w:rPr>
              <w:t>(1)</w:t>
            </w:r>
          </w:p>
        </w:tc>
        <w:tc>
          <w:tcPr>
            <w:tcW w:w="2540" w:type="dxa"/>
            <w:vAlign w:val="bottom"/>
            <w:shd w:val="clear" w:color="auto" w:fill="DDDDDD"/>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90"/>
        </w:trPr>
        <w:tc>
          <w:tcPr>
            <w:tcW w:w="60" w:type="dxa"/>
            <w:vAlign w:val="bottom"/>
            <w:tcBorders>
              <w:bottom w:val="single" w:sz="8" w:color="auto"/>
            </w:tcBorders>
          </w:tcPr>
          <w:p>
            <w:pPr>
              <w:spacing w:after="0"/>
              <w:rPr>
                <w:sz w:val="24"/>
                <w:szCs w:val="24"/>
                <w:color w:val="auto"/>
              </w:rPr>
            </w:pPr>
          </w:p>
        </w:tc>
        <w:tc>
          <w:tcPr>
            <w:tcW w:w="768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Fiona Tan</w:t>
            </w:r>
          </w:p>
        </w:tc>
        <w:tc>
          <w:tcPr>
            <w:tcW w:w="25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392,332</w:t>
            </w:r>
          </w:p>
        </w:tc>
        <w:tc>
          <w:tcPr>
            <w:tcW w:w="0" w:type="dxa"/>
            <w:vAlign w:val="bottom"/>
          </w:tcPr>
          <w:p>
            <w:pPr>
              <w:spacing w:after="0"/>
              <w:rPr>
                <w:sz w:val="1"/>
                <w:szCs w:val="1"/>
                <w:color w:val="auto"/>
              </w:rPr>
            </w:pPr>
          </w:p>
        </w:tc>
      </w:tr>
    </w:tbl>
    <w:p>
      <w:pPr>
        <w:spacing w:after="0" w:line="21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98</w:t>
      </w:r>
    </w:p>
    <w:p>
      <w:pPr>
        <w:sectPr>
          <w:pgSz w:w="12240" w:h="15840" w:orient="portrait"/>
          <w:cols w:equalWidth="0" w:num="1">
            <w:col w:w="10280"/>
          </w:cols>
          <w:pgMar w:left="980" w:top="895" w:right="980" w:bottom="222" w:gutter="0" w:footer="0" w:header="0"/>
        </w:sectPr>
      </w:pPr>
    </w:p>
    <w:bookmarkStart w:id="102" w:name="page103"/>
    <w:bookmarkEnd w:id="102"/>
    <w:p>
      <w:pPr>
        <w:ind w:left="6"/>
        <w:spacing w:after="0"/>
        <w:rPr>
          <w:sz w:val="20"/>
          <w:szCs w:val="20"/>
          <w:color w:val="auto"/>
        </w:rPr>
      </w:pPr>
      <w:r>
        <w:rPr>
          <w:rFonts w:ascii="Times New Roman" w:cs="Times New Roman" w:eastAsia="Times New Roman" w:hAnsi="Times New Roman"/>
          <w:sz w:val="20"/>
          <w:szCs w:val="20"/>
          <w:color w:val="auto"/>
        </w:rPr>
        <w:t>___________________________</w:t>
      </w:r>
    </w:p>
    <w:p>
      <w:pPr>
        <w:spacing w:after="0" w:line="61" w:lineRule="exact"/>
        <w:rPr>
          <w:sz w:val="20"/>
          <w:szCs w:val="20"/>
          <w:color w:val="auto"/>
        </w:rPr>
      </w:pPr>
    </w:p>
    <w:p>
      <w:pPr>
        <w:ind w:left="366" w:hanging="366"/>
        <w:spacing w:after="0"/>
        <w:tabs>
          <w:tab w:leader="none" w:pos="366" w:val="left"/>
        </w:tabs>
        <w:numPr>
          <w:ilvl w:val="0"/>
          <w:numId w:val="6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Mr. Hartfield resigned as a member of the Board on August 9, 2023.</w:t>
      </w:r>
    </w:p>
    <w:p>
      <w:pPr>
        <w:spacing w:after="0" w:line="53" w:lineRule="exact"/>
        <w:rPr>
          <w:rFonts w:ascii="Times New Roman" w:cs="Times New Roman" w:eastAsia="Times New Roman" w:hAnsi="Times New Roman"/>
          <w:sz w:val="16"/>
          <w:szCs w:val="16"/>
          <w:color w:val="auto"/>
        </w:rPr>
      </w:pPr>
    </w:p>
    <w:p>
      <w:pPr>
        <w:ind w:left="366" w:hanging="366"/>
        <w:spacing w:after="0"/>
        <w:tabs>
          <w:tab w:leader="none" w:pos="366" w:val="left"/>
        </w:tabs>
        <w:numPr>
          <w:ilvl w:val="0"/>
          <w:numId w:val="6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Mr. Francis was a Non-Employee Director until he was named an executive officer on April 26, 2023.</w:t>
      </w:r>
    </w:p>
    <w:p>
      <w:pPr>
        <w:spacing w:after="0" w:line="200" w:lineRule="exact"/>
        <w:rPr>
          <w:sz w:val="20"/>
          <w:szCs w:val="20"/>
          <w:color w:val="auto"/>
        </w:rPr>
      </w:pPr>
    </w:p>
    <w:p>
      <w:pPr>
        <w:spacing w:after="0" w:line="324" w:lineRule="exact"/>
        <w:rPr>
          <w:sz w:val="20"/>
          <w:szCs w:val="20"/>
          <w:color w:val="auto"/>
        </w:rPr>
      </w:pPr>
    </w:p>
    <w:p>
      <w:pPr>
        <w:ind w:left="6" w:right="880"/>
        <w:spacing w:after="0" w:line="320" w:lineRule="auto"/>
        <w:rPr>
          <w:sz w:val="20"/>
          <w:szCs w:val="20"/>
          <w:color w:val="auto"/>
        </w:rPr>
      </w:pPr>
      <w:r>
        <w:rPr>
          <w:rFonts w:ascii="Times New Roman" w:cs="Times New Roman" w:eastAsia="Times New Roman" w:hAnsi="Times New Roman"/>
          <w:sz w:val="20"/>
          <w:szCs w:val="20"/>
          <w:b w:val="1"/>
          <w:bCs w:val="1"/>
          <w:color w:val="auto"/>
        </w:rPr>
        <w:t>ITEM 12. SECURITY OWNERSHIP OF CERTAIN BENEFICIAL OWNERS AND MANAGEMENT AND RELATED STOCKHOLDER MATTERS</w:t>
      </w:r>
    </w:p>
    <w:p>
      <w:pPr>
        <w:spacing w:after="0" w:line="1" w:lineRule="exact"/>
        <w:rPr>
          <w:sz w:val="20"/>
          <w:szCs w:val="20"/>
          <w:color w:val="auto"/>
        </w:rPr>
      </w:pPr>
    </w:p>
    <w:p>
      <w:pPr>
        <w:ind w:left="6" w:right="20"/>
        <w:spacing w:after="0" w:line="315" w:lineRule="auto"/>
        <w:rPr>
          <w:sz w:val="20"/>
          <w:szCs w:val="20"/>
          <w:color w:val="auto"/>
        </w:rPr>
      </w:pPr>
      <w:r>
        <w:rPr>
          <w:rFonts w:ascii="Times New Roman" w:cs="Times New Roman" w:eastAsia="Times New Roman" w:hAnsi="Times New Roman"/>
          <w:sz w:val="20"/>
          <w:szCs w:val="20"/>
          <w:color w:val="auto"/>
        </w:rPr>
        <w:t>The following table sets forth information known to us regarding the beneficial ownership of our Common Stock as of May 13, 2024, by</w:t>
      </w:r>
    </w:p>
    <w:p>
      <w:pPr>
        <w:spacing w:after="0" w:line="1" w:lineRule="exact"/>
        <w:rPr>
          <w:sz w:val="20"/>
          <w:szCs w:val="20"/>
          <w:color w:val="auto"/>
        </w:rPr>
      </w:pPr>
    </w:p>
    <w:p>
      <w:pPr>
        <w:ind w:left="726" w:hanging="367"/>
        <w:spacing w:after="0" w:line="319" w:lineRule="auto"/>
        <w:tabs>
          <w:tab w:leader="none" w:pos="726" w:val="left"/>
        </w:tabs>
        <w:numPr>
          <w:ilvl w:val="0"/>
          <w:numId w:val="6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each person who is known by us to be the beneficial owner of more than 5% of the outstanding shares of our Class A Common Stock and Class V Common Stock;</w:t>
      </w:r>
    </w:p>
    <w:p>
      <w:pPr>
        <w:ind w:left="726" w:hanging="366"/>
        <w:spacing w:after="0"/>
        <w:tabs>
          <w:tab w:leader="none" w:pos="726" w:val="left"/>
        </w:tabs>
        <w:numPr>
          <w:ilvl w:val="0"/>
          <w:numId w:val="6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each of our current Named Executive Officers and directors; and</w:t>
      </w:r>
    </w:p>
    <w:p>
      <w:pPr>
        <w:spacing w:after="0" w:line="108" w:lineRule="exact"/>
        <w:rPr>
          <w:rFonts w:ascii="Times New Roman" w:cs="Times New Roman" w:eastAsia="Times New Roman" w:hAnsi="Times New Roman"/>
          <w:sz w:val="20"/>
          <w:szCs w:val="20"/>
          <w:color w:val="auto"/>
        </w:rPr>
      </w:pPr>
    </w:p>
    <w:p>
      <w:pPr>
        <w:ind w:left="726" w:hanging="366"/>
        <w:spacing w:after="0"/>
        <w:tabs>
          <w:tab w:leader="none" w:pos="726" w:val="left"/>
        </w:tabs>
        <w:numPr>
          <w:ilvl w:val="0"/>
          <w:numId w:val="6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all of our current executive officers and directors, as a group.</w:t>
      </w:r>
    </w:p>
    <w:p>
      <w:pPr>
        <w:spacing w:after="0" w:line="166" w:lineRule="exact"/>
        <w:rPr>
          <w:sz w:val="20"/>
          <w:szCs w:val="20"/>
          <w:color w:val="auto"/>
        </w:rPr>
      </w:pPr>
    </w:p>
    <w:p>
      <w:pPr>
        <w:jc w:val="both"/>
        <w:ind w:left="6" w:right="20"/>
        <w:spacing w:after="0" w:line="306" w:lineRule="auto"/>
        <w:rPr>
          <w:sz w:val="20"/>
          <w:szCs w:val="20"/>
          <w:color w:val="auto"/>
        </w:rPr>
      </w:pPr>
      <w:r>
        <w:rPr>
          <w:rFonts w:ascii="Times New Roman" w:cs="Times New Roman" w:eastAsia="Times New Roman" w:hAnsi="Times New Roman"/>
          <w:sz w:val="20"/>
          <w:szCs w:val="20"/>
          <w:color w:val="auto"/>
        </w:rPr>
        <w:t>Beneficial ownership is determined according to the rules of the SEC, which generally provides that a person has beneficial ownership of a security if he, she or it possesses sole or shared voting or investment power over that security, including options and warrants that are currently exercisable or exercisable within 60 days.</w:t>
      </w:r>
    </w:p>
    <w:p>
      <w:pPr>
        <w:spacing w:after="0" w:line="63" w:lineRule="exact"/>
        <w:rPr>
          <w:sz w:val="20"/>
          <w:szCs w:val="20"/>
          <w:color w:val="auto"/>
        </w:rPr>
      </w:pPr>
    </w:p>
    <w:p>
      <w:pPr>
        <w:jc w:val="both"/>
        <w:ind w:left="6"/>
        <w:spacing w:after="0" w:line="294" w:lineRule="auto"/>
        <w:rPr>
          <w:sz w:val="20"/>
          <w:szCs w:val="20"/>
          <w:color w:val="auto"/>
        </w:rPr>
      </w:pPr>
      <w:r>
        <w:rPr>
          <w:rFonts w:ascii="Times New Roman" w:cs="Times New Roman" w:eastAsia="Times New Roman" w:hAnsi="Times New Roman"/>
          <w:sz w:val="20"/>
          <w:szCs w:val="20"/>
          <w:color w:val="auto"/>
        </w:rPr>
        <w:t>The beneficial ownership percentages set forth in the table below are based on 150,538,096 shares of our Class A Common Stock and Class V Common Stock issued and outstanding as of May 13, 2024 and do not take into account the issuance of any shares of Class A Common Stock upon (i) the exercise of 19,499,973 Warrants to purchase an aggregate of 19,499,973 shares of Class A Common Stock or (ii) the exchange of 14,679,507 Class P Units for up to 14,679,507 shares of Class A Common Stock. Unless otherwise noted in the footnotes to the following table, and subject to applicable community property laws, the persons and entities named in the table have sole voting and investment power with respect to their beneficially owned Class A Common Stock.</w:t>
      </w:r>
    </w:p>
    <w:p>
      <w:pPr>
        <w:spacing w:after="0" w:line="80" w:lineRule="exact"/>
        <w:rPr>
          <w:sz w:val="20"/>
          <w:szCs w:val="20"/>
          <w:color w:val="auto"/>
        </w:rPr>
      </w:pPr>
    </w:p>
    <w:p>
      <w:pPr>
        <w:jc w:val="both"/>
        <w:ind w:left="6"/>
        <w:spacing w:after="0" w:line="309" w:lineRule="auto"/>
        <w:rPr>
          <w:sz w:val="20"/>
          <w:szCs w:val="20"/>
          <w:color w:val="auto"/>
        </w:rPr>
      </w:pPr>
      <w:r>
        <w:rPr>
          <w:rFonts w:ascii="Times New Roman" w:cs="Times New Roman" w:eastAsia="Times New Roman" w:hAnsi="Times New Roman"/>
          <w:sz w:val="20"/>
          <w:szCs w:val="20"/>
          <w:color w:val="auto"/>
        </w:rPr>
        <w:t>Unless otherwise noted in the footnotes to the following table, and subject to applicable community property laws, the persons and entities named in the table have sole voting and investment power with respect to their beneficially owned shares of our Common Stock.</w:t>
      </w:r>
    </w:p>
    <w:p>
      <w:pPr>
        <w:spacing w:after="0" w:line="111" w:lineRule="exact"/>
        <w:rPr>
          <w:sz w:val="20"/>
          <w:szCs w:val="20"/>
          <w:color w:val="auto"/>
        </w:rPr>
      </w:pPr>
    </w:p>
    <w:tbl>
      <w:tblPr>
        <w:tblLayout w:type="fixed"/>
        <w:tblInd w:w="6" w:type="dxa"/>
        <w:tblCellMar>
          <w:top w:w="0" w:type="dxa"/>
          <w:left w:w="0" w:type="dxa"/>
          <w:bottom w:w="0" w:type="dxa"/>
          <w:right w:w="0" w:type="dxa"/>
        </w:tblCellMar>
      </w:tblPr>
      <w:tr>
        <w:trPr>
          <w:trHeight w:val="230"/>
        </w:trPr>
        <w:tc>
          <w:tcPr>
            <w:tcW w:w="40" w:type="dxa"/>
            <w:vAlign w:val="bottom"/>
          </w:tcPr>
          <w:p>
            <w:pPr>
              <w:spacing w:after="0"/>
              <w:rPr>
                <w:sz w:val="20"/>
                <w:szCs w:val="20"/>
                <w:color w:val="auto"/>
              </w:rPr>
            </w:pPr>
          </w:p>
        </w:tc>
        <w:tc>
          <w:tcPr>
            <w:tcW w:w="3180" w:type="dxa"/>
            <w:vAlign w:val="bottom"/>
          </w:tcPr>
          <w:p>
            <w:pPr>
              <w:spacing w:after="0"/>
              <w:rPr>
                <w:sz w:val="20"/>
                <w:szCs w:val="20"/>
                <w:color w:val="auto"/>
              </w:rPr>
            </w:pPr>
          </w:p>
        </w:tc>
        <w:tc>
          <w:tcPr>
            <w:tcW w:w="1200" w:type="dxa"/>
            <w:vAlign w:val="bottom"/>
          </w:tcPr>
          <w:p>
            <w:pPr>
              <w:jc w:val="center"/>
              <w:ind w:right="86"/>
              <w:spacing w:after="0"/>
              <w:rPr>
                <w:sz w:val="20"/>
                <w:szCs w:val="20"/>
                <w:color w:val="auto"/>
              </w:rPr>
            </w:pPr>
            <w:r>
              <w:rPr>
                <w:rFonts w:ascii="Times New Roman" w:cs="Times New Roman" w:eastAsia="Times New Roman" w:hAnsi="Times New Roman"/>
                <w:sz w:val="20"/>
                <w:szCs w:val="20"/>
                <w:b w:val="1"/>
                <w:bCs w:val="1"/>
                <w:color w:val="auto"/>
              </w:rPr>
              <w:t>Number of</w:t>
            </w:r>
          </w:p>
        </w:tc>
        <w:tc>
          <w:tcPr>
            <w:tcW w:w="80" w:type="dxa"/>
            <w:vAlign w:val="bottom"/>
          </w:tcPr>
          <w:p>
            <w:pPr>
              <w:spacing w:after="0"/>
              <w:rPr>
                <w:sz w:val="20"/>
                <w:szCs w:val="20"/>
                <w:color w:val="auto"/>
              </w:rPr>
            </w:pPr>
          </w:p>
        </w:tc>
        <w:tc>
          <w:tcPr>
            <w:tcW w:w="1400" w:type="dxa"/>
            <w:vAlign w:val="bottom"/>
          </w:tcPr>
          <w:p>
            <w:pPr>
              <w:spacing w:after="0"/>
              <w:rPr>
                <w:sz w:val="20"/>
                <w:szCs w:val="20"/>
                <w:color w:val="auto"/>
              </w:rPr>
            </w:pPr>
          </w:p>
        </w:tc>
        <w:tc>
          <w:tcPr>
            <w:tcW w:w="1500" w:type="dxa"/>
            <w:vAlign w:val="bottom"/>
          </w:tcPr>
          <w:p>
            <w:pPr>
              <w:jc w:val="center"/>
              <w:spacing w:after="0"/>
              <w:rPr>
                <w:sz w:val="20"/>
                <w:szCs w:val="20"/>
                <w:color w:val="auto"/>
              </w:rPr>
            </w:pPr>
            <w:r>
              <w:rPr>
                <w:rFonts w:ascii="Times New Roman" w:cs="Times New Roman" w:eastAsia="Times New Roman" w:hAnsi="Times New Roman"/>
                <w:sz w:val="20"/>
                <w:szCs w:val="20"/>
                <w:b w:val="1"/>
                <w:bCs w:val="1"/>
                <w:color w:val="auto"/>
                <w:w w:val="99"/>
              </w:rPr>
              <w:t>Number of</w:t>
            </w:r>
          </w:p>
        </w:tc>
        <w:tc>
          <w:tcPr>
            <w:tcW w:w="14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4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40" w:type="dxa"/>
            <w:vAlign w:val="bottom"/>
          </w:tcPr>
          <w:p>
            <w:pPr>
              <w:spacing w:after="0"/>
              <w:rPr>
                <w:sz w:val="20"/>
                <w:szCs w:val="20"/>
                <w:color w:val="auto"/>
              </w:rPr>
            </w:pPr>
          </w:p>
        </w:tc>
        <w:tc>
          <w:tcPr>
            <w:tcW w:w="3180" w:type="dxa"/>
            <w:vAlign w:val="bottom"/>
          </w:tcPr>
          <w:p>
            <w:pPr>
              <w:spacing w:after="0"/>
              <w:rPr>
                <w:sz w:val="20"/>
                <w:szCs w:val="20"/>
                <w:color w:val="auto"/>
              </w:rPr>
            </w:pPr>
          </w:p>
        </w:tc>
        <w:tc>
          <w:tcPr>
            <w:tcW w:w="1200" w:type="dxa"/>
            <w:vAlign w:val="bottom"/>
          </w:tcPr>
          <w:p>
            <w:pPr>
              <w:jc w:val="center"/>
              <w:ind w:right="66"/>
              <w:spacing w:after="0"/>
              <w:rPr>
                <w:sz w:val="20"/>
                <w:szCs w:val="20"/>
                <w:color w:val="auto"/>
              </w:rPr>
            </w:pPr>
            <w:r>
              <w:rPr>
                <w:rFonts w:ascii="Times New Roman" w:cs="Times New Roman" w:eastAsia="Times New Roman" w:hAnsi="Times New Roman"/>
                <w:sz w:val="20"/>
                <w:szCs w:val="20"/>
                <w:b w:val="1"/>
                <w:bCs w:val="1"/>
                <w:color w:val="auto"/>
              </w:rPr>
              <w:t>Shares of</w:t>
            </w:r>
          </w:p>
        </w:tc>
        <w:tc>
          <w:tcPr>
            <w:tcW w:w="80" w:type="dxa"/>
            <w:vAlign w:val="bottom"/>
          </w:tcPr>
          <w:p>
            <w:pPr>
              <w:spacing w:after="0"/>
              <w:rPr>
                <w:sz w:val="20"/>
                <w:szCs w:val="20"/>
                <w:color w:val="auto"/>
              </w:rPr>
            </w:pPr>
          </w:p>
        </w:tc>
        <w:tc>
          <w:tcPr>
            <w:tcW w:w="1400" w:type="dxa"/>
            <w:vAlign w:val="bottom"/>
          </w:tcPr>
          <w:p>
            <w:pPr>
              <w:spacing w:after="0"/>
              <w:rPr>
                <w:sz w:val="20"/>
                <w:szCs w:val="20"/>
                <w:color w:val="auto"/>
              </w:rPr>
            </w:pPr>
          </w:p>
        </w:tc>
        <w:tc>
          <w:tcPr>
            <w:tcW w:w="1500" w:type="dxa"/>
            <w:vAlign w:val="bottom"/>
          </w:tcPr>
          <w:p>
            <w:pPr>
              <w:jc w:val="center"/>
              <w:spacing w:after="0"/>
              <w:rPr>
                <w:sz w:val="20"/>
                <w:szCs w:val="20"/>
                <w:color w:val="auto"/>
              </w:rPr>
            </w:pPr>
            <w:r>
              <w:rPr>
                <w:rFonts w:ascii="Times New Roman" w:cs="Times New Roman" w:eastAsia="Times New Roman" w:hAnsi="Times New Roman"/>
                <w:sz w:val="20"/>
                <w:szCs w:val="20"/>
                <w:b w:val="1"/>
                <w:bCs w:val="1"/>
                <w:color w:val="auto"/>
              </w:rPr>
              <w:t>Shares of</w:t>
            </w:r>
          </w:p>
        </w:tc>
        <w:tc>
          <w:tcPr>
            <w:tcW w:w="14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4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40" w:type="dxa"/>
            <w:vAlign w:val="bottom"/>
          </w:tcPr>
          <w:p>
            <w:pPr>
              <w:spacing w:after="0"/>
              <w:rPr>
                <w:sz w:val="20"/>
                <w:szCs w:val="20"/>
                <w:color w:val="auto"/>
              </w:rPr>
            </w:pPr>
          </w:p>
        </w:tc>
        <w:tc>
          <w:tcPr>
            <w:tcW w:w="3180" w:type="dxa"/>
            <w:vAlign w:val="bottom"/>
          </w:tcPr>
          <w:p>
            <w:pPr>
              <w:spacing w:after="0"/>
              <w:rPr>
                <w:sz w:val="20"/>
                <w:szCs w:val="20"/>
                <w:color w:val="auto"/>
              </w:rPr>
            </w:pPr>
          </w:p>
        </w:tc>
        <w:tc>
          <w:tcPr>
            <w:tcW w:w="1200" w:type="dxa"/>
            <w:vAlign w:val="bottom"/>
          </w:tcPr>
          <w:p>
            <w:pPr>
              <w:jc w:val="center"/>
              <w:ind w:right="66"/>
              <w:spacing w:after="0"/>
              <w:rPr>
                <w:sz w:val="20"/>
                <w:szCs w:val="20"/>
                <w:color w:val="auto"/>
              </w:rPr>
            </w:pPr>
            <w:r>
              <w:rPr>
                <w:rFonts w:ascii="Times New Roman" w:cs="Times New Roman" w:eastAsia="Times New Roman" w:hAnsi="Times New Roman"/>
                <w:sz w:val="20"/>
                <w:szCs w:val="20"/>
                <w:b w:val="1"/>
                <w:bCs w:val="1"/>
                <w:color w:val="auto"/>
                <w:w w:val="98"/>
              </w:rPr>
              <w:t>Class A</w:t>
            </w:r>
          </w:p>
        </w:tc>
        <w:tc>
          <w:tcPr>
            <w:tcW w:w="80" w:type="dxa"/>
            <w:vAlign w:val="bottom"/>
          </w:tcPr>
          <w:p>
            <w:pPr>
              <w:spacing w:after="0"/>
              <w:rPr>
                <w:sz w:val="20"/>
                <w:szCs w:val="20"/>
                <w:color w:val="auto"/>
              </w:rPr>
            </w:pPr>
          </w:p>
        </w:tc>
        <w:tc>
          <w:tcPr>
            <w:tcW w:w="1400" w:type="dxa"/>
            <w:vAlign w:val="bottom"/>
          </w:tcPr>
          <w:p>
            <w:pPr>
              <w:spacing w:after="0"/>
              <w:rPr>
                <w:sz w:val="20"/>
                <w:szCs w:val="20"/>
                <w:color w:val="auto"/>
              </w:rPr>
            </w:pPr>
          </w:p>
        </w:tc>
        <w:tc>
          <w:tcPr>
            <w:tcW w:w="1500" w:type="dxa"/>
            <w:vAlign w:val="bottom"/>
          </w:tcPr>
          <w:p>
            <w:pPr>
              <w:jc w:val="center"/>
              <w:spacing w:after="0"/>
              <w:rPr>
                <w:sz w:val="20"/>
                <w:szCs w:val="20"/>
                <w:color w:val="auto"/>
              </w:rPr>
            </w:pPr>
            <w:r>
              <w:rPr>
                <w:rFonts w:ascii="Times New Roman" w:cs="Times New Roman" w:eastAsia="Times New Roman" w:hAnsi="Times New Roman"/>
                <w:sz w:val="20"/>
                <w:szCs w:val="20"/>
                <w:b w:val="1"/>
                <w:bCs w:val="1"/>
                <w:color w:val="auto"/>
              </w:rPr>
              <w:t>Class V</w:t>
            </w:r>
          </w:p>
        </w:tc>
        <w:tc>
          <w:tcPr>
            <w:tcW w:w="14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4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40" w:type="dxa"/>
            <w:vAlign w:val="bottom"/>
          </w:tcPr>
          <w:p>
            <w:pPr>
              <w:spacing w:after="0"/>
              <w:rPr>
                <w:sz w:val="20"/>
                <w:szCs w:val="20"/>
                <w:color w:val="auto"/>
              </w:rPr>
            </w:pPr>
          </w:p>
        </w:tc>
        <w:tc>
          <w:tcPr>
            <w:tcW w:w="3180" w:type="dxa"/>
            <w:vAlign w:val="bottom"/>
          </w:tcPr>
          <w:p>
            <w:pPr>
              <w:spacing w:after="0"/>
              <w:rPr>
                <w:sz w:val="20"/>
                <w:szCs w:val="20"/>
                <w:color w:val="auto"/>
              </w:rPr>
            </w:pPr>
          </w:p>
        </w:tc>
        <w:tc>
          <w:tcPr>
            <w:tcW w:w="1200" w:type="dxa"/>
            <w:vAlign w:val="bottom"/>
          </w:tcPr>
          <w:p>
            <w:pPr>
              <w:jc w:val="center"/>
              <w:ind w:right="86"/>
              <w:spacing w:after="0"/>
              <w:rPr>
                <w:sz w:val="20"/>
                <w:szCs w:val="20"/>
                <w:color w:val="auto"/>
              </w:rPr>
            </w:pPr>
            <w:r>
              <w:rPr>
                <w:rFonts w:ascii="Times New Roman" w:cs="Times New Roman" w:eastAsia="Times New Roman" w:hAnsi="Times New Roman"/>
                <w:sz w:val="20"/>
                <w:szCs w:val="20"/>
                <w:b w:val="1"/>
                <w:bCs w:val="1"/>
                <w:color w:val="auto"/>
                <w:w w:val="98"/>
              </w:rPr>
              <w:t>Common</w:t>
            </w:r>
          </w:p>
        </w:tc>
        <w:tc>
          <w:tcPr>
            <w:tcW w:w="80" w:type="dxa"/>
            <w:vAlign w:val="bottom"/>
          </w:tcPr>
          <w:p>
            <w:pPr>
              <w:spacing w:after="0"/>
              <w:rPr>
                <w:sz w:val="20"/>
                <w:szCs w:val="20"/>
                <w:color w:val="auto"/>
              </w:rPr>
            </w:pPr>
          </w:p>
        </w:tc>
        <w:tc>
          <w:tcPr>
            <w:tcW w:w="1400" w:type="dxa"/>
            <w:vAlign w:val="bottom"/>
            <w:vMerge w:val="restart"/>
          </w:tcPr>
          <w:p>
            <w:pPr>
              <w:jc w:val="center"/>
              <w:spacing w:after="0"/>
              <w:rPr>
                <w:sz w:val="20"/>
                <w:szCs w:val="20"/>
                <w:color w:val="auto"/>
              </w:rPr>
            </w:pPr>
            <w:r>
              <w:rPr>
                <w:rFonts w:ascii="Times New Roman" w:cs="Times New Roman" w:eastAsia="Times New Roman" w:hAnsi="Times New Roman"/>
                <w:sz w:val="20"/>
                <w:szCs w:val="20"/>
                <w:b w:val="1"/>
                <w:bCs w:val="1"/>
                <w:color w:val="auto"/>
                <w:w w:val="98"/>
              </w:rPr>
              <w:t>% of Class A</w:t>
            </w:r>
          </w:p>
        </w:tc>
        <w:tc>
          <w:tcPr>
            <w:tcW w:w="1500" w:type="dxa"/>
            <w:vAlign w:val="bottom"/>
          </w:tcPr>
          <w:p>
            <w:pPr>
              <w:jc w:val="center"/>
              <w:spacing w:after="0"/>
              <w:rPr>
                <w:sz w:val="20"/>
                <w:szCs w:val="20"/>
                <w:color w:val="auto"/>
              </w:rPr>
            </w:pPr>
            <w:r>
              <w:rPr>
                <w:rFonts w:ascii="Times New Roman" w:cs="Times New Roman" w:eastAsia="Times New Roman" w:hAnsi="Times New Roman"/>
                <w:sz w:val="20"/>
                <w:szCs w:val="20"/>
                <w:b w:val="1"/>
                <w:bCs w:val="1"/>
                <w:color w:val="auto"/>
                <w:w w:val="98"/>
              </w:rPr>
              <w:t>Common</w:t>
            </w:r>
          </w:p>
        </w:tc>
        <w:tc>
          <w:tcPr>
            <w:tcW w:w="1400" w:type="dxa"/>
            <w:vAlign w:val="bottom"/>
            <w:vMerge w:val="restart"/>
          </w:tcPr>
          <w:p>
            <w:pPr>
              <w:jc w:val="center"/>
              <w:spacing w:after="0"/>
              <w:rPr>
                <w:sz w:val="20"/>
                <w:szCs w:val="20"/>
                <w:color w:val="auto"/>
              </w:rPr>
            </w:pPr>
            <w:r>
              <w:rPr>
                <w:rFonts w:ascii="Times New Roman" w:cs="Times New Roman" w:eastAsia="Times New Roman" w:hAnsi="Times New Roman"/>
                <w:sz w:val="20"/>
                <w:szCs w:val="20"/>
                <w:b w:val="1"/>
                <w:bCs w:val="1"/>
                <w:color w:val="auto"/>
              </w:rPr>
              <w:t>% of Class V</w:t>
            </w:r>
          </w:p>
        </w:tc>
        <w:tc>
          <w:tcPr>
            <w:tcW w:w="60" w:type="dxa"/>
            <w:vAlign w:val="bottom"/>
          </w:tcPr>
          <w:p>
            <w:pPr>
              <w:spacing w:after="0"/>
              <w:rPr>
                <w:sz w:val="20"/>
                <w:szCs w:val="20"/>
                <w:color w:val="auto"/>
              </w:rPr>
            </w:pPr>
          </w:p>
        </w:tc>
        <w:tc>
          <w:tcPr>
            <w:tcW w:w="1400" w:type="dxa"/>
            <w:vAlign w:val="bottom"/>
            <w:vMerge w:val="restart"/>
          </w:tcPr>
          <w:p>
            <w:pPr>
              <w:jc w:val="center"/>
              <w:spacing w:after="0"/>
              <w:rPr>
                <w:sz w:val="20"/>
                <w:szCs w:val="20"/>
                <w:color w:val="auto"/>
              </w:rPr>
            </w:pPr>
            <w:r>
              <w:rPr>
                <w:rFonts w:ascii="Times New Roman" w:cs="Times New Roman" w:eastAsia="Times New Roman" w:hAnsi="Times New Roman"/>
                <w:sz w:val="20"/>
                <w:szCs w:val="20"/>
                <w:b w:val="1"/>
                <w:bCs w:val="1"/>
                <w:color w:val="auto"/>
              </w:rPr>
              <w:t>Combined %</w:t>
            </w:r>
          </w:p>
        </w:tc>
        <w:tc>
          <w:tcPr>
            <w:tcW w:w="0" w:type="dxa"/>
            <w:vAlign w:val="bottom"/>
          </w:tcPr>
          <w:p>
            <w:pPr>
              <w:spacing w:after="0"/>
              <w:rPr>
                <w:sz w:val="1"/>
                <w:szCs w:val="1"/>
                <w:color w:val="auto"/>
              </w:rPr>
            </w:pPr>
          </w:p>
        </w:tc>
      </w:tr>
      <w:tr>
        <w:trPr>
          <w:trHeight w:val="230"/>
        </w:trPr>
        <w:tc>
          <w:tcPr>
            <w:tcW w:w="40" w:type="dxa"/>
            <w:vAlign w:val="bottom"/>
          </w:tcPr>
          <w:p>
            <w:pPr>
              <w:spacing w:after="0"/>
              <w:rPr>
                <w:sz w:val="20"/>
                <w:szCs w:val="20"/>
                <w:color w:val="auto"/>
              </w:rPr>
            </w:pPr>
          </w:p>
        </w:tc>
        <w:tc>
          <w:tcPr>
            <w:tcW w:w="3180" w:type="dxa"/>
            <w:vAlign w:val="bottom"/>
          </w:tcPr>
          <w:p>
            <w:pPr>
              <w:spacing w:after="0"/>
              <w:rPr>
                <w:sz w:val="20"/>
                <w:szCs w:val="20"/>
                <w:color w:val="auto"/>
              </w:rPr>
            </w:pPr>
          </w:p>
        </w:tc>
        <w:tc>
          <w:tcPr>
            <w:tcW w:w="1200" w:type="dxa"/>
            <w:vAlign w:val="bottom"/>
          </w:tcPr>
          <w:p>
            <w:pPr>
              <w:jc w:val="center"/>
              <w:ind w:right="66"/>
              <w:spacing w:after="0"/>
              <w:rPr>
                <w:sz w:val="20"/>
                <w:szCs w:val="20"/>
                <w:color w:val="auto"/>
              </w:rPr>
            </w:pPr>
            <w:r>
              <w:rPr>
                <w:rFonts w:ascii="Times New Roman" w:cs="Times New Roman" w:eastAsia="Times New Roman" w:hAnsi="Times New Roman"/>
                <w:sz w:val="20"/>
                <w:szCs w:val="20"/>
                <w:b w:val="1"/>
                <w:bCs w:val="1"/>
                <w:color w:val="auto"/>
              </w:rPr>
              <w:t>Stock</w:t>
            </w:r>
          </w:p>
        </w:tc>
        <w:tc>
          <w:tcPr>
            <w:tcW w:w="80" w:type="dxa"/>
            <w:vAlign w:val="bottom"/>
          </w:tcPr>
          <w:p>
            <w:pPr>
              <w:spacing w:after="0"/>
              <w:rPr>
                <w:sz w:val="20"/>
                <w:szCs w:val="20"/>
                <w:color w:val="auto"/>
              </w:rPr>
            </w:pPr>
          </w:p>
        </w:tc>
        <w:tc>
          <w:tcPr>
            <w:tcW w:w="1400" w:type="dxa"/>
            <w:vAlign w:val="bottom"/>
            <w:vMerge w:val="continue"/>
          </w:tcPr>
          <w:p>
            <w:pPr>
              <w:spacing w:after="0"/>
              <w:rPr>
                <w:sz w:val="20"/>
                <w:szCs w:val="20"/>
                <w:color w:val="auto"/>
              </w:rPr>
            </w:pPr>
          </w:p>
        </w:tc>
        <w:tc>
          <w:tcPr>
            <w:tcW w:w="1500" w:type="dxa"/>
            <w:vAlign w:val="bottom"/>
          </w:tcPr>
          <w:p>
            <w:pPr>
              <w:jc w:val="center"/>
              <w:spacing w:after="0"/>
              <w:rPr>
                <w:sz w:val="20"/>
                <w:szCs w:val="20"/>
                <w:color w:val="auto"/>
              </w:rPr>
            </w:pPr>
            <w:r>
              <w:rPr>
                <w:rFonts w:ascii="Times New Roman" w:cs="Times New Roman" w:eastAsia="Times New Roman" w:hAnsi="Times New Roman"/>
                <w:sz w:val="20"/>
                <w:szCs w:val="20"/>
                <w:b w:val="1"/>
                <w:bCs w:val="1"/>
                <w:color w:val="auto"/>
              </w:rPr>
              <w:t>Stock</w:t>
            </w:r>
          </w:p>
        </w:tc>
        <w:tc>
          <w:tcPr>
            <w:tcW w:w="1400" w:type="dxa"/>
            <w:vAlign w:val="bottom"/>
            <w:vMerge w:val="continue"/>
          </w:tcPr>
          <w:p>
            <w:pPr>
              <w:spacing w:after="0"/>
              <w:rPr>
                <w:sz w:val="20"/>
                <w:szCs w:val="20"/>
                <w:color w:val="auto"/>
              </w:rPr>
            </w:pPr>
          </w:p>
        </w:tc>
        <w:tc>
          <w:tcPr>
            <w:tcW w:w="60" w:type="dxa"/>
            <w:vAlign w:val="bottom"/>
          </w:tcPr>
          <w:p>
            <w:pPr>
              <w:spacing w:after="0"/>
              <w:rPr>
                <w:sz w:val="20"/>
                <w:szCs w:val="20"/>
                <w:color w:val="auto"/>
              </w:rPr>
            </w:pPr>
          </w:p>
        </w:tc>
        <w:tc>
          <w:tcPr>
            <w:tcW w:w="1400" w:type="dxa"/>
            <w:vAlign w:val="bottom"/>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40" w:type="dxa"/>
            <w:vAlign w:val="bottom"/>
          </w:tcPr>
          <w:p>
            <w:pPr>
              <w:spacing w:after="0"/>
              <w:rPr>
                <w:sz w:val="20"/>
                <w:szCs w:val="20"/>
                <w:color w:val="auto"/>
              </w:rPr>
            </w:pPr>
          </w:p>
        </w:tc>
        <w:tc>
          <w:tcPr>
            <w:tcW w:w="3180" w:type="dxa"/>
            <w:vAlign w:val="bottom"/>
            <w:vMerge w:val="restart"/>
          </w:tcPr>
          <w:p>
            <w:pPr>
              <w:spacing w:after="0"/>
              <w:rPr>
                <w:sz w:val="20"/>
                <w:szCs w:val="20"/>
                <w:color w:val="auto"/>
              </w:rPr>
            </w:pPr>
            <w:r>
              <w:rPr>
                <w:rFonts w:ascii="Times New Roman" w:cs="Times New Roman" w:eastAsia="Times New Roman" w:hAnsi="Times New Roman"/>
                <w:sz w:val="20"/>
                <w:szCs w:val="20"/>
                <w:b w:val="1"/>
                <w:bCs w:val="1"/>
                <w:color w:val="auto"/>
              </w:rPr>
              <w:t>Name of Beneficial Owner</w:t>
            </w:r>
            <w:r>
              <w:rPr>
                <w:rFonts w:ascii="Times New Roman" w:cs="Times New Roman" w:eastAsia="Times New Roman" w:hAnsi="Times New Roman"/>
                <w:sz w:val="25"/>
                <w:szCs w:val="25"/>
                <w:b w:val="1"/>
                <w:bCs w:val="1"/>
                <w:color w:val="auto"/>
                <w:vertAlign w:val="superscript"/>
              </w:rPr>
              <w:t>(1)</w:t>
            </w:r>
          </w:p>
        </w:tc>
        <w:tc>
          <w:tcPr>
            <w:tcW w:w="1200" w:type="dxa"/>
            <w:vAlign w:val="bottom"/>
          </w:tcPr>
          <w:p>
            <w:pPr>
              <w:jc w:val="center"/>
              <w:ind w:right="86"/>
              <w:spacing w:after="0"/>
              <w:rPr>
                <w:sz w:val="20"/>
                <w:szCs w:val="20"/>
                <w:color w:val="auto"/>
              </w:rPr>
            </w:pPr>
            <w:r>
              <w:rPr>
                <w:rFonts w:ascii="Times New Roman" w:cs="Times New Roman" w:eastAsia="Times New Roman" w:hAnsi="Times New Roman"/>
                <w:sz w:val="20"/>
                <w:szCs w:val="20"/>
                <w:b w:val="1"/>
                <w:bCs w:val="1"/>
                <w:color w:val="auto"/>
              </w:rPr>
              <w:t>Beneficially</w:t>
            </w:r>
          </w:p>
        </w:tc>
        <w:tc>
          <w:tcPr>
            <w:tcW w:w="80" w:type="dxa"/>
            <w:vAlign w:val="bottom"/>
          </w:tcPr>
          <w:p>
            <w:pPr>
              <w:spacing w:after="0"/>
              <w:rPr>
                <w:sz w:val="20"/>
                <w:szCs w:val="20"/>
                <w:color w:val="auto"/>
              </w:rPr>
            </w:pPr>
          </w:p>
        </w:tc>
        <w:tc>
          <w:tcPr>
            <w:tcW w:w="1400" w:type="dxa"/>
            <w:vAlign w:val="bottom"/>
          </w:tcPr>
          <w:p>
            <w:pPr>
              <w:jc w:val="center"/>
              <w:spacing w:after="0"/>
              <w:rPr>
                <w:sz w:val="20"/>
                <w:szCs w:val="20"/>
                <w:color w:val="auto"/>
              </w:rPr>
            </w:pPr>
            <w:r>
              <w:rPr>
                <w:rFonts w:ascii="Times New Roman" w:cs="Times New Roman" w:eastAsia="Times New Roman" w:hAnsi="Times New Roman"/>
                <w:sz w:val="20"/>
                <w:szCs w:val="20"/>
                <w:b w:val="1"/>
                <w:bCs w:val="1"/>
                <w:color w:val="auto"/>
              </w:rPr>
              <w:t>Common</w:t>
            </w:r>
          </w:p>
        </w:tc>
        <w:tc>
          <w:tcPr>
            <w:tcW w:w="1500" w:type="dxa"/>
            <w:vAlign w:val="bottom"/>
          </w:tcPr>
          <w:p>
            <w:pPr>
              <w:jc w:val="center"/>
              <w:spacing w:after="0"/>
              <w:rPr>
                <w:sz w:val="20"/>
                <w:szCs w:val="20"/>
                <w:color w:val="auto"/>
              </w:rPr>
            </w:pPr>
            <w:r>
              <w:rPr>
                <w:rFonts w:ascii="Times New Roman" w:cs="Times New Roman" w:eastAsia="Times New Roman" w:hAnsi="Times New Roman"/>
                <w:sz w:val="20"/>
                <w:szCs w:val="20"/>
                <w:b w:val="1"/>
                <w:bCs w:val="1"/>
                <w:color w:val="auto"/>
              </w:rPr>
              <w:t>Beneficially</w:t>
            </w:r>
          </w:p>
        </w:tc>
        <w:tc>
          <w:tcPr>
            <w:tcW w:w="1400" w:type="dxa"/>
            <w:vAlign w:val="bottom"/>
          </w:tcPr>
          <w:p>
            <w:pPr>
              <w:jc w:val="center"/>
              <w:spacing w:after="0"/>
              <w:rPr>
                <w:sz w:val="20"/>
                <w:szCs w:val="20"/>
                <w:color w:val="auto"/>
              </w:rPr>
            </w:pPr>
            <w:r>
              <w:rPr>
                <w:rFonts w:ascii="Times New Roman" w:cs="Times New Roman" w:eastAsia="Times New Roman" w:hAnsi="Times New Roman"/>
                <w:sz w:val="20"/>
                <w:szCs w:val="20"/>
                <w:b w:val="1"/>
                <w:bCs w:val="1"/>
                <w:color w:val="auto"/>
              </w:rPr>
              <w:t>Common</w:t>
            </w:r>
          </w:p>
        </w:tc>
        <w:tc>
          <w:tcPr>
            <w:tcW w:w="60" w:type="dxa"/>
            <w:vAlign w:val="bottom"/>
          </w:tcPr>
          <w:p>
            <w:pPr>
              <w:spacing w:after="0"/>
              <w:rPr>
                <w:sz w:val="20"/>
                <w:szCs w:val="20"/>
                <w:color w:val="auto"/>
              </w:rPr>
            </w:pPr>
          </w:p>
        </w:tc>
        <w:tc>
          <w:tcPr>
            <w:tcW w:w="1400" w:type="dxa"/>
            <w:vAlign w:val="bottom"/>
          </w:tcPr>
          <w:p>
            <w:pPr>
              <w:jc w:val="center"/>
              <w:spacing w:after="0"/>
              <w:rPr>
                <w:sz w:val="20"/>
                <w:szCs w:val="20"/>
                <w:color w:val="auto"/>
              </w:rPr>
            </w:pPr>
            <w:r>
              <w:rPr>
                <w:rFonts w:ascii="Times New Roman" w:cs="Times New Roman" w:eastAsia="Times New Roman" w:hAnsi="Times New Roman"/>
                <w:sz w:val="20"/>
                <w:szCs w:val="20"/>
                <w:b w:val="1"/>
                <w:bCs w:val="1"/>
                <w:color w:val="auto"/>
                <w:w w:val="96"/>
              </w:rPr>
              <w:t>of Total Voting</w:t>
            </w:r>
          </w:p>
        </w:tc>
        <w:tc>
          <w:tcPr>
            <w:tcW w:w="0" w:type="dxa"/>
            <w:vAlign w:val="bottom"/>
          </w:tcPr>
          <w:p>
            <w:pPr>
              <w:spacing w:after="0"/>
              <w:rPr>
                <w:sz w:val="1"/>
                <w:szCs w:val="1"/>
                <w:color w:val="auto"/>
              </w:rPr>
            </w:pPr>
          </w:p>
        </w:tc>
      </w:tr>
      <w:tr>
        <w:trPr>
          <w:trHeight w:val="284"/>
        </w:trPr>
        <w:tc>
          <w:tcPr>
            <w:tcW w:w="40" w:type="dxa"/>
            <w:vAlign w:val="bottom"/>
          </w:tcPr>
          <w:p>
            <w:pPr>
              <w:spacing w:after="0"/>
              <w:rPr>
                <w:sz w:val="24"/>
                <w:szCs w:val="24"/>
                <w:color w:val="auto"/>
              </w:rPr>
            </w:pPr>
          </w:p>
        </w:tc>
        <w:tc>
          <w:tcPr>
            <w:tcW w:w="3180" w:type="dxa"/>
            <w:vAlign w:val="bottom"/>
            <w:vMerge w:val="continue"/>
          </w:tcPr>
          <w:p>
            <w:pPr>
              <w:spacing w:after="0"/>
              <w:rPr>
                <w:sz w:val="24"/>
                <w:szCs w:val="24"/>
                <w:color w:val="auto"/>
              </w:rPr>
            </w:pPr>
          </w:p>
        </w:tc>
        <w:tc>
          <w:tcPr>
            <w:tcW w:w="1200" w:type="dxa"/>
            <w:vAlign w:val="bottom"/>
          </w:tcPr>
          <w:p>
            <w:pPr>
              <w:jc w:val="center"/>
              <w:ind w:right="86"/>
              <w:spacing w:after="0"/>
              <w:rPr>
                <w:sz w:val="20"/>
                <w:szCs w:val="20"/>
                <w:color w:val="auto"/>
              </w:rPr>
            </w:pPr>
            <w:r>
              <w:rPr>
                <w:rFonts w:ascii="Times New Roman" w:cs="Times New Roman" w:eastAsia="Times New Roman" w:hAnsi="Times New Roman"/>
                <w:sz w:val="20"/>
                <w:szCs w:val="20"/>
                <w:b w:val="1"/>
                <w:bCs w:val="1"/>
                <w:color w:val="auto"/>
              </w:rPr>
              <w:t>Owned</w:t>
            </w:r>
          </w:p>
        </w:tc>
        <w:tc>
          <w:tcPr>
            <w:tcW w:w="80" w:type="dxa"/>
            <w:vAlign w:val="bottom"/>
          </w:tcPr>
          <w:p>
            <w:pPr>
              <w:spacing w:after="0"/>
              <w:rPr>
                <w:sz w:val="24"/>
                <w:szCs w:val="24"/>
                <w:color w:val="auto"/>
              </w:rPr>
            </w:pPr>
          </w:p>
        </w:tc>
        <w:tc>
          <w:tcPr>
            <w:tcW w:w="1400" w:type="dxa"/>
            <w:vAlign w:val="bottom"/>
          </w:tcPr>
          <w:p>
            <w:pPr>
              <w:jc w:val="center"/>
              <w:spacing w:after="0"/>
              <w:rPr>
                <w:sz w:val="20"/>
                <w:szCs w:val="20"/>
                <w:color w:val="auto"/>
              </w:rPr>
            </w:pPr>
            <w:r>
              <w:rPr>
                <w:rFonts w:ascii="Times New Roman" w:cs="Times New Roman" w:eastAsia="Times New Roman" w:hAnsi="Times New Roman"/>
                <w:sz w:val="20"/>
                <w:szCs w:val="20"/>
                <w:b w:val="1"/>
                <w:bCs w:val="1"/>
                <w:color w:val="auto"/>
              </w:rPr>
              <w:t>Stock</w:t>
            </w:r>
          </w:p>
        </w:tc>
        <w:tc>
          <w:tcPr>
            <w:tcW w:w="1500" w:type="dxa"/>
            <w:vAlign w:val="bottom"/>
          </w:tcPr>
          <w:p>
            <w:pPr>
              <w:jc w:val="center"/>
              <w:spacing w:after="0" w:line="283" w:lineRule="exact"/>
              <w:rPr>
                <w:sz w:val="20"/>
                <w:szCs w:val="20"/>
                <w:color w:val="auto"/>
              </w:rPr>
            </w:pPr>
            <w:r>
              <w:rPr>
                <w:rFonts w:ascii="Times New Roman" w:cs="Times New Roman" w:eastAsia="Times New Roman" w:hAnsi="Times New Roman"/>
                <w:sz w:val="20"/>
                <w:szCs w:val="20"/>
                <w:b w:val="1"/>
                <w:bCs w:val="1"/>
                <w:color w:val="auto"/>
                <w:w w:val="94"/>
              </w:rPr>
              <w:t>Owned</w:t>
            </w:r>
            <w:r>
              <w:rPr>
                <w:rFonts w:ascii="Times New Roman" w:cs="Times New Roman" w:eastAsia="Times New Roman" w:hAnsi="Times New Roman"/>
                <w:sz w:val="25"/>
                <w:szCs w:val="25"/>
                <w:b w:val="1"/>
                <w:bCs w:val="1"/>
                <w:color w:val="auto"/>
                <w:w w:val="94"/>
                <w:vertAlign w:val="superscript"/>
              </w:rPr>
              <w:t>(2)</w:t>
            </w:r>
          </w:p>
        </w:tc>
        <w:tc>
          <w:tcPr>
            <w:tcW w:w="1400" w:type="dxa"/>
            <w:vAlign w:val="bottom"/>
          </w:tcPr>
          <w:p>
            <w:pPr>
              <w:jc w:val="center"/>
              <w:spacing w:after="0"/>
              <w:rPr>
                <w:sz w:val="20"/>
                <w:szCs w:val="20"/>
                <w:color w:val="auto"/>
              </w:rPr>
            </w:pPr>
            <w:r>
              <w:rPr>
                <w:rFonts w:ascii="Times New Roman" w:cs="Times New Roman" w:eastAsia="Times New Roman" w:hAnsi="Times New Roman"/>
                <w:sz w:val="20"/>
                <w:szCs w:val="20"/>
                <w:b w:val="1"/>
                <w:bCs w:val="1"/>
                <w:color w:val="auto"/>
              </w:rPr>
              <w:t>Stock</w:t>
            </w:r>
          </w:p>
        </w:tc>
        <w:tc>
          <w:tcPr>
            <w:tcW w:w="60" w:type="dxa"/>
            <w:vAlign w:val="bottom"/>
          </w:tcPr>
          <w:p>
            <w:pPr>
              <w:spacing w:after="0"/>
              <w:rPr>
                <w:sz w:val="24"/>
                <w:szCs w:val="24"/>
                <w:color w:val="auto"/>
              </w:rPr>
            </w:pPr>
          </w:p>
        </w:tc>
        <w:tc>
          <w:tcPr>
            <w:tcW w:w="1400" w:type="dxa"/>
            <w:vAlign w:val="bottom"/>
          </w:tcPr>
          <w:p>
            <w:pPr>
              <w:jc w:val="center"/>
              <w:spacing w:after="0" w:line="283" w:lineRule="exact"/>
              <w:rPr>
                <w:sz w:val="20"/>
                <w:szCs w:val="20"/>
                <w:color w:val="auto"/>
              </w:rPr>
            </w:pPr>
            <w:r>
              <w:rPr>
                <w:rFonts w:ascii="Times New Roman" w:cs="Times New Roman" w:eastAsia="Times New Roman" w:hAnsi="Times New Roman"/>
                <w:sz w:val="20"/>
                <w:szCs w:val="20"/>
                <w:b w:val="1"/>
                <w:bCs w:val="1"/>
                <w:color w:val="auto"/>
                <w:w w:val="94"/>
              </w:rPr>
              <w:t>Power</w:t>
            </w:r>
            <w:r>
              <w:rPr>
                <w:rFonts w:ascii="Times New Roman" w:cs="Times New Roman" w:eastAsia="Times New Roman" w:hAnsi="Times New Roman"/>
                <w:sz w:val="25"/>
                <w:szCs w:val="25"/>
                <w:b w:val="1"/>
                <w:bCs w:val="1"/>
                <w:color w:val="auto"/>
                <w:w w:val="94"/>
                <w:vertAlign w:val="superscript"/>
              </w:rPr>
              <w:t>(3)</w:t>
            </w:r>
          </w:p>
        </w:tc>
        <w:tc>
          <w:tcPr>
            <w:tcW w:w="0" w:type="dxa"/>
            <w:vAlign w:val="bottom"/>
          </w:tcPr>
          <w:p>
            <w:pPr>
              <w:spacing w:after="0"/>
              <w:rPr>
                <w:sz w:val="1"/>
                <w:szCs w:val="1"/>
                <w:color w:val="auto"/>
              </w:rPr>
            </w:pPr>
          </w:p>
        </w:tc>
      </w:tr>
      <w:tr>
        <w:trPr>
          <w:trHeight w:val="288"/>
        </w:trPr>
        <w:tc>
          <w:tcPr>
            <w:tcW w:w="40" w:type="dxa"/>
            <w:vAlign w:val="bottom"/>
            <w:shd w:val="clear" w:color="auto" w:fill="DDDDDD"/>
          </w:tcPr>
          <w:p>
            <w:pPr>
              <w:spacing w:after="0"/>
              <w:rPr>
                <w:sz w:val="24"/>
                <w:szCs w:val="24"/>
                <w:color w:val="auto"/>
              </w:rPr>
            </w:pPr>
          </w:p>
        </w:tc>
        <w:tc>
          <w:tcPr>
            <w:tcW w:w="3180" w:type="dxa"/>
            <w:vAlign w:val="bottom"/>
            <w:shd w:val="clear" w:color="auto" w:fill="DDDDDD"/>
          </w:tcPr>
          <w:p>
            <w:pPr>
              <w:spacing w:after="0"/>
              <w:rPr>
                <w:sz w:val="20"/>
                <w:szCs w:val="20"/>
                <w:color w:val="auto"/>
              </w:rPr>
            </w:pPr>
            <w:r>
              <w:rPr>
                <w:rFonts w:ascii="Times New Roman" w:cs="Times New Roman" w:eastAsia="Times New Roman" w:hAnsi="Times New Roman"/>
                <w:sz w:val="18"/>
                <w:szCs w:val="18"/>
                <w:b w:val="1"/>
                <w:bCs w:val="1"/>
                <w:color w:val="auto"/>
                <w:w w:val="99"/>
              </w:rPr>
              <w:t>Directors and Named Executive Officers:</w:t>
            </w:r>
          </w:p>
        </w:tc>
        <w:tc>
          <w:tcPr>
            <w:tcW w:w="1200" w:type="dxa"/>
            <w:vAlign w:val="bottom"/>
            <w:shd w:val="clear" w:color="auto" w:fill="DDDDDD"/>
          </w:tcPr>
          <w:p>
            <w:pPr>
              <w:spacing w:after="0"/>
              <w:rPr>
                <w:sz w:val="24"/>
                <w:szCs w:val="24"/>
                <w:color w:val="auto"/>
              </w:rPr>
            </w:pPr>
          </w:p>
        </w:tc>
        <w:tc>
          <w:tcPr>
            <w:tcW w:w="80" w:type="dxa"/>
            <w:vAlign w:val="bottom"/>
            <w:shd w:val="clear" w:color="auto" w:fill="DDDDDD"/>
          </w:tcPr>
          <w:p>
            <w:pPr>
              <w:spacing w:after="0"/>
              <w:rPr>
                <w:sz w:val="24"/>
                <w:szCs w:val="24"/>
                <w:color w:val="auto"/>
              </w:rPr>
            </w:pPr>
          </w:p>
        </w:tc>
        <w:tc>
          <w:tcPr>
            <w:tcW w:w="1400" w:type="dxa"/>
            <w:vAlign w:val="bottom"/>
            <w:shd w:val="clear" w:color="auto" w:fill="DDDDDD"/>
          </w:tcPr>
          <w:p>
            <w:pPr>
              <w:spacing w:after="0"/>
              <w:rPr>
                <w:sz w:val="24"/>
                <w:szCs w:val="24"/>
                <w:color w:val="auto"/>
              </w:rPr>
            </w:pPr>
          </w:p>
        </w:tc>
        <w:tc>
          <w:tcPr>
            <w:tcW w:w="1500" w:type="dxa"/>
            <w:vAlign w:val="bottom"/>
            <w:shd w:val="clear" w:color="auto" w:fill="DDDDDD"/>
          </w:tcPr>
          <w:p>
            <w:pPr>
              <w:spacing w:after="0"/>
              <w:rPr>
                <w:sz w:val="24"/>
                <w:szCs w:val="24"/>
                <w:color w:val="auto"/>
              </w:rPr>
            </w:pPr>
          </w:p>
        </w:tc>
        <w:tc>
          <w:tcPr>
            <w:tcW w:w="1400" w:type="dxa"/>
            <w:vAlign w:val="bottom"/>
            <w:shd w:val="clear" w:color="auto" w:fill="DDDDDD"/>
          </w:tcPr>
          <w:p>
            <w:pPr>
              <w:spacing w:after="0"/>
              <w:rPr>
                <w:sz w:val="24"/>
                <w:szCs w:val="24"/>
                <w:color w:val="auto"/>
              </w:rPr>
            </w:pPr>
          </w:p>
        </w:tc>
        <w:tc>
          <w:tcPr>
            <w:tcW w:w="60" w:type="dxa"/>
            <w:vAlign w:val="bottom"/>
            <w:shd w:val="clear" w:color="auto" w:fill="DDDDDD"/>
          </w:tcPr>
          <w:p>
            <w:pPr>
              <w:spacing w:after="0"/>
              <w:rPr>
                <w:sz w:val="24"/>
                <w:szCs w:val="24"/>
                <w:color w:val="auto"/>
              </w:rPr>
            </w:pPr>
          </w:p>
        </w:tc>
        <w:tc>
          <w:tcPr>
            <w:tcW w:w="1400" w:type="dxa"/>
            <w:vAlign w:val="bottom"/>
            <w:shd w:val="clear" w:color="auto" w:fill="DDDDDD"/>
          </w:tcPr>
          <w:p>
            <w:pPr>
              <w:spacing w:after="0"/>
              <w:rPr>
                <w:sz w:val="24"/>
                <w:szCs w:val="24"/>
                <w:color w:val="auto"/>
              </w:rPr>
            </w:pPr>
          </w:p>
        </w:tc>
        <w:tc>
          <w:tcPr>
            <w:tcW w:w="0" w:type="dxa"/>
            <w:vAlign w:val="bottom"/>
          </w:tcPr>
          <w:p>
            <w:pPr>
              <w:spacing w:after="0"/>
              <w:rPr>
                <w:sz w:val="1"/>
                <w:szCs w:val="1"/>
                <w:color w:val="auto"/>
              </w:rPr>
            </w:pPr>
          </w:p>
        </w:tc>
      </w:tr>
      <w:tr>
        <w:trPr>
          <w:trHeight w:val="360"/>
        </w:trPr>
        <w:tc>
          <w:tcPr>
            <w:tcW w:w="40" w:type="dxa"/>
            <w:vAlign w:val="bottom"/>
          </w:tcPr>
          <w:p>
            <w:pPr>
              <w:spacing w:after="0"/>
              <w:rPr>
                <w:sz w:val="24"/>
                <w:szCs w:val="24"/>
                <w:color w:val="auto"/>
              </w:rPr>
            </w:pPr>
          </w:p>
        </w:tc>
        <w:tc>
          <w:tcPr>
            <w:tcW w:w="3180" w:type="dxa"/>
            <w:vAlign w:val="bottom"/>
          </w:tcPr>
          <w:p>
            <w:pPr>
              <w:spacing w:after="0"/>
              <w:rPr>
                <w:sz w:val="20"/>
                <w:szCs w:val="20"/>
                <w:color w:val="auto"/>
              </w:rPr>
            </w:pPr>
            <w:r>
              <w:rPr>
                <w:rFonts w:ascii="Times New Roman" w:cs="Times New Roman" w:eastAsia="Times New Roman" w:hAnsi="Times New Roman"/>
                <w:sz w:val="18"/>
                <w:szCs w:val="18"/>
                <w:color w:val="auto"/>
              </w:rPr>
              <w:t>Tony Aquila</w:t>
            </w:r>
            <w:r>
              <w:rPr>
                <w:rFonts w:ascii="Times New Roman" w:cs="Times New Roman" w:eastAsia="Times New Roman" w:hAnsi="Times New Roman"/>
                <w:sz w:val="24"/>
                <w:szCs w:val="24"/>
                <w:color w:val="auto"/>
                <w:vertAlign w:val="superscript"/>
              </w:rPr>
              <w:t>(5)</w:t>
            </w: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5,297,761</w:t>
            </w:r>
          </w:p>
        </w:tc>
        <w:tc>
          <w:tcPr>
            <w:tcW w:w="14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5.6 %</w:t>
            </w:r>
          </w:p>
        </w:tc>
        <w:tc>
          <w:tcPr>
            <w:tcW w:w="1500" w:type="dxa"/>
            <w:vAlign w:val="bottom"/>
          </w:tcPr>
          <w:p>
            <w:pPr>
              <w:jc w:val="right"/>
              <w:ind w:right="26"/>
              <w:spacing w:after="0"/>
              <w:rPr>
                <w:sz w:val="20"/>
                <w:szCs w:val="20"/>
                <w:color w:val="auto"/>
              </w:rPr>
            </w:pPr>
            <w:r>
              <w:rPr>
                <w:rFonts w:ascii="Times New Roman" w:cs="Times New Roman" w:eastAsia="Times New Roman" w:hAnsi="Times New Roman"/>
                <w:sz w:val="18"/>
                <w:szCs w:val="18"/>
                <w:color w:val="auto"/>
              </w:rPr>
              <w:t>—</w:t>
            </w: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 %</w:t>
            </w:r>
          </w:p>
        </w:tc>
        <w:tc>
          <w:tcPr>
            <w:tcW w:w="14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3.5 %</w:t>
            </w:r>
          </w:p>
        </w:tc>
        <w:tc>
          <w:tcPr>
            <w:tcW w:w="0" w:type="dxa"/>
            <w:vAlign w:val="bottom"/>
          </w:tcPr>
          <w:p>
            <w:pPr>
              <w:spacing w:after="0"/>
              <w:rPr>
                <w:sz w:val="1"/>
                <w:szCs w:val="1"/>
                <w:color w:val="auto"/>
              </w:rPr>
            </w:pPr>
          </w:p>
        </w:tc>
      </w:tr>
      <w:tr>
        <w:trPr>
          <w:trHeight w:val="288"/>
        </w:trPr>
        <w:tc>
          <w:tcPr>
            <w:tcW w:w="40" w:type="dxa"/>
            <w:vAlign w:val="bottom"/>
            <w:shd w:val="clear" w:color="auto" w:fill="DDDDDD"/>
          </w:tcPr>
          <w:p>
            <w:pPr>
              <w:spacing w:after="0"/>
              <w:rPr>
                <w:sz w:val="24"/>
                <w:szCs w:val="24"/>
                <w:color w:val="auto"/>
              </w:rPr>
            </w:pPr>
          </w:p>
        </w:tc>
        <w:tc>
          <w:tcPr>
            <w:tcW w:w="3180" w:type="dxa"/>
            <w:vAlign w:val="bottom"/>
            <w:shd w:val="clear" w:color="auto" w:fill="DDDDDD"/>
          </w:tcPr>
          <w:p>
            <w:pPr>
              <w:spacing w:after="0"/>
              <w:rPr>
                <w:sz w:val="20"/>
                <w:szCs w:val="20"/>
                <w:color w:val="auto"/>
              </w:rPr>
            </w:pPr>
            <w:r>
              <w:rPr>
                <w:rFonts w:ascii="Times New Roman" w:cs="Times New Roman" w:eastAsia="Times New Roman" w:hAnsi="Times New Roman"/>
                <w:sz w:val="18"/>
                <w:szCs w:val="18"/>
                <w:color w:val="auto"/>
              </w:rPr>
              <w:t>Douglas Francis</w:t>
            </w:r>
            <w:r>
              <w:rPr>
                <w:rFonts w:ascii="Times New Roman" w:cs="Times New Roman" w:eastAsia="Times New Roman" w:hAnsi="Times New Roman"/>
                <w:sz w:val="24"/>
                <w:szCs w:val="24"/>
                <w:color w:val="auto"/>
                <w:vertAlign w:val="superscript"/>
              </w:rPr>
              <w:t>(6)</w:t>
            </w:r>
          </w:p>
        </w:tc>
        <w:tc>
          <w:tcPr>
            <w:tcW w:w="1200" w:type="dxa"/>
            <w:vAlign w:val="bottom"/>
            <w:shd w:val="clear" w:color="auto" w:fill="DDDDDD"/>
          </w:tcPr>
          <w:p>
            <w:pPr>
              <w:jc w:val="right"/>
              <w:spacing w:after="0"/>
              <w:rPr>
                <w:sz w:val="20"/>
                <w:szCs w:val="20"/>
                <w:color w:val="auto"/>
              </w:rPr>
            </w:pPr>
            <w:r>
              <w:rPr>
                <w:rFonts w:ascii="Times New Roman" w:cs="Times New Roman" w:eastAsia="Times New Roman" w:hAnsi="Times New Roman"/>
                <w:sz w:val="18"/>
                <w:szCs w:val="18"/>
                <w:color w:val="auto"/>
              </w:rPr>
              <w:t>4,792,347</w:t>
            </w:r>
          </w:p>
        </w:tc>
        <w:tc>
          <w:tcPr>
            <w:tcW w:w="1480" w:type="dxa"/>
            <w:vAlign w:val="bottom"/>
            <w:gridSpan w:val="2"/>
            <w:shd w:val="clear" w:color="auto" w:fill="DDDDDD"/>
          </w:tcPr>
          <w:p>
            <w:pPr>
              <w:jc w:val="right"/>
              <w:spacing w:after="0"/>
              <w:rPr>
                <w:sz w:val="20"/>
                <w:szCs w:val="20"/>
                <w:color w:val="auto"/>
              </w:rPr>
            </w:pPr>
            <w:r>
              <w:rPr>
                <w:rFonts w:ascii="Times New Roman" w:cs="Times New Roman" w:eastAsia="Times New Roman" w:hAnsi="Times New Roman"/>
                <w:sz w:val="18"/>
                <w:szCs w:val="18"/>
                <w:color w:val="auto"/>
              </w:rPr>
              <w:t>5.0 %</w:t>
            </w:r>
          </w:p>
        </w:tc>
        <w:tc>
          <w:tcPr>
            <w:tcW w:w="1500" w:type="dxa"/>
            <w:vAlign w:val="bottom"/>
            <w:shd w:val="clear" w:color="auto" w:fill="DDDDDD"/>
          </w:tcPr>
          <w:p>
            <w:pPr>
              <w:jc w:val="right"/>
              <w:ind w:right="26"/>
              <w:spacing w:after="0"/>
              <w:rPr>
                <w:sz w:val="20"/>
                <w:szCs w:val="20"/>
                <w:color w:val="auto"/>
              </w:rPr>
            </w:pPr>
            <w:r>
              <w:rPr>
                <w:rFonts w:ascii="Times New Roman" w:cs="Times New Roman" w:eastAsia="Times New Roman" w:hAnsi="Times New Roman"/>
                <w:sz w:val="18"/>
                <w:szCs w:val="18"/>
                <w:color w:val="auto"/>
              </w:rPr>
              <w:t>22,970,182</w:t>
            </w:r>
          </w:p>
        </w:tc>
        <w:tc>
          <w:tcPr>
            <w:tcW w:w="1400" w:type="dxa"/>
            <w:vAlign w:val="bottom"/>
            <w:shd w:val="clear" w:color="auto" w:fill="DDDDDD"/>
          </w:tcPr>
          <w:p>
            <w:pPr>
              <w:jc w:val="right"/>
              <w:spacing w:after="0"/>
              <w:rPr>
                <w:sz w:val="20"/>
                <w:szCs w:val="20"/>
                <w:color w:val="auto"/>
              </w:rPr>
            </w:pPr>
            <w:r>
              <w:rPr>
                <w:rFonts w:ascii="Times New Roman" w:cs="Times New Roman" w:eastAsia="Times New Roman" w:hAnsi="Times New Roman"/>
                <w:sz w:val="18"/>
                <w:szCs w:val="18"/>
                <w:color w:val="auto"/>
              </w:rPr>
              <w:t>41.4 %</w:t>
            </w:r>
          </w:p>
        </w:tc>
        <w:tc>
          <w:tcPr>
            <w:tcW w:w="60" w:type="dxa"/>
            <w:vAlign w:val="bottom"/>
            <w:shd w:val="clear" w:color="auto" w:fill="DDDDDD"/>
          </w:tcPr>
          <w:p>
            <w:pPr>
              <w:spacing w:after="0"/>
              <w:rPr>
                <w:sz w:val="24"/>
                <w:szCs w:val="24"/>
                <w:color w:val="auto"/>
              </w:rPr>
            </w:pPr>
          </w:p>
        </w:tc>
        <w:tc>
          <w:tcPr>
            <w:tcW w:w="1400" w:type="dxa"/>
            <w:vAlign w:val="bottom"/>
            <w:shd w:val="clear" w:color="auto" w:fill="DDDDDD"/>
          </w:tcPr>
          <w:p>
            <w:pPr>
              <w:jc w:val="right"/>
              <w:spacing w:after="0"/>
              <w:rPr>
                <w:sz w:val="20"/>
                <w:szCs w:val="20"/>
                <w:color w:val="auto"/>
              </w:rPr>
            </w:pPr>
            <w:r>
              <w:rPr>
                <w:rFonts w:ascii="Times New Roman" w:cs="Times New Roman" w:eastAsia="Times New Roman" w:hAnsi="Times New Roman"/>
                <w:sz w:val="18"/>
                <w:szCs w:val="18"/>
                <w:color w:val="auto"/>
              </w:rPr>
              <w:t>18.4 %</w:t>
            </w:r>
          </w:p>
        </w:tc>
        <w:tc>
          <w:tcPr>
            <w:tcW w:w="0" w:type="dxa"/>
            <w:vAlign w:val="bottom"/>
          </w:tcPr>
          <w:p>
            <w:pPr>
              <w:spacing w:after="0"/>
              <w:rPr>
                <w:sz w:val="1"/>
                <w:szCs w:val="1"/>
                <w:color w:val="auto"/>
              </w:rPr>
            </w:pPr>
          </w:p>
        </w:tc>
      </w:tr>
      <w:tr>
        <w:trPr>
          <w:trHeight w:val="355"/>
        </w:trPr>
        <w:tc>
          <w:tcPr>
            <w:tcW w:w="40" w:type="dxa"/>
            <w:vAlign w:val="bottom"/>
          </w:tcPr>
          <w:p>
            <w:pPr>
              <w:spacing w:after="0"/>
              <w:rPr>
                <w:sz w:val="24"/>
                <w:szCs w:val="24"/>
                <w:color w:val="auto"/>
              </w:rPr>
            </w:pPr>
          </w:p>
        </w:tc>
        <w:tc>
          <w:tcPr>
            <w:tcW w:w="3180" w:type="dxa"/>
            <w:vAlign w:val="bottom"/>
          </w:tcPr>
          <w:p>
            <w:pPr>
              <w:spacing w:after="0"/>
              <w:rPr>
                <w:sz w:val="20"/>
                <w:szCs w:val="20"/>
                <w:color w:val="auto"/>
              </w:rPr>
            </w:pPr>
            <w:r>
              <w:rPr>
                <w:rFonts w:ascii="Times New Roman" w:cs="Times New Roman" w:eastAsia="Times New Roman" w:hAnsi="Times New Roman"/>
                <w:sz w:val="18"/>
                <w:szCs w:val="18"/>
                <w:color w:val="auto"/>
              </w:rPr>
              <w:t>Scott Gordon</w:t>
            </w: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376,262</w:t>
            </w:r>
          </w:p>
        </w:tc>
        <w:tc>
          <w:tcPr>
            <w:tcW w:w="14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0.4 %</w:t>
            </w:r>
          </w:p>
        </w:tc>
        <w:tc>
          <w:tcPr>
            <w:tcW w:w="1500" w:type="dxa"/>
            <w:vAlign w:val="bottom"/>
          </w:tcPr>
          <w:p>
            <w:pPr>
              <w:jc w:val="right"/>
              <w:ind w:right="26"/>
              <w:spacing w:after="0"/>
              <w:rPr>
                <w:sz w:val="20"/>
                <w:szCs w:val="20"/>
                <w:color w:val="auto"/>
              </w:rPr>
            </w:pPr>
            <w:r>
              <w:rPr>
                <w:rFonts w:ascii="Times New Roman" w:cs="Times New Roman" w:eastAsia="Times New Roman" w:hAnsi="Times New Roman"/>
                <w:sz w:val="18"/>
                <w:szCs w:val="18"/>
                <w:color w:val="auto"/>
              </w:rPr>
              <w:t>—</w:t>
            </w: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 %</w:t>
            </w:r>
          </w:p>
        </w:tc>
        <w:tc>
          <w:tcPr>
            <w:tcW w:w="14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0.2 %</w:t>
            </w:r>
          </w:p>
        </w:tc>
        <w:tc>
          <w:tcPr>
            <w:tcW w:w="0" w:type="dxa"/>
            <w:vAlign w:val="bottom"/>
          </w:tcPr>
          <w:p>
            <w:pPr>
              <w:spacing w:after="0"/>
              <w:rPr>
                <w:sz w:val="1"/>
                <w:szCs w:val="1"/>
                <w:color w:val="auto"/>
              </w:rPr>
            </w:pPr>
          </w:p>
        </w:tc>
      </w:tr>
      <w:tr>
        <w:trPr>
          <w:trHeight w:val="365"/>
        </w:trPr>
        <w:tc>
          <w:tcPr>
            <w:tcW w:w="40" w:type="dxa"/>
            <w:vAlign w:val="bottom"/>
            <w:shd w:val="clear" w:color="auto" w:fill="DDDDDD"/>
          </w:tcPr>
          <w:p>
            <w:pPr>
              <w:spacing w:after="0"/>
              <w:rPr>
                <w:sz w:val="24"/>
                <w:szCs w:val="24"/>
                <w:color w:val="auto"/>
              </w:rPr>
            </w:pPr>
          </w:p>
        </w:tc>
        <w:tc>
          <w:tcPr>
            <w:tcW w:w="3180" w:type="dxa"/>
            <w:vAlign w:val="bottom"/>
            <w:shd w:val="clear" w:color="auto" w:fill="DDDDDD"/>
          </w:tcPr>
          <w:p>
            <w:pPr>
              <w:spacing w:after="0"/>
              <w:rPr>
                <w:sz w:val="20"/>
                <w:szCs w:val="20"/>
                <w:color w:val="auto"/>
              </w:rPr>
            </w:pPr>
            <w:r>
              <w:rPr>
                <w:rFonts w:ascii="Times New Roman" w:cs="Times New Roman" w:eastAsia="Times New Roman" w:hAnsi="Times New Roman"/>
                <w:sz w:val="18"/>
                <w:szCs w:val="18"/>
                <w:color w:val="auto"/>
              </w:rPr>
              <w:t>Fiona Tan</w:t>
            </w:r>
          </w:p>
        </w:tc>
        <w:tc>
          <w:tcPr>
            <w:tcW w:w="1200" w:type="dxa"/>
            <w:vAlign w:val="bottom"/>
            <w:shd w:val="clear" w:color="auto" w:fill="DDDDDD"/>
          </w:tcPr>
          <w:p>
            <w:pPr>
              <w:jc w:val="right"/>
              <w:spacing w:after="0"/>
              <w:rPr>
                <w:sz w:val="20"/>
                <w:szCs w:val="20"/>
                <w:color w:val="auto"/>
              </w:rPr>
            </w:pPr>
            <w:r>
              <w:rPr>
                <w:rFonts w:ascii="Times New Roman" w:cs="Times New Roman" w:eastAsia="Times New Roman" w:hAnsi="Times New Roman"/>
                <w:sz w:val="18"/>
                <w:szCs w:val="18"/>
                <w:color w:val="auto"/>
              </w:rPr>
              <w:t>271,813</w:t>
            </w:r>
          </w:p>
        </w:tc>
        <w:tc>
          <w:tcPr>
            <w:tcW w:w="80" w:type="dxa"/>
            <w:vAlign w:val="bottom"/>
            <w:shd w:val="clear" w:color="auto" w:fill="DDDDDD"/>
          </w:tcPr>
          <w:p>
            <w:pPr>
              <w:spacing w:after="0"/>
              <w:rPr>
                <w:sz w:val="24"/>
                <w:szCs w:val="24"/>
                <w:color w:val="auto"/>
              </w:rPr>
            </w:pPr>
          </w:p>
        </w:tc>
        <w:tc>
          <w:tcPr>
            <w:tcW w:w="1400" w:type="dxa"/>
            <w:vAlign w:val="bottom"/>
            <w:shd w:val="clear" w:color="auto" w:fill="DDDDDD"/>
          </w:tcPr>
          <w:p>
            <w:pPr>
              <w:jc w:val="right"/>
              <w:spacing w:after="0"/>
              <w:rPr>
                <w:sz w:val="20"/>
                <w:szCs w:val="20"/>
                <w:color w:val="auto"/>
              </w:rPr>
            </w:pPr>
            <w:r>
              <w:rPr>
                <w:rFonts w:ascii="Times New Roman" w:cs="Times New Roman" w:eastAsia="Times New Roman" w:hAnsi="Times New Roman"/>
                <w:sz w:val="18"/>
                <w:szCs w:val="18"/>
                <w:color w:val="auto"/>
              </w:rPr>
              <w:t>0.3 %</w:t>
            </w:r>
          </w:p>
        </w:tc>
        <w:tc>
          <w:tcPr>
            <w:tcW w:w="1500" w:type="dxa"/>
            <w:vAlign w:val="bottom"/>
            <w:shd w:val="clear" w:color="auto" w:fill="DDDDDD"/>
          </w:tcPr>
          <w:p>
            <w:pPr>
              <w:jc w:val="right"/>
              <w:ind w:right="26"/>
              <w:spacing w:after="0"/>
              <w:rPr>
                <w:sz w:val="20"/>
                <w:szCs w:val="20"/>
                <w:color w:val="auto"/>
              </w:rPr>
            </w:pPr>
            <w:r>
              <w:rPr>
                <w:rFonts w:ascii="Times New Roman" w:cs="Times New Roman" w:eastAsia="Times New Roman" w:hAnsi="Times New Roman"/>
                <w:sz w:val="18"/>
                <w:szCs w:val="18"/>
                <w:color w:val="auto"/>
              </w:rPr>
              <w:t>—</w:t>
            </w:r>
          </w:p>
        </w:tc>
        <w:tc>
          <w:tcPr>
            <w:tcW w:w="1400" w:type="dxa"/>
            <w:vAlign w:val="bottom"/>
            <w:shd w:val="clear" w:color="auto" w:fill="DDDDDD"/>
          </w:tcPr>
          <w:p>
            <w:pPr>
              <w:jc w:val="right"/>
              <w:spacing w:after="0"/>
              <w:rPr>
                <w:sz w:val="20"/>
                <w:szCs w:val="20"/>
                <w:color w:val="auto"/>
              </w:rPr>
            </w:pPr>
            <w:r>
              <w:rPr>
                <w:rFonts w:ascii="Times New Roman" w:cs="Times New Roman" w:eastAsia="Times New Roman" w:hAnsi="Times New Roman"/>
                <w:sz w:val="18"/>
                <w:szCs w:val="18"/>
                <w:color w:val="auto"/>
              </w:rPr>
              <w:t>— %</w:t>
            </w:r>
          </w:p>
        </w:tc>
        <w:tc>
          <w:tcPr>
            <w:tcW w:w="60" w:type="dxa"/>
            <w:vAlign w:val="bottom"/>
            <w:shd w:val="clear" w:color="auto" w:fill="DDDDDD"/>
          </w:tcPr>
          <w:p>
            <w:pPr>
              <w:spacing w:after="0"/>
              <w:rPr>
                <w:sz w:val="24"/>
                <w:szCs w:val="24"/>
                <w:color w:val="auto"/>
              </w:rPr>
            </w:pPr>
          </w:p>
        </w:tc>
        <w:tc>
          <w:tcPr>
            <w:tcW w:w="1400" w:type="dxa"/>
            <w:vAlign w:val="bottom"/>
            <w:shd w:val="clear" w:color="auto" w:fill="DDDDDD"/>
          </w:tcPr>
          <w:p>
            <w:pPr>
              <w:jc w:val="right"/>
              <w:spacing w:after="0"/>
              <w:rPr>
                <w:sz w:val="20"/>
                <w:szCs w:val="20"/>
                <w:color w:val="auto"/>
              </w:rPr>
            </w:pPr>
            <w:r>
              <w:rPr>
                <w:rFonts w:ascii="Times New Roman" w:cs="Times New Roman" w:eastAsia="Times New Roman" w:hAnsi="Times New Roman"/>
                <w:sz w:val="18"/>
                <w:szCs w:val="18"/>
                <w:color w:val="auto"/>
              </w:rPr>
              <w:t>0.2 %</w:t>
            </w:r>
          </w:p>
        </w:tc>
        <w:tc>
          <w:tcPr>
            <w:tcW w:w="0" w:type="dxa"/>
            <w:vAlign w:val="bottom"/>
          </w:tcPr>
          <w:p>
            <w:pPr>
              <w:spacing w:after="0"/>
              <w:rPr>
                <w:sz w:val="1"/>
                <w:szCs w:val="1"/>
                <w:color w:val="auto"/>
              </w:rPr>
            </w:pPr>
          </w:p>
        </w:tc>
      </w:tr>
      <w:tr>
        <w:trPr>
          <w:trHeight w:val="355"/>
        </w:trPr>
        <w:tc>
          <w:tcPr>
            <w:tcW w:w="40" w:type="dxa"/>
            <w:vAlign w:val="bottom"/>
          </w:tcPr>
          <w:p>
            <w:pPr>
              <w:spacing w:after="0"/>
              <w:rPr>
                <w:sz w:val="24"/>
                <w:szCs w:val="24"/>
                <w:color w:val="auto"/>
              </w:rPr>
            </w:pPr>
          </w:p>
        </w:tc>
        <w:tc>
          <w:tcPr>
            <w:tcW w:w="3180" w:type="dxa"/>
            <w:vAlign w:val="bottom"/>
          </w:tcPr>
          <w:p>
            <w:pPr>
              <w:spacing w:after="0"/>
              <w:rPr>
                <w:sz w:val="20"/>
                <w:szCs w:val="20"/>
                <w:color w:val="auto"/>
              </w:rPr>
            </w:pPr>
            <w:r>
              <w:rPr>
                <w:rFonts w:ascii="Times New Roman" w:cs="Times New Roman" w:eastAsia="Times New Roman" w:hAnsi="Times New Roman"/>
                <w:sz w:val="18"/>
                <w:szCs w:val="18"/>
                <w:color w:val="auto"/>
              </w:rPr>
              <w:t>Olga Gonzalez</w:t>
            </w: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277,125</w:t>
            </w:r>
          </w:p>
        </w:tc>
        <w:tc>
          <w:tcPr>
            <w:tcW w:w="14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0.3 %</w:t>
            </w:r>
          </w:p>
        </w:tc>
        <w:tc>
          <w:tcPr>
            <w:tcW w:w="1500" w:type="dxa"/>
            <w:vAlign w:val="bottom"/>
          </w:tcPr>
          <w:p>
            <w:pPr>
              <w:jc w:val="right"/>
              <w:ind w:right="26"/>
              <w:spacing w:after="0"/>
              <w:rPr>
                <w:sz w:val="20"/>
                <w:szCs w:val="20"/>
                <w:color w:val="auto"/>
              </w:rPr>
            </w:pPr>
            <w:r>
              <w:rPr>
                <w:rFonts w:ascii="Times New Roman" w:cs="Times New Roman" w:eastAsia="Times New Roman" w:hAnsi="Times New Roman"/>
                <w:sz w:val="18"/>
                <w:szCs w:val="18"/>
                <w:color w:val="auto"/>
              </w:rPr>
              <w:t>—</w:t>
            </w: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 %</w:t>
            </w:r>
          </w:p>
        </w:tc>
        <w:tc>
          <w:tcPr>
            <w:tcW w:w="14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0.2 %</w:t>
            </w:r>
          </w:p>
        </w:tc>
        <w:tc>
          <w:tcPr>
            <w:tcW w:w="0" w:type="dxa"/>
            <w:vAlign w:val="bottom"/>
          </w:tcPr>
          <w:p>
            <w:pPr>
              <w:spacing w:after="0"/>
              <w:rPr>
                <w:sz w:val="1"/>
                <w:szCs w:val="1"/>
                <w:color w:val="auto"/>
              </w:rPr>
            </w:pPr>
          </w:p>
        </w:tc>
      </w:tr>
      <w:tr>
        <w:trPr>
          <w:trHeight w:val="365"/>
        </w:trPr>
        <w:tc>
          <w:tcPr>
            <w:tcW w:w="40" w:type="dxa"/>
            <w:vAlign w:val="bottom"/>
            <w:shd w:val="clear" w:color="auto" w:fill="DDDDDD"/>
          </w:tcPr>
          <w:p>
            <w:pPr>
              <w:spacing w:after="0"/>
              <w:rPr>
                <w:sz w:val="24"/>
                <w:szCs w:val="24"/>
                <w:color w:val="auto"/>
              </w:rPr>
            </w:pPr>
          </w:p>
        </w:tc>
        <w:tc>
          <w:tcPr>
            <w:tcW w:w="3180" w:type="dxa"/>
            <w:vAlign w:val="bottom"/>
            <w:shd w:val="clear" w:color="auto" w:fill="DDDDDD"/>
          </w:tcPr>
          <w:p>
            <w:pPr>
              <w:spacing w:after="0"/>
              <w:rPr>
                <w:sz w:val="20"/>
                <w:szCs w:val="20"/>
                <w:color w:val="auto"/>
              </w:rPr>
            </w:pPr>
            <w:r>
              <w:rPr>
                <w:rFonts w:ascii="Times New Roman" w:cs="Times New Roman" w:eastAsia="Times New Roman" w:hAnsi="Times New Roman"/>
                <w:sz w:val="18"/>
                <w:szCs w:val="18"/>
                <w:color w:val="auto"/>
              </w:rPr>
              <w:t>Brenda Freeman</w:t>
            </w:r>
          </w:p>
        </w:tc>
        <w:tc>
          <w:tcPr>
            <w:tcW w:w="1200" w:type="dxa"/>
            <w:vAlign w:val="bottom"/>
            <w:shd w:val="clear" w:color="auto" w:fill="DDDDDD"/>
          </w:tcPr>
          <w:p>
            <w:pPr>
              <w:jc w:val="right"/>
              <w:spacing w:after="0"/>
              <w:rPr>
                <w:sz w:val="20"/>
                <w:szCs w:val="20"/>
                <w:color w:val="auto"/>
              </w:rPr>
            </w:pPr>
            <w:r>
              <w:rPr>
                <w:rFonts w:ascii="Times New Roman" w:cs="Times New Roman" w:eastAsia="Times New Roman" w:hAnsi="Times New Roman"/>
                <w:sz w:val="18"/>
                <w:szCs w:val="18"/>
                <w:color w:val="auto"/>
              </w:rPr>
              <w:t>277,127</w:t>
            </w:r>
          </w:p>
        </w:tc>
        <w:tc>
          <w:tcPr>
            <w:tcW w:w="80" w:type="dxa"/>
            <w:vAlign w:val="bottom"/>
            <w:shd w:val="clear" w:color="auto" w:fill="DDDDDD"/>
          </w:tcPr>
          <w:p>
            <w:pPr>
              <w:spacing w:after="0"/>
              <w:rPr>
                <w:sz w:val="24"/>
                <w:szCs w:val="24"/>
                <w:color w:val="auto"/>
              </w:rPr>
            </w:pPr>
          </w:p>
        </w:tc>
        <w:tc>
          <w:tcPr>
            <w:tcW w:w="1400" w:type="dxa"/>
            <w:vAlign w:val="bottom"/>
            <w:shd w:val="clear" w:color="auto" w:fill="DDDDDD"/>
          </w:tcPr>
          <w:p>
            <w:pPr>
              <w:jc w:val="right"/>
              <w:spacing w:after="0"/>
              <w:rPr>
                <w:sz w:val="20"/>
                <w:szCs w:val="20"/>
                <w:color w:val="auto"/>
              </w:rPr>
            </w:pPr>
            <w:r>
              <w:rPr>
                <w:rFonts w:ascii="Times New Roman" w:cs="Times New Roman" w:eastAsia="Times New Roman" w:hAnsi="Times New Roman"/>
                <w:sz w:val="18"/>
                <w:szCs w:val="18"/>
                <w:color w:val="auto"/>
              </w:rPr>
              <w:t>0.3 %</w:t>
            </w:r>
          </w:p>
        </w:tc>
        <w:tc>
          <w:tcPr>
            <w:tcW w:w="1500" w:type="dxa"/>
            <w:vAlign w:val="bottom"/>
            <w:shd w:val="clear" w:color="auto" w:fill="DDDDDD"/>
          </w:tcPr>
          <w:p>
            <w:pPr>
              <w:jc w:val="right"/>
              <w:ind w:right="26"/>
              <w:spacing w:after="0"/>
              <w:rPr>
                <w:sz w:val="20"/>
                <w:szCs w:val="20"/>
                <w:color w:val="auto"/>
              </w:rPr>
            </w:pPr>
            <w:r>
              <w:rPr>
                <w:rFonts w:ascii="Times New Roman" w:cs="Times New Roman" w:eastAsia="Times New Roman" w:hAnsi="Times New Roman"/>
                <w:sz w:val="18"/>
                <w:szCs w:val="18"/>
                <w:color w:val="auto"/>
              </w:rPr>
              <w:t>—</w:t>
            </w:r>
          </w:p>
        </w:tc>
        <w:tc>
          <w:tcPr>
            <w:tcW w:w="1400" w:type="dxa"/>
            <w:vAlign w:val="bottom"/>
            <w:shd w:val="clear" w:color="auto" w:fill="DDDDDD"/>
          </w:tcPr>
          <w:p>
            <w:pPr>
              <w:jc w:val="right"/>
              <w:spacing w:after="0"/>
              <w:rPr>
                <w:sz w:val="20"/>
                <w:szCs w:val="20"/>
                <w:color w:val="auto"/>
              </w:rPr>
            </w:pPr>
            <w:r>
              <w:rPr>
                <w:rFonts w:ascii="Times New Roman" w:cs="Times New Roman" w:eastAsia="Times New Roman" w:hAnsi="Times New Roman"/>
                <w:sz w:val="18"/>
                <w:szCs w:val="18"/>
                <w:color w:val="auto"/>
              </w:rPr>
              <w:t>— %</w:t>
            </w:r>
          </w:p>
        </w:tc>
        <w:tc>
          <w:tcPr>
            <w:tcW w:w="60" w:type="dxa"/>
            <w:vAlign w:val="bottom"/>
            <w:shd w:val="clear" w:color="auto" w:fill="DDDDDD"/>
          </w:tcPr>
          <w:p>
            <w:pPr>
              <w:spacing w:after="0"/>
              <w:rPr>
                <w:sz w:val="24"/>
                <w:szCs w:val="24"/>
                <w:color w:val="auto"/>
              </w:rPr>
            </w:pPr>
          </w:p>
        </w:tc>
        <w:tc>
          <w:tcPr>
            <w:tcW w:w="1400" w:type="dxa"/>
            <w:vAlign w:val="bottom"/>
            <w:shd w:val="clear" w:color="auto" w:fill="DDDDDD"/>
          </w:tcPr>
          <w:p>
            <w:pPr>
              <w:jc w:val="right"/>
              <w:spacing w:after="0"/>
              <w:rPr>
                <w:sz w:val="20"/>
                <w:szCs w:val="20"/>
                <w:color w:val="auto"/>
              </w:rPr>
            </w:pPr>
            <w:r>
              <w:rPr>
                <w:rFonts w:ascii="Times New Roman" w:cs="Times New Roman" w:eastAsia="Times New Roman" w:hAnsi="Times New Roman"/>
                <w:sz w:val="18"/>
                <w:szCs w:val="18"/>
                <w:color w:val="auto"/>
              </w:rPr>
              <w:t>0.2 %</w:t>
            </w:r>
          </w:p>
        </w:tc>
        <w:tc>
          <w:tcPr>
            <w:tcW w:w="0" w:type="dxa"/>
            <w:vAlign w:val="bottom"/>
          </w:tcPr>
          <w:p>
            <w:pPr>
              <w:spacing w:after="0"/>
              <w:rPr>
                <w:sz w:val="1"/>
                <w:szCs w:val="1"/>
                <w:color w:val="auto"/>
              </w:rPr>
            </w:pPr>
          </w:p>
        </w:tc>
      </w:tr>
      <w:tr>
        <w:trPr>
          <w:trHeight w:val="351"/>
        </w:trPr>
        <w:tc>
          <w:tcPr>
            <w:tcW w:w="40" w:type="dxa"/>
            <w:vAlign w:val="bottom"/>
          </w:tcPr>
          <w:p>
            <w:pPr>
              <w:spacing w:after="0"/>
              <w:rPr>
                <w:sz w:val="24"/>
                <w:szCs w:val="24"/>
                <w:color w:val="auto"/>
              </w:rPr>
            </w:pPr>
          </w:p>
        </w:tc>
        <w:tc>
          <w:tcPr>
            <w:tcW w:w="3180" w:type="dxa"/>
            <w:vAlign w:val="bottom"/>
          </w:tcPr>
          <w:p>
            <w:pPr>
              <w:spacing w:after="0"/>
              <w:rPr>
                <w:sz w:val="20"/>
                <w:szCs w:val="20"/>
                <w:color w:val="auto"/>
              </w:rPr>
            </w:pPr>
            <w:r>
              <w:rPr>
                <w:rFonts w:ascii="Times New Roman" w:cs="Times New Roman" w:eastAsia="Times New Roman" w:hAnsi="Times New Roman"/>
                <w:sz w:val="18"/>
                <w:szCs w:val="18"/>
                <w:color w:val="auto"/>
              </w:rPr>
              <w:t>Anthony Bay</w:t>
            </w: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291,325</w:t>
            </w:r>
          </w:p>
        </w:tc>
        <w:tc>
          <w:tcPr>
            <w:tcW w:w="14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0.3 %</w:t>
            </w:r>
          </w:p>
        </w:tc>
        <w:tc>
          <w:tcPr>
            <w:tcW w:w="1500" w:type="dxa"/>
            <w:vAlign w:val="bottom"/>
          </w:tcPr>
          <w:p>
            <w:pPr>
              <w:jc w:val="right"/>
              <w:ind w:right="26"/>
              <w:spacing w:after="0"/>
              <w:rPr>
                <w:sz w:val="20"/>
                <w:szCs w:val="20"/>
                <w:color w:val="auto"/>
              </w:rPr>
            </w:pPr>
            <w:r>
              <w:rPr>
                <w:rFonts w:ascii="Times New Roman" w:cs="Times New Roman" w:eastAsia="Times New Roman" w:hAnsi="Times New Roman"/>
                <w:sz w:val="18"/>
                <w:szCs w:val="18"/>
                <w:color w:val="auto"/>
              </w:rPr>
              <w:t>—</w:t>
            </w: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 %</w:t>
            </w:r>
          </w:p>
        </w:tc>
        <w:tc>
          <w:tcPr>
            <w:tcW w:w="14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0.2 %</w:t>
            </w:r>
          </w:p>
        </w:tc>
        <w:tc>
          <w:tcPr>
            <w:tcW w:w="0" w:type="dxa"/>
            <w:vAlign w:val="bottom"/>
          </w:tcPr>
          <w:p>
            <w:pPr>
              <w:spacing w:after="0"/>
              <w:rPr>
                <w:sz w:val="1"/>
                <w:szCs w:val="1"/>
                <w:color w:val="auto"/>
              </w:rPr>
            </w:pPr>
          </w:p>
        </w:tc>
      </w:tr>
      <w:tr>
        <w:trPr>
          <w:trHeight w:val="369"/>
        </w:trPr>
        <w:tc>
          <w:tcPr>
            <w:tcW w:w="40" w:type="dxa"/>
            <w:vAlign w:val="bottom"/>
            <w:shd w:val="clear" w:color="auto" w:fill="DDDDDD"/>
          </w:tcPr>
          <w:p>
            <w:pPr>
              <w:spacing w:after="0"/>
              <w:rPr>
                <w:sz w:val="24"/>
                <w:szCs w:val="24"/>
                <w:color w:val="auto"/>
              </w:rPr>
            </w:pPr>
          </w:p>
        </w:tc>
        <w:tc>
          <w:tcPr>
            <w:tcW w:w="3180" w:type="dxa"/>
            <w:vAlign w:val="bottom"/>
            <w:shd w:val="clear" w:color="auto" w:fill="DDDDDD"/>
          </w:tcPr>
          <w:p>
            <w:pPr>
              <w:spacing w:after="0"/>
              <w:rPr>
                <w:sz w:val="20"/>
                <w:szCs w:val="20"/>
                <w:color w:val="auto"/>
              </w:rPr>
            </w:pPr>
            <w:r>
              <w:rPr>
                <w:rFonts w:ascii="Times New Roman" w:cs="Times New Roman" w:eastAsia="Times New Roman" w:hAnsi="Times New Roman"/>
                <w:sz w:val="18"/>
                <w:szCs w:val="18"/>
                <w:color w:val="auto"/>
              </w:rPr>
              <w:t>Brian Camire</w:t>
            </w:r>
          </w:p>
        </w:tc>
        <w:tc>
          <w:tcPr>
            <w:tcW w:w="1200" w:type="dxa"/>
            <w:vAlign w:val="bottom"/>
            <w:shd w:val="clear" w:color="auto" w:fill="DDDDDD"/>
          </w:tcPr>
          <w:p>
            <w:pPr>
              <w:jc w:val="right"/>
              <w:spacing w:after="0"/>
              <w:rPr>
                <w:sz w:val="20"/>
                <w:szCs w:val="20"/>
                <w:color w:val="auto"/>
              </w:rPr>
            </w:pPr>
            <w:r>
              <w:rPr>
                <w:rFonts w:ascii="Times New Roman" w:cs="Times New Roman" w:eastAsia="Times New Roman" w:hAnsi="Times New Roman"/>
                <w:sz w:val="18"/>
                <w:szCs w:val="18"/>
                <w:color w:val="auto"/>
              </w:rPr>
              <w:t>250,573</w:t>
            </w:r>
          </w:p>
        </w:tc>
        <w:tc>
          <w:tcPr>
            <w:tcW w:w="80" w:type="dxa"/>
            <w:vAlign w:val="bottom"/>
            <w:shd w:val="clear" w:color="auto" w:fill="DDDDDD"/>
          </w:tcPr>
          <w:p>
            <w:pPr>
              <w:spacing w:after="0"/>
              <w:rPr>
                <w:sz w:val="24"/>
                <w:szCs w:val="24"/>
                <w:color w:val="auto"/>
              </w:rPr>
            </w:pPr>
          </w:p>
        </w:tc>
        <w:tc>
          <w:tcPr>
            <w:tcW w:w="1400" w:type="dxa"/>
            <w:vAlign w:val="bottom"/>
            <w:shd w:val="clear" w:color="auto" w:fill="DDDDDD"/>
          </w:tcPr>
          <w:p>
            <w:pPr>
              <w:jc w:val="right"/>
              <w:spacing w:after="0"/>
              <w:rPr>
                <w:sz w:val="20"/>
                <w:szCs w:val="20"/>
                <w:color w:val="auto"/>
              </w:rPr>
            </w:pPr>
            <w:r>
              <w:rPr>
                <w:rFonts w:ascii="Times New Roman" w:cs="Times New Roman" w:eastAsia="Times New Roman" w:hAnsi="Times New Roman"/>
                <w:sz w:val="18"/>
                <w:szCs w:val="18"/>
                <w:color w:val="auto"/>
              </w:rPr>
              <w:t>0.3 %</w:t>
            </w:r>
          </w:p>
        </w:tc>
        <w:tc>
          <w:tcPr>
            <w:tcW w:w="1500" w:type="dxa"/>
            <w:vAlign w:val="bottom"/>
            <w:shd w:val="clear" w:color="auto" w:fill="DDDDDD"/>
          </w:tcPr>
          <w:p>
            <w:pPr>
              <w:jc w:val="right"/>
              <w:ind w:right="26"/>
              <w:spacing w:after="0"/>
              <w:rPr>
                <w:sz w:val="20"/>
                <w:szCs w:val="20"/>
                <w:color w:val="auto"/>
              </w:rPr>
            </w:pPr>
            <w:r>
              <w:rPr>
                <w:rFonts w:ascii="Times New Roman" w:cs="Times New Roman" w:eastAsia="Times New Roman" w:hAnsi="Times New Roman"/>
                <w:sz w:val="18"/>
                <w:szCs w:val="18"/>
                <w:color w:val="auto"/>
              </w:rPr>
              <w:t>—</w:t>
            </w:r>
          </w:p>
        </w:tc>
        <w:tc>
          <w:tcPr>
            <w:tcW w:w="1400" w:type="dxa"/>
            <w:vAlign w:val="bottom"/>
            <w:shd w:val="clear" w:color="auto" w:fill="DDDDDD"/>
          </w:tcPr>
          <w:p>
            <w:pPr>
              <w:jc w:val="right"/>
              <w:spacing w:after="0"/>
              <w:rPr>
                <w:sz w:val="20"/>
                <w:szCs w:val="20"/>
                <w:color w:val="auto"/>
              </w:rPr>
            </w:pPr>
            <w:r>
              <w:rPr>
                <w:rFonts w:ascii="Times New Roman" w:cs="Times New Roman" w:eastAsia="Times New Roman" w:hAnsi="Times New Roman"/>
                <w:sz w:val="18"/>
                <w:szCs w:val="18"/>
                <w:color w:val="auto"/>
              </w:rPr>
              <w:t>— %</w:t>
            </w:r>
          </w:p>
        </w:tc>
        <w:tc>
          <w:tcPr>
            <w:tcW w:w="60" w:type="dxa"/>
            <w:vAlign w:val="bottom"/>
            <w:shd w:val="clear" w:color="auto" w:fill="DDDDDD"/>
          </w:tcPr>
          <w:p>
            <w:pPr>
              <w:spacing w:after="0"/>
              <w:rPr>
                <w:sz w:val="24"/>
                <w:szCs w:val="24"/>
                <w:color w:val="auto"/>
              </w:rPr>
            </w:pPr>
          </w:p>
        </w:tc>
        <w:tc>
          <w:tcPr>
            <w:tcW w:w="1400" w:type="dxa"/>
            <w:vAlign w:val="bottom"/>
            <w:shd w:val="clear" w:color="auto" w:fill="DDDDDD"/>
          </w:tcPr>
          <w:p>
            <w:pPr>
              <w:jc w:val="right"/>
              <w:spacing w:after="0"/>
              <w:rPr>
                <w:sz w:val="20"/>
                <w:szCs w:val="20"/>
                <w:color w:val="auto"/>
              </w:rPr>
            </w:pPr>
            <w:r>
              <w:rPr>
                <w:rFonts w:ascii="Times New Roman" w:cs="Times New Roman" w:eastAsia="Times New Roman" w:hAnsi="Times New Roman"/>
                <w:sz w:val="18"/>
                <w:szCs w:val="18"/>
                <w:color w:val="auto"/>
              </w:rPr>
              <w:t>0.2 %</w:t>
            </w:r>
          </w:p>
        </w:tc>
        <w:tc>
          <w:tcPr>
            <w:tcW w:w="0" w:type="dxa"/>
            <w:vAlign w:val="bottom"/>
          </w:tcPr>
          <w:p>
            <w:pPr>
              <w:spacing w:after="0"/>
              <w:rPr>
                <w:sz w:val="1"/>
                <w:szCs w:val="1"/>
                <w:color w:val="auto"/>
              </w:rPr>
            </w:pPr>
          </w:p>
        </w:tc>
      </w:tr>
      <w:tr>
        <w:trPr>
          <w:trHeight w:val="347"/>
        </w:trPr>
        <w:tc>
          <w:tcPr>
            <w:tcW w:w="40" w:type="dxa"/>
            <w:vAlign w:val="bottom"/>
          </w:tcPr>
          <w:p>
            <w:pPr>
              <w:spacing w:after="0"/>
              <w:rPr>
                <w:sz w:val="24"/>
                <w:szCs w:val="24"/>
                <w:color w:val="auto"/>
              </w:rPr>
            </w:pPr>
          </w:p>
        </w:tc>
        <w:tc>
          <w:tcPr>
            <w:tcW w:w="3180" w:type="dxa"/>
            <w:vAlign w:val="bottom"/>
          </w:tcPr>
          <w:p>
            <w:pPr>
              <w:spacing w:after="0"/>
              <w:rPr>
                <w:sz w:val="20"/>
                <w:szCs w:val="20"/>
                <w:color w:val="auto"/>
              </w:rPr>
            </w:pPr>
            <w:r>
              <w:rPr>
                <w:rFonts w:ascii="Times New Roman" w:cs="Times New Roman" w:eastAsia="Times New Roman" w:hAnsi="Times New Roman"/>
                <w:sz w:val="18"/>
                <w:szCs w:val="18"/>
                <w:color w:val="auto"/>
              </w:rPr>
              <w:t>Duncan Grazier</w:t>
            </w: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161,971</w:t>
            </w:r>
          </w:p>
        </w:tc>
        <w:tc>
          <w:tcPr>
            <w:tcW w:w="14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0.2 %</w:t>
            </w:r>
          </w:p>
        </w:tc>
        <w:tc>
          <w:tcPr>
            <w:tcW w:w="1500" w:type="dxa"/>
            <w:vAlign w:val="bottom"/>
          </w:tcPr>
          <w:p>
            <w:pPr>
              <w:jc w:val="right"/>
              <w:ind w:right="26"/>
              <w:spacing w:after="0"/>
              <w:rPr>
                <w:sz w:val="20"/>
                <w:szCs w:val="20"/>
                <w:color w:val="auto"/>
              </w:rPr>
            </w:pPr>
            <w:r>
              <w:rPr>
                <w:rFonts w:ascii="Times New Roman" w:cs="Times New Roman" w:eastAsia="Times New Roman" w:hAnsi="Times New Roman"/>
                <w:sz w:val="18"/>
                <w:szCs w:val="18"/>
                <w:color w:val="auto"/>
              </w:rPr>
              <w:t>—</w:t>
            </w: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 %</w:t>
            </w:r>
          </w:p>
        </w:tc>
        <w:tc>
          <w:tcPr>
            <w:tcW w:w="14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0.1 %</w:t>
            </w:r>
          </w:p>
        </w:tc>
        <w:tc>
          <w:tcPr>
            <w:tcW w:w="0" w:type="dxa"/>
            <w:vAlign w:val="bottom"/>
          </w:tcPr>
          <w:p>
            <w:pPr>
              <w:spacing w:after="0"/>
              <w:rPr>
                <w:sz w:val="1"/>
                <w:szCs w:val="1"/>
                <w:color w:val="auto"/>
              </w:rPr>
            </w:pPr>
          </w:p>
        </w:tc>
      </w:tr>
      <w:tr>
        <w:trPr>
          <w:trHeight w:val="365"/>
        </w:trPr>
        <w:tc>
          <w:tcPr>
            <w:tcW w:w="40" w:type="dxa"/>
            <w:vAlign w:val="bottom"/>
            <w:shd w:val="clear" w:color="auto" w:fill="DDDDDD"/>
          </w:tcPr>
          <w:p>
            <w:pPr>
              <w:spacing w:after="0"/>
              <w:rPr>
                <w:sz w:val="24"/>
                <w:szCs w:val="24"/>
                <w:color w:val="auto"/>
              </w:rPr>
            </w:pPr>
          </w:p>
        </w:tc>
        <w:tc>
          <w:tcPr>
            <w:tcW w:w="3180" w:type="dxa"/>
            <w:vAlign w:val="bottom"/>
            <w:shd w:val="clear" w:color="auto" w:fill="DDDDDD"/>
          </w:tcPr>
          <w:p>
            <w:pPr>
              <w:spacing w:after="0"/>
              <w:rPr>
                <w:sz w:val="20"/>
                <w:szCs w:val="20"/>
                <w:color w:val="auto"/>
              </w:rPr>
            </w:pPr>
            <w:r>
              <w:rPr>
                <w:rFonts w:ascii="Times New Roman" w:cs="Times New Roman" w:eastAsia="Times New Roman" w:hAnsi="Times New Roman"/>
                <w:sz w:val="18"/>
                <w:szCs w:val="18"/>
                <w:color w:val="auto"/>
              </w:rPr>
              <w:t>Susan Echard</w:t>
            </w:r>
          </w:p>
        </w:tc>
        <w:tc>
          <w:tcPr>
            <w:tcW w:w="1200" w:type="dxa"/>
            <w:vAlign w:val="bottom"/>
            <w:shd w:val="clear" w:color="auto" w:fill="DDDDDD"/>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DDDDDD"/>
          </w:tcPr>
          <w:p>
            <w:pPr>
              <w:spacing w:after="0"/>
              <w:rPr>
                <w:sz w:val="24"/>
                <w:szCs w:val="24"/>
                <w:color w:val="auto"/>
              </w:rPr>
            </w:pPr>
          </w:p>
        </w:tc>
        <w:tc>
          <w:tcPr>
            <w:tcW w:w="1400" w:type="dxa"/>
            <w:vAlign w:val="bottom"/>
            <w:shd w:val="clear" w:color="auto" w:fill="DDDDDD"/>
          </w:tcPr>
          <w:p>
            <w:pPr>
              <w:jc w:val="right"/>
              <w:spacing w:after="0"/>
              <w:rPr>
                <w:sz w:val="20"/>
                <w:szCs w:val="20"/>
                <w:color w:val="auto"/>
              </w:rPr>
            </w:pPr>
            <w:r>
              <w:rPr>
                <w:rFonts w:ascii="Times New Roman" w:cs="Times New Roman" w:eastAsia="Times New Roman" w:hAnsi="Times New Roman"/>
                <w:sz w:val="18"/>
                <w:szCs w:val="18"/>
                <w:color w:val="auto"/>
              </w:rPr>
              <w:t>— %</w:t>
            </w:r>
          </w:p>
        </w:tc>
        <w:tc>
          <w:tcPr>
            <w:tcW w:w="1500" w:type="dxa"/>
            <w:vAlign w:val="bottom"/>
            <w:shd w:val="clear" w:color="auto" w:fill="DDDDDD"/>
          </w:tcPr>
          <w:p>
            <w:pPr>
              <w:jc w:val="right"/>
              <w:ind w:right="26"/>
              <w:spacing w:after="0"/>
              <w:rPr>
                <w:sz w:val="20"/>
                <w:szCs w:val="20"/>
                <w:color w:val="auto"/>
              </w:rPr>
            </w:pPr>
            <w:r>
              <w:rPr>
                <w:rFonts w:ascii="Times New Roman" w:cs="Times New Roman" w:eastAsia="Times New Roman" w:hAnsi="Times New Roman"/>
                <w:sz w:val="18"/>
                <w:szCs w:val="18"/>
                <w:color w:val="auto"/>
              </w:rPr>
              <w:t>—</w:t>
            </w:r>
          </w:p>
        </w:tc>
        <w:tc>
          <w:tcPr>
            <w:tcW w:w="1400" w:type="dxa"/>
            <w:vAlign w:val="bottom"/>
            <w:shd w:val="clear" w:color="auto" w:fill="DDDDDD"/>
          </w:tcPr>
          <w:p>
            <w:pPr>
              <w:jc w:val="right"/>
              <w:spacing w:after="0"/>
              <w:rPr>
                <w:sz w:val="20"/>
                <w:szCs w:val="20"/>
                <w:color w:val="auto"/>
              </w:rPr>
            </w:pPr>
            <w:r>
              <w:rPr>
                <w:rFonts w:ascii="Times New Roman" w:cs="Times New Roman" w:eastAsia="Times New Roman" w:hAnsi="Times New Roman"/>
                <w:sz w:val="18"/>
                <w:szCs w:val="18"/>
                <w:color w:val="auto"/>
              </w:rPr>
              <w:t>— %</w:t>
            </w:r>
          </w:p>
        </w:tc>
        <w:tc>
          <w:tcPr>
            <w:tcW w:w="60" w:type="dxa"/>
            <w:vAlign w:val="bottom"/>
            <w:shd w:val="clear" w:color="auto" w:fill="DDDDDD"/>
          </w:tcPr>
          <w:p>
            <w:pPr>
              <w:spacing w:after="0"/>
              <w:rPr>
                <w:sz w:val="24"/>
                <w:szCs w:val="24"/>
                <w:color w:val="auto"/>
              </w:rPr>
            </w:pPr>
          </w:p>
        </w:tc>
        <w:tc>
          <w:tcPr>
            <w:tcW w:w="1400" w:type="dxa"/>
            <w:vAlign w:val="bottom"/>
            <w:shd w:val="clear" w:color="auto" w:fill="DDDDDD"/>
          </w:tcPr>
          <w:p>
            <w:pPr>
              <w:jc w:val="right"/>
              <w:spacing w:after="0"/>
              <w:rPr>
                <w:sz w:val="20"/>
                <w:szCs w:val="20"/>
                <w:color w:val="auto"/>
              </w:rPr>
            </w:pPr>
            <w:r>
              <w:rPr>
                <w:rFonts w:ascii="Times New Roman" w:cs="Times New Roman" w:eastAsia="Times New Roman" w:hAnsi="Times New Roman"/>
                <w:sz w:val="18"/>
                <w:szCs w:val="18"/>
                <w:color w:val="auto"/>
              </w:rPr>
              <w:t>— %</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69" w:lineRule="exact"/>
        <w:rPr>
          <w:sz w:val="20"/>
          <w:szCs w:val="20"/>
          <w:color w:val="auto"/>
        </w:rPr>
      </w:pPr>
    </w:p>
    <w:p>
      <w:pPr>
        <w:jc w:val="center"/>
        <w:ind w:right="14"/>
        <w:spacing w:after="0"/>
        <w:rPr>
          <w:sz w:val="20"/>
          <w:szCs w:val="20"/>
          <w:color w:val="auto"/>
        </w:rPr>
      </w:pPr>
      <w:r>
        <w:rPr>
          <w:rFonts w:ascii="Times New Roman" w:cs="Times New Roman" w:eastAsia="Times New Roman" w:hAnsi="Times New Roman"/>
          <w:sz w:val="20"/>
          <w:szCs w:val="20"/>
          <w:color w:val="auto"/>
        </w:rPr>
        <w:t>99</w:t>
      </w:r>
    </w:p>
    <w:p>
      <w:pPr>
        <w:sectPr>
          <w:pgSz w:w="12240" w:h="15840" w:orient="portrait"/>
          <w:cols w:equalWidth="0" w:num="1">
            <w:col w:w="10266"/>
          </w:cols>
          <w:pgMar w:left="994" w:top="884" w:right="980" w:bottom="222" w:gutter="0" w:footer="0" w:header="0"/>
        </w:sectPr>
      </w:pPr>
    </w:p>
    <w:bookmarkStart w:id="103" w:name="page104"/>
    <w:bookmarkEnd w:id="103"/>
    <w:tbl>
      <w:tblPr>
        <w:tblLayout w:type="fixed"/>
        <w:tblInd w:w="6" w:type="dxa"/>
        <w:tblCellMar>
          <w:top w:w="0" w:type="dxa"/>
          <w:left w:w="0" w:type="dxa"/>
          <w:bottom w:w="0" w:type="dxa"/>
          <w:right w:w="0" w:type="dxa"/>
        </w:tblCellMar>
      </w:tblPr>
      <w:tr>
        <w:trPr>
          <w:trHeight w:val="209"/>
        </w:trPr>
        <w:tc>
          <w:tcPr>
            <w:tcW w:w="2980" w:type="dxa"/>
            <w:vAlign w:val="bottom"/>
          </w:tcPr>
          <w:p>
            <w:pPr>
              <w:ind w:left="40"/>
              <w:spacing w:after="0"/>
              <w:rPr>
                <w:sz w:val="20"/>
                <w:szCs w:val="20"/>
                <w:color w:val="auto"/>
              </w:rPr>
            </w:pPr>
            <w:r>
              <w:rPr>
                <w:rFonts w:ascii="Times New Roman" w:cs="Times New Roman" w:eastAsia="Times New Roman" w:hAnsi="Times New Roman"/>
                <w:sz w:val="18"/>
                <w:szCs w:val="18"/>
                <w:b w:val="1"/>
                <w:bCs w:val="1"/>
                <w:color w:val="auto"/>
              </w:rPr>
              <w:t>All Directors and Executive Officers</w:t>
            </w:r>
          </w:p>
        </w:tc>
        <w:tc>
          <w:tcPr>
            <w:tcW w:w="144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1440" w:type="dxa"/>
            <w:vAlign w:val="bottom"/>
          </w:tcPr>
          <w:p>
            <w:pPr>
              <w:spacing w:after="0"/>
              <w:rPr>
                <w:sz w:val="18"/>
                <w:szCs w:val="18"/>
                <w:color w:val="auto"/>
              </w:rPr>
            </w:pPr>
          </w:p>
        </w:tc>
        <w:tc>
          <w:tcPr>
            <w:tcW w:w="1460" w:type="dxa"/>
            <w:vAlign w:val="bottom"/>
          </w:tcPr>
          <w:p>
            <w:pPr>
              <w:spacing w:after="0"/>
              <w:rPr>
                <w:sz w:val="18"/>
                <w:szCs w:val="18"/>
                <w:color w:val="auto"/>
              </w:rPr>
            </w:pPr>
          </w:p>
        </w:tc>
      </w:tr>
      <w:tr>
        <w:trPr>
          <w:trHeight w:val="196"/>
        </w:trPr>
        <w:tc>
          <w:tcPr>
            <w:tcW w:w="2980" w:type="dxa"/>
            <w:vAlign w:val="bottom"/>
          </w:tcPr>
          <w:p>
            <w:pPr>
              <w:ind w:left="40"/>
              <w:spacing w:after="0" w:line="196" w:lineRule="exact"/>
              <w:rPr>
                <w:sz w:val="20"/>
                <w:szCs w:val="20"/>
                <w:color w:val="auto"/>
              </w:rPr>
            </w:pPr>
            <w:r>
              <w:rPr>
                <w:rFonts w:ascii="Times New Roman" w:cs="Times New Roman" w:eastAsia="Times New Roman" w:hAnsi="Times New Roman"/>
                <w:sz w:val="18"/>
                <w:szCs w:val="18"/>
                <w:b w:val="1"/>
                <w:bCs w:val="1"/>
                <w:color w:val="auto"/>
              </w:rPr>
              <w:t>of the Company as a Group (10</w:t>
            </w:r>
          </w:p>
        </w:tc>
        <w:tc>
          <w:tcPr>
            <w:tcW w:w="1440" w:type="dxa"/>
            <w:vAlign w:val="bottom"/>
          </w:tcPr>
          <w:p>
            <w:pPr>
              <w:spacing w:after="0"/>
              <w:rPr>
                <w:sz w:val="17"/>
                <w:szCs w:val="17"/>
                <w:color w:val="auto"/>
              </w:rPr>
            </w:pPr>
          </w:p>
        </w:tc>
        <w:tc>
          <w:tcPr>
            <w:tcW w:w="1480" w:type="dxa"/>
            <w:vAlign w:val="bottom"/>
          </w:tcPr>
          <w:p>
            <w:pPr>
              <w:spacing w:after="0"/>
              <w:rPr>
                <w:sz w:val="17"/>
                <w:szCs w:val="17"/>
                <w:color w:val="auto"/>
              </w:rPr>
            </w:pPr>
          </w:p>
        </w:tc>
        <w:tc>
          <w:tcPr>
            <w:tcW w:w="1460" w:type="dxa"/>
            <w:vAlign w:val="bottom"/>
          </w:tcPr>
          <w:p>
            <w:pPr>
              <w:spacing w:after="0"/>
              <w:rPr>
                <w:sz w:val="17"/>
                <w:szCs w:val="17"/>
                <w:color w:val="auto"/>
              </w:rPr>
            </w:pPr>
          </w:p>
        </w:tc>
        <w:tc>
          <w:tcPr>
            <w:tcW w:w="1440" w:type="dxa"/>
            <w:vAlign w:val="bottom"/>
          </w:tcPr>
          <w:p>
            <w:pPr>
              <w:spacing w:after="0"/>
              <w:rPr>
                <w:sz w:val="17"/>
                <w:szCs w:val="17"/>
                <w:color w:val="auto"/>
              </w:rPr>
            </w:pPr>
          </w:p>
        </w:tc>
        <w:tc>
          <w:tcPr>
            <w:tcW w:w="1460" w:type="dxa"/>
            <w:vAlign w:val="bottom"/>
          </w:tcPr>
          <w:p>
            <w:pPr>
              <w:spacing w:after="0"/>
              <w:rPr>
                <w:sz w:val="17"/>
                <w:szCs w:val="17"/>
                <w:color w:val="auto"/>
              </w:rPr>
            </w:pPr>
          </w:p>
        </w:tc>
      </w:tr>
      <w:tr>
        <w:trPr>
          <w:trHeight w:val="266"/>
        </w:trPr>
        <w:tc>
          <w:tcPr>
            <w:tcW w:w="2980" w:type="dxa"/>
            <w:vAlign w:val="bottom"/>
          </w:tcPr>
          <w:p>
            <w:pPr>
              <w:ind w:left="40"/>
              <w:spacing w:after="0" w:line="266" w:lineRule="exact"/>
              <w:rPr>
                <w:sz w:val="20"/>
                <w:szCs w:val="20"/>
                <w:color w:val="auto"/>
              </w:rPr>
            </w:pPr>
            <w:r>
              <w:rPr>
                <w:rFonts w:ascii="Times New Roman" w:cs="Times New Roman" w:eastAsia="Times New Roman" w:hAnsi="Times New Roman"/>
                <w:sz w:val="18"/>
                <w:szCs w:val="18"/>
                <w:b w:val="1"/>
                <w:bCs w:val="1"/>
                <w:color w:val="auto"/>
              </w:rPr>
              <w:t>Individuals)</w:t>
            </w:r>
            <w:r>
              <w:rPr>
                <w:rFonts w:ascii="Times New Roman" w:cs="Times New Roman" w:eastAsia="Times New Roman" w:hAnsi="Times New Roman"/>
                <w:sz w:val="24"/>
                <w:szCs w:val="24"/>
                <w:b w:val="1"/>
                <w:bCs w:val="1"/>
                <w:color w:val="auto"/>
                <w:vertAlign w:val="superscript"/>
              </w:rPr>
              <w:t>(8)</w:t>
            </w: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11,996,304</w:t>
            </w:r>
          </w:p>
        </w:tc>
        <w:tc>
          <w:tcPr>
            <w:tcW w:w="1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12.6 %</w:t>
            </w:r>
          </w:p>
        </w:tc>
        <w:tc>
          <w:tcPr>
            <w:tcW w:w="1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22,970,182</w:t>
            </w: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41.4 %</w:t>
            </w:r>
          </w:p>
        </w:tc>
        <w:tc>
          <w:tcPr>
            <w:tcW w:w="1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23.2 %</w:t>
            </w:r>
          </w:p>
        </w:tc>
      </w:tr>
      <w:tr>
        <w:trPr>
          <w:trHeight w:val="288"/>
        </w:trPr>
        <w:tc>
          <w:tcPr>
            <w:tcW w:w="2980" w:type="dxa"/>
            <w:vAlign w:val="bottom"/>
            <w:shd w:val="clear" w:color="auto" w:fill="DDDDDD"/>
          </w:tcPr>
          <w:p>
            <w:pPr>
              <w:ind w:left="40"/>
              <w:spacing w:after="0"/>
              <w:rPr>
                <w:sz w:val="20"/>
                <w:szCs w:val="20"/>
                <w:color w:val="auto"/>
              </w:rPr>
            </w:pPr>
            <w:r>
              <w:rPr>
                <w:rFonts w:ascii="Times New Roman" w:cs="Times New Roman" w:eastAsia="Times New Roman" w:hAnsi="Times New Roman"/>
                <w:sz w:val="18"/>
                <w:szCs w:val="18"/>
                <w:b w:val="1"/>
                <w:bCs w:val="1"/>
                <w:color w:val="auto"/>
              </w:rPr>
              <w:t>Five Percent Holders:</w:t>
            </w:r>
          </w:p>
        </w:tc>
        <w:tc>
          <w:tcPr>
            <w:tcW w:w="1440" w:type="dxa"/>
            <w:vAlign w:val="bottom"/>
            <w:shd w:val="clear" w:color="auto" w:fill="DDDDDD"/>
          </w:tcPr>
          <w:p>
            <w:pPr>
              <w:spacing w:after="0"/>
              <w:rPr>
                <w:sz w:val="24"/>
                <w:szCs w:val="24"/>
                <w:color w:val="auto"/>
              </w:rPr>
            </w:pPr>
          </w:p>
        </w:tc>
        <w:tc>
          <w:tcPr>
            <w:tcW w:w="1480" w:type="dxa"/>
            <w:vAlign w:val="bottom"/>
            <w:shd w:val="clear" w:color="auto" w:fill="DDDDDD"/>
          </w:tcPr>
          <w:p>
            <w:pPr>
              <w:spacing w:after="0"/>
              <w:rPr>
                <w:sz w:val="24"/>
                <w:szCs w:val="24"/>
                <w:color w:val="auto"/>
              </w:rPr>
            </w:pPr>
          </w:p>
        </w:tc>
        <w:tc>
          <w:tcPr>
            <w:tcW w:w="1460" w:type="dxa"/>
            <w:vAlign w:val="bottom"/>
            <w:shd w:val="clear" w:color="auto" w:fill="DDDDDD"/>
          </w:tcPr>
          <w:p>
            <w:pPr>
              <w:spacing w:after="0"/>
              <w:rPr>
                <w:sz w:val="24"/>
                <w:szCs w:val="24"/>
                <w:color w:val="auto"/>
              </w:rPr>
            </w:pPr>
          </w:p>
        </w:tc>
        <w:tc>
          <w:tcPr>
            <w:tcW w:w="1440" w:type="dxa"/>
            <w:vAlign w:val="bottom"/>
            <w:shd w:val="clear" w:color="auto" w:fill="DDDDDD"/>
          </w:tcPr>
          <w:p>
            <w:pPr>
              <w:spacing w:after="0"/>
              <w:rPr>
                <w:sz w:val="24"/>
                <w:szCs w:val="24"/>
                <w:color w:val="auto"/>
              </w:rPr>
            </w:pPr>
          </w:p>
        </w:tc>
        <w:tc>
          <w:tcPr>
            <w:tcW w:w="1460" w:type="dxa"/>
            <w:vAlign w:val="bottom"/>
            <w:shd w:val="clear" w:color="auto" w:fill="DDDDDD"/>
          </w:tcPr>
          <w:p>
            <w:pPr>
              <w:spacing w:after="0"/>
              <w:rPr>
                <w:sz w:val="24"/>
                <w:szCs w:val="24"/>
                <w:color w:val="auto"/>
              </w:rPr>
            </w:pPr>
          </w:p>
        </w:tc>
      </w:tr>
      <w:tr>
        <w:trPr>
          <w:trHeight w:val="288"/>
        </w:trPr>
        <w:tc>
          <w:tcPr>
            <w:tcW w:w="298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Ghost Media Group, LLC</w:t>
            </w:r>
            <w:r>
              <w:rPr>
                <w:rFonts w:ascii="Times New Roman" w:cs="Times New Roman" w:eastAsia="Times New Roman" w:hAnsi="Times New Roman"/>
                <w:sz w:val="24"/>
                <w:szCs w:val="24"/>
                <w:color w:val="auto"/>
                <w:vertAlign w:val="superscript"/>
              </w:rPr>
              <w:t>(6)(7)</w:t>
            </w: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8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8,469,191</w:t>
            </w: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15.3 %</w:t>
            </w:r>
          </w:p>
        </w:tc>
        <w:tc>
          <w:tcPr>
            <w:tcW w:w="1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5.6 %</w:t>
            </w:r>
          </w:p>
        </w:tc>
      </w:tr>
      <w:tr>
        <w:trPr>
          <w:trHeight w:val="295"/>
        </w:trPr>
        <w:tc>
          <w:tcPr>
            <w:tcW w:w="2980" w:type="dxa"/>
            <w:vAlign w:val="bottom"/>
            <w:shd w:val="clear" w:color="auto" w:fill="DDDDDD"/>
          </w:tcPr>
          <w:p>
            <w:pPr>
              <w:ind w:left="40"/>
              <w:spacing w:after="0"/>
              <w:rPr>
                <w:sz w:val="20"/>
                <w:szCs w:val="20"/>
                <w:color w:val="auto"/>
              </w:rPr>
            </w:pPr>
            <w:r>
              <w:rPr>
                <w:rFonts w:ascii="Times New Roman" w:cs="Times New Roman" w:eastAsia="Times New Roman" w:hAnsi="Times New Roman"/>
                <w:sz w:val="18"/>
                <w:szCs w:val="18"/>
                <w:color w:val="auto"/>
              </w:rPr>
              <w:t>Morgan Stanley</w:t>
            </w:r>
            <w:r>
              <w:rPr>
                <w:rFonts w:ascii="Times New Roman" w:cs="Times New Roman" w:eastAsia="Times New Roman" w:hAnsi="Times New Roman"/>
                <w:sz w:val="24"/>
                <w:szCs w:val="24"/>
                <w:color w:val="auto"/>
                <w:vertAlign w:val="superscript"/>
              </w:rPr>
              <w:t>(9)</w:t>
            </w:r>
          </w:p>
        </w:tc>
        <w:tc>
          <w:tcPr>
            <w:tcW w:w="1440" w:type="dxa"/>
            <w:vAlign w:val="bottom"/>
            <w:shd w:val="clear" w:color="auto" w:fill="DDDDDD"/>
          </w:tcPr>
          <w:p>
            <w:pPr>
              <w:jc w:val="right"/>
              <w:spacing w:after="0"/>
              <w:rPr>
                <w:sz w:val="20"/>
                <w:szCs w:val="20"/>
                <w:color w:val="auto"/>
              </w:rPr>
            </w:pPr>
            <w:r>
              <w:rPr>
                <w:rFonts w:ascii="Times New Roman" w:cs="Times New Roman" w:eastAsia="Times New Roman" w:hAnsi="Times New Roman"/>
                <w:sz w:val="18"/>
                <w:szCs w:val="18"/>
                <w:color w:val="auto"/>
              </w:rPr>
              <w:t>6,016,658</w:t>
            </w:r>
          </w:p>
        </w:tc>
        <w:tc>
          <w:tcPr>
            <w:tcW w:w="1480" w:type="dxa"/>
            <w:vAlign w:val="bottom"/>
            <w:shd w:val="clear" w:color="auto" w:fill="DDDDDD"/>
          </w:tcPr>
          <w:p>
            <w:pPr>
              <w:jc w:val="right"/>
              <w:spacing w:after="0"/>
              <w:rPr>
                <w:sz w:val="20"/>
                <w:szCs w:val="20"/>
                <w:color w:val="auto"/>
              </w:rPr>
            </w:pPr>
            <w:r>
              <w:rPr>
                <w:rFonts w:ascii="Times New Roman" w:cs="Times New Roman" w:eastAsia="Times New Roman" w:hAnsi="Times New Roman"/>
                <w:sz w:val="18"/>
                <w:szCs w:val="18"/>
                <w:color w:val="auto"/>
              </w:rPr>
              <w:t>6.3 %</w:t>
            </w:r>
          </w:p>
        </w:tc>
        <w:tc>
          <w:tcPr>
            <w:tcW w:w="1460" w:type="dxa"/>
            <w:vAlign w:val="bottom"/>
            <w:shd w:val="clear" w:color="auto" w:fill="DDDDDD"/>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40" w:type="dxa"/>
            <w:vAlign w:val="bottom"/>
            <w:shd w:val="clear" w:color="auto" w:fill="DDDDDD"/>
          </w:tcPr>
          <w:p>
            <w:pPr>
              <w:jc w:val="right"/>
              <w:spacing w:after="0"/>
              <w:rPr>
                <w:sz w:val="20"/>
                <w:szCs w:val="20"/>
                <w:color w:val="auto"/>
              </w:rPr>
            </w:pPr>
            <w:r>
              <w:rPr>
                <w:rFonts w:ascii="Times New Roman" w:cs="Times New Roman" w:eastAsia="Times New Roman" w:hAnsi="Times New Roman"/>
                <w:sz w:val="18"/>
                <w:szCs w:val="18"/>
                <w:color w:val="auto"/>
              </w:rPr>
              <w:t>— %</w:t>
            </w:r>
          </w:p>
        </w:tc>
        <w:tc>
          <w:tcPr>
            <w:tcW w:w="1460" w:type="dxa"/>
            <w:vAlign w:val="bottom"/>
            <w:shd w:val="clear" w:color="auto" w:fill="DDDDDD"/>
          </w:tcPr>
          <w:p>
            <w:pPr>
              <w:jc w:val="right"/>
              <w:spacing w:after="0"/>
              <w:rPr>
                <w:sz w:val="20"/>
                <w:szCs w:val="20"/>
                <w:color w:val="auto"/>
              </w:rPr>
            </w:pPr>
            <w:r>
              <w:rPr>
                <w:rFonts w:ascii="Times New Roman" w:cs="Times New Roman" w:eastAsia="Times New Roman" w:hAnsi="Times New Roman"/>
                <w:sz w:val="18"/>
                <w:szCs w:val="18"/>
                <w:color w:val="auto"/>
              </w:rPr>
              <w:t>4.0 %</w:t>
            </w:r>
          </w:p>
        </w:tc>
      </w:tr>
      <w:tr>
        <w:trPr>
          <w:trHeight w:val="288"/>
        </w:trPr>
        <w:tc>
          <w:tcPr>
            <w:tcW w:w="298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James J. Pallotta</w:t>
            </w:r>
            <w:r>
              <w:rPr>
                <w:rFonts w:ascii="Times New Roman" w:cs="Times New Roman" w:eastAsia="Times New Roman" w:hAnsi="Times New Roman"/>
                <w:sz w:val="24"/>
                <w:szCs w:val="24"/>
                <w:color w:val="auto"/>
                <w:vertAlign w:val="superscript"/>
              </w:rPr>
              <w:t>(10)</w:t>
            </w: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4,980,143</w:t>
            </w:r>
          </w:p>
        </w:tc>
        <w:tc>
          <w:tcPr>
            <w:tcW w:w="1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5.2 %</w:t>
            </w:r>
          </w:p>
        </w:tc>
        <w:tc>
          <w:tcPr>
            <w:tcW w:w="1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 %</w:t>
            </w:r>
          </w:p>
        </w:tc>
        <w:tc>
          <w:tcPr>
            <w:tcW w:w="1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3.3 %</w:t>
            </w:r>
          </w:p>
        </w:tc>
      </w:tr>
      <w:tr>
        <w:trPr>
          <w:trHeight w:val="288"/>
        </w:trPr>
        <w:tc>
          <w:tcPr>
            <w:tcW w:w="2980" w:type="dxa"/>
            <w:vAlign w:val="bottom"/>
            <w:shd w:val="clear" w:color="auto" w:fill="DDDDDD"/>
          </w:tcPr>
          <w:p>
            <w:pPr>
              <w:ind w:left="40"/>
              <w:spacing w:after="0"/>
              <w:rPr>
                <w:sz w:val="20"/>
                <w:szCs w:val="20"/>
                <w:color w:val="auto"/>
              </w:rPr>
            </w:pPr>
            <w:r>
              <w:rPr>
                <w:rFonts w:ascii="Times New Roman" w:cs="Times New Roman" w:eastAsia="Times New Roman" w:hAnsi="Times New Roman"/>
                <w:sz w:val="18"/>
                <w:szCs w:val="18"/>
                <w:color w:val="auto"/>
              </w:rPr>
              <w:t>Christopher Beals</w:t>
            </w:r>
            <w:r>
              <w:rPr>
                <w:rFonts w:ascii="Times New Roman" w:cs="Times New Roman" w:eastAsia="Times New Roman" w:hAnsi="Times New Roman"/>
                <w:sz w:val="24"/>
                <w:szCs w:val="24"/>
                <w:color w:val="auto"/>
                <w:vertAlign w:val="superscript"/>
              </w:rPr>
              <w:t>(4)</w:t>
            </w:r>
          </w:p>
        </w:tc>
        <w:tc>
          <w:tcPr>
            <w:tcW w:w="1440" w:type="dxa"/>
            <w:vAlign w:val="bottom"/>
            <w:shd w:val="clear" w:color="auto" w:fill="DDDDDD"/>
          </w:tcPr>
          <w:p>
            <w:pPr>
              <w:jc w:val="right"/>
              <w:spacing w:after="0"/>
              <w:rPr>
                <w:sz w:val="20"/>
                <w:szCs w:val="20"/>
                <w:color w:val="auto"/>
              </w:rPr>
            </w:pPr>
            <w:r>
              <w:rPr>
                <w:rFonts w:ascii="Times New Roman" w:cs="Times New Roman" w:eastAsia="Times New Roman" w:hAnsi="Times New Roman"/>
                <w:sz w:val="18"/>
                <w:szCs w:val="18"/>
                <w:color w:val="auto"/>
              </w:rPr>
              <w:t>428,773</w:t>
            </w:r>
          </w:p>
        </w:tc>
        <w:tc>
          <w:tcPr>
            <w:tcW w:w="1480" w:type="dxa"/>
            <w:vAlign w:val="bottom"/>
            <w:shd w:val="clear" w:color="auto" w:fill="DDDDDD"/>
          </w:tcPr>
          <w:p>
            <w:pPr>
              <w:jc w:val="right"/>
              <w:spacing w:after="0"/>
              <w:rPr>
                <w:sz w:val="20"/>
                <w:szCs w:val="20"/>
                <w:color w:val="auto"/>
              </w:rPr>
            </w:pPr>
            <w:r>
              <w:rPr>
                <w:rFonts w:ascii="Times New Roman" w:cs="Times New Roman" w:eastAsia="Times New Roman" w:hAnsi="Times New Roman"/>
                <w:sz w:val="18"/>
                <w:szCs w:val="18"/>
                <w:color w:val="auto"/>
              </w:rPr>
              <w:t>0.5 %</w:t>
            </w:r>
          </w:p>
        </w:tc>
        <w:tc>
          <w:tcPr>
            <w:tcW w:w="1460" w:type="dxa"/>
            <w:vAlign w:val="bottom"/>
            <w:shd w:val="clear" w:color="auto" w:fill="DDDDDD"/>
          </w:tcPr>
          <w:p>
            <w:pPr>
              <w:jc w:val="right"/>
              <w:spacing w:after="0"/>
              <w:rPr>
                <w:sz w:val="20"/>
                <w:szCs w:val="20"/>
                <w:color w:val="auto"/>
              </w:rPr>
            </w:pPr>
            <w:r>
              <w:rPr>
                <w:rFonts w:ascii="Times New Roman" w:cs="Times New Roman" w:eastAsia="Times New Roman" w:hAnsi="Times New Roman"/>
                <w:sz w:val="18"/>
                <w:szCs w:val="18"/>
                <w:color w:val="auto"/>
              </w:rPr>
              <w:t>6,166,819</w:t>
            </w:r>
          </w:p>
        </w:tc>
        <w:tc>
          <w:tcPr>
            <w:tcW w:w="1440" w:type="dxa"/>
            <w:vAlign w:val="bottom"/>
            <w:shd w:val="clear" w:color="auto" w:fill="DDDDDD"/>
          </w:tcPr>
          <w:p>
            <w:pPr>
              <w:jc w:val="right"/>
              <w:spacing w:after="0"/>
              <w:rPr>
                <w:sz w:val="20"/>
                <w:szCs w:val="20"/>
                <w:color w:val="auto"/>
              </w:rPr>
            </w:pPr>
            <w:r>
              <w:rPr>
                <w:rFonts w:ascii="Times New Roman" w:cs="Times New Roman" w:eastAsia="Times New Roman" w:hAnsi="Times New Roman"/>
                <w:sz w:val="18"/>
                <w:szCs w:val="18"/>
                <w:color w:val="auto"/>
              </w:rPr>
              <w:t>11.1 %</w:t>
            </w:r>
          </w:p>
        </w:tc>
        <w:tc>
          <w:tcPr>
            <w:tcW w:w="1460" w:type="dxa"/>
            <w:vAlign w:val="bottom"/>
            <w:shd w:val="clear" w:color="auto" w:fill="DDDDDD"/>
          </w:tcPr>
          <w:p>
            <w:pPr>
              <w:jc w:val="right"/>
              <w:spacing w:after="0"/>
              <w:rPr>
                <w:sz w:val="20"/>
                <w:szCs w:val="20"/>
                <w:color w:val="auto"/>
              </w:rPr>
            </w:pPr>
            <w:r>
              <w:rPr>
                <w:rFonts w:ascii="Times New Roman" w:cs="Times New Roman" w:eastAsia="Times New Roman" w:hAnsi="Times New Roman"/>
                <w:sz w:val="18"/>
                <w:szCs w:val="18"/>
                <w:color w:val="auto"/>
              </w:rPr>
              <w:t>4.4 %</w:t>
            </w:r>
          </w:p>
        </w:tc>
      </w:tr>
      <w:tr>
        <w:trPr>
          <w:trHeight w:val="338"/>
        </w:trPr>
        <w:tc>
          <w:tcPr>
            <w:tcW w:w="298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Justin Hartfield</w:t>
            </w:r>
            <w:r>
              <w:rPr>
                <w:rFonts w:ascii="Times New Roman" w:cs="Times New Roman" w:eastAsia="Times New Roman" w:hAnsi="Times New Roman"/>
                <w:sz w:val="24"/>
                <w:szCs w:val="24"/>
                <w:color w:val="auto"/>
                <w:vertAlign w:val="superscript"/>
              </w:rPr>
              <w:t>(7)</w:t>
            </w: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61,679</w:t>
            </w:r>
          </w:p>
        </w:tc>
        <w:tc>
          <w:tcPr>
            <w:tcW w:w="1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0.1 %</w:t>
            </w:r>
          </w:p>
        </w:tc>
        <w:tc>
          <w:tcPr>
            <w:tcW w:w="1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29,318,217</w:t>
            </w: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52.8 %</w:t>
            </w:r>
          </w:p>
        </w:tc>
        <w:tc>
          <w:tcPr>
            <w:tcW w:w="1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19.5 %</w:t>
            </w:r>
          </w:p>
        </w:tc>
      </w:tr>
      <w:tr>
        <w:trPr>
          <w:trHeight w:val="270"/>
        </w:trPr>
        <w:tc>
          <w:tcPr>
            <w:tcW w:w="2980" w:type="dxa"/>
            <w:vAlign w:val="bottom"/>
          </w:tcPr>
          <w:p>
            <w:pPr>
              <w:spacing w:after="0"/>
              <w:rPr>
                <w:sz w:val="20"/>
                <w:szCs w:val="20"/>
                <w:color w:val="auto"/>
              </w:rPr>
            </w:pPr>
            <w:r>
              <w:rPr>
                <w:rFonts w:ascii="Times New Roman" w:cs="Times New Roman" w:eastAsia="Times New Roman" w:hAnsi="Times New Roman"/>
                <w:sz w:val="20"/>
                <w:szCs w:val="20"/>
                <w:color w:val="auto"/>
              </w:rPr>
              <w:t>___________________________</w:t>
            </w:r>
          </w:p>
        </w:tc>
        <w:tc>
          <w:tcPr>
            <w:tcW w:w="1440" w:type="dxa"/>
            <w:vAlign w:val="bottom"/>
          </w:tcPr>
          <w:p>
            <w:pPr>
              <w:spacing w:after="0"/>
              <w:rPr>
                <w:sz w:val="23"/>
                <w:szCs w:val="23"/>
                <w:color w:val="auto"/>
              </w:rPr>
            </w:pPr>
          </w:p>
        </w:tc>
        <w:tc>
          <w:tcPr>
            <w:tcW w:w="1480" w:type="dxa"/>
            <w:vAlign w:val="bottom"/>
          </w:tcPr>
          <w:p>
            <w:pPr>
              <w:spacing w:after="0"/>
              <w:rPr>
                <w:sz w:val="23"/>
                <w:szCs w:val="23"/>
                <w:color w:val="auto"/>
              </w:rPr>
            </w:pPr>
          </w:p>
        </w:tc>
        <w:tc>
          <w:tcPr>
            <w:tcW w:w="1460" w:type="dxa"/>
            <w:vAlign w:val="bottom"/>
          </w:tcPr>
          <w:p>
            <w:pPr>
              <w:spacing w:after="0"/>
              <w:rPr>
                <w:sz w:val="23"/>
                <w:szCs w:val="23"/>
                <w:color w:val="auto"/>
              </w:rPr>
            </w:pPr>
          </w:p>
        </w:tc>
        <w:tc>
          <w:tcPr>
            <w:tcW w:w="1440" w:type="dxa"/>
            <w:vAlign w:val="bottom"/>
          </w:tcPr>
          <w:p>
            <w:pPr>
              <w:spacing w:after="0"/>
              <w:rPr>
                <w:sz w:val="23"/>
                <w:szCs w:val="23"/>
                <w:color w:val="auto"/>
              </w:rPr>
            </w:pPr>
          </w:p>
        </w:tc>
        <w:tc>
          <w:tcPr>
            <w:tcW w:w="1460" w:type="dxa"/>
            <w:vAlign w:val="bottom"/>
          </w:tcPr>
          <w:p>
            <w:pPr>
              <w:spacing w:after="0"/>
              <w:rPr>
                <w:sz w:val="23"/>
                <w:szCs w:val="23"/>
                <w:color w:val="auto"/>
              </w:rPr>
            </w:pPr>
          </w:p>
        </w:tc>
      </w:tr>
    </w:tbl>
    <w:p>
      <w:pPr>
        <w:spacing w:after="0" w:line="36" w:lineRule="exact"/>
        <w:rPr>
          <w:sz w:val="20"/>
          <w:szCs w:val="20"/>
          <w:color w:val="auto"/>
        </w:rPr>
      </w:pPr>
    </w:p>
    <w:p>
      <w:pPr>
        <w:ind w:left="366" w:hanging="366"/>
        <w:spacing w:after="0"/>
        <w:tabs>
          <w:tab w:leader="none" w:pos="366" w:val="left"/>
        </w:tabs>
        <w:numPr>
          <w:ilvl w:val="0"/>
          <w:numId w:val="6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Unless otherwise noted, the business address of each of the following entities or individuals is 41 Discovery, Irvine, California 92618.</w:t>
      </w:r>
    </w:p>
    <w:p>
      <w:pPr>
        <w:spacing w:after="0" w:line="60" w:lineRule="exact"/>
        <w:rPr>
          <w:rFonts w:ascii="Times New Roman" w:cs="Times New Roman" w:eastAsia="Times New Roman" w:hAnsi="Times New Roman"/>
          <w:sz w:val="16"/>
          <w:szCs w:val="16"/>
          <w:color w:val="auto"/>
        </w:rPr>
      </w:pPr>
    </w:p>
    <w:p>
      <w:pPr>
        <w:jc w:val="both"/>
        <w:ind w:left="366" w:right="20" w:hanging="366"/>
        <w:spacing w:after="0" w:line="293" w:lineRule="auto"/>
        <w:tabs>
          <w:tab w:leader="none" w:pos="366" w:val="left"/>
        </w:tabs>
        <w:numPr>
          <w:ilvl w:val="0"/>
          <w:numId w:val="6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Holders of Class A Common Stock and Class V Common Stock are entitled to one vote for each share of Class A Common Stock or Class V Common Stock, as the case may be, held by them. Each share of Class V Common Stock, together with a corresponding limited liability company interest in WMH LLC (as defined below) (together, a “Paired Interest”) is exchangeable for shares of Class A Common Stock on a one-for-one basis from time to time, unless we determine to pay cash consideration for such Paired Interests.</w:t>
      </w:r>
    </w:p>
    <w:p>
      <w:pPr>
        <w:spacing w:after="0" w:line="1" w:lineRule="exact"/>
        <w:rPr>
          <w:rFonts w:ascii="Times New Roman" w:cs="Times New Roman" w:eastAsia="Times New Roman" w:hAnsi="Times New Roman"/>
          <w:sz w:val="16"/>
          <w:szCs w:val="16"/>
          <w:color w:val="auto"/>
        </w:rPr>
      </w:pPr>
    </w:p>
    <w:p>
      <w:pPr>
        <w:ind w:left="366" w:hanging="366"/>
        <w:spacing w:after="0"/>
        <w:tabs>
          <w:tab w:leader="none" w:pos="366" w:val="left"/>
        </w:tabs>
        <w:numPr>
          <w:ilvl w:val="0"/>
          <w:numId w:val="6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Represents percentage of voting power of the holders of Class A Common Stock and Class V Common Stock voting together as a single class.</w:t>
      </w:r>
    </w:p>
    <w:p>
      <w:pPr>
        <w:spacing w:after="0" w:line="53" w:lineRule="exact"/>
        <w:rPr>
          <w:rFonts w:ascii="Times New Roman" w:cs="Times New Roman" w:eastAsia="Times New Roman" w:hAnsi="Times New Roman"/>
          <w:sz w:val="16"/>
          <w:szCs w:val="16"/>
          <w:color w:val="auto"/>
        </w:rPr>
      </w:pPr>
    </w:p>
    <w:p>
      <w:pPr>
        <w:ind w:left="366" w:hanging="366"/>
        <w:spacing w:after="0" w:line="305" w:lineRule="auto"/>
        <w:tabs>
          <w:tab w:leader="none" w:pos="366" w:val="left"/>
        </w:tabs>
        <w:numPr>
          <w:ilvl w:val="0"/>
          <w:numId w:val="6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Beneficial ownership information for the Company’s former executive officer, Mr. Beals is as of November 7, 2022, which is the date on which he ceased to be an employee of the Company and is the most recent date for which information is available.</w:t>
      </w:r>
    </w:p>
    <w:p>
      <w:pPr>
        <w:jc w:val="both"/>
        <w:ind w:left="366" w:hanging="366"/>
        <w:spacing w:after="0" w:line="291" w:lineRule="auto"/>
        <w:tabs>
          <w:tab w:leader="none" w:pos="367" w:val="left"/>
        </w:tabs>
        <w:numPr>
          <w:ilvl w:val="0"/>
          <w:numId w:val="6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Includes 3,750,000 shares in the aggregate of shares of Class A Common Stock held by AFV Partners SPV-5 (WM) LLC (“AFV 5”), AFV Partners SPV-6 (WM)LLC (“AFV 6”) and three family trusts (the “Trusts”) upon the completion of the business combination pursuant to the PIPE subscription financing. Mr. Aquila is the Chairman and CEO of AFV Management Advisors LLC, which exercises ultimate voting and investment power with respect to the shares held by AFV 5and AFV 6 and a co-trustee of each of the Trusts and as such may be deemed to hold voting and dispositive power with respect to the shares held in the aggregate by such Trusts. It also includes 1,311,679 shares of Class A Common Stock that Mr. Aquila personally holds, 10,093 shares of underlying restricted stock units that vest on June 16, 2024 and 225,988 shares of underlying restricted stock units that vest on June 21, 2024. The business address of the reporting person is 2126 Hamilton Road Suite 260, Argyle, TX 76226.</w:t>
      </w:r>
    </w:p>
    <w:p>
      <w:pPr>
        <w:jc w:val="both"/>
        <w:ind w:left="366" w:right="20" w:hanging="366"/>
        <w:spacing w:after="0" w:line="292" w:lineRule="auto"/>
        <w:tabs>
          <w:tab w:leader="none" w:pos="366" w:val="left"/>
        </w:tabs>
        <w:numPr>
          <w:ilvl w:val="0"/>
          <w:numId w:val="6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number of Class V Common Stock beneficially owned includes 12,431,818 shares of Class V Common Stock held by Mr. Francis, 8,469,191 shares of Class V Common Stock held by Ghost Media Group, LLC, 600,618 shares of Class V Common Stock held by Genco Incentives, LLC and 1,468,555 shares of Class V Common Stock held by WM Founders Legacy I, LLC. Ghost Media Group, LLC is controlled by Messrs. Francis and Hartfield and WM Founders Legacy I, LLC and Genco Incentives, LLC are controlled by Mr. Francis. Accordingly, Mr. Francis may be deemed to be a beneficial owner of the Class A Units held by Ghost Media Group, LLC, Genco Incentives, LLC and WM Founders Legacy I, LLC. The 4,792,347 shares of Class A Common Stock held by Mr. Francis include 10,094 shares of underlying restricted stock units that vest on June 16, 2024.</w:t>
      </w:r>
    </w:p>
    <w:p>
      <w:pPr>
        <w:spacing w:after="0" w:line="3" w:lineRule="exact"/>
        <w:rPr>
          <w:rFonts w:ascii="Times New Roman" w:cs="Times New Roman" w:eastAsia="Times New Roman" w:hAnsi="Times New Roman"/>
          <w:sz w:val="16"/>
          <w:szCs w:val="16"/>
          <w:color w:val="auto"/>
        </w:rPr>
      </w:pPr>
    </w:p>
    <w:p>
      <w:pPr>
        <w:jc w:val="both"/>
        <w:ind w:left="366" w:right="20" w:hanging="366"/>
        <w:spacing w:after="0" w:line="293" w:lineRule="auto"/>
        <w:tabs>
          <w:tab w:leader="none" w:pos="366" w:val="left"/>
        </w:tabs>
        <w:numPr>
          <w:ilvl w:val="0"/>
          <w:numId w:val="6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Includes 19,278,067 shares of Class V Common Stock held by Mr. Hartfield, 8,469,191 shares of Class V Common Stock held by Ghost Media Group, LLC and 1,570,959 shares of Class V Common Stock held by WM Founders Legacy II, LLC. Ghost Media Group, LLC is controlled by Messrs. Hartfield and Francis and WM Founders Legacy II, LLC is controlled by Mr. Hartfield. Accordingly, Mr. Hartfield may be deemed to be a beneficial owner of the shares held by Ghost Media Group, LLC and WM Founders Legacy II, LLC.</w:t>
      </w:r>
    </w:p>
    <w:p>
      <w:pPr>
        <w:spacing w:after="0" w:line="1" w:lineRule="exact"/>
        <w:rPr>
          <w:rFonts w:ascii="Times New Roman" w:cs="Times New Roman" w:eastAsia="Times New Roman" w:hAnsi="Times New Roman"/>
          <w:sz w:val="16"/>
          <w:szCs w:val="16"/>
          <w:color w:val="auto"/>
        </w:rPr>
      </w:pPr>
    </w:p>
    <w:p>
      <w:pPr>
        <w:ind w:left="366" w:right="20" w:hanging="366"/>
        <w:spacing w:after="0" w:line="300" w:lineRule="auto"/>
        <w:tabs>
          <w:tab w:leader="none" w:pos="366" w:val="left"/>
        </w:tabs>
        <w:numPr>
          <w:ilvl w:val="0"/>
          <w:numId w:val="6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Class A Common shares consist of (i) 10,386,839 shares held of record by our current executive officers and directors, and (ii) 1,609,465 shares issuable upon the vesting of RSUs within 60 days of May 7, 2024.</w:t>
      </w:r>
    </w:p>
    <w:p>
      <w:pPr>
        <w:ind w:left="366" w:right="20" w:hanging="366"/>
        <w:spacing w:after="0" w:line="300" w:lineRule="auto"/>
        <w:tabs>
          <w:tab w:leader="none" w:pos="366" w:val="left"/>
        </w:tabs>
        <w:numPr>
          <w:ilvl w:val="0"/>
          <w:numId w:val="6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Based solely on information obtained from a Schedule 13G filed by Morgan Stanley on February 9, 2024, includes 6,016,658 shares of Class A Common stock. The business address of the reporting person is 1585 Broadway, New York, NY 10036.</w:t>
      </w:r>
    </w:p>
    <w:p>
      <w:pPr>
        <w:ind w:left="366" w:right="20" w:hanging="366"/>
        <w:spacing w:after="0" w:line="326" w:lineRule="auto"/>
        <w:tabs>
          <w:tab w:leader="none" w:pos="366" w:val="left"/>
        </w:tabs>
        <w:numPr>
          <w:ilvl w:val="0"/>
          <w:numId w:val="6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Based solely on information obtained from a Schedule 13G filed by James J. Pallotta on January 16, 2024, includes 4,980,143 shares of Class A Common Stock. The business address of the reporting person is 2340 Collins Avenue, 5th Floor, Miami Beach, Florida 33139.</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p>
      <w:pPr>
        <w:jc w:val="center"/>
        <w:ind w:right="14"/>
        <w:spacing w:after="0"/>
        <w:rPr>
          <w:sz w:val="20"/>
          <w:szCs w:val="20"/>
          <w:color w:val="auto"/>
        </w:rPr>
      </w:pPr>
      <w:r>
        <w:rPr>
          <w:rFonts w:ascii="Times New Roman" w:cs="Times New Roman" w:eastAsia="Times New Roman" w:hAnsi="Times New Roman"/>
          <w:sz w:val="20"/>
          <w:szCs w:val="20"/>
          <w:color w:val="auto"/>
        </w:rPr>
        <w:t>100</w:t>
      </w:r>
    </w:p>
    <w:p>
      <w:pPr>
        <w:sectPr>
          <w:pgSz w:w="12240" w:h="15840" w:orient="portrait"/>
          <w:cols w:equalWidth="0" w:num="1">
            <w:col w:w="10266"/>
          </w:cols>
          <w:pgMar w:left="994" w:top="942" w:right="980" w:bottom="222" w:gutter="0" w:footer="0" w:header="0"/>
        </w:sectPr>
      </w:pPr>
    </w:p>
    <w:bookmarkStart w:id="104" w:name="page105"/>
    <w:bookmarkEnd w:id="104"/>
    <w:p>
      <w:pPr>
        <w:ind w:left="6"/>
        <w:spacing w:after="0"/>
        <w:rPr>
          <w:sz w:val="20"/>
          <w:szCs w:val="20"/>
          <w:color w:val="auto"/>
        </w:rPr>
      </w:pPr>
      <w:r>
        <w:rPr>
          <w:rFonts w:ascii="Times New Roman" w:cs="Times New Roman" w:eastAsia="Times New Roman" w:hAnsi="Times New Roman"/>
          <w:sz w:val="20"/>
          <w:szCs w:val="20"/>
          <w:b w:val="1"/>
          <w:bCs w:val="1"/>
          <w:color w:val="auto"/>
        </w:rPr>
        <w:t>Equity Compensation Plan</w:t>
      </w:r>
    </w:p>
    <w:p>
      <w:pPr>
        <w:spacing w:after="0" w:line="168" w:lineRule="exact"/>
        <w:rPr>
          <w:sz w:val="20"/>
          <w:szCs w:val="20"/>
          <w:color w:val="auto"/>
        </w:rPr>
      </w:pPr>
    </w:p>
    <w:p>
      <w:pPr>
        <w:jc w:val="both"/>
        <w:ind w:left="6"/>
        <w:spacing w:after="0" w:line="309" w:lineRule="auto"/>
        <w:rPr>
          <w:sz w:val="20"/>
          <w:szCs w:val="20"/>
          <w:color w:val="auto"/>
        </w:rPr>
      </w:pPr>
      <w:r>
        <w:rPr>
          <w:rFonts w:ascii="Times New Roman" w:cs="Times New Roman" w:eastAsia="Times New Roman" w:hAnsi="Times New Roman"/>
          <w:sz w:val="20"/>
          <w:szCs w:val="20"/>
          <w:color w:val="auto"/>
        </w:rPr>
        <w:t>The following table summarizes information about our equity compensation plans as of December 31, 2023. Information is included for equity compensation plans approved by our stockholders. We do not have any non-stockholder approved equity compensation plans.</w:t>
      </w:r>
    </w:p>
    <w:p>
      <w:pPr>
        <w:spacing w:after="0" w:line="111" w:lineRule="exact"/>
        <w:rPr>
          <w:sz w:val="20"/>
          <w:szCs w:val="20"/>
          <w:color w:val="auto"/>
        </w:rPr>
      </w:pPr>
    </w:p>
    <w:tbl>
      <w:tblPr>
        <w:tblLayout w:type="fixed"/>
        <w:tblInd w:w="6" w:type="dxa"/>
        <w:tblCellMar>
          <w:top w:w="0" w:type="dxa"/>
          <w:left w:w="0" w:type="dxa"/>
          <w:bottom w:w="0" w:type="dxa"/>
          <w:right w:w="0" w:type="dxa"/>
        </w:tblCellMar>
      </w:tblPr>
      <w:tr>
        <w:trPr>
          <w:trHeight w:val="230"/>
        </w:trPr>
        <w:tc>
          <w:tcPr>
            <w:tcW w:w="40" w:type="dxa"/>
            <w:vAlign w:val="bottom"/>
          </w:tcPr>
          <w:p>
            <w:pPr>
              <w:spacing w:after="0"/>
              <w:rPr>
                <w:sz w:val="20"/>
                <w:szCs w:val="20"/>
                <w:color w:val="auto"/>
              </w:rPr>
            </w:pPr>
          </w:p>
        </w:tc>
        <w:tc>
          <w:tcPr>
            <w:tcW w:w="45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780" w:type="dxa"/>
            <w:vAlign w:val="bottom"/>
            <w:gridSpan w:val="2"/>
            <w:vMerge w:val="restart"/>
          </w:tcPr>
          <w:p>
            <w:pPr>
              <w:ind w:left="60"/>
              <w:spacing w:after="0"/>
              <w:rPr>
                <w:sz w:val="20"/>
                <w:szCs w:val="20"/>
                <w:color w:val="auto"/>
              </w:rPr>
            </w:pPr>
            <w:r>
              <w:rPr>
                <w:rFonts w:ascii="Times New Roman" w:cs="Times New Roman" w:eastAsia="Times New Roman" w:hAnsi="Times New Roman"/>
                <w:sz w:val="20"/>
                <w:szCs w:val="20"/>
                <w:b w:val="1"/>
                <w:bCs w:val="1"/>
                <w:color w:val="auto"/>
              </w:rPr>
              <w:t>Number of shares</w:t>
            </w:r>
          </w:p>
        </w:tc>
        <w:tc>
          <w:tcPr>
            <w:tcW w:w="1220" w:type="dxa"/>
            <w:vAlign w:val="bottom"/>
          </w:tcPr>
          <w:p>
            <w:pPr>
              <w:ind w:left="40"/>
              <w:spacing w:after="0"/>
              <w:rPr>
                <w:sz w:val="20"/>
                <w:szCs w:val="20"/>
                <w:color w:val="auto"/>
              </w:rPr>
            </w:pPr>
            <w:r>
              <w:rPr>
                <w:rFonts w:ascii="Times New Roman" w:cs="Times New Roman" w:eastAsia="Times New Roman" w:hAnsi="Times New Roman"/>
                <w:sz w:val="20"/>
                <w:szCs w:val="20"/>
                <w:b w:val="1"/>
                <w:bCs w:val="1"/>
                <w:color w:val="auto"/>
              </w:rPr>
              <w:t>Weighted-</w:t>
            </w:r>
          </w:p>
        </w:tc>
        <w:tc>
          <w:tcPr>
            <w:tcW w:w="2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320" w:type="dxa"/>
            <w:vAlign w:val="bottom"/>
            <w:vMerge w:val="restart"/>
          </w:tcPr>
          <w:p>
            <w:pPr>
              <w:ind w:left="40"/>
              <w:spacing w:after="0"/>
              <w:rPr>
                <w:sz w:val="20"/>
                <w:szCs w:val="20"/>
                <w:color w:val="auto"/>
              </w:rPr>
            </w:pPr>
            <w:r>
              <w:rPr>
                <w:rFonts w:ascii="Times New Roman" w:cs="Times New Roman" w:eastAsia="Times New Roman" w:hAnsi="Times New Roman"/>
                <w:sz w:val="20"/>
                <w:szCs w:val="20"/>
                <w:b w:val="1"/>
                <w:bCs w:val="1"/>
                <w:color w:val="auto"/>
              </w:rPr>
              <w:t>Number of shares</w:t>
            </w:r>
          </w:p>
        </w:tc>
        <w:tc>
          <w:tcPr>
            <w:tcW w:w="0" w:type="dxa"/>
            <w:vAlign w:val="bottom"/>
          </w:tcPr>
          <w:p>
            <w:pPr>
              <w:spacing w:after="0"/>
              <w:rPr>
                <w:sz w:val="1"/>
                <w:szCs w:val="1"/>
                <w:color w:val="auto"/>
              </w:rPr>
            </w:pPr>
          </w:p>
        </w:tc>
      </w:tr>
      <w:tr>
        <w:trPr>
          <w:trHeight w:val="230"/>
        </w:trPr>
        <w:tc>
          <w:tcPr>
            <w:tcW w:w="40" w:type="dxa"/>
            <w:vAlign w:val="bottom"/>
          </w:tcPr>
          <w:p>
            <w:pPr>
              <w:spacing w:after="0"/>
              <w:rPr>
                <w:sz w:val="20"/>
                <w:szCs w:val="20"/>
                <w:color w:val="auto"/>
              </w:rPr>
            </w:pPr>
          </w:p>
        </w:tc>
        <w:tc>
          <w:tcPr>
            <w:tcW w:w="45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780" w:type="dxa"/>
            <w:vAlign w:val="bottom"/>
            <w:gridSpan w:val="2"/>
            <w:vMerge w:val="continue"/>
          </w:tcPr>
          <w:p>
            <w:pPr>
              <w:spacing w:after="0"/>
              <w:rPr>
                <w:sz w:val="20"/>
                <w:szCs w:val="20"/>
                <w:color w:val="auto"/>
              </w:rPr>
            </w:pPr>
          </w:p>
        </w:tc>
        <w:tc>
          <w:tcPr>
            <w:tcW w:w="1220" w:type="dxa"/>
            <w:vAlign w:val="bottom"/>
          </w:tcPr>
          <w:p>
            <w:pPr>
              <w:ind w:left="40"/>
              <w:spacing w:after="0"/>
              <w:rPr>
                <w:sz w:val="20"/>
                <w:szCs w:val="20"/>
                <w:color w:val="auto"/>
              </w:rPr>
            </w:pPr>
            <w:r>
              <w:rPr>
                <w:rFonts w:ascii="Times New Roman" w:cs="Times New Roman" w:eastAsia="Times New Roman" w:hAnsi="Times New Roman"/>
                <w:sz w:val="20"/>
                <w:szCs w:val="20"/>
                <w:b w:val="1"/>
                <w:bCs w:val="1"/>
                <w:color w:val="auto"/>
              </w:rPr>
              <w:t>average</w:t>
            </w:r>
          </w:p>
        </w:tc>
        <w:tc>
          <w:tcPr>
            <w:tcW w:w="2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320" w:type="dxa"/>
            <w:vAlign w:val="bottom"/>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40" w:type="dxa"/>
            <w:vAlign w:val="bottom"/>
          </w:tcPr>
          <w:p>
            <w:pPr>
              <w:spacing w:after="0"/>
              <w:rPr>
                <w:sz w:val="20"/>
                <w:szCs w:val="20"/>
                <w:color w:val="auto"/>
              </w:rPr>
            </w:pPr>
          </w:p>
        </w:tc>
        <w:tc>
          <w:tcPr>
            <w:tcW w:w="45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780" w:type="dxa"/>
            <w:vAlign w:val="bottom"/>
            <w:gridSpan w:val="2"/>
          </w:tcPr>
          <w:p>
            <w:pPr>
              <w:ind w:left="60"/>
              <w:spacing w:after="0"/>
              <w:rPr>
                <w:sz w:val="20"/>
                <w:szCs w:val="20"/>
                <w:color w:val="auto"/>
              </w:rPr>
            </w:pPr>
            <w:r>
              <w:rPr>
                <w:rFonts w:ascii="Times New Roman" w:cs="Times New Roman" w:eastAsia="Times New Roman" w:hAnsi="Times New Roman"/>
                <w:sz w:val="20"/>
                <w:szCs w:val="20"/>
                <w:b w:val="1"/>
                <w:bCs w:val="1"/>
                <w:color w:val="auto"/>
              </w:rPr>
              <w:t>to be issued upon</w:t>
            </w:r>
          </w:p>
        </w:tc>
        <w:tc>
          <w:tcPr>
            <w:tcW w:w="1460" w:type="dxa"/>
            <w:vAlign w:val="bottom"/>
            <w:gridSpan w:val="2"/>
          </w:tcPr>
          <w:p>
            <w:pPr>
              <w:ind w:left="40"/>
              <w:spacing w:after="0"/>
              <w:rPr>
                <w:sz w:val="20"/>
                <w:szCs w:val="20"/>
                <w:color w:val="auto"/>
              </w:rPr>
            </w:pPr>
            <w:r>
              <w:rPr>
                <w:rFonts w:ascii="Times New Roman" w:cs="Times New Roman" w:eastAsia="Times New Roman" w:hAnsi="Times New Roman"/>
                <w:sz w:val="20"/>
                <w:szCs w:val="20"/>
                <w:b w:val="1"/>
                <w:bCs w:val="1"/>
                <w:color w:val="auto"/>
              </w:rPr>
              <w:t>exercise price of</w:t>
            </w:r>
          </w:p>
        </w:tc>
        <w:tc>
          <w:tcPr>
            <w:tcW w:w="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320" w:type="dxa"/>
            <w:vAlign w:val="bottom"/>
          </w:tcPr>
          <w:p>
            <w:pPr>
              <w:ind w:left="40"/>
              <w:spacing w:after="0"/>
              <w:rPr>
                <w:sz w:val="20"/>
                <w:szCs w:val="20"/>
                <w:color w:val="auto"/>
              </w:rPr>
            </w:pPr>
            <w:r>
              <w:rPr>
                <w:rFonts w:ascii="Times New Roman" w:cs="Times New Roman" w:eastAsia="Times New Roman" w:hAnsi="Times New Roman"/>
                <w:sz w:val="20"/>
                <w:szCs w:val="20"/>
                <w:b w:val="1"/>
                <w:bCs w:val="1"/>
                <w:color w:val="auto"/>
              </w:rPr>
              <w:t>remaining available for</w:t>
            </w:r>
          </w:p>
        </w:tc>
        <w:tc>
          <w:tcPr>
            <w:tcW w:w="0" w:type="dxa"/>
            <w:vAlign w:val="bottom"/>
          </w:tcPr>
          <w:p>
            <w:pPr>
              <w:spacing w:after="0"/>
              <w:rPr>
                <w:sz w:val="1"/>
                <w:szCs w:val="1"/>
                <w:color w:val="auto"/>
              </w:rPr>
            </w:pPr>
          </w:p>
        </w:tc>
      </w:tr>
      <w:tr>
        <w:trPr>
          <w:trHeight w:val="230"/>
        </w:trPr>
        <w:tc>
          <w:tcPr>
            <w:tcW w:w="40" w:type="dxa"/>
            <w:vAlign w:val="bottom"/>
          </w:tcPr>
          <w:p>
            <w:pPr>
              <w:spacing w:after="0"/>
              <w:rPr>
                <w:sz w:val="20"/>
                <w:szCs w:val="20"/>
                <w:color w:val="auto"/>
              </w:rPr>
            </w:pPr>
          </w:p>
        </w:tc>
        <w:tc>
          <w:tcPr>
            <w:tcW w:w="45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780" w:type="dxa"/>
            <w:vAlign w:val="bottom"/>
            <w:gridSpan w:val="2"/>
          </w:tcPr>
          <w:p>
            <w:pPr>
              <w:ind w:left="60"/>
              <w:spacing w:after="0"/>
              <w:rPr>
                <w:sz w:val="20"/>
                <w:szCs w:val="20"/>
                <w:color w:val="auto"/>
              </w:rPr>
            </w:pPr>
            <w:r>
              <w:rPr>
                <w:rFonts w:ascii="Times New Roman" w:cs="Times New Roman" w:eastAsia="Times New Roman" w:hAnsi="Times New Roman"/>
                <w:sz w:val="20"/>
                <w:szCs w:val="20"/>
                <w:b w:val="1"/>
                <w:bCs w:val="1"/>
                <w:color w:val="auto"/>
              </w:rPr>
              <w:t>exercise of</w:t>
            </w:r>
          </w:p>
        </w:tc>
        <w:tc>
          <w:tcPr>
            <w:tcW w:w="1220" w:type="dxa"/>
            <w:vAlign w:val="bottom"/>
          </w:tcPr>
          <w:p>
            <w:pPr>
              <w:ind w:left="40"/>
              <w:spacing w:after="0"/>
              <w:rPr>
                <w:sz w:val="20"/>
                <w:szCs w:val="20"/>
                <w:color w:val="auto"/>
              </w:rPr>
            </w:pPr>
            <w:r>
              <w:rPr>
                <w:rFonts w:ascii="Times New Roman" w:cs="Times New Roman" w:eastAsia="Times New Roman" w:hAnsi="Times New Roman"/>
                <w:sz w:val="20"/>
                <w:szCs w:val="20"/>
                <w:b w:val="1"/>
                <w:bCs w:val="1"/>
                <w:color w:val="auto"/>
              </w:rPr>
              <w:t>outstanding</w:t>
            </w:r>
          </w:p>
        </w:tc>
        <w:tc>
          <w:tcPr>
            <w:tcW w:w="2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320" w:type="dxa"/>
            <w:vAlign w:val="bottom"/>
          </w:tcPr>
          <w:p>
            <w:pPr>
              <w:ind w:left="40"/>
              <w:spacing w:after="0"/>
              <w:rPr>
                <w:sz w:val="20"/>
                <w:szCs w:val="20"/>
                <w:color w:val="auto"/>
              </w:rPr>
            </w:pPr>
            <w:r>
              <w:rPr>
                <w:rFonts w:ascii="Times New Roman" w:cs="Times New Roman" w:eastAsia="Times New Roman" w:hAnsi="Times New Roman"/>
                <w:sz w:val="20"/>
                <w:szCs w:val="20"/>
                <w:b w:val="1"/>
                <w:bCs w:val="1"/>
                <w:color w:val="auto"/>
              </w:rPr>
              <w:t>future issuance under</w:t>
            </w:r>
          </w:p>
        </w:tc>
        <w:tc>
          <w:tcPr>
            <w:tcW w:w="0" w:type="dxa"/>
            <w:vAlign w:val="bottom"/>
          </w:tcPr>
          <w:p>
            <w:pPr>
              <w:spacing w:after="0"/>
              <w:rPr>
                <w:sz w:val="1"/>
                <w:szCs w:val="1"/>
                <w:color w:val="auto"/>
              </w:rPr>
            </w:pPr>
          </w:p>
        </w:tc>
      </w:tr>
      <w:tr>
        <w:trPr>
          <w:trHeight w:val="230"/>
        </w:trPr>
        <w:tc>
          <w:tcPr>
            <w:tcW w:w="40" w:type="dxa"/>
            <w:vAlign w:val="bottom"/>
          </w:tcPr>
          <w:p>
            <w:pPr>
              <w:spacing w:after="0"/>
              <w:rPr>
                <w:sz w:val="20"/>
                <w:szCs w:val="20"/>
                <w:color w:val="auto"/>
              </w:rPr>
            </w:pPr>
          </w:p>
        </w:tc>
        <w:tc>
          <w:tcPr>
            <w:tcW w:w="45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780" w:type="dxa"/>
            <w:vAlign w:val="bottom"/>
            <w:gridSpan w:val="2"/>
          </w:tcPr>
          <w:p>
            <w:pPr>
              <w:ind w:left="60"/>
              <w:spacing w:after="0"/>
              <w:rPr>
                <w:sz w:val="20"/>
                <w:szCs w:val="20"/>
                <w:color w:val="auto"/>
              </w:rPr>
            </w:pPr>
            <w:r>
              <w:rPr>
                <w:rFonts w:ascii="Times New Roman" w:cs="Times New Roman" w:eastAsia="Times New Roman" w:hAnsi="Times New Roman"/>
                <w:sz w:val="20"/>
                <w:szCs w:val="20"/>
                <w:b w:val="1"/>
                <w:bCs w:val="1"/>
                <w:color w:val="auto"/>
              </w:rPr>
              <w:t>outstanding</w:t>
            </w:r>
          </w:p>
        </w:tc>
        <w:tc>
          <w:tcPr>
            <w:tcW w:w="1220" w:type="dxa"/>
            <w:vAlign w:val="bottom"/>
          </w:tcPr>
          <w:p>
            <w:pPr>
              <w:ind w:left="40"/>
              <w:spacing w:after="0"/>
              <w:rPr>
                <w:sz w:val="20"/>
                <w:szCs w:val="20"/>
                <w:color w:val="auto"/>
              </w:rPr>
            </w:pPr>
            <w:r>
              <w:rPr>
                <w:rFonts w:ascii="Times New Roman" w:cs="Times New Roman" w:eastAsia="Times New Roman" w:hAnsi="Times New Roman"/>
                <w:sz w:val="20"/>
                <w:szCs w:val="20"/>
                <w:b w:val="1"/>
                <w:bCs w:val="1"/>
                <w:color w:val="auto"/>
              </w:rPr>
              <w:t>options,</w:t>
            </w:r>
          </w:p>
        </w:tc>
        <w:tc>
          <w:tcPr>
            <w:tcW w:w="2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320" w:type="dxa"/>
            <w:vAlign w:val="bottom"/>
          </w:tcPr>
          <w:p>
            <w:pPr>
              <w:ind w:left="40"/>
              <w:spacing w:after="0"/>
              <w:rPr>
                <w:sz w:val="20"/>
                <w:szCs w:val="20"/>
                <w:color w:val="auto"/>
              </w:rPr>
            </w:pPr>
            <w:r>
              <w:rPr>
                <w:rFonts w:ascii="Times New Roman" w:cs="Times New Roman" w:eastAsia="Times New Roman" w:hAnsi="Times New Roman"/>
                <w:sz w:val="20"/>
                <w:szCs w:val="20"/>
                <w:b w:val="1"/>
                <w:bCs w:val="1"/>
                <w:color w:val="auto"/>
              </w:rPr>
              <w:t>equity compensation</w:t>
            </w:r>
          </w:p>
        </w:tc>
        <w:tc>
          <w:tcPr>
            <w:tcW w:w="0" w:type="dxa"/>
            <w:vAlign w:val="bottom"/>
          </w:tcPr>
          <w:p>
            <w:pPr>
              <w:spacing w:after="0"/>
              <w:rPr>
                <w:sz w:val="1"/>
                <w:szCs w:val="1"/>
                <w:color w:val="auto"/>
              </w:rPr>
            </w:pPr>
          </w:p>
        </w:tc>
      </w:tr>
      <w:tr>
        <w:trPr>
          <w:trHeight w:val="230"/>
        </w:trPr>
        <w:tc>
          <w:tcPr>
            <w:tcW w:w="40" w:type="dxa"/>
            <w:vAlign w:val="bottom"/>
          </w:tcPr>
          <w:p>
            <w:pPr>
              <w:spacing w:after="0"/>
              <w:rPr>
                <w:sz w:val="20"/>
                <w:szCs w:val="20"/>
                <w:color w:val="auto"/>
              </w:rPr>
            </w:pPr>
          </w:p>
        </w:tc>
        <w:tc>
          <w:tcPr>
            <w:tcW w:w="4520" w:type="dxa"/>
            <w:vAlign w:val="bottom"/>
            <w:vMerge w:val="restart"/>
          </w:tcPr>
          <w:p>
            <w:pPr>
              <w:spacing w:after="0"/>
              <w:rPr>
                <w:sz w:val="20"/>
                <w:szCs w:val="20"/>
                <w:color w:val="auto"/>
              </w:rPr>
            </w:pPr>
            <w:r>
              <w:rPr>
                <w:rFonts w:ascii="Times New Roman" w:cs="Times New Roman" w:eastAsia="Times New Roman" w:hAnsi="Times New Roman"/>
                <w:sz w:val="20"/>
                <w:szCs w:val="20"/>
                <w:b w:val="1"/>
                <w:bCs w:val="1"/>
                <w:color w:val="auto"/>
              </w:rPr>
              <w:t>Plan Category</w:t>
            </w:r>
          </w:p>
        </w:tc>
        <w:tc>
          <w:tcPr>
            <w:tcW w:w="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780" w:type="dxa"/>
            <w:vAlign w:val="bottom"/>
            <w:gridSpan w:val="2"/>
          </w:tcPr>
          <w:p>
            <w:pPr>
              <w:ind w:left="60"/>
              <w:spacing w:after="0"/>
              <w:rPr>
                <w:sz w:val="20"/>
                <w:szCs w:val="20"/>
                <w:color w:val="auto"/>
              </w:rPr>
            </w:pPr>
            <w:r>
              <w:rPr>
                <w:rFonts w:ascii="Times New Roman" w:cs="Times New Roman" w:eastAsia="Times New Roman" w:hAnsi="Times New Roman"/>
                <w:sz w:val="20"/>
                <w:szCs w:val="20"/>
                <w:b w:val="1"/>
                <w:bCs w:val="1"/>
                <w:color w:val="auto"/>
              </w:rPr>
              <w:t>options, warrants</w:t>
            </w:r>
          </w:p>
        </w:tc>
        <w:tc>
          <w:tcPr>
            <w:tcW w:w="1220" w:type="dxa"/>
            <w:vAlign w:val="bottom"/>
          </w:tcPr>
          <w:p>
            <w:pPr>
              <w:ind w:left="40"/>
              <w:spacing w:after="0"/>
              <w:rPr>
                <w:sz w:val="20"/>
                <w:szCs w:val="20"/>
                <w:color w:val="auto"/>
              </w:rPr>
            </w:pPr>
            <w:r>
              <w:rPr>
                <w:rFonts w:ascii="Times New Roman" w:cs="Times New Roman" w:eastAsia="Times New Roman" w:hAnsi="Times New Roman"/>
                <w:sz w:val="20"/>
                <w:szCs w:val="20"/>
                <w:b w:val="1"/>
                <w:bCs w:val="1"/>
                <w:color w:val="auto"/>
              </w:rPr>
              <w:t>warrants and</w:t>
            </w:r>
          </w:p>
        </w:tc>
        <w:tc>
          <w:tcPr>
            <w:tcW w:w="2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320" w:type="dxa"/>
            <w:vAlign w:val="bottom"/>
          </w:tcPr>
          <w:p>
            <w:pPr>
              <w:ind w:left="40"/>
              <w:spacing w:after="0"/>
              <w:rPr>
                <w:sz w:val="20"/>
                <w:szCs w:val="20"/>
                <w:color w:val="auto"/>
              </w:rPr>
            </w:pPr>
            <w:r>
              <w:rPr>
                <w:rFonts w:ascii="Times New Roman" w:cs="Times New Roman" w:eastAsia="Times New Roman" w:hAnsi="Times New Roman"/>
                <w:sz w:val="20"/>
                <w:szCs w:val="20"/>
                <w:b w:val="1"/>
                <w:bCs w:val="1"/>
                <w:color w:val="auto"/>
              </w:rPr>
              <w:t>plans (excluding shares</w:t>
            </w:r>
          </w:p>
        </w:tc>
        <w:tc>
          <w:tcPr>
            <w:tcW w:w="0" w:type="dxa"/>
            <w:vAlign w:val="bottom"/>
          </w:tcPr>
          <w:p>
            <w:pPr>
              <w:spacing w:after="0"/>
              <w:rPr>
                <w:sz w:val="1"/>
                <w:szCs w:val="1"/>
                <w:color w:val="auto"/>
              </w:rPr>
            </w:pPr>
          </w:p>
        </w:tc>
      </w:tr>
      <w:tr>
        <w:trPr>
          <w:trHeight w:val="353"/>
        </w:trPr>
        <w:tc>
          <w:tcPr>
            <w:tcW w:w="40" w:type="dxa"/>
            <w:vAlign w:val="bottom"/>
          </w:tcPr>
          <w:p>
            <w:pPr>
              <w:spacing w:after="0"/>
              <w:rPr>
                <w:sz w:val="24"/>
                <w:szCs w:val="24"/>
                <w:color w:val="auto"/>
              </w:rPr>
            </w:pPr>
          </w:p>
        </w:tc>
        <w:tc>
          <w:tcPr>
            <w:tcW w:w="4520" w:type="dxa"/>
            <w:vAlign w:val="bottom"/>
            <w:vMerge w:val="continue"/>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780" w:type="dxa"/>
            <w:vAlign w:val="bottom"/>
            <w:gridSpan w:val="2"/>
          </w:tcPr>
          <w:p>
            <w:pPr>
              <w:ind w:left="60"/>
              <w:spacing w:after="0"/>
              <w:rPr>
                <w:sz w:val="20"/>
                <w:szCs w:val="20"/>
                <w:color w:val="auto"/>
              </w:rPr>
            </w:pPr>
            <w:r>
              <w:rPr>
                <w:rFonts w:ascii="Times New Roman" w:cs="Times New Roman" w:eastAsia="Times New Roman" w:hAnsi="Times New Roman"/>
                <w:sz w:val="20"/>
                <w:szCs w:val="20"/>
                <w:b w:val="1"/>
                <w:bCs w:val="1"/>
                <w:color w:val="auto"/>
              </w:rPr>
              <w:t>and rights</w:t>
            </w:r>
          </w:p>
        </w:tc>
        <w:tc>
          <w:tcPr>
            <w:tcW w:w="1220" w:type="dxa"/>
            <w:vAlign w:val="bottom"/>
          </w:tcPr>
          <w:p>
            <w:pPr>
              <w:ind w:left="40"/>
              <w:spacing w:after="0"/>
              <w:rPr>
                <w:sz w:val="20"/>
                <w:szCs w:val="20"/>
                <w:color w:val="auto"/>
              </w:rPr>
            </w:pPr>
            <w:r>
              <w:rPr>
                <w:rFonts w:ascii="Times New Roman" w:cs="Times New Roman" w:eastAsia="Times New Roman" w:hAnsi="Times New Roman"/>
                <w:sz w:val="20"/>
                <w:szCs w:val="20"/>
                <w:b w:val="1"/>
                <w:bCs w:val="1"/>
                <w:color w:val="auto"/>
              </w:rPr>
              <w:t>rights</w:t>
            </w:r>
            <w:r>
              <w:rPr>
                <w:rFonts w:ascii="Times New Roman" w:cs="Times New Roman" w:eastAsia="Times New Roman" w:hAnsi="Times New Roman"/>
                <w:sz w:val="25"/>
                <w:szCs w:val="25"/>
                <w:b w:val="1"/>
                <w:bCs w:val="1"/>
                <w:color w:val="auto"/>
                <w:vertAlign w:val="superscript"/>
              </w:rPr>
              <w:t>(2)</w:t>
            </w:r>
          </w:p>
        </w:tc>
        <w:tc>
          <w:tcPr>
            <w:tcW w:w="2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320" w:type="dxa"/>
            <w:vAlign w:val="bottom"/>
          </w:tcPr>
          <w:p>
            <w:pPr>
              <w:ind w:left="40"/>
              <w:spacing w:after="0"/>
              <w:rPr>
                <w:sz w:val="20"/>
                <w:szCs w:val="20"/>
                <w:color w:val="auto"/>
              </w:rPr>
            </w:pPr>
            <w:r>
              <w:rPr>
                <w:rFonts w:ascii="Times New Roman" w:cs="Times New Roman" w:eastAsia="Times New Roman" w:hAnsi="Times New Roman"/>
                <w:sz w:val="20"/>
                <w:szCs w:val="20"/>
                <w:b w:val="1"/>
                <w:bCs w:val="1"/>
                <w:color w:val="auto"/>
              </w:rPr>
              <w:t>reflected in column (a))</w:t>
            </w:r>
            <w:r>
              <w:rPr>
                <w:rFonts w:ascii="Times New Roman" w:cs="Times New Roman" w:eastAsia="Times New Roman" w:hAnsi="Times New Roman"/>
                <w:sz w:val="25"/>
                <w:szCs w:val="25"/>
                <w:b w:val="1"/>
                <w:bCs w:val="1"/>
                <w:color w:val="auto"/>
                <w:vertAlign w:val="superscript"/>
              </w:rPr>
              <w:t>(3)</w:t>
            </w:r>
          </w:p>
        </w:tc>
        <w:tc>
          <w:tcPr>
            <w:tcW w:w="0" w:type="dxa"/>
            <w:vAlign w:val="bottom"/>
          </w:tcPr>
          <w:p>
            <w:pPr>
              <w:spacing w:after="0"/>
              <w:rPr>
                <w:sz w:val="1"/>
                <w:szCs w:val="1"/>
                <w:color w:val="auto"/>
              </w:rPr>
            </w:pPr>
          </w:p>
        </w:tc>
      </w:tr>
      <w:tr>
        <w:trPr>
          <w:trHeight w:val="284"/>
        </w:trPr>
        <w:tc>
          <w:tcPr>
            <w:tcW w:w="40" w:type="dxa"/>
            <w:vAlign w:val="bottom"/>
          </w:tcPr>
          <w:p>
            <w:pPr>
              <w:spacing w:after="0"/>
              <w:rPr>
                <w:sz w:val="24"/>
                <w:szCs w:val="24"/>
                <w:color w:val="auto"/>
              </w:rPr>
            </w:pPr>
          </w:p>
        </w:tc>
        <w:tc>
          <w:tcPr>
            <w:tcW w:w="45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780" w:type="dxa"/>
            <w:vAlign w:val="bottom"/>
            <w:gridSpan w:val="2"/>
          </w:tcPr>
          <w:p>
            <w:pPr>
              <w:ind w:left="740"/>
              <w:spacing w:after="0"/>
              <w:rPr>
                <w:sz w:val="20"/>
                <w:szCs w:val="20"/>
                <w:color w:val="auto"/>
              </w:rPr>
            </w:pPr>
            <w:r>
              <w:rPr>
                <w:rFonts w:ascii="Times New Roman" w:cs="Times New Roman" w:eastAsia="Times New Roman" w:hAnsi="Times New Roman"/>
                <w:sz w:val="20"/>
                <w:szCs w:val="20"/>
                <w:b w:val="1"/>
                <w:bCs w:val="1"/>
                <w:color w:val="auto"/>
              </w:rPr>
              <w:t>(a)</w:t>
            </w:r>
          </w:p>
        </w:tc>
        <w:tc>
          <w:tcPr>
            <w:tcW w:w="1220" w:type="dxa"/>
            <w:vAlign w:val="bottom"/>
          </w:tcPr>
          <w:p>
            <w:pPr>
              <w:ind w:left="600"/>
              <w:spacing w:after="0"/>
              <w:rPr>
                <w:sz w:val="20"/>
                <w:szCs w:val="20"/>
                <w:color w:val="auto"/>
              </w:rPr>
            </w:pPr>
            <w:r>
              <w:rPr>
                <w:rFonts w:ascii="Times New Roman" w:cs="Times New Roman" w:eastAsia="Times New Roman" w:hAnsi="Times New Roman"/>
                <w:sz w:val="20"/>
                <w:szCs w:val="20"/>
                <w:b w:val="1"/>
                <w:bCs w:val="1"/>
                <w:color w:val="auto"/>
              </w:rPr>
              <w:t>(b)</w:t>
            </w:r>
          </w:p>
        </w:tc>
        <w:tc>
          <w:tcPr>
            <w:tcW w:w="2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320" w:type="dxa"/>
            <w:vAlign w:val="bottom"/>
          </w:tcPr>
          <w:p>
            <w:pPr>
              <w:ind w:left="1040"/>
              <w:spacing w:after="0"/>
              <w:rPr>
                <w:sz w:val="20"/>
                <w:szCs w:val="20"/>
                <w:color w:val="auto"/>
              </w:rPr>
            </w:pPr>
            <w:r>
              <w:rPr>
                <w:rFonts w:ascii="Times New Roman" w:cs="Times New Roman" w:eastAsia="Times New Roman" w:hAnsi="Times New Roman"/>
                <w:sz w:val="20"/>
                <w:szCs w:val="20"/>
                <w:b w:val="1"/>
                <w:bCs w:val="1"/>
                <w:color w:val="auto"/>
              </w:rPr>
              <w:t>(c)</w:t>
            </w:r>
          </w:p>
        </w:tc>
        <w:tc>
          <w:tcPr>
            <w:tcW w:w="0" w:type="dxa"/>
            <w:vAlign w:val="bottom"/>
          </w:tcPr>
          <w:p>
            <w:pPr>
              <w:spacing w:after="0"/>
              <w:rPr>
                <w:sz w:val="1"/>
                <w:szCs w:val="1"/>
                <w:color w:val="auto"/>
              </w:rPr>
            </w:pPr>
          </w:p>
        </w:tc>
      </w:tr>
      <w:tr>
        <w:trPr>
          <w:trHeight w:val="359"/>
        </w:trPr>
        <w:tc>
          <w:tcPr>
            <w:tcW w:w="40" w:type="dxa"/>
            <w:vAlign w:val="bottom"/>
            <w:shd w:val="clear" w:color="auto" w:fill="DDDDDD"/>
          </w:tcPr>
          <w:p>
            <w:pPr>
              <w:spacing w:after="0"/>
              <w:rPr>
                <w:sz w:val="24"/>
                <w:szCs w:val="24"/>
                <w:color w:val="auto"/>
              </w:rPr>
            </w:pPr>
          </w:p>
        </w:tc>
        <w:tc>
          <w:tcPr>
            <w:tcW w:w="4520" w:type="dxa"/>
            <w:vAlign w:val="bottom"/>
            <w:shd w:val="clear" w:color="auto" w:fill="DDDDDD"/>
          </w:tcPr>
          <w:p>
            <w:pPr>
              <w:spacing w:after="0"/>
              <w:rPr>
                <w:sz w:val="20"/>
                <w:szCs w:val="20"/>
                <w:color w:val="auto"/>
              </w:rPr>
            </w:pPr>
            <w:r>
              <w:rPr>
                <w:rFonts w:ascii="Times New Roman" w:cs="Times New Roman" w:eastAsia="Times New Roman" w:hAnsi="Times New Roman"/>
                <w:sz w:val="18"/>
                <w:szCs w:val="18"/>
                <w:color w:val="auto"/>
              </w:rPr>
              <w:t>Equity compensation plan approved by stockholders</w:t>
            </w:r>
          </w:p>
        </w:tc>
        <w:tc>
          <w:tcPr>
            <w:tcW w:w="40" w:type="dxa"/>
            <w:vAlign w:val="bottom"/>
            <w:shd w:val="clear" w:color="auto" w:fill="DDDDDD"/>
          </w:tcPr>
          <w:p>
            <w:pPr>
              <w:spacing w:after="0"/>
              <w:rPr>
                <w:sz w:val="24"/>
                <w:szCs w:val="24"/>
                <w:color w:val="auto"/>
              </w:rPr>
            </w:pPr>
          </w:p>
        </w:tc>
        <w:tc>
          <w:tcPr>
            <w:tcW w:w="20" w:type="dxa"/>
            <w:vAlign w:val="bottom"/>
            <w:shd w:val="clear" w:color="auto" w:fill="DDDDDD"/>
          </w:tcPr>
          <w:p>
            <w:pPr>
              <w:spacing w:after="0"/>
              <w:rPr>
                <w:sz w:val="24"/>
                <w:szCs w:val="24"/>
                <w:color w:val="auto"/>
              </w:rPr>
            </w:pPr>
          </w:p>
        </w:tc>
        <w:tc>
          <w:tcPr>
            <w:tcW w:w="1700" w:type="dxa"/>
            <w:vAlign w:val="bottom"/>
            <w:shd w:val="clear" w:color="auto" w:fill="DDDDDD"/>
          </w:tcPr>
          <w:p>
            <w:pPr>
              <w:ind w:left="780"/>
              <w:spacing w:after="0"/>
              <w:rPr>
                <w:sz w:val="20"/>
                <w:szCs w:val="20"/>
                <w:color w:val="auto"/>
              </w:rPr>
            </w:pPr>
            <w:r>
              <w:rPr>
                <w:rFonts w:ascii="Times New Roman" w:cs="Times New Roman" w:eastAsia="Times New Roman" w:hAnsi="Times New Roman"/>
                <w:sz w:val="18"/>
                <w:szCs w:val="18"/>
                <w:color w:val="auto"/>
                <w:w w:val="99"/>
              </w:rPr>
              <w:t>7,917,973</w:t>
            </w:r>
            <w:r>
              <w:rPr>
                <w:rFonts w:ascii="Times New Roman" w:cs="Times New Roman" w:eastAsia="Times New Roman" w:hAnsi="Times New Roman"/>
                <w:sz w:val="24"/>
                <w:szCs w:val="24"/>
                <w:color w:val="auto"/>
                <w:w w:val="99"/>
                <w:vertAlign w:val="superscript"/>
              </w:rPr>
              <w:t>(1)</w:t>
            </w:r>
          </w:p>
        </w:tc>
        <w:tc>
          <w:tcPr>
            <w:tcW w:w="80" w:type="dxa"/>
            <w:vAlign w:val="bottom"/>
            <w:shd w:val="clear" w:color="auto" w:fill="DDDDDD"/>
          </w:tcPr>
          <w:p>
            <w:pPr>
              <w:spacing w:after="0"/>
              <w:rPr>
                <w:sz w:val="24"/>
                <w:szCs w:val="24"/>
                <w:color w:val="auto"/>
              </w:rPr>
            </w:pPr>
          </w:p>
        </w:tc>
        <w:tc>
          <w:tcPr>
            <w:tcW w:w="1220" w:type="dxa"/>
            <w:vAlign w:val="bottom"/>
            <w:shd w:val="clear" w:color="auto" w:fill="DDDDDD"/>
          </w:tcPr>
          <w:p>
            <w:pPr>
              <w:ind w:left="4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DDDDDD"/>
          </w:tcPr>
          <w:p>
            <w:pPr>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shd w:val="clear" w:color="auto" w:fill="DDDDDD"/>
          </w:tcPr>
          <w:p>
            <w:pPr>
              <w:spacing w:after="0"/>
              <w:rPr>
                <w:sz w:val="24"/>
                <w:szCs w:val="24"/>
                <w:color w:val="auto"/>
              </w:rPr>
            </w:pPr>
          </w:p>
        </w:tc>
        <w:tc>
          <w:tcPr>
            <w:tcW w:w="20" w:type="dxa"/>
            <w:vAlign w:val="bottom"/>
            <w:shd w:val="clear" w:color="auto" w:fill="DDDDDD"/>
          </w:tcPr>
          <w:p>
            <w:pPr>
              <w:spacing w:after="0"/>
              <w:rPr>
                <w:sz w:val="24"/>
                <w:szCs w:val="24"/>
                <w:color w:val="auto"/>
              </w:rPr>
            </w:pPr>
          </w:p>
        </w:tc>
        <w:tc>
          <w:tcPr>
            <w:tcW w:w="2320" w:type="dxa"/>
            <w:vAlign w:val="bottom"/>
            <w:shd w:val="clear" w:color="auto" w:fill="DDDDDD"/>
          </w:tcPr>
          <w:p>
            <w:pPr>
              <w:ind w:left="1300"/>
              <w:spacing w:after="0"/>
              <w:rPr>
                <w:sz w:val="20"/>
                <w:szCs w:val="20"/>
                <w:color w:val="auto"/>
              </w:rPr>
            </w:pPr>
            <w:r>
              <w:rPr>
                <w:rFonts w:ascii="Times New Roman" w:cs="Times New Roman" w:eastAsia="Times New Roman" w:hAnsi="Times New Roman"/>
                <w:sz w:val="18"/>
                <w:szCs w:val="18"/>
                <w:color w:val="auto"/>
              </w:rPr>
              <w:t>22,149,589</w:t>
            </w:r>
            <w:r>
              <w:rPr>
                <w:rFonts w:ascii="Times New Roman" w:cs="Times New Roman" w:eastAsia="Times New Roman" w:hAnsi="Times New Roman"/>
                <w:sz w:val="24"/>
                <w:szCs w:val="24"/>
                <w:color w:val="auto"/>
                <w:vertAlign w:val="superscript"/>
              </w:rPr>
              <w:t>(4)</w:t>
            </w:r>
          </w:p>
        </w:tc>
        <w:tc>
          <w:tcPr>
            <w:tcW w:w="0" w:type="dxa"/>
            <w:vAlign w:val="bottom"/>
          </w:tcPr>
          <w:p>
            <w:pPr>
              <w:spacing w:after="0"/>
              <w:rPr>
                <w:sz w:val="1"/>
                <w:szCs w:val="1"/>
                <w:color w:val="auto"/>
              </w:rPr>
            </w:pPr>
          </w:p>
        </w:tc>
      </w:tr>
      <w:tr>
        <w:trPr>
          <w:trHeight w:val="295"/>
        </w:trPr>
        <w:tc>
          <w:tcPr>
            <w:tcW w:w="40" w:type="dxa"/>
            <w:vAlign w:val="bottom"/>
            <w:tcBorders>
              <w:bottom w:val="single" w:sz="8" w:color="DDDDDD"/>
            </w:tcBorders>
          </w:tcPr>
          <w:p>
            <w:pPr>
              <w:spacing w:after="0"/>
              <w:rPr>
                <w:sz w:val="24"/>
                <w:szCs w:val="24"/>
                <w:color w:val="auto"/>
              </w:rPr>
            </w:pPr>
          </w:p>
        </w:tc>
        <w:tc>
          <w:tcPr>
            <w:tcW w:w="4520" w:type="dxa"/>
            <w:vAlign w:val="bottom"/>
            <w:tcBorders>
              <w:bottom w:val="single" w:sz="8" w:color="DDDDDD"/>
            </w:tcBorders>
          </w:tcPr>
          <w:p>
            <w:pPr>
              <w:spacing w:after="0"/>
              <w:rPr>
                <w:sz w:val="20"/>
                <w:szCs w:val="20"/>
                <w:color w:val="auto"/>
              </w:rPr>
            </w:pPr>
            <w:r>
              <w:rPr>
                <w:rFonts w:ascii="Times New Roman" w:cs="Times New Roman" w:eastAsia="Times New Roman" w:hAnsi="Times New Roman"/>
                <w:sz w:val="18"/>
                <w:szCs w:val="18"/>
                <w:color w:val="auto"/>
              </w:rPr>
              <w:t>Equity compensation plan not approved by stockholders</w:t>
            </w:r>
          </w:p>
        </w:tc>
        <w:tc>
          <w:tcPr>
            <w:tcW w:w="40" w:type="dxa"/>
            <w:vAlign w:val="bottom"/>
            <w:tcBorders>
              <w:bottom w:val="single" w:sz="8" w:color="DDDDDD"/>
            </w:tcBorders>
          </w:tcPr>
          <w:p>
            <w:pPr>
              <w:spacing w:after="0"/>
              <w:rPr>
                <w:sz w:val="24"/>
                <w:szCs w:val="24"/>
                <w:color w:val="auto"/>
              </w:rPr>
            </w:pPr>
          </w:p>
        </w:tc>
        <w:tc>
          <w:tcPr>
            <w:tcW w:w="20" w:type="dxa"/>
            <w:vAlign w:val="bottom"/>
            <w:tcBorders>
              <w:bottom w:val="single" w:sz="8" w:color="DDDDDD"/>
            </w:tcBorders>
          </w:tcPr>
          <w:p>
            <w:pPr>
              <w:spacing w:after="0"/>
              <w:rPr>
                <w:sz w:val="24"/>
                <w:szCs w:val="24"/>
                <w:color w:val="auto"/>
              </w:rPr>
            </w:pPr>
          </w:p>
        </w:tc>
        <w:tc>
          <w:tcPr>
            <w:tcW w:w="1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Borders>
              <w:bottom w:val="single" w:sz="8" w:color="DDDDDD"/>
            </w:tcBorders>
          </w:tcPr>
          <w:p>
            <w:pPr>
              <w:spacing w:after="0"/>
              <w:rPr>
                <w:sz w:val="24"/>
                <w:szCs w:val="24"/>
                <w:color w:val="auto"/>
              </w:rPr>
            </w:pPr>
          </w:p>
        </w:tc>
        <w:tc>
          <w:tcPr>
            <w:tcW w:w="1220" w:type="dxa"/>
            <w:vAlign w:val="bottom"/>
            <w:tcBorders>
              <w:bottom w:val="single" w:sz="8" w:color="DDDDDD"/>
            </w:tcBorders>
          </w:tcPr>
          <w:p>
            <w:pPr>
              <w:spacing w:after="0"/>
              <w:rPr>
                <w:sz w:val="24"/>
                <w:szCs w:val="24"/>
                <w:color w:val="auto"/>
              </w:rPr>
            </w:pPr>
          </w:p>
        </w:tc>
        <w:tc>
          <w:tcPr>
            <w:tcW w:w="240" w:type="dxa"/>
            <w:vAlign w:val="bottom"/>
            <w:tcBorders>
              <w:bottom w:val="single" w:sz="8" w:color="DDDDDD"/>
            </w:tcBorders>
          </w:tcPr>
          <w:p>
            <w:pPr>
              <w:spacing w:after="0"/>
              <w:rPr>
                <w:sz w:val="24"/>
                <w:szCs w:val="24"/>
                <w:color w:val="auto"/>
              </w:rPr>
            </w:pPr>
          </w:p>
        </w:tc>
        <w:tc>
          <w:tcPr>
            <w:tcW w:w="60" w:type="dxa"/>
            <w:vAlign w:val="bottom"/>
            <w:tcBorders>
              <w:bottom w:val="single" w:sz="8" w:color="DDDDDD"/>
            </w:tcBorders>
          </w:tcPr>
          <w:p>
            <w:pPr>
              <w:spacing w:after="0"/>
              <w:rPr>
                <w:sz w:val="24"/>
                <w:szCs w:val="24"/>
                <w:color w:val="auto"/>
              </w:rPr>
            </w:pPr>
          </w:p>
        </w:tc>
        <w:tc>
          <w:tcPr>
            <w:tcW w:w="20" w:type="dxa"/>
            <w:vAlign w:val="bottom"/>
            <w:tcBorders>
              <w:bottom w:val="single" w:sz="8" w:color="DDDDDD"/>
            </w:tcBorders>
          </w:tcPr>
          <w:p>
            <w:pPr>
              <w:spacing w:after="0"/>
              <w:rPr>
                <w:sz w:val="24"/>
                <w:szCs w:val="24"/>
                <w:color w:val="auto"/>
              </w:rPr>
            </w:pPr>
          </w:p>
        </w:tc>
        <w:tc>
          <w:tcPr>
            <w:tcW w:w="2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75"/>
        </w:trPr>
        <w:tc>
          <w:tcPr>
            <w:tcW w:w="40" w:type="dxa"/>
            <w:vAlign w:val="bottom"/>
            <w:shd w:val="clear" w:color="auto" w:fill="DDDDDD"/>
          </w:tcPr>
          <w:p>
            <w:pPr>
              <w:spacing w:after="0"/>
              <w:rPr>
                <w:sz w:val="23"/>
                <w:szCs w:val="23"/>
                <w:color w:val="auto"/>
              </w:rPr>
            </w:pPr>
          </w:p>
        </w:tc>
        <w:tc>
          <w:tcPr>
            <w:tcW w:w="4520" w:type="dxa"/>
            <w:vAlign w:val="bottom"/>
            <w:shd w:val="clear" w:color="auto" w:fill="DDDDDD"/>
          </w:tcPr>
          <w:p>
            <w:pPr>
              <w:ind w:left="220"/>
              <w:spacing w:after="0"/>
              <w:rPr>
                <w:sz w:val="20"/>
                <w:szCs w:val="20"/>
                <w:color w:val="auto"/>
              </w:rPr>
            </w:pPr>
            <w:r>
              <w:rPr>
                <w:rFonts w:ascii="Times New Roman" w:cs="Times New Roman" w:eastAsia="Times New Roman" w:hAnsi="Times New Roman"/>
                <w:sz w:val="18"/>
                <w:szCs w:val="18"/>
                <w:color w:val="auto"/>
              </w:rPr>
              <w:t>Total</w:t>
            </w:r>
          </w:p>
        </w:tc>
        <w:tc>
          <w:tcPr>
            <w:tcW w:w="1760" w:type="dxa"/>
            <w:vAlign w:val="bottom"/>
            <w:gridSpan w:val="3"/>
            <w:shd w:val="clear" w:color="auto" w:fill="DDDDDD"/>
          </w:tcPr>
          <w:p>
            <w:pPr>
              <w:jc w:val="right"/>
              <w:spacing w:after="0"/>
              <w:rPr>
                <w:sz w:val="20"/>
                <w:szCs w:val="20"/>
                <w:color w:val="auto"/>
              </w:rPr>
            </w:pPr>
            <w:r>
              <w:rPr>
                <w:rFonts w:ascii="Times New Roman" w:cs="Times New Roman" w:eastAsia="Times New Roman" w:hAnsi="Times New Roman"/>
                <w:sz w:val="18"/>
                <w:szCs w:val="18"/>
                <w:color w:val="auto"/>
              </w:rPr>
              <w:t>7,917,973</w:t>
            </w:r>
          </w:p>
        </w:tc>
        <w:tc>
          <w:tcPr>
            <w:tcW w:w="80" w:type="dxa"/>
            <w:vAlign w:val="bottom"/>
            <w:shd w:val="clear" w:color="auto" w:fill="DDDDDD"/>
          </w:tcPr>
          <w:p>
            <w:pPr>
              <w:spacing w:after="0"/>
              <w:rPr>
                <w:sz w:val="23"/>
                <w:szCs w:val="23"/>
                <w:color w:val="auto"/>
              </w:rPr>
            </w:pPr>
          </w:p>
        </w:tc>
        <w:tc>
          <w:tcPr>
            <w:tcW w:w="1220" w:type="dxa"/>
            <w:vAlign w:val="bottom"/>
            <w:shd w:val="clear" w:color="auto" w:fill="DDDDDD"/>
          </w:tcPr>
          <w:p>
            <w:pPr>
              <w:ind w:left="4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DDDDDD"/>
          </w:tcPr>
          <w:p>
            <w:pPr>
              <w:spacing w:after="0"/>
              <w:rPr>
                <w:sz w:val="20"/>
                <w:szCs w:val="20"/>
                <w:color w:val="auto"/>
              </w:rPr>
            </w:pPr>
            <w:r>
              <w:rPr>
                <w:rFonts w:ascii="Times New Roman" w:cs="Times New Roman" w:eastAsia="Times New Roman" w:hAnsi="Times New Roman"/>
                <w:sz w:val="18"/>
                <w:szCs w:val="18"/>
                <w:color w:val="auto"/>
              </w:rPr>
              <w:t>—</w:t>
            </w:r>
          </w:p>
        </w:tc>
        <w:tc>
          <w:tcPr>
            <w:tcW w:w="2400" w:type="dxa"/>
            <w:vAlign w:val="bottom"/>
            <w:gridSpan w:val="3"/>
            <w:shd w:val="clear" w:color="auto" w:fill="DDDDDD"/>
          </w:tcPr>
          <w:p>
            <w:pPr>
              <w:jc w:val="right"/>
              <w:spacing w:after="0"/>
              <w:rPr>
                <w:sz w:val="20"/>
                <w:szCs w:val="20"/>
                <w:color w:val="auto"/>
              </w:rPr>
            </w:pPr>
            <w:r>
              <w:rPr>
                <w:rFonts w:ascii="Times New Roman" w:cs="Times New Roman" w:eastAsia="Times New Roman" w:hAnsi="Times New Roman"/>
                <w:sz w:val="18"/>
                <w:szCs w:val="18"/>
                <w:color w:val="auto"/>
              </w:rPr>
              <w:t>22,149,589</w:t>
            </w:r>
          </w:p>
        </w:tc>
        <w:tc>
          <w:tcPr>
            <w:tcW w:w="0" w:type="dxa"/>
            <w:vAlign w:val="bottom"/>
          </w:tcPr>
          <w:p>
            <w:pPr>
              <w:spacing w:after="0"/>
              <w:rPr>
                <w:sz w:val="1"/>
                <w:szCs w:val="1"/>
                <w:color w:val="auto"/>
              </w:rPr>
            </w:pPr>
          </w:p>
        </w:tc>
      </w:tr>
      <w:tr>
        <w:trPr>
          <w:trHeight w:val="20"/>
        </w:trPr>
        <w:tc>
          <w:tcPr>
            <w:tcW w:w="40" w:type="dxa"/>
            <w:vAlign w:val="bottom"/>
          </w:tcPr>
          <w:p>
            <w:pPr>
              <w:spacing w:after="0" w:line="20" w:lineRule="exact"/>
              <w:rPr>
                <w:sz w:val="1"/>
                <w:szCs w:val="1"/>
                <w:color w:val="auto"/>
              </w:rPr>
            </w:pPr>
          </w:p>
        </w:tc>
        <w:tc>
          <w:tcPr>
            <w:tcW w:w="45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7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3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
        </w:trPr>
        <w:tc>
          <w:tcPr>
            <w:tcW w:w="40" w:type="dxa"/>
            <w:vAlign w:val="bottom"/>
          </w:tcPr>
          <w:p>
            <w:pPr>
              <w:spacing w:after="0" w:line="20" w:lineRule="exact"/>
              <w:rPr>
                <w:sz w:val="1"/>
                <w:szCs w:val="1"/>
                <w:color w:val="auto"/>
              </w:rPr>
            </w:pPr>
          </w:p>
        </w:tc>
        <w:tc>
          <w:tcPr>
            <w:tcW w:w="45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7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3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00" w:lineRule="exact"/>
        <w:rPr>
          <w:sz w:val="20"/>
          <w:szCs w:val="20"/>
          <w:color w:val="auto"/>
        </w:rPr>
      </w:pPr>
    </w:p>
    <w:p>
      <w:pPr>
        <w:ind w:left="6"/>
        <w:spacing w:after="0"/>
        <w:rPr>
          <w:sz w:val="20"/>
          <w:szCs w:val="20"/>
          <w:color w:val="auto"/>
        </w:rPr>
      </w:pPr>
      <w:r>
        <w:rPr>
          <w:rFonts w:ascii="Times New Roman" w:cs="Times New Roman" w:eastAsia="Times New Roman" w:hAnsi="Times New Roman"/>
          <w:sz w:val="20"/>
          <w:szCs w:val="20"/>
          <w:color w:val="auto"/>
        </w:rPr>
        <w:t>____________</w:t>
      </w:r>
    </w:p>
    <w:p>
      <w:pPr>
        <w:spacing w:after="0" w:line="166" w:lineRule="exact"/>
        <w:rPr>
          <w:sz w:val="20"/>
          <w:szCs w:val="20"/>
          <w:color w:val="auto"/>
        </w:rPr>
      </w:pPr>
    </w:p>
    <w:p>
      <w:pPr>
        <w:ind w:left="86" w:hanging="86"/>
        <w:spacing w:after="0" w:line="254" w:lineRule="auto"/>
        <w:tabs>
          <w:tab w:leader="none" w:pos="94" w:val="left"/>
        </w:tabs>
        <w:numPr>
          <w:ilvl w:val="0"/>
          <w:numId w:val="64"/>
        </w:numPr>
        <w:rPr>
          <w:rFonts w:ascii="Times New Roman" w:cs="Times New Roman" w:eastAsia="Times New Roman" w:hAnsi="Times New Roman"/>
          <w:sz w:val="26"/>
          <w:szCs w:val="26"/>
          <w:color w:val="auto"/>
          <w:vertAlign w:val="superscript"/>
        </w:rPr>
      </w:pPr>
      <w:r>
        <w:rPr>
          <w:rFonts w:ascii="Times New Roman" w:cs="Times New Roman" w:eastAsia="Times New Roman" w:hAnsi="Times New Roman"/>
          <w:sz w:val="20"/>
          <w:szCs w:val="20"/>
          <w:color w:val="auto"/>
        </w:rPr>
        <w:t>The number of shares to be issued upon exercise of outstanding options, warrants and rights includes shares that will be issued upon the vesting of outstanding RSU awards of 7,683,598 shares and PRSU awards of 234,375 shares.</w:t>
      </w:r>
    </w:p>
    <w:p>
      <w:pPr>
        <w:spacing w:after="0" w:line="109" w:lineRule="exact"/>
        <w:rPr>
          <w:rFonts w:ascii="Times New Roman" w:cs="Times New Roman" w:eastAsia="Times New Roman" w:hAnsi="Times New Roman"/>
          <w:sz w:val="26"/>
          <w:szCs w:val="26"/>
          <w:color w:val="auto"/>
          <w:vertAlign w:val="superscript"/>
        </w:rPr>
      </w:pPr>
    </w:p>
    <w:p>
      <w:pPr>
        <w:ind w:left="86" w:hanging="86"/>
        <w:spacing w:after="0" w:line="254" w:lineRule="auto"/>
        <w:tabs>
          <w:tab w:leader="none" w:pos="101" w:val="left"/>
        </w:tabs>
        <w:numPr>
          <w:ilvl w:val="0"/>
          <w:numId w:val="64"/>
        </w:numPr>
        <w:rPr>
          <w:rFonts w:ascii="Times New Roman" w:cs="Times New Roman" w:eastAsia="Times New Roman" w:hAnsi="Times New Roman"/>
          <w:sz w:val="26"/>
          <w:szCs w:val="26"/>
          <w:color w:val="auto"/>
          <w:vertAlign w:val="superscript"/>
        </w:rPr>
      </w:pPr>
      <w:r>
        <w:rPr>
          <w:rFonts w:ascii="Times New Roman" w:cs="Times New Roman" w:eastAsia="Times New Roman" w:hAnsi="Times New Roman"/>
          <w:sz w:val="20"/>
          <w:szCs w:val="20"/>
          <w:color w:val="auto"/>
        </w:rPr>
        <w:t>The weighted-average exercise price of outstanding options, warrants and rights does not reflect the shares that will be issued upon the vesting of outstanding awards of RSUs and PRSUs, which have no exercise price.</w:t>
      </w:r>
    </w:p>
    <w:p>
      <w:pPr>
        <w:spacing w:after="0" w:line="109" w:lineRule="exact"/>
        <w:rPr>
          <w:rFonts w:ascii="Times New Roman" w:cs="Times New Roman" w:eastAsia="Times New Roman" w:hAnsi="Times New Roman"/>
          <w:sz w:val="26"/>
          <w:szCs w:val="26"/>
          <w:color w:val="auto"/>
          <w:vertAlign w:val="superscript"/>
        </w:rPr>
      </w:pPr>
    </w:p>
    <w:p>
      <w:pPr>
        <w:jc w:val="both"/>
        <w:ind w:left="86" w:hanging="86"/>
        <w:spacing w:after="0" w:line="279" w:lineRule="auto"/>
        <w:tabs>
          <w:tab w:leader="none" w:pos="94" w:val="left"/>
        </w:tabs>
        <w:numPr>
          <w:ilvl w:val="0"/>
          <w:numId w:val="64"/>
        </w:numPr>
        <w:rPr>
          <w:rFonts w:ascii="Times New Roman" w:cs="Times New Roman" w:eastAsia="Times New Roman" w:hAnsi="Times New Roman"/>
          <w:sz w:val="26"/>
          <w:szCs w:val="26"/>
          <w:color w:val="auto"/>
          <w:vertAlign w:val="superscript"/>
        </w:rPr>
      </w:pPr>
      <w:r>
        <w:rPr>
          <w:rFonts w:ascii="Times New Roman" w:cs="Times New Roman" w:eastAsia="Times New Roman" w:hAnsi="Times New Roman"/>
          <w:sz w:val="20"/>
          <w:szCs w:val="20"/>
          <w:color w:val="auto"/>
        </w:rPr>
        <w:t>Our 2021 Equity Plan provides that on the first day of each fiscal year beginning with the 2022 fiscal year, the number of shares of Class A Common stock reserved for issuance under the 2021 Equity Plan will automatically increase on January 1 of each year for a period of ten years commencing on January 1, 2022 and ending on (and including) January 1, 2031, in an amount equal to five percent (5%) of the total number of shares of the Company’s capital stock outstanding on December 31 of the preceding year; provided, however that the Board may act prior to January 1st of a given year to provide that the increase for such year will be a lesser number of shares of common stock.</w:t>
      </w:r>
    </w:p>
    <w:p>
      <w:pPr>
        <w:spacing w:after="0" w:line="94" w:lineRule="exact"/>
        <w:rPr>
          <w:rFonts w:ascii="Times New Roman" w:cs="Times New Roman" w:eastAsia="Times New Roman" w:hAnsi="Times New Roman"/>
          <w:sz w:val="26"/>
          <w:szCs w:val="26"/>
          <w:color w:val="auto"/>
          <w:vertAlign w:val="superscript"/>
        </w:rPr>
      </w:pPr>
    </w:p>
    <w:p>
      <w:pPr>
        <w:ind w:left="86" w:right="20" w:hanging="86"/>
        <w:spacing w:after="0" w:line="280" w:lineRule="auto"/>
        <w:tabs>
          <w:tab w:leader="none" w:pos="86" w:val="left"/>
        </w:tabs>
        <w:numPr>
          <w:ilvl w:val="0"/>
          <w:numId w:val="64"/>
        </w:numPr>
        <w:rPr>
          <w:rFonts w:ascii="Times New Roman" w:cs="Times New Roman" w:eastAsia="Times New Roman" w:hAnsi="Times New Roman"/>
          <w:sz w:val="25"/>
          <w:szCs w:val="25"/>
          <w:color w:val="auto"/>
          <w:vertAlign w:val="superscript"/>
        </w:rPr>
      </w:pPr>
      <w:r>
        <w:rPr>
          <w:rFonts w:ascii="Times New Roman" w:cs="Times New Roman" w:eastAsia="Times New Roman" w:hAnsi="Times New Roman"/>
          <w:sz w:val="19"/>
          <w:szCs w:val="19"/>
          <w:color w:val="auto"/>
        </w:rPr>
        <w:t>The number Consists of 19,530,046 shares of our common stock reserved for issuance under our 2021 Equity Plan and 2,619,543 shares of our common stock reserved for issuance under our 2021 Employee Stock Purchase Plan.</w:t>
      </w:r>
    </w:p>
    <w:p>
      <w:pPr>
        <w:spacing w:after="0" w:line="77" w:lineRule="exact"/>
        <w:rPr>
          <w:sz w:val="20"/>
          <w:szCs w:val="20"/>
          <w:color w:val="auto"/>
        </w:rPr>
      </w:pPr>
    </w:p>
    <w:p>
      <w:pPr>
        <w:ind w:left="6"/>
        <w:spacing w:after="0"/>
        <w:rPr>
          <w:sz w:val="20"/>
          <w:szCs w:val="20"/>
          <w:color w:val="auto"/>
        </w:rPr>
      </w:pPr>
      <w:r>
        <w:rPr>
          <w:rFonts w:ascii="Times New Roman" w:cs="Times New Roman" w:eastAsia="Times New Roman" w:hAnsi="Times New Roman"/>
          <w:sz w:val="20"/>
          <w:szCs w:val="20"/>
          <w:b w:val="1"/>
          <w:bCs w:val="1"/>
          <w:color w:val="auto"/>
        </w:rPr>
        <w:t>Delinquent Section 16(a) Reports</w:t>
      </w:r>
    </w:p>
    <w:p>
      <w:pPr>
        <w:spacing w:after="0" w:line="168" w:lineRule="exact"/>
        <w:rPr>
          <w:sz w:val="20"/>
          <w:szCs w:val="20"/>
          <w:color w:val="auto"/>
        </w:rPr>
      </w:pPr>
    </w:p>
    <w:p>
      <w:pPr>
        <w:jc w:val="both"/>
        <w:ind w:left="6"/>
        <w:spacing w:after="0" w:line="301" w:lineRule="auto"/>
        <w:rPr>
          <w:sz w:val="20"/>
          <w:szCs w:val="20"/>
          <w:color w:val="auto"/>
        </w:rPr>
      </w:pPr>
      <w:r>
        <w:rPr>
          <w:rFonts w:ascii="Times New Roman" w:cs="Times New Roman" w:eastAsia="Times New Roman" w:hAnsi="Times New Roman"/>
          <w:sz w:val="20"/>
          <w:szCs w:val="20"/>
          <w:color w:val="auto"/>
        </w:rPr>
        <w:t>Section 16(a) of the Exchange Act requires our directors and executive officers, and persons who own more than ten percent of a registered class of our equity securities, to file with the SEC initial reports of ownership and reports of changes in ownership of our Common Stock and other equity securities. Officers, directors and greater than ten percent stockholders are required by SEC regulation to furnish us with copies of all Section 16(a) forms they file.</w:t>
      </w:r>
    </w:p>
    <w:p>
      <w:pPr>
        <w:spacing w:after="0" w:line="70" w:lineRule="exact"/>
        <w:rPr>
          <w:sz w:val="20"/>
          <w:szCs w:val="20"/>
          <w:color w:val="auto"/>
        </w:rPr>
      </w:pPr>
    </w:p>
    <w:p>
      <w:pPr>
        <w:jc w:val="both"/>
        <w:ind w:left="6"/>
        <w:spacing w:after="0" w:line="296" w:lineRule="auto"/>
        <w:rPr>
          <w:sz w:val="20"/>
          <w:szCs w:val="20"/>
          <w:color w:val="auto"/>
        </w:rPr>
      </w:pPr>
      <w:r>
        <w:rPr>
          <w:rFonts w:ascii="Times New Roman" w:cs="Times New Roman" w:eastAsia="Times New Roman" w:hAnsi="Times New Roman"/>
          <w:sz w:val="20"/>
          <w:szCs w:val="20"/>
          <w:color w:val="auto"/>
        </w:rPr>
        <w:t>To our knowledge, based solely on a review of the copies of such reports furnished to us and written representations that no other reports were required, during the year ended December 31, 2023, all Section 16(a) filing requirements applicable to our officers, directors and greater than ten percent stockholders were complied with, with the exception of two Form 3s for the initial statement of beneficial ownership, which were inadvertently filed late, one for each of Mmes. Hoitt and McMinn, and two Form 4s for restricted stock unit grants, which were inadvertently filed late, one for each of Messrs. Camire and Grazier, all due to administrative errors.</w:t>
      </w:r>
    </w:p>
    <w:p>
      <w:pPr>
        <w:spacing w:after="0" w:line="74" w:lineRule="exact"/>
        <w:rPr>
          <w:sz w:val="20"/>
          <w:szCs w:val="20"/>
          <w:color w:val="auto"/>
        </w:rPr>
      </w:pPr>
    </w:p>
    <w:p>
      <w:pPr>
        <w:ind w:left="6"/>
        <w:spacing w:after="0"/>
        <w:tabs>
          <w:tab w:leader="none" w:pos="1066" w:val="left"/>
        </w:tabs>
        <w:rPr>
          <w:sz w:val="20"/>
          <w:szCs w:val="20"/>
          <w:color w:val="auto"/>
        </w:rPr>
      </w:pPr>
      <w:r>
        <w:rPr>
          <w:rFonts w:ascii="Times New Roman" w:cs="Times New Roman" w:eastAsia="Times New Roman" w:hAnsi="Times New Roman"/>
          <w:sz w:val="20"/>
          <w:szCs w:val="20"/>
          <w:b w:val="1"/>
          <w:bCs w:val="1"/>
          <w:color w:val="auto"/>
        </w:rPr>
        <w:t>ITEM 13.</w:t>
      </w:r>
      <w:r>
        <w:rPr>
          <w:sz w:val="20"/>
          <w:szCs w:val="20"/>
          <w:color w:val="auto"/>
        </w:rPr>
        <w:tab/>
      </w:r>
      <w:r>
        <w:rPr>
          <w:rFonts w:ascii="Times New Roman" w:cs="Times New Roman" w:eastAsia="Times New Roman" w:hAnsi="Times New Roman"/>
          <w:sz w:val="19"/>
          <w:szCs w:val="19"/>
          <w:b w:val="1"/>
          <w:bCs w:val="1"/>
          <w:color w:val="auto"/>
        </w:rPr>
        <w:t>CERTAIN RELATIONSHIPS AND RELATED TRANSACTIONS AND DIRECTOR INDEPENDENCE</w:t>
      </w:r>
    </w:p>
    <w:p>
      <w:pPr>
        <w:spacing w:after="0" w:line="168" w:lineRule="exact"/>
        <w:rPr>
          <w:sz w:val="20"/>
          <w:szCs w:val="20"/>
          <w:color w:val="auto"/>
        </w:rPr>
      </w:pPr>
    </w:p>
    <w:p>
      <w:pPr>
        <w:jc w:val="both"/>
        <w:ind w:left="6" w:right="20"/>
        <w:spacing w:after="0" w:line="326" w:lineRule="auto"/>
        <w:rPr>
          <w:sz w:val="20"/>
          <w:szCs w:val="20"/>
          <w:color w:val="auto"/>
        </w:rPr>
      </w:pPr>
      <w:r>
        <w:rPr>
          <w:rFonts w:ascii="Times New Roman" w:cs="Times New Roman" w:eastAsia="Times New Roman" w:hAnsi="Times New Roman"/>
          <w:sz w:val="20"/>
          <w:szCs w:val="20"/>
          <w:color w:val="auto"/>
        </w:rPr>
        <w:t>The following is a summary of transactions since January 1, 2023, to which we have been a party in which the amount involved exceeded $120,000 and in which any of our executive officers, directors, managers, promoters, beneficial holders of more than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jc w:val="center"/>
        <w:ind w:right="14"/>
        <w:spacing w:after="0"/>
        <w:rPr>
          <w:sz w:val="20"/>
          <w:szCs w:val="20"/>
          <w:color w:val="auto"/>
        </w:rPr>
      </w:pPr>
      <w:r>
        <w:rPr>
          <w:rFonts w:ascii="Times New Roman" w:cs="Times New Roman" w:eastAsia="Times New Roman" w:hAnsi="Times New Roman"/>
          <w:sz w:val="20"/>
          <w:szCs w:val="20"/>
          <w:color w:val="auto"/>
        </w:rPr>
        <w:t>101</w:t>
      </w:r>
    </w:p>
    <w:p>
      <w:pPr>
        <w:sectPr>
          <w:pgSz w:w="12240" w:h="15840" w:orient="portrait"/>
          <w:cols w:equalWidth="0" w:num="1">
            <w:col w:w="10266"/>
          </w:cols>
          <w:pgMar w:left="994" w:top="882" w:right="980" w:bottom="222" w:gutter="0" w:footer="0" w:header="0"/>
        </w:sectPr>
      </w:pPr>
    </w:p>
    <w:bookmarkStart w:id="105" w:name="page106"/>
    <w:bookmarkEnd w:id="105"/>
    <w:p>
      <w:pPr>
        <w:jc w:val="both"/>
        <w:ind w:right="20"/>
        <w:spacing w:after="0" w:line="326" w:lineRule="auto"/>
        <w:rPr>
          <w:sz w:val="20"/>
          <w:szCs w:val="20"/>
          <w:color w:val="auto"/>
        </w:rPr>
      </w:pPr>
      <w:r>
        <w:rPr>
          <w:rFonts w:ascii="Times New Roman" w:cs="Times New Roman" w:eastAsia="Times New Roman" w:hAnsi="Times New Roman"/>
          <w:sz w:val="20"/>
          <w:szCs w:val="20"/>
          <w:color w:val="auto"/>
        </w:rPr>
        <w:t>5% of our membership interests, or any associates or affiliates thereof had or will have a direct or indirect material interest, other than compensation arrangements which are described in the section entitled “Executive Compensation.”</w:t>
      </w:r>
    </w:p>
    <w:p>
      <w:pPr>
        <w:spacing w:after="0" w:line="43"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Amended Operating Company Agreement</w:t>
      </w:r>
    </w:p>
    <w:p>
      <w:pPr>
        <w:spacing w:after="0" w:line="168" w:lineRule="exact"/>
        <w:rPr>
          <w:sz w:val="20"/>
          <w:szCs w:val="20"/>
          <w:color w:val="auto"/>
        </w:rPr>
      </w:pPr>
    </w:p>
    <w:p>
      <w:pPr>
        <w:jc w:val="both"/>
        <w:spacing w:after="0" w:line="301" w:lineRule="auto"/>
        <w:rPr>
          <w:sz w:val="20"/>
          <w:szCs w:val="20"/>
          <w:color w:val="auto"/>
        </w:rPr>
      </w:pPr>
      <w:r>
        <w:rPr>
          <w:rFonts w:ascii="Times New Roman" w:cs="Times New Roman" w:eastAsia="Times New Roman" w:hAnsi="Times New Roman"/>
          <w:sz w:val="20"/>
          <w:szCs w:val="20"/>
          <w:color w:val="auto"/>
        </w:rPr>
        <w:t>Concurrently with the Closing, the WMH LLC operating agreement was further amended and restated in its entirety to become the Fourth Amended and Restated Operating Agreement (the “Amended Operating Agreement”). Messrs. Camire, Grazier, Francis and Hartfield and Ghost Media Group, LLC all own Paired Interests and Class P Units as described in the section titled “Security Ownership of Certain Beneficial Owners and Management.”</w:t>
      </w:r>
    </w:p>
    <w:p>
      <w:pPr>
        <w:spacing w:after="0" w:line="68"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Rights of the Units</w:t>
      </w:r>
    </w:p>
    <w:p>
      <w:pPr>
        <w:spacing w:after="0" w:line="168" w:lineRule="exact"/>
        <w:rPr>
          <w:sz w:val="20"/>
          <w:szCs w:val="20"/>
          <w:color w:val="auto"/>
        </w:rPr>
      </w:pPr>
    </w:p>
    <w:p>
      <w:pPr>
        <w:jc w:val="both"/>
        <w:spacing w:after="0" w:line="294" w:lineRule="auto"/>
        <w:rPr>
          <w:sz w:val="20"/>
          <w:szCs w:val="20"/>
          <w:color w:val="auto"/>
        </w:rPr>
      </w:pPr>
      <w:r>
        <w:rPr>
          <w:rFonts w:ascii="Times New Roman" w:cs="Times New Roman" w:eastAsia="Times New Roman" w:hAnsi="Times New Roman"/>
          <w:sz w:val="20"/>
          <w:szCs w:val="20"/>
          <w:color w:val="auto"/>
        </w:rPr>
        <w:t>Pursuant to the Amended Operating Agreement, the Units are entitled to share in the profits and losses of WMH LLC and to receive distributions as and if declared by the managing member of WMH LLC and have no voting rights. The Amended Operating Agreement generally establishes the rights and vesting conditions of the LTIP Units and the Class P Units, which are treated as profits interests in WMH LLC, and may be offered to directors, employees, officers, consultants or other service providers. LTIP Units and Class P Units have all the rights, privileges, preferences, and obligations as are specifically provided for in the Amended Operating Agreement, and as may otherwise be generally applicable to all classes of Units, however, LTIP Units and Class P Units are not entitled to vote on any matter subject to a vote of the members, except as otherwise required by law.</w:t>
      </w:r>
    </w:p>
    <w:p>
      <w:pPr>
        <w:spacing w:after="0" w:line="77"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Management</w:t>
      </w:r>
    </w:p>
    <w:p>
      <w:pPr>
        <w:spacing w:after="0" w:line="168" w:lineRule="exact"/>
        <w:rPr>
          <w:sz w:val="20"/>
          <w:szCs w:val="20"/>
          <w:color w:val="auto"/>
        </w:rPr>
      </w:pPr>
    </w:p>
    <w:p>
      <w:pPr>
        <w:jc w:val="both"/>
        <w:ind w:right="20"/>
        <w:spacing w:after="0" w:line="306" w:lineRule="auto"/>
        <w:rPr>
          <w:sz w:val="20"/>
          <w:szCs w:val="20"/>
          <w:color w:val="auto"/>
        </w:rPr>
      </w:pPr>
      <w:r>
        <w:rPr>
          <w:rFonts w:ascii="Times New Roman" w:cs="Times New Roman" w:eastAsia="Times New Roman" w:hAnsi="Times New Roman"/>
          <w:sz w:val="20"/>
          <w:szCs w:val="20"/>
          <w:color w:val="auto"/>
        </w:rPr>
        <w:t>We, as the managing member of WMH LLC, have the sole vote on all matters that require a vote of members under the Amended Operating Agreement or applicable law. The business, property and affairs of WMH LLC are managed solely by the managing member, and the managing member cannot be removed or replaced except by the incumbent managing member.</w:t>
      </w:r>
    </w:p>
    <w:p>
      <w:pPr>
        <w:spacing w:after="0" w:line="61"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Distributions</w:t>
      </w:r>
    </w:p>
    <w:p>
      <w:pPr>
        <w:spacing w:after="0" w:line="168" w:lineRule="exact"/>
        <w:rPr>
          <w:sz w:val="20"/>
          <w:szCs w:val="20"/>
          <w:color w:val="auto"/>
        </w:rPr>
      </w:pPr>
    </w:p>
    <w:p>
      <w:pPr>
        <w:jc w:val="both"/>
        <w:spacing w:after="0" w:line="301" w:lineRule="auto"/>
        <w:rPr>
          <w:sz w:val="20"/>
          <w:szCs w:val="20"/>
          <w:color w:val="auto"/>
        </w:rPr>
      </w:pPr>
      <w:r>
        <w:rPr>
          <w:rFonts w:ascii="Times New Roman" w:cs="Times New Roman" w:eastAsia="Times New Roman" w:hAnsi="Times New Roman"/>
          <w:sz w:val="20"/>
          <w:szCs w:val="20"/>
          <w:color w:val="auto"/>
        </w:rPr>
        <w:t>We, as managing member of WMH LLC may, in our sole discretion, authorize distributions to the WMH LLC members (to the extent of available cash, as defined in the amended operating agreement). Subject to provisions in the Amended Operating Agreement governing tax distributions and the treatment of Class P Units and LTIP Units (as defined in the Amended Operating Agreement), all such distributions will be made pro rata in accordance each member’s number of Class P Units.</w:t>
      </w:r>
    </w:p>
    <w:p>
      <w:pPr>
        <w:spacing w:after="0" w:line="70" w:lineRule="exact"/>
        <w:rPr>
          <w:sz w:val="20"/>
          <w:szCs w:val="20"/>
          <w:color w:val="auto"/>
        </w:rPr>
      </w:pPr>
    </w:p>
    <w:p>
      <w:pPr>
        <w:jc w:val="both"/>
        <w:spacing w:after="0" w:line="291" w:lineRule="auto"/>
        <w:rPr>
          <w:sz w:val="20"/>
          <w:szCs w:val="20"/>
          <w:color w:val="auto"/>
        </w:rPr>
      </w:pPr>
      <w:r>
        <w:rPr>
          <w:rFonts w:ascii="Times New Roman" w:cs="Times New Roman" w:eastAsia="Times New Roman" w:hAnsi="Times New Roman"/>
          <w:sz w:val="20"/>
          <w:szCs w:val="20"/>
          <w:color w:val="auto"/>
        </w:rPr>
        <w:t>The holders of Class P Units will generally incur U.S. federal, state and local income taxes on their proportionate share of any net taxable income of WMH LLC. Net profits and net losses of WMH LLC will generally be allocated to its members pro rata in accordance with the percentages of their respective ownership of Units. The Amended Operating Agreement provides for pro rata cash distributions to the holders of Units for purposes of funding their tax obligations in respect of the taxable income of WMH LLC that is allocated to them. Generally, these tax distributions will be computed based on WMH LLC’s estimate of the net taxable income of WMH LLC allocable to each holder of Units multiplied by an assumed tax rate equal to the highest effective marginal combined U.S. federal, state and local income tax rate prescribed for an individual or corporate resident of California or New York, New York (taking into account the non-deductibility of certain expenses, the character of our income, and the deductibility of state and local income taxes, to the extent applicable, but not taking into account any deduction under Section 199A of the Code). As a result of (i) potential differences in the amount of net taxable income allocable to us and the other Unit holders, (ii) the lower tax rate applicable to corporations than individuals and (iii) the use of an assumed tax rate in calculating WMH LLC’s distribution obligations, we may receive tax distributions significantly in excess of its tax liabilities and obligations to make payments under the Tax Receivable Agreement.</w:t>
      </w:r>
    </w:p>
    <w:p>
      <w:pPr>
        <w:spacing w:after="0" w:line="83" w:lineRule="exact"/>
        <w:rPr>
          <w:sz w:val="20"/>
          <w:szCs w:val="20"/>
          <w:color w:val="auto"/>
        </w:rPr>
      </w:pPr>
    </w:p>
    <w:p>
      <w:pPr>
        <w:jc w:val="both"/>
        <w:spacing w:after="0" w:line="309" w:lineRule="auto"/>
        <w:rPr>
          <w:sz w:val="20"/>
          <w:szCs w:val="20"/>
          <w:color w:val="auto"/>
        </w:rPr>
      </w:pPr>
      <w:r>
        <w:rPr>
          <w:rFonts w:ascii="Times New Roman" w:cs="Times New Roman" w:eastAsia="Times New Roman" w:hAnsi="Times New Roman"/>
          <w:sz w:val="20"/>
          <w:szCs w:val="20"/>
          <w:color w:val="auto"/>
        </w:rPr>
        <w:t>Upon the liquidation or winding up of WMH LLC, subject to the treatment of Class P Units and LTIP Units (as defined in the Amended Operating Agreement) and tax distributions, all net proceeds thereof will be distributed in accordance with each member’s number of Units.</w:t>
      </w:r>
    </w:p>
    <w:p>
      <w:pPr>
        <w:spacing w:after="0" w:line="6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Transfer Restrictions</w:t>
      </w:r>
    </w:p>
    <w:p>
      <w:pPr>
        <w:spacing w:after="0" w:line="168" w:lineRule="exact"/>
        <w:rPr>
          <w:sz w:val="20"/>
          <w:szCs w:val="20"/>
          <w:color w:val="auto"/>
        </w:rPr>
      </w:pPr>
    </w:p>
    <w:p>
      <w:pPr>
        <w:jc w:val="both"/>
        <w:ind w:right="20"/>
        <w:spacing w:after="0" w:line="306" w:lineRule="auto"/>
        <w:rPr>
          <w:sz w:val="20"/>
          <w:szCs w:val="20"/>
          <w:color w:val="auto"/>
        </w:rPr>
      </w:pPr>
      <w:r>
        <w:rPr>
          <w:rFonts w:ascii="Times New Roman" w:cs="Times New Roman" w:eastAsia="Times New Roman" w:hAnsi="Times New Roman"/>
          <w:sz w:val="20"/>
          <w:szCs w:val="20"/>
          <w:color w:val="auto"/>
        </w:rPr>
        <w:t>The Amended Operating Agreement contains restrictions on transfers of units and requires the prior consent of the managing member for such transfers, except in specified cases, including (i) certain transfers to permitted transferees under certain conditions and (ii) exchanges of Units for shares of Class A Common Stock or cash pursuant to the exchange agreement.</w:t>
      </w:r>
    </w:p>
    <w:p>
      <w:pPr>
        <w:spacing w:after="0" w:line="29"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20"/>
          <w:szCs w:val="20"/>
          <w:color w:val="auto"/>
        </w:rPr>
        <w:t>102</w:t>
      </w:r>
    </w:p>
    <w:p>
      <w:pPr>
        <w:sectPr>
          <w:pgSz w:w="12240" w:h="15840" w:orient="portrait"/>
          <w:cols w:equalWidth="0" w:num="1">
            <w:col w:w="10260"/>
          </w:cols>
          <w:pgMar w:left="1000" w:top="884" w:right="980" w:bottom="222" w:gutter="0" w:footer="0" w:header="0"/>
        </w:sectPr>
      </w:pPr>
    </w:p>
    <w:bookmarkStart w:id="106" w:name="page107"/>
    <w:bookmarkEnd w:id="106"/>
    <w:p>
      <w:pPr>
        <w:spacing w:after="0"/>
        <w:rPr>
          <w:sz w:val="20"/>
          <w:szCs w:val="20"/>
          <w:color w:val="auto"/>
        </w:rPr>
      </w:pPr>
      <w:r>
        <w:rPr>
          <w:rFonts w:ascii="Times New Roman" w:cs="Times New Roman" w:eastAsia="Times New Roman" w:hAnsi="Times New Roman"/>
          <w:sz w:val="20"/>
          <w:szCs w:val="20"/>
          <w:b w:val="1"/>
          <w:bCs w:val="1"/>
          <w:color w:val="auto"/>
        </w:rPr>
        <w:t>Exchange Agreement</w:t>
      </w:r>
    </w:p>
    <w:p>
      <w:pPr>
        <w:spacing w:after="0" w:line="168" w:lineRule="exact"/>
        <w:rPr>
          <w:sz w:val="20"/>
          <w:szCs w:val="20"/>
          <w:color w:val="auto"/>
        </w:rPr>
      </w:pPr>
    </w:p>
    <w:p>
      <w:pPr>
        <w:jc w:val="both"/>
        <w:spacing w:after="0" w:line="291" w:lineRule="auto"/>
        <w:rPr>
          <w:sz w:val="20"/>
          <w:szCs w:val="20"/>
          <w:color w:val="auto"/>
        </w:rPr>
      </w:pPr>
      <w:r>
        <w:rPr>
          <w:rFonts w:ascii="Times New Roman" w:cs="Times New Roman" w:eastAsia="Times New Roman" w:hAnsi="Times New Roman"/>
          <w:sz w:val="20"/>
          <w:szCs w:val="20"/>
          <w:color w:val="auto"/>
        </w:rPr>
        <w:t>Concurrently with the Closing, we, WMH LLC and the Unit holders, including Messrs. Camire, Grazier, Francis, Hartfield and Ghost Media Group, LLC, as described in the section titled “Security Ownership of Certain Beneficial Owners and Management,” entered into an exchange agreement (the “Exchange Agreement”). The terms of the Exchange Agreement provide the Unit holders (or certain permitted transferees thereof) with the right from time to time at and after 180 days following the Business Combination to exchange their vested Paired Interests for shares of Class A Common Stock on a one-for-one basis, subject to customary conversion rate adjustments for stock splits, stock dividends and reclassifications, and to exchange their vested Class P Units for shares of Class A Common Stock with a value equal to the value of such Class P Units less their participation threshold, or, in each case, at the Company’s election, the cash equivalent of such shares of Class A Common Stock. By default, each exchange will take the form of a redemption by us of the WMH Units in exchange for Class A Common Stock or cash, as applicable, unless we elect to effect such exchange directly with the applicable Unit holder. The shares of Class V Common Stock surrendered in any exchange will be immediately cancelled.</w:t>
      </w:r>
    </w:p>
    <w:p>
      <w:pPr>
        <w:spacing w:after="0" w:line="86" w:lineRule="exact"/>
        <w:rPr>
          <w:sz w:val="20"/>
          <w:szCs w:val="20"/>
          <w:color w:val="auto"/>
        </w:rPr>
      </w:pPr>
    </w:p>
    <w:p>
      <w:pPr>
        <w:jc w:val="both"/>
        <w:spacing w:after="0" w:line="294" w:lineRule="auto"/>
        <w:rPr>
          <w:sz w:val="20"/>
          <w:szCs w:val="20"/>
          <w:color w:val="auto"/>
        </w:rPr>
      </w:pPr>
      <w:r>
        <w:rPr>
          <w:rFonts w:ascii="Times New Roman" w:cs="Times New Roman" w:eastAsia="Times New Roman" w:hAnsi="Times New Roman"/>
          <w:sz w:val="20"/>
          <w:szCs w:val="20"/>
          <w:color w:val="auto"/>
        </w:rPr>
        <w:t>The Exchange Agreement provides that, as a general matter, a Unit holder does not have the right to exchange Units if we determine that such exchange would be prohibited by law or regulation or would violate other agreements with us and our subsidiaries to which the Unit holder may be subject, including the Amended Operating Agreement and the Exchange Agreement. Additionally, the Exchange Agreement contains restrictions on redemptions and exchanges intended to prevent WMH LLC from being treated as a “publicly traded partnership” for U.S. federal income tax purposes. These restrictions are modeled on certain safe harbors provided for under applicable U.S. federal income tax law. We may impose additional restrictions on exchanges that it determines to be necessary or advisable so that WMH LLC is not treated as a “publicly traded partnership” for U.S. federal income tax purposes.</w:t>
      </w:r>
    </w:p>
    <w:p>
      <w:pPr>
        <w:spacing w:after="0" w:line="77"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Tax Receivable Agreement</w:t>
      </w:r>
    </w:p>
    <w:p>
      <w:pPr>
        <w:spacing w:after="0" w:line="168" w:lineRule="exact"/>
        <w:rPr>
          <w:sz w:val="20"/>
          <w:szCs w:val="20"/>
          <w:color w:val="auto"/>
        </w:rPr>
      </w:pPr>
    </w:p>
    <w:p>
      <w:pPr>
        <w:jc w:val="both"/>
        <w:spacing w:after="0" w:line="292" w:lineRule="auto"/>
        <w:rPr>
          <w:sz w:val="20"/>
          <w:szCs w:val="20"/>
          <w:color w:val="auto"/>
        </w:rPr>
      </w:pPr>
      <w:r>
        <w:rPr>
          <w:rFonts w:ascii="Times New Roman" w:cs="Times New Roman" w:eastAsia="Times New Roman" w:hAnsi="Times New Roman"/>
          <w:sz w:val="20"/>
          <w:szCs w:val="20"/>
          <w:color w:val="auto"/>
        </w:rPr>
        <w:t>Concurrently with the Closing, we, the Holder Representative and the Class A Unit holders, including Mr. Francis, Mr. Hartfield and Ghost Media Group, LLC, as described in the section titled “Security Ownership of Certain Beneficial Owners and Management,” entered into the tax receivable agreement, (the “Tax Receivable Agreement”), pursuant to which we are required to pay to holders of Class A Units, in the aggregate, 85% of the amount of cash savings, if any, in U.S. federal, state and local income tax or franchise tax that we actually realizes as a result of (i) increases to the tax basis of WMH LLC’s assets resulting from our acquisition of common units for cash in the Business Combination and taxable redemptions or exchanges of Class A Units for shares of Class A Common Stock or cash pursuant to the Exchange Agreement, (ii) tax benefits related to imputed interest or (iii) tax attributes resulting from payments made under Tax Receivable Agreement. The payment obligations under Tax Receivable Agreement are our obligations and not obligations of WMH LLC.</w:t>
      </w:r>
    </w:p>
    <w:p>
      <w:pPr>
        <w:spacing w:after="0" w:line="81" w:lineRule="exact"/>
        <w:rPr>
          <w:sz w:val="20"/>
          <w:szCs w:val="20"/>
          <w:color w:val="auto"/>
        </w:rPr>
      </w:pPr>
    </w:p>
    <w:p>
      <w:pPr>
        <w:jc w:val="both"/>
        <w:spacing w:after="0" w:line="292" w:lineRule="auto"/>
        <w:rPr>
          <w:sz w:val="20"/>
          <w:szCs w:val="20"/>
          <w:color w:val="auto"/>
        </w:rPr>
      </w:pPr>
      <w:r>
        <w:rPr>
          <w:rFonts w:ascii="Times New Roman" w:cs="Times New Roman" w:eastAsia="Times New Roman" w:hAnsi="Times New Roman"/>
          <w:sz w:val="20"/>
          <w:szCs w:val="20"/>
          <w:color w:val="auto"/>
        </w:rPr>
        <w:t>The payments we will be required to make under the Tax Receivable Agreement may be substantial. Assuming no material changes in relevant tax law, that there are no future redemptions or exchanges of Class A Units and that we earn sufficient taxable income to realize all tax benefits that are subject to the tax receivable agreement, the tax savings associated with acquisitions of common units in the Business Combination would aggregate to approximately $151.3 million over 15 years from the Closing Date. Under this scenario, we would be required to pay to the Class A Unit holders approximately 85% of such amount, or $128.6 million, over the 15-year period from the Closing Date. The actual amounts we will be required to pay may materially differ from these hypothetical amounts, because potential future tax savings that we will be deemed to realize, and the Tax Receivable Agreement payments made by us, will be calculated based in part on the market value of the Class A Common Stock at the time of each redemption or exchange under the exchange agreement and the prevailing applicable tax rates applicable to us over the life of the Tax Receivable Agreement and will depend on us generating sufficient taxable income to realize the tax benefits that are subject to the Tax Receivable Agreement. Payments under the Tax Receivable Agreement are not conditioned on the Class A Unit holders’ continued ownership of WMH LLC.</w:t>
      </w:r>
    </w:p>
    <w:p>
      <w:pPr>
        <w:spacing w:after="0" w:line="77" w:lineRule="exact"/>
        <w:rPr>
          <w:sz w:val="20"/>
          <w:szCs w:val="20"/>
          <w:color w:val="auto"/>
        </w:rPr>
      </w:pPr>
    </w:p>
    <w:p>
      <w:pPr>
        <w:jc w:val="both"/>
        <w:ind w:right="20"/>
        <w:spacing w:after="0" w:line="321" w:lineRule="auto"/>
        <w:rPr>
          <w:sz w:val="20"/>
          <w:szCs w:val="20"/>
          <w:color w:val="auto"/>
        </w:rPr>
      </w:pPr>
      <w:r>
        <w:rPr>
          <w:rFonts w:ascii="Times New Roman" w:cs="Times New Roman" w:eastAsia="Times New Roman" w:hAnsi="Times New Roman"/>
          <w:sz w:val="19"/>
          <w:szCs w:val="19"/>
          <w:color w:val="auto"/>
        </w:rPr>
        <w:t>Payments under the Tax Receivable Agreement will be based on the tax reporting positions we determine, and the IRS or another tax authority may challenge all or a part of the existing tax basis, tax basis increases, or other tax attributes subject to the Tax Receivable Agreement, and a court could sustain such challenge. The parties to the Tax Receivable Agreement will not reimburse us for any payments previously made if such tax basis or other tax benefits are subsequently disallowed, except that any excess</w:t>
      </w:r>
    </w:p>
    <w:p>
      <w:pPr>
        <w:spacing w:after="0" w:line="200" w:lineRule="exact"/>
        <w:rPr>
          <w:sz w:val="20"/>
          <w:szCs w:val="20"/>
          <w:color w:val="auto"/>
        </w:rPr>
      </w:pPr>
    </w:p>
    <w:p>
      <w:pPr>
        <w:spacing w:after="0" w:line="259"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20"/>
          <w:szCs w:val="20"/>
          <w:color w:val="auto"/>
        </w:rPr>
        <w:t>103</w:t>
      </w:r>
    </w:p>
    <w:p>
      <w:pPr>
        <w:sectPr>
          <w:pgSz w:w="12240" w:h="15840" w:orient="portrait"/>
          <w:cols w:equalWidth="0" w:num="1">
            <w:col w:w="10260"/>
          </w:cols>
          <w:pgMar w:left="1000" w:top="882" w:right="980" w:bottom="222" w:gutter="0" w:footer="0" w:header="0"/>
        </w:sectPr>
      </w:pPr>
    </w:p>
    <w:bookmarkStart w:id="107" w:name="page108"/>
    <w:bookmarkEnd w:id="107"/>
    <w:p>
      <w:pPr>
        <w:jc w:val="both"/>
        <w:ind w:right="20"/>
        <w:spacing w:after="0" w:line="326" w:lineRule="auto"/>
        <w:rPr>
          <w:sz w:val="20"/>
          <w:szCs w:val="20"/>
          <w:color w:val="auto"/>
        </w:rPr>
      </w:pPr>
      <w:r>
        <w:rPr>
          <w:rFonts w:ascii="Times New Roman" w:cs="Times New Roman" w:eastAsia="Times New Roman" w:hAnsi="Times New Roman"/>
          <w:sz w:val="20"/>
          <w:szCs w:val="20"/>
          <w:color w:val="auto"/>
        </w:rPr>
        <w:t>payments made to a party under the Tax Receivable Agreement will be netted against future payments otherwise to be made under the Tax Receivable Agreement, if any, after the determination of such excess.</w:t>
      </w:r>
    </w:p>
    <w:p>
      <w:pPr>
        <w:spacing w:after="0" w:line="45" w:lineRule="exact"/>
        <w:rPr>
          <w:sz w:val="20"/>
          <w:szCs w:val="20"/>
          <w:color w:val="auto"/>
        </w:rPr>
      </w:pPr>
    </w:p>
    <w:p>
      <w:pPr>
        <w:jc w:val="both"/>
        <w:spacing w:after="0" w:line="306" w:lineRule="auto"/>
        <w:rPr>
          <w:sz w:val="20"/>
          <w:szCs w:val="20"/>
          <w:color w:val="auto"/>
        </w:rPr>
      </w:pPr>
      <w:r>
        <w:rPr>
          <w:rFonts w:ascii="Times New Roman" w:cs="Times New Roman" w:eastAsia="Times New Roman" w:hAnsi="Times New Roman"/>
          <w:sz w:val="19"/>
          <w:szCs w:val="19"/>
          <w:color w:val="auto"/>
        </w:rPr>
        <w:t>In addition, the Tax Receivable Agreement provides that if (1) we breach any of our material obligations under the Tax Receivable Agreement (including in the event that we are more than three months late making a payment that is due under the Tax Receivable Agreement, except in the case of certain liquidity exceptions), (2) we are subject to certain bankruptcy, insolvency or similar proceedings, or (3) at any time, we elect an early termination of the Tax Receivable Agreement, our obligations under the Tax Receivable Agreement (with respect to all Class A Units, whether or not such units have been exchanged or redeemed before or after such transaction) would accelerate and become payable in a lump sum amount equal to the present value of the anticipated future tax benefits calculated based on certain assumptions, including that we would have sufficient taxable income to fully utilize the deductions arising from the tax deductions, tax basis and other tax attributes subject to the Tax Receivable Agreement. The Tax Receivable Agreement also provides that, upon certain mergers, asset sales or other forms of business combination, or certain other changes of control, (A) our obligations under the Tax Receivable Agreement with respect to Class A Units that have been exchanged or redeemed prior to or in connection with such change of control transaction would accelerate and become payable in a lump sum as described above and (B) with respect to Class A Units that have not been exchanged as of such change of control transaction, our or our successor’s obligations under the Tax Receivable Agreement would be based on certain assumptions, including that our or our successor would have sufficient taxable income to fully utilize the increased tax deductions and tax basis and other benefits covered by the Tax Receivable Agreement. As a result, upon any acceleration of our obligations under the Tax Receivable Agreement (including upon a change of control), we could be required to make payments under the Tax Receivable Agreement that are greater than 85% of our actual cash tax savings, which could negatively impact its liquidity. The change of control provisions in the Tax Receivable Agreement may also result in situations where the Class A Unit holders have interests that differ from or are in addition to those of the Class A stockholders.</w:t>
      </w:r>
    </w:p>
    <w:p>
      <w:pPr>
        <w:spacing w:after="0" w:line="71" w:lineRule="exact"/>
        <w:rPr>
          <w:sz w:val="20"/>
          <w:szCs w:val="20"/>
          <w:color w:val="auto"/>
        </w:rPr>
      </w:pPr>
    </w:p>
    <w:p>
      <w:pPr>
        <w:jc w:val="both"/>
        <w:spacing w:after="0" w:line="321" w:lineRule="auto"/>
        <w:rPr>
          <w:sz w:val="20"/>
          <w:szCs w:val="20"/>
          <w:color w:val="auto"/>
        </w:rPr>
      </w:pPr>
      <w:r>
        <w:rPr>
          <w:rFonts w:ascii="Times New Roman" w:cs="Times New Roman" w:eastAsia="Times New Roman" w:hAnsi="Times New Roman"/>
          <w:sz w:val="19"/>
          <w:szCs w:val="19"/>
          <w:color w:val="auto"/>
        </w:rPr>
        <w:t>Finally, because we are a holding company with no operations of our own, our ability to make payments under the Tax Receivable Agreement depends on our ability to make distributions to us. To the extent that we are unable to make payments under the tax receivable agreement for any reason, such payments will be deferred and will accrue interest until paid, which could negatively impact our results of operations and could also affect our liquidity in periods in which such payments are made.</w:t>
      </w:r>
    </w:p>
    <w:p>
      <w:pPr>
        <w:spacing w:after="0" w:line="53"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Amended and Restated Registration Rights Agreement</w:t>
      </w:r>
    </w:p>
    <w:p>
      <w:pPr>
        <w:spacing w:after="0" w:line="168" w:lineRule="exact"/>
        <w:rPr>
          <w:sz w:val="20"/>
          <w:szCs w:val="20"/>
          <w:color w:val="auto"/>
        </w:rPr>
      </w:pPr>
    </w:p>
    <w:p>
      <w:pPr>
        <w:jc w:val="both"/>
        <w:spacing w:after="0" w:line="291" w:lineRule="auto"/>
        <w:rPr>
          <w:sz w:val="20"/>
          <w:szCs w:val="20"/>
          <w:color w:val="auto"/>
        </w:rPr>
      </w:pPr>
      <w:r>
        <w:rPr>
          <w:rFonts w:ascii="Times New Roman" w:cs="Times New Roman" w:eastAsia="Times New Roman" w:hAnsi="Times New Roman"/>
          <w:sz w:val="20"/>
          <w:szCs w:val="20"/>
          <w:color w:val="auto"/>
        </w:rPr>
        <w:t>Concurrently with the Closing, Silver Spike Sponsor, LLC (“Silver Spike Sponsor”) and certain Unit holders, including Messrs. Camire, Grazier, Francis, Silver Spike Sponsor, LLC and Ghost Media Group, LLC, as described in the section titled “Security Ownership of Certain Beneficial Owners and Management,” entered into the Amended and Restated Registration Rights Agreement, dated June 16, 2021, among us and certain of our stockholders (the “Amended and Restated Registration Rights Agreement”). As a result, Silver Spike Sponsor, LLC and such certain Unit holders are able to make a written demand for registration under the Securities Act of all or a portion of their registrable securities, subject to a maximum of three such demand registrations for Silver Spike Sponsor, LLC and three such demand registrations for such certain Unit holders thereto, in each case so long as such demand includes a number of registrable securities with a total offering price in excess of $10.0 million. Any such demand may be in the form of an underwritten offering, it being understood that we will not be able to conduct more than two underwritten offerings where the expected aggregate proceeds are less than $25.0 million but in excess of $10.0 million in any 12-month period. In addition, the holders of registrable securities will have “piggy-back” registration rights to include their securities in other registration statements filed by us. We have filed a resale shelf registration statement covering the resale of all registrable securities within 45 days of the Closing.</w:t>
      </w:r>
    </w:p>
    <w:p>
      <w:pPr>
        <w:spacing w:after="0" w:line="81"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Silver Spike Related Transactions and Agreements</w:t>
      </w:r>
    </w:p>
    <w:p>
      <w:pPr>
        <w:spacing w:after="0" w:line="168" w:lineRule="exact"/>
        <w:rPr>
          <w:sz w:val="20"/>
          <w:szCs w:val="20"/>
          <w:color w:val="auto"/>
        </w:rPr>
      </w:pPr>
    </w:p>
    <w:p>
      <w:pPr>
        <w:jc w:val="both"/>
        <w:ind w:right="20"/>
        <w:spacing w:after="0" w:line="309" w:lineRule="auto"/>
        <w:rPr>
          <w:sz w:val="20"/>
          <w:szCs w:val="20"/>
          <w:color w:val="auto"/>
        </w:rPr>
      </w:pPr>
      <w:r>
        <w:rPr>
          <w:rFonts w:ascii="Times New Roman" w:cs="Times New Roman" w:eastAsia="Times New Roman" w:hAnsi="Times New Roman"/>
          <w:sz w:val="20"/>
          <w:szCs w:val="20"/>
          <w:color w:val="auto"/>
        </w:rPr>
        <w:t>In connection with the closing of Silver Spike Acquisition Corp.’s (“Silver Spike’s”) Initial Public Offering (“IPO”), Silver Spike Sponsor granted sponsor LLC equity interests to Silver Spike’s independent directors that collectively comprised approximately 1% of the outstanding equity interests in Silver Spike Sponsor.</w:t>
      </w:r>
    </w:p>
    <w:p>
      <w:pPr>
        <w:spacing w:after="0" w:line="62" w:lineRule="exact"/>
        <w:rPr>
          <w:sz w:val="20"/>
          <w:szCs w:val="20"/>
          <w:color w:val="auto"/>
        </w:rPr>
      </w:pPr>
    </w:p>
    <w:p>
      <w:pPr>
        <w:jc w:val="both"/>
        <w:ind w:right="20"/>
        <w:spacing w:after="0" w:line="321" w:lineRule="auto"/>
        <w:rPr>
          <w:sz w:val="20"/>
          <w:szCs w:val="20"/>
          <w:color w:val="auto"/>
        </w:rPr>
      </w:pPr>
      <w:r>
        <w:rPr>
          <w:rFonts w:ascii="Times New Roman" w:cs="Times New Roman" w:eastAsia="Times New Roman" w:hAnsi="Times New Roman"/>
          <w:sz w:val="19"/>
          <w:szCs w:val="19"/>
          <w:color w:val="auto"/>
        </w:rPr>
        <w:t>Silver Spike Sponsor purchased an aggregate of 7,000,000 Private Placement Warrants for a purchase price of $1.00 per warrant in a private placement simultaneously with the closing of Silver Spike’s IPO. Each Private Placement Warrant may be exercised for one share of Class A Common Stock at a price of $11.50 per share, subject to adjustment as provided herein. The Private Placement Warrants (including the Class A Common Stock issuable upon exercise of the Private Placement Warrants) may not,</w:t>
      </w:r>
    </w:p>
    <w:p>
      <w:pPr>
        <w:spacing w:after="0" w:line="63"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20"/>
          <w:szCs w:val="20"/>
          <w:color w:val="auto"/>
        </w:rPr>
        <w:t>104</w:t>
      </w:r>
    </w:p>
    <w:p>
      <w:pPr>
        <w:sectPr>
          <w:pgSz w:w="12240" w:h="15840" w:orient="portrait"/>
          <w:cols w:equalWidth="0" w:num="1">
            <w:col w:w="10260"/>
          </w:cols>
          <w:pgMar w:left="1000" w:top="884" w:right="980" w:bottom="222" w:gutter="0" w:footer="0" w:header="0"/>
        </w:sectPr>
      </w:pPr>
    </w:p>
    <w:bookmarkStart w:id="108" w:name="page109"/>
    <w:bookmarkEnd w:id="108"/>
    <w:p>
      <w:pPr>
        <w:jc w:val="both"/>
        <w:ind w:right="20"/>
        <w:spacing w:after="0" w:line="326" w:lineRule="auto"/>
        <w:rPr>
          <w:sz w:val="20"/>
          <w:szCs w:val="20"/>
          <w:color w:val="auto"/>
        </w:rPr>
      </w:pPr>
      <w:r>
        <w:rPr>
          <w:rFonts w:ascii="Times New Roman" w:cs="Times New Roman" w:eastAsia="Times New Roman" w:hAnsi="Times New Roman"/>
          <w:sz w:val="20"/>
          <w:szCs w:val="20"/>
          <w:color w:val="auto"/>
        </w:rPr>
        <w:t>subject to certain limited exceptions, be transferred, assigned or sold by it until 30 days after the completion of the Business Combination.</w:t>
      </w:r>
    </w:p>
    <w:p>
      <w:pPr>
        <w:spacing w:after="0" w:line="45" w:lineRule="exact"/>
        <w:rPr>
          <w:sz w:val="20"/>
          <w:szCs w:val="20"/>
          <w:color w:val="auto"/>
        </w:rPr>
      </w:pPr>
    </w:p>
    <w:p>
      <w:pPr>
        <w:jc w:val="both"/>
        <w:spacing w:after="0" w:line="312" w:lineRule="auto"/>
        <w:rPr>
          <w:sz w:val="20"/>
          <w:szCs w:val="20"/>
          <w:color w:val="auto"/>
        </w:rPr>
      </w:pPr>
      <w:r>
        <w:rPr>
          <w:rFonts w:ascii="Times New Roman" w:cs="Times New Roman" w:eastAsia="Times New Roman" w:hAnsi="Times New Roman"/>
          <w:sz w:val="19"/>
          <w:szCs w:val="19"/>
          <w:color w:val="auto"/>
        </w:rPr>
        <w:t>In connection with the Business Combination, we paid $1.1 million in certain transaction costs reimbursable by Silver Spike Sponsor, an affiliate to a member of the Board. On March 16, 2023, Silver Spike Holdings, an affiliate of Silver Spike Sponsor, entered into a promissory note with us and agreed to pay the principal amount in 12 equal quarterly installments commencing on March 31, 2023. The promissory note will bear interest at a rate of 5% per annum commencing on March 31, 2023. In an event of default, the outstanding principal amount shall bear interest for the entire period during which the principal balance is unpaid at a rate which is equal to 10% per annum. As of December 31, 2023, the remaining balance of the promissory note receivable was $0.7 million. We received a total of $383,724 in 2023 for principal and interest related to the promissory note receivable.</w:t>
      </w:r>
    </w:p>
    <w:p>
      <w:pPr>
        <w:spacing w:after="0" w:line="64" w:lineRule="exact"/>
        <w:rPr>
          <w:sz w:val="20"/>
          <w:szCs w:val="20"/>
          <w:color w:val="auto"/>
        </w:rPr>
      </w:pPr>
    </w:p>
    <w:p>
      <w:pPr>
        <w:jc w:val="both"/>
        <w:ind w:right="20"/>
        <w:spacing w:after="0" w:line="309" w:lineRule="auto"/>
        <w:rPr>
          <w:sz w:val="20"/>
          <w:szCs w:val="20"/>
          <w:color w:val="auto"/>
        </w:rPr>
      </w:pPr>
      <w:r>
        <w:rPr>
          <w:rFonts w:ascii="Times New Roman" w:cs="Times New Roman" w:eastAsia="Times New Roman" w:hAnsi="Times New Roman"/>
          <w:sz w:val="20"/>
          <w:szCs w:val="20"/>
          <w:color w:val="auto"/>
        </w:rPr>
        <w:t>During the fourth quarter of 2023, we reimbursed $0.4 million to Silver Spike Holdings, an affiliate to a member of the board of directors in connection with responding to a subpoena received from the SEC’s Division of Enforcement in connection the SEC investigation disclosed in the Company’s Form 10-K.</w:t>
      </w:r>
    </w:p>
    <w:p>
      <w:pPr>
        <w:spacing w:after="0" w:line="6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Legacy WMH Transactions and Agreements</w:t>
      </w:r>
    </w:p>
    <w:p>
      <w:pPr>
        <w:spacing w:after="0" w:line="16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Certain Other Enterprises</w:t>
      </w:r>
    </w:p>
    <w:p>
      <w:pPr>
        <w:spacing w:after="0" w:line="168" w:lineRule="exact"/>
        <w:rPr>
          <w:sz w:val="20"/>
          <w:szCs w:val="20"/>
          <w:color w:val="auto"/>
        </w:rPr>
      </w:pPr>
    </w:p>
    <w:p>
      <w:pPr>
        <w:jc w:val="both"/>
        <w:spacing w:after="0" w:line="310" w:lineRule="auto"/>
        <w:rPr>
          <w:sz w:val="20"/>
          <w:szCs w:val="20"/>
          <w:color w:val="auto"/>
        </w:rPr>
      </w:pPr>
      <w:r>
        <w:rPr>
          <w:rFonts w:ascii="Times New Roman" w:cs="Times New Roman" w:eastAsia="Times New Roman" w:hAnsi="Times New Roman"/>
          <w:sz w:val="19"/>
          <w:szCs w:val="19"/>
          <w:color w:val="auto"/>
        </w:rPr>
        <w:t>Shield Management Group, LLC is a business in which currently Mr. Francis indirectly owns a majority interest, and Mr. Hartfield indirectly owns a minority interest. In 2023, Shield Management Group, LLC used our listing products and participated in other brand promotion opportunities. Shield Management Group, LLC paid us a total of $427,797 in 2023 for such products and services. Glasir Group, LLC is a business owned by Mr. Francis and his spouse. During the second quarter of 2022, we entered into a sublease agreement with Glasir Group, LLC of our offices located at 43 Discovery, Irvine, California 92618. The sublease commenced on June 1, 2022, and the term is for the remainder of the original lease and will expire on February 28, 2025, or sooner in the event that the original lease is cancelled prior to the expiration date. The monthly base rent, after the rent abatement period for the first four months, is $69,000. Glasir Group, LLC paid us a total of $169,095 in 2023 for rent under the sublease.</w:t>
      </w:r>
    </w:p>
    <w:p>
      <w:pPr>
        <w:spacing w:after="0" w:line="6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Other Transactions</w:t>
      </w:r>
    </w:p>
    <w:p>
      <w:pPr>
        <w:spacing w:after="0" w:line="168" w:lineRule="exact"/>
        <w:rPr>
          <w:sz w:val="20"/>
          <w:szCs w:val="20"/>
          <w:color w:val="auto"/>
        </w:rPr>
      </w:pPr>
    </w:p>
    <w:p>
      <w:pPr>
        <w:jc w:val="both"/>
        <w:spacing w:after="0" w:line="309" w:lineRule="auto"/>
        <w:rPr>
          <w:sz w:val="20"/>
          <w:szCs w:val="20"/>
          <w:color w:val="auto"/>
        </w:rPr>
      </w:pPr>
      <w:r>
        <w:rPr>
          <w:rFonts w:ascii="Times New Roman" w:cs="Times New Roman" w:eastAsia="Times New Roman" w:hAnsi="Times New Roman"/>
          <w:sz w:val="20"/>
          <w:szCs w:val="20"/>
          <w:color w:val="auto"/>
        </w:rPr>
        <w:t>We have entered into employment and other agreements with certain of our executive officers. For a description of agreements with our Named Executive Officers, see the sections entitled “Executive Compensation - Executive Employment Arrangements” and “-Outstanding Equity Awards at December 31, 2023.”</w:t>
      </w:r>
    </w:p>
    <w:p>
      <w:pPr>
        <w:spacing w:after="0" w:line="62" w:lineRule="exact"/>
        <w:rPr>
          <w:sz w:val="20"/>
          <w:szCs w:val="20"/>
          <w:color w:val="auto"/>
        </w:rPr>
      </w:pPr>
    </w:p>
    <w:p>
      <w:pPr>
        <w:jc w:val="both"/>
        <w:ind w:right="20"/>
        <w:spacing w:after="0" w:line="326" w:lineRule="auto"/>
        <w:rPr>
          <w:sz w:val="20"/>
          <w:szCs w:val="20"/>
          <w:color w:val="auto"/>
        </w:rPr>
      </w:pPr>
      <w:r>
        <w:rPr>
          <w:rFonts w:ascii="Times New Roman" w:cs="Times New Roman" w:eastAsia="Times New Roman" w:hAnsi="Times New Roman"/>
          <w:sz w:val="20"/>
          <w:szCs w:val="20"/>
          <w:color w:val="auto"/>
        </w:rPr>
        <w:t>We have granted equity awards to certain of our executive officers. For a description of equity awards granted to our Named Executive Officers, see the section entitled “Executive Compensation.”</w:t>
      </w:r>
    </w:p>
    <w:p>
      <w:pPr>
        <w:spacing w:after="0" w:line="45" w:lineRule="exact"/>
        <w:rPr>
          <w:sz w:val="20"/>
          <w:szCs w:val="20"/>
          <w:color w:val="auto"/>
        </w:rPr>
      </w:pPr>
    </w:p>
    <w:p>
      <w:pPr>
        <w:jc w:val="both"/>
        <w:spacing w:after="0" w:line="299" w:lineRule="auto"/>
        <w:rPr>
          <w:sz w:val="20"/>
          <w:szCs w:val="20"/>
          <w:color w:val="auto"/>
        </w:rPr>
      </w:pPr>
      <w:r>
        <w:rPr>
          <w:rFonts w:ascii="Times New Roman" w:cs="Times New Roman" w:eastAsia="Times New Roman" w:hAnsi="Times New Roman"/>
          <w:sz w:val="20"/>
          <w:szCs w:val="20"/>
          <w:color w:val="auto"/>
        </w:rPr>
        <w:t>We entered into indemnification agreements with substantially all of our directors and executive officers, other than our Interim Chief Financial Officer, Susan Echard, who is not an employee. These agreements, among other things, require us to indemnify our directors and officers for certain expenses, including attorneys’ fees, judgments, fines and settlement amounts incurred by a director or officer in any action or proceeding arising out of their services as one of our directors or officers or any other company or enterprise to which the person provides services at our request.</w:t>
      </w:r>
    </w:p>
    <w:p>
      <w:pPr>
        <w:spacing w:after="0" w:line="7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Related Person Transactions Policy</w:t>
      </w:r>
    </w:p>
    <w:p>
      <w:pPr>
        <w:spacing w:after="0" w:line="168" w:lineRule="exact"/>
        <w:rPr>
          <w:sz w:val="20"/>
          <w:szCs w:val="20"/>
          <w:color w:val="auto"/>
        </w:rPr>
      </w:pPr>
    </w:p>
    <w:p>
      <w:pPr>
        <w:jc w:val="both"/>
        <w:spacing w:after="0" w:line="295" w:lineRule="auto"/>
        <w:rPr>
          <w:sz w:val="20"/>
          <w:szCs w:val="20"/>
          <w:color w:val="auto"/>
        </w:rPr>
      </w:pPr>
      <w:r>
        <w:rPr>
          <w:rFonts w:ascii="Times New Roman" w:cs="Times New Roman" w:eastAsia="Times New Roman" w:hAnsi="Times New Roman"/>
          <w:sz w:val="20"/>
          <w:szCs w:val="20"/>
          <w:color w:val="auto"/>
        </w:rPr>
        <w:t>The Board has adopted a written Related Person Transactions Policy that sets forth our policies and procedures regarding the identification, review, consideration and oversight of related-person transactions. For purposes of our policy, a related-person transaction is a transaction, arrangement or relationship (or any series of similar transactions, arrangements or relationships) in which we and any related person are, were or will be participants, in which the amount involved exceeds $120,000. Transactions involving compensation for services provided to us as an employee, consultant or director will not be considered related-person transactions under this policy.</w:t>
      </w:r>
    </w:p>
    <w:p>
      <w:pPr>
        <w:spacing w:after="0" w:line="75" w:lineRule="exact"/>
        <w:rPr>
          <w:sz w:val="20"/>
          <w:szCs w:val="20"/>
          <w:color w:val="auto"/>
        </w:rPr>
      </w:pPr>
    </w:p>
    <w:p>
      <w:pPr>
        <w:jc w:val="both"/>
        <w:ind w:right="20"/>
        <w:spacing w:after="0" w:line="301" w:lineRule="auto"/>
        <w:rPr>
          <w:sz w:val="20"/>
          <w:szCs w:val="20"/>
          <w:color w:val="auto"/>
        </w:rPr>
      </w:pPr>
      <w:r>
        <w:rPr>
          <w:rFonts w:ascii="Times New Roman" w:cs="Times New Roman" w:eastAsia="Times New Roman" w:hAnsi="Times New Roman"/>
          <w:sz w:val="20"/>
          <w:szCs w:val="20"/>
          <w:color w:val="auto"/>
        </w:rPr>
        <w:t>Under the policy, a related person is any executive officer, director, nominee to become a director or a security holder known by us to beneficially own more than 5% of any class of our voting securities (a “significant stockholder”), including any of their immediate family members and affiliates, including entities controlled by such persons or such person has a 5% or greater beneficial ownership interest.</w:t>
      </w:r>
    </w:p>
    <w:p>
      <w:pPr>
        <w:spacing w:after="0" w:line="309"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20"/>
          <w:szCs w:val="20"/>
          <w:color w:val="auto"/>
        </w:rPr>
        <w:t>105</w:t>
      </w:r>
    </w:p>
    <w:p>
      <w:pPr>
        <w:sectPr>
          <w:pgSz w:w="12240" w:h="15840" w:orient="portrait"/>
          <w:cols w:equalWidth="0" w:num="1">
            <w:col w:w="10260"/>
          </w:cols>
          <w:pgMar w:left="1000" w:top="884" w:right="980" w:bottom="222" w:gutter="0" w:footer="0" w:header="0"/>
        </w:sectPr>
      </w:pPr>
    </w:p>
    <w:bookmarkStart w:id="109" w:name="page110"/>
    <w:bookmarkEnd w:id="109"/>
    <w:p>
      <w:pPr>
        <w:jc w:val="both"/>
        <w:ind w:left="7" w:right="20"/>
        <w:spacing w:after="0" w:line="309" w:lineRule="auto"/>
        <w:rPr>
          <w:sz w:val="20"/>
          <w:szCs w:val="20"/>
          <w:color w:val="auto"/>
        </w:rPr>
      </w:pPr>
      <w:r>
        <w:rPr>
          <w:rFonts w:ascii="Times New Roman" w:cs="Times New Roman" w:eastAsia="Times New Roman" w:hAnsi="Times New Roman"/>
          <w:sz w:val="20"/>
          <w:szCs w:val="20"/>
          <w:color w:val="auto"/>
        </w:rPr>
        <w:t>Each director and executive officer shall identify, and we shall request each significant stockholder to identify, any related-person transaction involving such director, executive officer or significant stockholder or his, her or its immediate family members and inform our Audit Committee pursuant to this policy before such related person may engage in the transaction.</w:t>
      </w:r>
    </w:p>
    <w:p>
      <w:pPr>
        <w:spacing w:after="0" w:line="62" w:lineRule="exact"/>
        <w:rPr>
          <w:sz w:val="20"/>
          <w:szCs w:val="20"/>
          <w:color w:val="auto"/>
        </w:rPr>
      </w:pPr>
    </w:p>
    <w:p>
      <w:pPr>
        <w:jc w:val="both"/>
        <w:ind w:left="7" w:right="20"/>
        <w:spacing w:after="0" w:line="326" w:lineRule="auto"/>
        <w:rPr>
          <w:sz w:val="20"/>
          <w:szCs w:val="20"/>
          <w:color w:val="auto"/>
        </w:rPr>
      </w:pPr>
      <w:r>
        <w:rPr>
          <w:rFonts w:ascii="Times New Roman" w:cs="Times New Roman" w:eastAsia="Times New Roman" w:hAnsi="Times New Roman"/>
          <w:sz w:val="20"/>
          <w:szCs w:val="20"/>
          <w:color w:val="auto"/>
        </w:rPr>
        <w:t>In considering related-person transactions, our Audit Committee takes into account the relevant available facts and circumstances, which may include, but are not limited to:</w:t>
      </w:r>
    </w:p>
    <w:p>
      <w:pPr>
        <w:spacing w:after="0" w:line="45" w:lineRule="exact"/>
        <w:rPr>
          <w:sz w:val="20"/>
          <w:szCs w:val="20"/>
          <w:color w:val="auto"/>
        </w:rPr>
      </w:pPr>
    </w:p>
    <w:p>
      <w:pPr>
        <w:ind w:left="727" w:hanging="367"/>
        <w:spacing w:after="0"/>
        <w:tabs>
          <w:tab w:leader="none" w:pos="727" w:val="left"/>
        </w:tabs>
        <w:numPr>
          <w:ilvl w:val="0"/>
          <w:numId w:val="6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risk, cost and benefits to us:</w:t>
      </w:r>
    </w:p>
    <w:p>
      <w:pPr>
        <w:spacing w:after="0" w:line="108" w:lineRule="exact"/>
        <w:rPr>
          <w:rFonts w:ascii="Times New Roman" w:cs="Times New Roman" w:eastAsia="Times New Roman" w:hAnsi="Times New Roman"/>
          <w:sz w:val="20"/>
          <w:szCs w:val="20"/>
          <w:color w:val="auto"/>
        </w:rPr>
      </w:pPr>
    </w:p>
    <w:p>
      <w:pPr>
        <w:ind w:left="727" w:right="20" w:hanging="366"/>
        <w:spacing w:after="0" w:line="319" w:lineRule="auto"/>
        <w:tabs>
          <w:tab w:leader="none" w:pos="727" w:val="left"/>
        </w:tabs>
        <w:numPr>
          <w:ilvl w:val="0"/>
          <w:numId w:val="6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impact on a director’s independence in the event the related person is a director, immediate family member of a director or an entity with which a director is affiliated:</w:t>
      </w:r>
    </w:p>
    <w:p>
      <w:pPr>
        <w:ind w:left="727" w:hanging="366"/>
        <w:spacing w:after="0"/>
        <w:tabs>
          <w:tab w:leader="none" w:pos="727" w:val="left"/>
        </w:tabs>
        <w:numPr>
          <w:ilvl w:val="0"/>
          <w:numId w:val="6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terms of the transaction: and</w:t>
      </w:r>
    </w:p>
    <w:p>
      <w:pPr>
        <w:spacing w:after="0" w:line="101" w:lineRule="exact"/>
        <w:rPr>
          <w:rFonts w:ascii="Times New Roman" w:cs="Times New Roman" w:eastAsia="Times New Roman" w:hAnsi="Times New Roman"/>
          <w:sz w:val="20"/>
          <w:szCs w:val="20"/>
          <w:color w:val="auto"/>
        </w:rPr>
      </w:pPr>
    </w:p>
    <w:p>
      <w:pPr>
        <w:ind w:left="727" w:hanging="366"/>
        <w:spacing w:after="0"/>
        <w:tabs>
          <w:tab w:leader="none" w:pos="727" w:val="left"/>
        </w:tabs>
        <w:numPr>
          <w:ilvl w:val="0"/>
          <w:numId w:val="6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availability of other sources for comparable services or products.</w:t>
      </w:r>
    </w:p>
    <w:p>
      <w:pPr>
        <w:spacing w:after="0" w:line="173" w:lineRule="exact"/>
        <w:rPr>
          <w:sz w:val="20"/>
          <w:szCs w:val="20"/>
          <w:color w:val="auto"/>
        </w:rPr>
      </w:pPr>
    </w:p>
    <w:p>
      <w:pPr>
        <w:jc w:val="both"/>
        <w:ind w:left="7"/>
        <w:spacing w:after="0" w:line="306" w:lineRule="auto"/>
        <w:rPr>
          <w:sz w:val="20"/>
          <w:szCs w:val="20"/>
          <w:color w:val="auto"/>
        </w:rPr>
      </w:pPr>
      <w:r>
        <w:rPr>
          <w:rFonts w:ascii="Times New Roman" w:cs="Times New Roman" w:eastAsia="Times New Roman" w:hAnsi="Times New Roman"/>
          <w:sz w:val="20"/>
          <w:szCs w:val="20"/>
          <w:color w:val="auto"/>
        </w:rPr>
        <w:t>Our Audit Committee shall approve only those related-party transactions that, in light of known circumstances, are in, or are not inconsistent with, our best interests and our stockholders, as our Audit Committee determines in the good faith exercise of its discretion.</w:t>
      </w:r>
    </w:p>
    <w:p>
      <w:pPr>
        <w:spacing w:after="0" w:line="184" w:lineRule="exact"/>
        <w:rPr>
          <w:sz w:val="20"/>
          <w:szCs w:val="20"/>
          <w:color w:val="auto"/>
        </w:rPr>
      </w:pPr>
    </w:p>
    <w:p>
      <w:pPr>
        <w:ind w:left="7"/>
        <w:spacing w:after="0"/>
        <w:tabs>
          <w:tab w:leader="none" w:pos="1066" w:val="left"/>
        </w:tabs>
        <w:rPr>
          <w:sz w:val="20"/>
          <w:szCs w:val="20"/>
          <w:color w:val="auto"/>
        </w:rPr>
      </w:pPr>
      <w:r>
        <w:rPr>
          <w:rFonts w:ascii="Times New Roman" w:cs="Times New Roman" w:eastAsia="Times New Roman" w:hAnsi="Times New Roman"/>
          <w:sz w:val="20"/>
          <w:szCs w:val="20"/>
          <w:b w:val="1"/>
          <w:bCs w:val="1"/>
          <w:color w:val="auto"/>
        </w:rPr>
        <w:t>ITEM 14.</w:t>
      </w:r>
      <w:r>
        <w:rPr>
          <w:sz w:val="20"/>
          <w:szCs w:val="20"/>
          <w:color w:val="auto"/>
        </w:rPr>
        <w:tab/>
      </w:r>
      <w:r>
        <w:rPr>
          <w:rFonts w:ascii="Times New Roman" w:cs="Times New Roman" w:eastAsia="Times New Roman" w:hAnsi="Times New Roman"/>
          <w:sz w:val="19"/>
          <w:szCs w:val="19"/>
          <w:b w:val="1"/>
          <w:bCs w:val="1"/>
          <w:color w:val="auto"/>
        </w:rPr>
        <w:t>PRINCIPAL ACCOUNTING FEES AND SERVICES</w:t>
      </w:r>
    </w:p>
    <w:p>
      <w:pPr>
        <w:spacing w:after="0" w:line="168" w:lineRule="exact"/>
        <w:rPr>
          <w:sz w:val="20"/>
          <w:szCs w:val="20"/>
          <w:color w:val="auto"/>
        </w:rPr>
      </w:pPr>
    </w:p>
    <w:p>
      <w:pPr>
        <w:jc w:val="both"/>
        <w:ind w:left="7"/>
        <w:spacing w:after="0" w:line="326" w:lineRule="auto"/>
        <w:rPr>
          <w:sz w:val="20"/>
          <w:szCs w:val="20"/>
          <w:color w:val="auto"/>
        </w:rPr>
      </w:pPr>
      <w:r>
        <w:rPr>
          <w:rFonts w:ascii="Times New Roman" w:cs="Times New Roman" w:eastAsia="Times New Roman" w:hAnsi="Times New Roman"/>
          <w:sz w:val="20"/>
          <w:szCs w:val="20"/>
          <w:color w:val="auto"/>
        </w:rPr>
        <w:t>The following table represents aggregate fees billed to the Company for the years ended December 31, 2023 and 2022, by Moss Adams LLP, the Company’s principal accountant, and Baker Tilly US, LLP, the Company’s previous principal accountant.</w:t>
      </w:r>
    </w:p>
    <w:p>
      <w:pPr>
        <w:spacing w:after="0" w:line="93" w:lineRule="exact"/>
        <w:rPr>
          <w:sz w:val="20"/>
          <w:szCs w:val="20"/>
          <w:color w:val="auto"/>
        </w:rPr>
      </w:pPr>
    </w:p>
    <w:tbl>
      <w:tblPr>
        <w:tblLayout w:type="fixed"/>
        <w:tblInd w:w="7" w:type="dxa"/>
        <w:tblCellMar>
          <w:top w:w="0" w:type="dxa"/>
          <w:left w:w="0" w:type="dxa"/>
          <w:bottom w:w="0" w:type="dxa"/>
          <w:right w:w="0" w:type="dxa"/>
        </w:tblCellMar>
      </w:tblPr>
      <w:tr>
        <w:trPr>
          <w:trHeight w:val="262"/>
        </w:trPr>
        <w:tc>
          <w:tcPr>
            <w:tcW w:w="696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320" w:type="dxa"/>
            <w:vAlign w:val="bottom"/>
            <w:tcBorders>
              <w:bottom w:val="single" w:sz="8" w:color="auto"/>
            </w:tcBorders>
          </w:tcPr>
          <w:p>
            <w:pPr>
              <w:spacing w:after="0"/>
              <w:rPr>
                <w:sz w:val="22"/>
                <w:szCs w:val="22"/>
                <w:color w:val="auto"/>
              </w:rPr>
            </w:pPr>
          </w:p>
        </w:tc>
        <w:tc>
          <w:tcPr>
            <w:tcW w:w="2960" w:type="dxa"/>
            <w:vAlign w:val="bottom"/>
            <w:tcBorders>
              <w:bottom w:val="single" w:sz="8" w:color="auto"/>
            </w:tcBorders>
            <w:gridSpan w:val="5"/>
          </w:tcPr>
          <w:p>
            <w:pPr>
              <w:jc w:val="right"/>
              <w:ind w:right="399"/>
              <w:spacing w:after="0"/>
              <w:rPr>
                <w:sz w:val="20"/>
                <w:szCs w:val="20"/>
                <w:color w:val="auto"/>
              </w:rPr>
            </w:pPr>
            <w:r>
              <w:rPr>
                <w:rFonts w:ascii="Times New Roman" w:cs="Times New Roman" w:eastAsia="Times New Roman" w:hAnsi="Times New Roman"/>
                <w:sz w:val="20"/>
                <w:szCs w:val="20"/>
                <w:b w:val="1"/>
                <w:bCs w:val="1"/>
                <w:color w:val="auto"/>
              </w:rPr>
              <w:t>Years Ended December 31,</w:t>
            </w:r>
          </w:p>
        </w:tc>
      </w:tr>
      <w:tr>
        <w:trPr>
          <w:trHeight w:val="261"/>
        </w:trPr>
        <w:tc>
          <w:tcPr>
            <w:tcW w:w="6960" w:type="dxa"/>
            <w:vAlign w:val="bottom"/>
            <w:tcBorders>
              <w:bottom w:val="single" w:sz="8" w:color="DDDDDD"/>
            </w:tcBorders>
          </w:tcPr>
          <w:p>
            <w:pPr>
              <w:spacing w:after="0"/>
              <w:rPr>
                <w:sz w:val="22"/>
                <w:szCs w:val="22"/>
                <w:color w:val="auto"/>
              </w:rPr>
            </w:pPr>
          </w:p>
        </w:tc>
        <w:tc>
          <w:tcPr>
            <w:tcW w:w="20" w:type="dxa"/>
            <w:vAlign w:val="bottom"/>
            <w:tcBorders>
              <w:bottom w:val="single" w:sz="8" w:color="DDDDDD"/>
            </w:tcBorders>
          </w:tcPr>
          <w:p>
            <w:pPr>
              <w:spacing w:after="0"/>
              <w:rPr>
                <w:sz w:val="22"/>
                <w:szCs w:val="22"/>
                <w:color w:val="auto"/>
              </w:rPr>
            </w:pPr>
          </w:p>
        </w:tc>
        <w:tc>
          <w:tcPr>
            <w:tcW w:w="320" w:type="dxa"/>
            <w:vAlign w:val="bottom"/>
            <w:tcBorders>
              <w:bottom w:val="single" w:sz="8" w:color="auto"/>
            </w:tcBorders>
          </w:tcPr>
          <w:p>
            <w:pPr>
              <w:spacing w:after="0"/>
              <w:rPr>
                <w:sz w:val="22"/>
                <w:szCs w:val="22"/>
                <w:color w:val="auto"/>
              </w:rPr>
            </w:pPr>
          </w:p>
        </w:tc>
        <w:tc>
          <w:tcPr>
            <w:tcW w:w="1260" w:type="dxa"/>
            <w:vAlign w:val="bottom"/>
            <w:tcBorders>
              <w:bottom w:val="single" w:sz="8" w:color="auto"/>
            </w:tcBorders>
          </w:tcPr>
          <w:p>
            <w:pPr>
              <w:jc w:val="right"/>
              <w:ind w:right="479"/>
              <w:spacing w:after="0"/>
              <w:rPr>
                <w:sz w:val="20"/>
                <w:szCs w:val="20"/>
                <w:color w:val="auto"/>
              </w:rPr>
            </w:pPr>
            <w:r>
              <w:rPr>
                <w:rFonts w:ascii="Times New Roman" w:cs="Times New Roman" w:eastAsia="Times New Roman" w:hAnsi="Times New Roman"/>
                <w:sz w:val="20"/>
                <w:szCs w:val="20"/>
                <w:b w:val="1"/>
                <w:bCs w:val="1"/>
                <w:color w:val="auto"/>
              </w:rPr>
              <w:t>2023</w:t>
            </w:r>
          </w:p>
        </w:tc>
        <w:tc>
          <w:tcPr>
            <w:tcW w:w="80" w:type="dxa"/>
            <w:vAlign w:val="bottom"/>
            <w:tcBorders>
              <w:bottom w:val="single" w:sz="8" w:color="DDDDDD"/>
            </w:tcBorders>
          </w:tcPr>
          <w:p>
            <w:pPr>
              <w:spacing w:after="0"/>
              <w:rPr>
                <w:sz w:val="22"/>
                <w:szCs w:val="22"/>
                <w:color w:val="auto"/>
              </w:rPr>
            </w:pPr>
          </w:p>
        </w:tc>
        <w:tc>
          <w:tcPr>
            <w:tcW w:w="20" w:type="dxa"/>
            <w:vAlign w:val="bottom"/>
            <w:tcBorders>
              <w:bottom w:val="single" w:sz="8" w:color="DDDDDD"/>
            </w:tcBorders>
          </w:tcPr>
          <w:p>
            <w:pPr>
              <w:spacing w:after="0"/>
              <w:rPr>
                <w:sz w:val="22"/>
                <w:szCs w:val="22"/>
                <w:color w:val="auto"/>
              </w:rPr>
            </w:pPr>
          </w:p>
        </w:tc>
        <w:tc>
          <w:tcPr>
            <w:tcW w:w="360" w:type="dxa"/>
            <w:vAlign w:val="bottom"/>
            <w:tcBorders>
              <w:bottom w:val="single" w:sz="8" w:color="auto"/>
            </w:tcBorders>
          </w:tcPr>
          <w:p>
            <w:pPr>
              <w:spacing w:after="0"/>
              <w:rPr>
                <w:sz w:val="22"/>
                <w:szCs w:val="22"/>
                <w:color w:val="auto"/>
              </w:rPr>
            </w:pPr>
          </w:p>
        </w:tc>
        <w:tc>
          <w:tcPr>
            <w:tcW w:w="1240" w:type="dxa"/>
            <w:vAlign w:val="bottom"/>
            <w:tcBorders>
              <w:bottom w:val="single" w:sz="8" w:color="auto"/>
            </w:tcBorders>
          </w:tcPr>
          <w:p>
            <w:pPr>
              <w:jc w:val="right"/>
              <w:ind w:right="499"/>
              <w:spacing w:after="0"/>
              <w:rPr>
                <w:sz w:val="20"/>
                <w:szCs w:val="20"/>
                <w:color w:val="auto"/>
              </w:rPr>
            </w:pPr>
            <w:r>
              <w:rPr>
                <w:rFonts w:ascii="Times New Roman" w:cs="Times New Roman" w:eastAsia="Times New Roman" w:hAnsi="Times New Roman"/>
                <w:sz w:val="20"/>
                <w:szCs w:val="20"/>
                <w:b w:val="1"/>
                <w:bCs w:val="1"/>
                <w:color w:val="auto"/>
              </w:rPr>
              <w:t>2022</w:t>
            </w:r>
          </w:p>
        </w:tc>
      </w:tr>
      <w:tr>
        <w:trPr>
          <w:trHeight w:val="268"/>
        </w:trPr>
        <w:tc>
          <w:tcPr>
            <w:tcW w:w="6980" w:type="dxa"/>
            <w:vAlign w:val="bottom"/>
            <w:gridSpan w:val="2"/>
            <w:shd w:val="clear" w:color="auto" w:fill="DDDDDD"/>
          </w:tcPr>
          <w:p>
            <w:pPr>
              <w:ind w:left="40"/>
              <w:spacing w:after="0" w:line="268" w:lineRule="exact"/>
              <w:rPr>
                <w:sz w:val="20"/>
                <w:szCs w:val="20"/>
                <w:color w:val="auto"/>
              </w:rPr>
            </w:pPr>
            <w:r>
              <w:rPr>
                <w:rFonts w:ascii="Times New Roman" w:cs="Times New Roman" w:eastAsia="Times New Roman" w:hAnsi="Times New Roman"/>
                <w:sz w:val="20"/>
                <w:szCs w:val="20"/>
                <w:color w:val="auto"/>
              </w:rPr>
              <w:t>Audit Fees</w:t>
            </w:r>
            <w:r>
              <w:rPr>
                <w:rFonts w:ascii="Times New Roman" w:cs="Times New Roman" w:eastAsia="Times New Roman" w:hAnsi="Times New Roman"/>
                <w:sz w:val="25"/>
                <w:szCs w:val="25"/>
                <w:color w:val="auto"/>
                <w:vertAlign w:val="superscript"/>
              </w:rPr>
              <w:t>(1)</w:t>
            </w:r>
          </w:p>
        </w:tc>
        <w:tc>
          <w:tcPr>
            <w:tcW w:w="320" w:type="dxa"/>
            <w:vAlign w:val="bottom"/>
            <w:shd w:val="clear" w:color="auto" w:fill="DDDDDD"/>
          </w:tcPr>
          <w:p>
            <w:pPr>
              <w:jc w:val="right"/>
              <w:ind w:right="79"/>
              <w:spacing w:after="0"/>
              <w:rPr>
                <w:sz w:val="20"/>
                <w:szCs w:val="20"/>
                <w:color w:val="auto"/>
              </w:rPr>
            </w:pPr>
            <w:r>
              <w:rPr>
                <w:rFonts w:ascii="Times New Roman" w:cs="Times New Roman" w:eastAsia="Times New Roman" w:hAnsi="Times New Roman"/>
                <w:sz w:val="20"/>
                <w:szCs w:val="20"/>
                <w:color w:val="auto"/>
              </w:rPr>
              <w:t>$</w:t>
            </w:r>
          </w:p>
        </w:tc>
        <w:tc>
          <w:tcPr>
            <w:tcW w:w="1260" w:type="dxa"/>
            <w:vAlign w:val="bottom"/>
            <w:shd w:val="clear" w:color="auto" w:fill="DDDDDD"/>
          </w:tcPr>
          <w:p>
            <w:pPr>
              <w:jc w:val="right"/>
              <w:spacing w:after="0"/>
              <w:rPr>
                <w:sz w:val="20"/>
                <w:szCs w:val="20"/>
                <w:color w:val="auto"/>
              </w:rPr>
            </w:pPr>
            <w:r>
              <w:rPr>
                <w:rFonts w:ascii="Times New Roman" w:cs="Times New Roman" w:eastAsia="Times New Roman" w:hAnsi="Times New Roman"/>
                <w:sz w:val="20"/>
                <w:szCs w:val="20"/>
                <w:color w:val="auto"/>
              </w:rPr>
              <w:t>2,066,100</w:t>
            </w:r>
          </w:p>
        </w:tc>
        <w:tc>
          <w:tcPr>
            <w:tcW w:w="460" w:type="dxa"/>
            <w:vAlign w:val="bottom"/>
            <w:gridSpan w:val="3"/>
            <w:shd w:val="clear" w:color="auto" w:fill="DDDDDD"/>
          </w:tcPr>
          <w:p>
            <w:pPr>
              <w:jc w:val="right"/>
              <w:ind w:right="220"/>
              <w:spacing w:after="0"/>
              <w:rPr>
                <w:sz w:val="20"/>
                <w:szCs w:val="20"/>
                <w:color w:val="auto"/>
              </w:rPr>
            </w:pPr>
            <w:r>
              <w:rPr>
                <w:rFonts w:ascii="Times New Roman" w:cs="Times New Roman" w:eastAsia="Times New Roman" w:hAnsi="Times New Roman"/>
                <w:sz w:val="20"/>
                <w:szCs w:val="20"/>
                <w:color w:val="auto"/>
              </w:rPr>
              <w:t>$</w:t>
            </w:r>
          </w:p>
        </w:tc>
        <w:tc>
          <w:tcPr>
            <w:tcW w:w="1240" w:type="dxa"/>
            <w:vAlign w:val="bottom"/>
            <w:shd w:val="clear" w:color="auto" w:fill="DDDDDD"/>
          </w:tcPr>
          <w:p>
            <w:pPr>
              <w:jc w:val="right"/>
              <w:spacing w:after="0"/>
              <w:rPr>
                <w:sz w:val="20"/>
                <w:szCs w:val="20"/>
                <w:color w:val="auto"/>
              </w:rPr>
            </w:pPr>
            <w:r>
              <w:rPr>
                <w:rFonts w:ascii="Times New Roman" w:cs="Times New Roman" w:eastAsia="Times New Roman" w:hAnsi="Times New Roman"/>
                <w:sz w:val="20"/>
                <w:szCs w:val="20"/>
                <w:color w:val="auto"/>
              </w:rPr>
              <w:t>842,400</w:t>
            </w:r>
          </w:p>
        </w:tc>
      </w:tr>
      <w:tr>
        <w:trPr>
          <w:trHeight w:val="281"/>
        </w:trPr>
        <w:tc>
          <w:tcPr>
            <w:tcW w:w="6980" w:type="dxa"/>
            <w:vAlign w:val="bottom"/>
            <w:tcBorders>
              <w:bottom w:val="single" w:sz="8" w:color="DDDDDD"/>
            </w:tcBorders>
            <w:gridSpan w:val="2"/>
          </w:tcPr>
          <w:p>
            <w:pPr>
              <w:ind w:left="40"/>
              <w:spacing w:after="0" w:line="281" w:lineRule="exact"/>
              <w:rPr>
                <w:sz w:val="20"/>
                <w:szCs w:val="20"/>
                <w:color w:val="auto"/>
              </w:rPr>
            </w:pPr>
            <w:r>
              <w:rPr>
                <w:rFonts w:ascii="Times New Roman" w:cs="Times New Roman" w:eastAsia="Times New Roman" w:hAnsi="Times New Roman"/>
                <w:sz w:val="20"/>
                <w:szCs w:val="20"/>
                <w:color w:val="auto"/>
              </w:rPr>
              <w:t>Audit-Related Fees</w:t>
            </w:r>
            <w:r>
              <w:rPr>
                <w:rFonts w:ascii="Times New Roman" w:cs="Times New Roman" w:eastAsia="Times New Roman" w:hAnsi="Times New Roman"/>
                <w:sz w:val="25"/>
                <w:szCs w:val="25"/>
                <w:color w:val="auto"/>
                <w:vertAlign w:val="superscript"/>
              </w:rPr>
              <w:t>(2)</w:t>
            </w:r>
          </w:p>
        </w:tc>
        <w:tc>
          <w:tcPr>
            <w:tcW w:w="320" w:type="dxa"/>
            <w:vAlign w:val="bottom"/>
            <w:tcBorders>
              <w:bottom w:val="single" w:sz="8" w:color="auto"/>
            </w:tcBorders>
          </w:tcPr>
          <w:p>
            <w:pPr>
              <w:spacing w:after="0"/>
              <w:rPr>
                <w:sz w:val="24"/>
                <w:szCs w:val="24"/>
                <w:color w:val="auto"/>
              </w:rPr>
            </w:pP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58,150</w:t>
            </w:r>
          </w:p>
        </w:tc>
        <w:tc>
          <w:tcPr>
            <w:tcW w:w="80" w:type="dxa"/>
            <w:vAlign w:val="bottom"/>
            <w:tcBorders>
              <w:bottom w:val="single" w:sz="8" w:color="DDDDDD"/>
            </w:tcBorders>
          </w:tcPr>
          <w:p>
            <w:pPr>
              <w:spacing w:after="0"/>
              <w:rPr>
                <w:sz w:val="24"/>
                <w:szCs w:val="24"/>
                <w:color w:val="auto"/>
              </w:rPr>
            </w:pPr>
          </w:p>
        </w:tc>
        <w:tc>
          <w:tcPr>
            <w:tcW w:w="20" w:type="dxa"/>
            <w:vAlign w:val="bottom"/>
            <w:tcBorders>
              <w:bottom w:val="single" w:sz="8" w:color="DDDDDD"/>
            </w:tcBorders>
          </w:tcPr>
          <w:p>
            <w:pPr>
              <w:spacing w:after="0"/>
              <w:rPr>
                <w:sz w:val="24"/>
                <w:szCs w:val="24"/>
                <w:color w:val="auto"/>
              </w:rPr>
            </w:pPr>
          </w:p>
        </w:tc>
        <w:tc>
          <w:tcPr>
            <w:tcW w:w="360" w:type="dxa"/>
            <w:vAlign w:val="bottom"/>
            <w:tcBorders>
              <w:bottom w:val="single" w:sz="8" w:color="auto"/>
            </w:tcBorders>
          </w:tcPr>
          <w:p>
            <w:pPr>
              <w:spacing w:after="0"/>
              <w:rPr>
                <w:sz w:val="24"/>
                <w:szCs w:val="24"/>
                <w:color w:val="auto"/>
              </w:rPr>
            </w:pP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19,440</w:t>
            </w:r>
          </w:p>
        </w:tc>
      </w:tr>
      <w:tr>
        <w:trPr>
          <w:trHeight w:val="270"/>
        </w:trPr>
        <w:tc>
          <w:tcPr>
            <w:tcW w:w="6980" w:type="dxa"/>
            <w:vAlign w:val="bottom"/>
            <w:gridSpan w:val="2"/>
            <w:shd w:val="clear" w:color="auto" w:fill="DDDDDD"/>
          </w:tcPr>
          <w:p>
            <w:pPr>
              <w:ind w:left="40"/>
              <w:spacing w:after="0"/>
              <w:rPr>
                <w:sz w:val="20"/>
                <w:szCs w:val="20"/>
                <w:color w:val="auto"/>
              </w:rPr>
            </w:pPr>
            <w:r>
              <w:rPr>
                <w:rFonts w:ascii="Times New Roman" w:cs="Times New Roman" w:eastAsia="Times New Roman" w:hAnsi="Times New Roman"/>
                <w:sz w:val="20"/>
                <w:szCs w:val="20"/>
                <w:color w:val="auto"/>
              </w:rPr>
              <w:t>Total Fees</w:t>
            </w:r>
          </w:p>
        </w:tc>
        <w:tc>
          <w:tcPr>
            <w:tcW w:w="320" w:type="dxa"/>
            <w:vAlign w:val="bottom"/>
            <w:shd w:val="clear" w:color="auto" w:fill="DDDDDD"/>
          </w:tcPr>
          <w:p>
            <w:pPr>
              <w:jc w:val="right"/>
              <w:ind w:right="79"/>
              <w:spacing w:after="0"/>
              <w:rPr>
                <w:sz w:val="20"/>
                <w:szCs w:val="20"/>
                <w:color w:val="auto"/>
              </w:rPr>
            </w:pPr>
            <w:r>
              <w:rPr>
                <w:rFonts w:ascii="Times New Roman" w:cs="Times New Roman" w:eastAsia="Times New Roman" w:hAnsi="Times New Roman"/>
                <w:sz w:val="20"/>
                <w:szCs w:val="20"/>
                <w:color w:val="auto"/>
              </w:rPr>
              <w:t>$</w:t>
            </w:r>
          </w:p>
        </w:tc>
        <w:tc>
          <w:tcPr>
            <w:tcW w:w="1260" w:type="dxa"/>
            <w:vAlign w:val="bottom"/>
            <w:shd w:val="clear" w:color="auto" w:fill="DDDDDD"/>
          </w:tcPr>
          <w:p>
            <w:pPr>
              <w:jc w:val="right"/>
              <w:spacing w:after="0"/>
              <w:rPr>
                <w:sz w:val="20"/>
                <w:szCs w:val="20"/>
                <w:color w:val="auto"/>
              </w:rPr>
            </w:pPr>
            <w:r>
              <w:rPr>
                <w:rFonts w:ascii="Times New Roman" w:cs="Times New Roman" w:eastAsia="Times New Roman" w:hAnsi="Times New Roman"/>
                <w:sz w:val="20"/>
                <w:szCs w:val="20"/>
                <w:color w:val="auto"/>
              </w:rPr>
              <w:t>2,124,250</w:t>
            </w:r>
          </w:p>
        </w:tc>
        <w:tc>
          <w:tcPr>
            <w:tcW w:w="460" w:type="dxa"/>
            <w:vAlign w:val="bottom"/>
            <w:gridSpan w:val="3"/>
            <w:shd w:val="clear" w:color="auto" w:fill="DDDDDD"/>
          </w:tcPr>
          <w:p>
            <w:pPr>
              <w:jc w:val="right"/>
              <w:ind w:right="220"/>
              <w:spacing w:after="0"/>
              <w:rPr>
                <w:sz w:val="20"/>
                <w:szCs w:val="20"/>
                <w:color w:val="auto"/>
              </w:rPr>
            </w:pPr>
            <w:r>
              <w:rPr>
                <w:rFonts w:ascii="Times New Roman" w:cs="Times New Roman" w:eastAsia="Times New Roman" w:hAnsi="Times New Roman"/>
                <w:sz w:val="20"/>
                <w:szCs w:val="20"/>
                <w:color w:val="auto"/>
              </w:rPr>
              <w:t>$</w:t>
            </w:r>
          </w:p>
        </w:tc>
        <w:tc>
          <w:tcPr>
            <w:tcW w:w="1240" w:type="dxa"/>
            <w:vAlign w:val="bottom"/>
            <w:shd w:val="clear" w:color="auto" w:fill="DDDDDD"/>
          </w:tcPr>
          <w:p>
            <w:pPr>
              <w:jc w:val="right"/>
              <w:spacing w:after="0"/>
              <w:rPr>
                <w:sz w:val="20"/>
                <w:szCs w:val="20"/>
                <w:color w:val="auto"/>
              </w:rPr>
            </w:pPr>
            <w:r>
              <w:rPr>
                <w:rFonts w:ascii="Times New Roman" w:cs="Times New Roman" w:eastAsia="Times New Roman" w:hAnsi="Times New Roman"/>
                <w:sz w:val="20"/>
                <w:szCs w:val="20"/>
                <w:color w:val="auto"/>
              </w:rPr>
              <w:t>861,840</w:t>
            </w:r>
          </w:p>
        </w:tc>
      </w:tr>
      <w:tr>
        <w:trPr>
          <w:trHeight w:val="248"/>
        </w:trPr>
        <w:tc>
          <w:tcPr>
            <w:tcW w:w="6960" w:type="dxa"/>
            <w:vAlign w:val="bottom"/>
          </w:tcPr>
          <w:p>
            <w:pPr>
              <w:jc w:val="right"/>
              <w:ind w:right="4159"/>
              <w:spacing w:after="0"/>
              <w:rPr>
                <w:sz w:val="20"/>
                <w:szCs w:val="20"/>
                <w:color w:val="auto"/>
              </w:rPr>
            </w:pPr>
            <w:r>
              <w:rPr>
                <w:rFonts w:ascii="Times New Roman" w:cs="Times New Roman" w:eastAsia="Times New Roman" w:hAnsi="Times New Roman"/>
                <w:sz w:val="20"/>
                <w:szCs w:val="20"/>
                <w:color w:val="auto"/>
                <w:w w:val="99"/>
              </w:rPr>
              <w:t>___________________________</w:t>
            </w:r>
          </w:p>
        </w:tc>
        <w:tc>
          <w:tcPr>
            <w:tcW w:w="20" w:type="dxa"/>
            <w:vAlign w:val="bottom"/>
            <w:tcBorders>
              <w:top w:val="single" w:sz="8" w:color="auto"/>
            </w:tcBorders>
          </w:tcPr>
          <w:p>
            <w:pPr>
              <w:spacing w:after="0"/>
              <w:rPr>
                <w:sz w:val="21"/>
                <w:szCs w:val="21"/>
                <w:color w:val="auto"/>
              </w:rPr>
            </w:pPr>
          </w:p>
        </w:tc>
        <w:tc>
          <w:tcPr>
            <w:tcW w:w="320" w:type="dxa"/>
            <w:vAlign w:val="bottom"/>
            <w:tcBorders>
              <w:top w:val="single" w:sz="8" w:color="auto"/>
            </w:tcBorders>
          </w:tcPr>
          <w:p>
            <w:pPr>
              <w:spacing w:after="0"/>
              <w:rPr>
                <w:sz w:val="21"/>
                <w:szCs w:val="21"/>
                <w:color w:val="auto"/>
              </w:rPr>
            </w:pPr>
          </w:p>
        </w:tc>
        <w:tc>
          <w:tcPr>
            <w:tcW w:w="1260" w:type="dxa"/>
            <w:vAlign w:val="bottom"/>
            <w:tcBorders>
              <w:top w:val="single" w:sz="8" w:color="auto"/>
            </w:tcBorders>
          </w:tcPr>
          <w:p>
            <w:pPr>
              <w:spacing w:after="0"/>
              <w:rPr>
                <w:sz w:val="21"/>
                <w:szCs w:val="21"/>
                <w:color w:val="auto"/>
              </w:rPr>
            </w:pPr>
          </w:p>
        </w:tc>
        <w:tc>
          <w:tcPr>
            <w:tcW w:w="80" w:type="dxa"/>
            <w:vAlign w:val="bottom"/>
          </w:tcPr>
          <w:p>
            <w:pPr>
              <w:spacing w:after="0"/>
              <w:rPr>
                <w:sz w:val="21"/>
                <w:szCs w:val="21"/>
                <w:color w:val="auto"/>
              </w:rPr>
            </w:pPr>
          </w:p>
        </w:tc>
        <w:tc>
          <w:tcPr>
            <w:tcW w:w="20" w:type="dxa"/>
            <w:vAlign w:val="bottom"/>
            <w:tcBorders>
              <w:top w:val="single" w:sz="8" w:color="auto"/>
            </w:tcBorders>
          </w:tcPr>
          <w:p>
            <w:pPr>
              <w:spacing w:after="0"/>
              <w:rPr>
                <w:sz w:val="21"/>
                <w:szCs w:val="21"/>
                <w:color w:val="auto"/>
              </w:rPr>
            </w:pPr>
          </w:p>
        </w:tc>
        <w:tc>
          <w:tcPr>
            <w:tcW w:w="360" w:type="dxa"/>
            <w:vAlign w:val="bottom"/>
            <w:tcBorders>
              <w:top w:val="single" w:sz="8" w:color="auto"/>
            </w:tcBorders>
          </w:tcPr>
          <w:p>
            <w:pPr>
              <w:spacing w:after="0"/>
              <w:rPr>
                <w:sz w:val="21"/>
                <w:szCs w:val="21"/>
                <w:color w:val="auto"/>
              </w:rPr>
            </w:pPr>
          </w:p>
        </w:tc>
        <w:tc>
          <w:tcPr>
            <w:tcW w:w="1240" w:type="dxa"/>
            <w:vAlign w:val="bottom"/>
            <w:tcBorders>
              <w:top w:val="single" w:sz="8" w:color="auto"/>
            </w:tcBorders>
          </w:tcPr>
          <w:p>
            <w:pPr>
              <w:spacing w:after="0"/>
              <w:rPr>
                <w:sz w:val="21"/>
                <w:szCs w:val="21"/>
                <w:color w:val="auto"/>
              </w:rPr>
            </w:pPr>
          </w:p>
        </w:tc>
      </w:tr>
    </w:tbl>
    <w:p>
      <w:pPr>
        <w:spacing w:after="0" w:line="35" w:lineRule="exact"/>
        <w:rPr>
          <w:sz w:val="20"/>
          <w:szCs w:val="20"/>
          <w:color w:val="auto"/>
        </w:rPr>
      </w:pPr>
    </w:p>
    <w:p>
      <w:pPr>
        <w:jc w:val="both"/>
        <w:ind w:left="367" w:hanging="366"/>
        <w:spacing w:after="0" w:line="293" w:lineRule="auto"/>
        <w:tabs>
          <w:tab w:leader="none" w:pos="367" w:val="left"/>
        </w:tabs>
        <w:numPr>
          <w:ilvl w:val="0"/>
          <w:numId w:val="6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“Audit Fees” consist of fees in connection with the audit of the Company’s annual consolidated financial statements, including audited financial statements presented in the Company’s annual report on Form 10-K, review of its quarterly financial statements presented in our quarterly reports on Form 10-Q and services that are normally provided by the Company’s independent registered public accounting firm in connection with statutory and regulatory filings or engagements for the 2023 fiscal year.</w:t>
      </w:r>
    </w:p>
    <w:p>
      <w:pPr>
        <w:spacing w:after="0" w:line="1" w:lineRule="exact"/>
        <w:rPr>
          <w:rFonts w:ascii="Times New Roman" w:cs="Times New Roman" w:eastAsia="Times New Roman" w:hAnsi="Times New Roman"/>
          <w:sz w:val="16"/>
          <w:szCs w:val="16"/>
          <w:color w:val="auto"/>
        </w:rPr>
      </w:pPr>
    </w:p>
    <w:p>
      <w:pPr>
        <w:ind w:left="367" w:hanging="367"/>
        <w:spacing w:after="0"/>
        <w:tabs>
          <w:tab w:leader="none" w:pos="367" w:val="left"/>
        </w:tabs>
        <w:numPr>
          <w:ilvl w:val="0"/>
          <w:numId w:val="6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“Audit-Related Fees” consist of fees in connection with employee benefit plan audits, prior auditor consent and successor auditor access to workpapers.</w:t>
      </w:r>
    </w:p>
    <w:p>
      <w:pPr>
        <w:spacing w:after="0" w:line="151" w:lineRule="exact"/>
        <w:rPr>
          <w:sz w:val="20"/>
          <w:szCs w:val="20"/>
          <w:color w:val="auto"/>
        </w:rPr>
      </w:pPr>
    </w:p>
    <w:p>
      <w:pPr>
        <w:ind w:left="7"/>
        <w:spacing w:after="0"/>
        <w:rPr>
          <w:sz w:val="20"/>
          <w:szCs w:val="20"/>
          <w:color w:val="auto"/>
        </w:rPr>
      </w:pPr>
      <w:r>
        <w:rPr>
          <w:rFonts w:ascii="Times New Roman" w:cs="Times New Roman" w:eastAsia="Times New Roman" w:hAnsi="Times New Roman"/>
          <w:sz w:val="20"/>
          <w:szCs w:val="20"/>
          <w:color w:val="auto"/>
        </w:rPr>
        <w:t>All 2023 fees described above were pre-approved by the Audit Committee.</w:t>
      </w:r>
    </w:p>
    <w:p>
      <w:pPr>
        <w:spacing w:after="0" w:line="157" w:lineRule="exact"/>
        <w:rPr>
          <w:sz w:val="20"/>
          <w:szCs w:val="20"/>
          <w:color w:val="auto"/>
        </w:rPr>
      </w:pPr>
    </w:p>
    <w:p>
      <w:pPr>
        <w:ind w:left="7"/>
        <w:spacing w:after="0"/>
        <w:rPr>
          <w:sz w:val="20"/>
          <w:szCs w:val="20"/>
          <w:color w:val="auto"/>
        </w:rPr>
      </w:pPr>
      <w:r>
        <w:rPr>
          <w:rFonts w:ascii="Times New Roman" w:cs="Times New Roman" w:eastAsia="Times New Roman" w:hAnsi="Times New Roman"/>
          <w:sz w:val="20"/>
          <w:szCs w:val="20"/>
          <w:b w:val="1"/>
          <w:bCs w:val="1"/>
          <w:color w:val="auto"/>
        </w:rPr>
        <w:t>Pre-Approval Policies and Procedures</w:t>
      </w:r>
    </w:p>
    <w:p>
      <w:pPr>
        <w:spacing w:after="0" w:line="168" w:lineRule="exact"/>
        <w:rPr>
          <w:sz w:val="20"/>
          <w:szCs w:val="20"/>
          <w:color w:val="auto"/>
        </w:rPr>
      </w:pPr>
    </w:p>
    <w:p>
      <w:pPr>
        <w:jc w:val="both"/>
        <w:ind w:left="7" w:firstLine="1"/>
        <w:spacing w:after="0" w:line="296" w:lineRule="auto"/>
        <w:rPr>
          <w:sz w:val="20"/>
          <w:szCs w:val="20"/>
          <w:color w:val="auto"/>
        </w:rPr>
      </w:pPr>
      <w:r>
        <w:rPr>
          <w:rFonts w:ascii="Times New Roman" w:cs="Times New Roman" w:eastAsia="Times New Roman" w:hAnsi="Times New Roman"/>
          <w:sz w:val="20"/>
          <w:szCs w:val="20"/>
          <w:color w:val="auto"/>
        </w:rPr>
        <w:t>Our Audit Committee has adopted a policy and procedures for the pre-approval of audit and non-audit services rendered by our independent registered public accounting firm, Moss Adams LLP. The policy generally pre-approves specified services in the defined categories of audit services, audit-related services and tax services up to specified amounts. Pre-approval may also be given on a collective basis pursuant to such policy or on an individual, explicit, case-by-case basis before the independent auditor is engaged to provide each service. The pre-approval of services may be delegated to one or more of the Audit Committee’s members, but the decision must be reported to the full Audit Committee at its next scheduled meeting.</w:t>
      </w:r>
    </w:p>
    <w:p>
      <w:pPr>
        <w:spacing w:after="0" w:line="76" w:lineRule="exact"/>
        <w:rPr>
          <w:sz w:val="20"/>
          <w:szCs w:val="20"/>
          <w:color w:val="auto"/>
        </w:rPr>
      </w:pPr>
    </w:p>
    <w:p>
      <w:pPr>
        <w:jc w:val="both"/>
        <w:ind w:left="7"/>
        <w:spacing w:after="0" w:line="326" w:lineRule="auto"/>
        <w:rPr>
          <w:sz w:val="20"/>
          <w:szCs w:val="20"/>
          <w:color w:val="auto"/>
        </w:rPr>
      </w:pPr>
      <w:r>
        <w:rPr>
          <w:rFonts w:ascii="Times New Roman" w:cs="Times New Roman" w:eastAsia="Times New Roman" w:hAnsi="Times New Roman"/>
          <w:sz w:val="20"/>
          <w:szCs w:val="20"/>
          <w:color w:val="auto"/>
        </w:rPr>
        <w:t>Our Audit Committee has determined that the rendering of services other than audit services by Moss Adams LLP is compatible with maintaining the principal accountant’s independence.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7" w:lineRule="exact"/>
        <w:rPr>
          <w:sz w:val="20"/>
          <w:szCs w:val="20"/>
          <w:color w:val="auto"/>
        </w:rPr>
      </w:pPr>
    </w:p>
    <w:p>
      <w:pPr>
        <w:jc w:val="center"/>
        <w:ind w:right="13"/>
        <w:spacing w:after="0"/>
        <w:rPr>
          <w:sz w:val="20"/>
          <w:szCs w:val="20"/>
          <w:color w:val="auto"/>
        </w:rPr>
      </w:pPr>
      <w:r>
        <w:rPr>
          <w:rFonts w:ascii="Times New Roman" w:cs="Times New Roman" w:eastAsia="Times New Roman" w:hAnsi="Times New Roman"/>
          <w:sz w:val="20"/>
          <w:szCs w:val="20"/>
          <w:color w:val="auto"/>
        </w:rPr>
        <w:t>106</w:t>
      </w:r>
    </w:p>
    <w:p>
      <w:pPr>
        <w:sectPr>
          <w:pgSz w:w="12240" w:h="15840" w:orient="portrait"/>
          <w:cols w:equalWidth="0" w:num="1">
            <w:col w:w="10267"/>
          </w:cols>
          <w:pgMar w:left="993" w:top="884" w:right="980" w:bottom="222" w:gutter="0" w:footer="0" w:header="0"/>
        </w:sectPr>
      </w:pPr>
    </w:p>
    <w:bookmarkStart w:id="110" w:name="page111"/>
    <w:bookmarkEnd w:id="110"/>
    <w:p>
      <w:pPr>
        <w:ind w:left="6"/>
        <w:spacing w:after="0"/>
        <w:rPr>
          <w:sz w:val="20"/>
          <w:szCs w:val="20"/>
          <w:color w:val="auto"/>
        </w:rPr>
      </w:pPr>
      <w:r>
        <w:rPr>
          <w:rFonts w:ascii="Times New Roman" w:cs="Times New Roman" w:eastAsia="Times New Roman" w:hAnsi="Times New Roman"/>
          <w:sz w:val="20"/>
          <w:szCs w:val="20"/>
          <w:b w:val="1"/>
          <w:bCs w:val="1"/>
          <w:color w:val="auto"/>
        </w:rPr>
        <w:t>PART IV</w:t>
      </w:r>
    </w:p>
    <w:p>
      <w:pPr>
        <w:spacing w:after="0" w:line="288" w:lineRule="exact"/>
        <w:rPr>
          <w:sz w:val="20"/>
          <w:szCs w:val="20"/>
          <w:color w:val="auto"/>
        </w:rPr>
      </w:pPr>
    </w:p>
    <w:p>
      <w:pPr>
        <w:ind w:left="6"/>
        <w:spacing w:after="0"/>
        <w:tabs>
          <w:tab w:leader="none" w:pos="1066" w:val="left"/>
        </w:tabs>
        <w:rPr>
          <w:sz w:val="20"/>
          <w:szCs w:val="20"/>
          <w:color w:val="auto"/>
        </w:rPr>
      </w:pPr>
      <w:r>
        <w:rPr>
          <w:rFonts w:ascii="Times New Roman" w:cs="Times New Roman" w:eastAsia="Times New Roman" w:hAnsi="Times New Roman"/>
          <w:sz w:val="20"/>
          <w:szCs w:val="20"/>
          <w:b w:val="1"/>
          <w:bCs w:val="1"/>
          <w:color w:val="auto"/>
        </w:rPr>
        <w:t>ITEM 15.</w:t>
      </w:r>
      <w:r>
        <w:rPr>
          <w:sz w:val="20"/>
          <w:szCs w:val="20"/>
          <w:color w:val="auto"/>
        </w:rPr>
        <w:tab/>
      </w:r>
      <w:r>
        <w:rPr>
          <w:rFonts w:ascii="Times New Roman" w:cs="Times New Roman" w:eastAsia="Times New Roman" w:hAnsi="Times New Roman"/>
          <w:sz w:val="19"/>
          <w:szCs w:val="19"/>
          <w:b w:val="1"/>
          <w:bCs w:val="1"/>
          <w:color w:val="auto"/>
        </w:rPr>
        <w:t>EXHIBITS AND FINANCIAL STATEMENT SCHEDULES</w:t>
      </w:r>
    </w:p>
    <w:p>
      <w:pPr>
        <w:spacing w:after="0" w:line="290" w:lineRule="exact"/>
        <w:rPr>
          <w:sz w:val="20"/>
          <w:szCs w:val="20"/>
          <w:color w:val="auto"/>
        </w:rPr>
      </w:pPr>
    </w:p>
    <w:p>
      <w:pPr>
        <w:ind w:left="6" w:right="4820" w:hanging="6"/>
        <w:spacing w:after="0" w:line="468" w:lineRule="auto"/>
        <w:tabs>
          <w:tab w:leader="none" w:pos="266" w:val="left"/>
        </w:tabs>
        <w:numPr>
          <w:ilvl w:val="0"/>
          <w:numId w:val="6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following documents are filed as part of this Annual Report: 1. Financial Statements.</w:t>
      </w:r>
    </w:p>
    <w:p>
      <w:pPr>
        <w:spacing w:after="0" w:line="1" w:lineRule="exact"/>
        <w:rPr>
          <w:sz w:val="20"/>
          <w:szCs w:val="20"/>
          <w:color w:val="auto"/>
        </w:rPr>
      </w:pPr>
    </w:p>
    <w:tbl>
      <w:tblPr>
        <w:tblLayout w:type="fixed"/>
        <w:tblInd w:w="46" w:type="dxa"/>
        <w:tblCellMar>
          <w:top w:w="0" w:type="dxa"/>
          <w:left w:w="0" w:type="dxa"/>
          <w:bottom w:w="0" w:type="dxa"/>
          <w:right w:w="0" w:type="dxa"/>
        </w:tblCellMar>
      </w:tblPr>
      <w:tr>
        <w:trPr>
          <w:trHeight w:val="255"/>
        </w:trPr>
        <w:tc>
          <w:tcPr>
            <w:tcW w:w="9420" w:type="dxa"/>
            <w:vAlign w:val="bottom"/>
          </w:tcPr>
          <w:p>
            <w:pPr>
              <w:spacing w:after="0"/>
              <w:rPr>
                <w:sz w:val="22"/>
                <w:szCs w:val="22"/>
                <w:color w:val="auto"/>
              </w:rPr>
            </w:pPr>
          </w:p>
        </w:tc>
        <w:tc>
          <w:tcPr>
            <w:tcW w:w="8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20"/>
                <w:szCs w:val="20"/>
                <w:b w:val="1"/>
                <w:bCs w:val="1"/>
                <w:color w:val="auto"/>
              </w:rPr>
              <w:t>Page</w:t>
            </w:r>
          </w:p>
        </w:tc>
      </w:tr>
      <w:tr>
        <w:trPr>
          <w:trHeight w:val="285"/>
        </w:trPr>
        <w:tc>
          <w:tcPr>
            <w:tcW w:w="9420" w:type="dxa"/>
            <w:vAlign w:val="bottom"/>
          </w:tcPr>
          <w:p>
            <w:pPr>
              <w:spacing w:after="0"/>
              <w:rPr>
                <w:sz w:val="20"/>
                <w:szCs w:val="20"/>
                <w:color w:val="auto"/>
              </w:rPr>
            </w:pPr>
            <w:r>
              <w:rPr>
                <w:rFonts w:ascii="Times New Roman" w:cs="Times New Roman" w:eastAsia="Times New Roman" w:hAnsi="Times New Roman"/>
                <w:sz w:val="20"/>
                <w:szCs w:val="20"/>
                <w:color w:val="auto"/>
              </w:rPr>
              <w:t>Consolidated Balance Sheets</w:t>
            </w:r>
          </w:p>
        </w:tc>
        <w:tc>
          <w:tcPr>
            <w:tcW w:w="800" w:type="dxa"/>
            <w:vAlign w:val="bottom"/>
          </w:tcPr>
          <w:p>
            <w:pPr>
              <w:jc w:val="center"/>
              <w:spacing w:after="0"/>
              <w:rPr>
                <w:sz w:val="20"/>
                <w:szCs w:val="20"/>
                <w:color w:val="auto"/>
              </w:rPr>
            </w:pPr>
            <w:r>
              <w:rPr>
                <w:rFonts w:ascii="Times New Roman" w:cs="Times New Roman" w:eastAsia="Times New Roman" w:hAnsi="Times New Roman"/>
                <w:sz w:val="20"/>
                <w:szCs w:val="20"/>
                <w:color w:val="auto"/>
              </w:rPr>
              <w:t>F-1</w:t>
            </w:r>
          </w:p>
        </w:tc>
      </w:tr>
      <w:tr>
        <w:trPr>
          <w:trHeight w:val="281"/>
        </w:trPr>
        <w:tc>
          <w:tcPr>
            <w:tcW w:w="9420" w:type="dxa"/>
            <w:vAlign w:val="bottom"/>
          </w:tcPr>
          <w:p>
            <w:pPr>
              <w:spacing w:after="0"/>
              <w:rPr>
                <w:sz w:val="20"/>
                <w:szCs w:val="20"/>
                <w:color w:val="auto"/>
              </w:rPr>
            </w:pPr>
            <w:r>
              <w:rPr>
                <w:rFonts w:ascii="Times New Roman" w:cs="Times New Roman" w:eastAsia="Times New Roman" w:hAnsi="Times New Roman"/>
                <w:sz w:val="20"/>
                <w:szCs w:val="20"/>
                <w:color w:val="auto"/>
              </w:rPr>
              <w:t>Consolidated Statements of Operations</w:t>
            </w:r>
          </w:p>
        </w:tc>
        <w:tc>
          <w:tcPr>
            <w:tcW w:w="800" w:type="dxa"/>
            <w:vAlign w:val="bottom"/>
          </w:tcPr>
          <w:p>
            <w:pPr>
              <w:jc w:val="center"/>
              <w:spacing w:after="0"/>
              <w:rPr>
                <w:sz w:val="20"/>
                <w:szCs w:val="20"/>
                <w:color w:val="auto"/>
              </w:rPr>
            </w:pPr>
            <w:r>
              <w:rPr>
                <w:rFonts w:ascii="Times New Roman" w:cs="Times New Roman" w:eastAsia="Times New Roman" w:hAnsi="Times New Roman"/>
                <w:sz w:val="20"/>
                <w:szCs w:val="20"/>
                <w:color w:val="auto"/>
              </w:rPr>
              <w:t>F-2</w:t>
            </w:r>
          </w:p>
        </w:tc>
      </w:tr>
      <w:tr>
        <w:trPr>
          <w:trHeight w:val="281"/>
        </w:trPr>
        <w:tc>
          <w:tcPr>
            <w:tcW w:w="9420" w:type="dxa"/>
            <w:vAlign w:val="bottom"/>
          </w:tcPr>
          <w:p>
            <w:pPr>
              <w:spacing w:after="0"/>
              <w:rPr>
                <w:sz w:val="20"/>
                <w:szCs w:val="20"/>
                <w:color w:val="auto"/>
              </w:rPr>
            </w:pPr>
            <w:r>
              <w:rPr>
                <w:rFonts w:ascii="Times New Roman" w:cs="Times New Roman" w:eastAsia="Times New Roman" w:hAnsi="Times New Roman"/>
                <w:sz w:val="20"/>
                <w:szCs w:val="20"/>
                <w:color w:val="auto"/>
              </w:rPr>
              <w:t>Consolidated Statements of Equity</w:t>
            </w:r>
          </w:p>
        </w:tc>
        <w:tc>
          <w:tcPr>
            <w:tcW w:w="800" w:type="dxa"/>
            <w:vAlign w:val="bottom"/>
          </w:tcPr>
          <w:p>
            <w:pPr>
              <w:jc w:val="center"/>
              <w:spacing w:after="0"/>
              <w:rPr>
                <w:sz w:val="20"/>
                <w:szCs w:val="20"/>
                <w:color w:val="auto"/>
              </w:rPr>
            </w:pPr>
            <w:r>
              <w:rPr>
                <w:rFonts w:ascii="Times New Roman" w:cs="Times New Roman" w:eastAsia="Times New Roman" w:hAnsi="Times New Roman"/>
                <w:sz w:val="20"/>
                <w:szCs w:val="20"/>
                <w:color w:val="auto"/>
              </w:rPr>
              <w:t>F-3</w:t>
            </w:r>
          </w:p>
        </w:tc>
      </w:tr>
      <w:tr>
        <w:trPr>
          <w:trHeight w:val="288"/>
        </w:trPr>
        <w:tc>
          <w:tcPr>
            <w:tcW w:w="9420" w:type="dxa"/>
            <w:vAlign w:val="bottom"/>
          </w:tcPr>
          <w:p>
            <w:pPr>
              <w:spacing w:after="0"/>
              <w:rPr>
                <w:sz w:val="20"/>
                <w:szCs w:val="20"/>
                <w:color w:val="auto"/>
              </w:rPr>
            </w:pPr>
            <w:r>
              <w:rPr>
                <w:rFonts w:ascii="Times New Roman" w:cs="Times New Roman" w:eastAsia="Times New Roman" w:hAnsi="Times New Roman"/>
                <w:sz w:val="20"/>
                <w:szCs w:val="20"/>
                <w:color w:val="auto"/>
              </w:rPr>
              <w:t>Consolidated Statements of Cash Flows</w:t>
            </w:r>
          </w:p>
        </w:tc>
        <w:tc>
          <w:tcPr>
            <w:tcW w:w="800" w:type="dxa"/>
            <w:vAlign w:val="bottom"/>
          </w:tcPr>
          <w:p>
            <w:pPr>
              <w:jc w:val="center"/>
              <w:spacing w:after="0"/>
              <w:rPr>
                <w:sz w:val="20"/>
                <w:szCs w:val="20"/>
                <w:color w:val="auto"/>
              </w:rPr>
            </w:pPr>
            <w:r>
              <w:rPr>
                <w:rFonts w:ascii="Times New Roman" w:cs="Times New Roman" w:eastAsia="Times New Roman" w:hAnsi="Times New Roman"/>
                <w:sz w:val="20"/>
                <w:szCs w:val="20"/>
                <w:color w:val="auto"/>
              </w:rPr>
              <w:t>F-4</w:t>
            </w:r>
          </w:p>
        </w:tc>
      </w:tr>
      <w:tr>
        <w:trPr>
          <w:trHeight w:val="288"/>
        </w:trPr>
        <w:tc>
          <w:tcPr>
            <w:tcW w:w="9420" w:type="dxa"/>
            <w:vAlign w:val="bottom"/>
          </w:tcPr>
          <w:p>
            <w:pPr>
              <w:spacing w:after="0"/>
              <w:rPr>
                <w:sz w:val="20"/>
                <w:szCs w:val="20"/>
                <w:color w:val="auto"/>
              </w:rPr>
            </w:pPr>
            <w:r>
              <w:rPr>
                <w:rFonts w:ascii="Times New Roman" w:cs="Times New Roman" w:eastAsia="Times New Roman" w:hAnsi="Times New Roman"/>
                <w:sz w:val="20"/>
                <w:szCs w:val="20"/>
                <w:color w:val="auto"/>
              </w:rPr>
              <w:t>Notes to Consolidated Financial Statements</w:t>
            </w:r>
          </w:p>
        </w:tc>
        <w:tc>
          <w:tcPr>
            <w:tcW w:w="800" w:type="dxa"/>
            <w:vAlign w:val="bottom"/>
          </w:tcPr>
          <w:p>
            <w:pPr>
              <w:jc w:val="center"/>
              <w:spacing w:after="0"/>
              <w:rPr>
                <w:sz w:val="20"/>
                <w:szCs w:val="20"/>
                <w:color w:val="auto"/>
              </w:rPr>
            </w:pPr>
            <w:r>
              <w:rPr>
                <w:rFonts w:ascii="Times New Roman" w:cs="Times New Roman" w:eastAsia="Times New Roman" w:hAnsi="Times New Roman"/>
                <w:sz w:val="20"/>
                <w:szCs w:val="20"/>
                <w:color w:val="auto"/>
              </w:rPr>
              <w:t>F-6</w:t>
            </w:r>
          </w:p>
        </w:tc>
      </w:tr>
    </w:tbl>
    <w:p>
      <w:pPr>
        <w:spacing w:after="0" w:line="141" w:lineRule="exact"/>
        <w:rPr>
          <w:sz w:val="20"/>
          <w:szCs w:val="20"/>
          <w:color w:val="auto"/>
        </w:rPr>
      </w:pPr>
    </w:p>
    <w:p>
      <w:pPr>
        <w:ind w:left="6"/>
        <w:spacing w:after="0"/>
        <w:rPr>
          <w:sz w:val="20"/>
          <w:szCs w:val="20"/>
          <w:color w:val="auto"/>
        </w:rPr>
      </w:pPr>
      <w:r>
        <w:rPr>
          <w:rFonts w:ascii="Times New Roman" w:cs="Times New Roman" w:eastAsia="Times New Roman" w:hAnsi="Times New Roman"/>
          <w:sz w:val="20"/>
          <w:szCs w:val="20"/>
          <w:color w:val="auto"/>
        </w:rPr>
        <w:t>2. Financial Statement Schedules.</w:t>
      </w:r>
    </w:p>
    <w:p>
      <w:pPr>
        <w:spacing w:after="0" w:line="288" w:lineRule="exact"/>
        <w:rPr>
          <w:sz w:val="20"/>
          <w:szCs w:val="20"/>
          <w:color w:val="auto"/>
        </w:rPr>
      </w:pPr>
    </w:p>
    <w:p>
      <w:pPr>
        <w:jc w:val="both"/>
        <w:ind w:left="6"/>
        <w:spacing w:after="0" w:line="306" w:lineRule="auto"/>
        <w:rPr>
          <w:sz w:val="20"/>
          <w:szCs w:val="20"/>
          <w:color w:val="auto"/>
        </w:rPr>
      </w:pPr>
      <w:r>
        <w:rPr>
          <w:rFonts w:ascii="Times New Roman" w:cs="Times New Roman" w:eastAsia="Times New Roman" w:hAnsi="Times New Roman"/>
          <w:sz w:val="20"/>
          <w:szCs w:val="20"/>
          <w:color w:val="auto"/>
        </w:rPr>
        <w:t>All schedules have been omitted because they are not required, not applicable, not present in amounts sufficient to require submission of the schedule, or the required information is otherwise included in our consolidated financial statements and related notes.</w:t>
      </w:r>
    </w:p>
    <w:p>
      <w:pPr>
        <w:spacing w:after="0" w:line="193" w:lineRule="exact"/>
        <w:rPr>
          <w:sz w:val="20"/>
          <w:szCs w:val="20"/>
          <w:color w:val="auto"/>
        </w:rPr>
      </w:pPr>
    </w:p>
    <w:p>
      <w:pPr>
        <w:ind w:left="6"/>
        <w:spacing w:after="0"/>
        <w:rPr>
          <w:sz w:val="20"/>
          <w:szCs w:val="20"/>
          <w:color w:val="auto"/>
        </w:rPr>
      </w:pPr>
      <w:r>
        <w:rPr>
          <w:rFonts w:ascii="Times New Roman" w:cs="Times New Roman" w:eastAsia="Times New Roman" w:hAnsi="Times New Roman"/>
          <w:sz w:val="20"/>
          <w:szCs w:val="20"/>
          <w:color w:val="auto"/>
        </w:rPr>
        <w:t>3. Exhibits.</w:t>
      </w:r>
    </w:p>
    <w:p>
      <w:pPr>
        <w:spacing w:after="0" w:line="159" w:lineRule="exact"/>
        <w:rPr>
          <w:sz w:val="20"/>
          <w:szCs w:val="20"/>
          <w:color w:val="auto"/>
        </w:rPr>
      </w:pPr>
    </w:p>
    <w:p>
      <w:pPr>
        <w:ind w:left="6"/>
        <w:spacing w:after="0"/>
        <w:rPr>
          <w:sz w:val="20"/>
          <w:szCs w:val="20"/>
          <w:color w:val="auto"/>
        </w:rPr>
      </w:pPr>
      <w:r>
        <w:rPr>
          <w:rFonts w:ascii="Times New Roman" w:cs="Times New Roman" w:eastAsia="Times New Roman" w:hAnsi="Times New Roman"/>
          <w:sz w:val="20"/>
          <w:szCs w:val="20"/>
          <w:color w:val="auto"/>
        </w:rPr>
        <w:t>The following exhibits are filed as part of, or incorporated by reference into, this Annual Report:</w:t>
      </w:r>
    </w:p>
    <w:p>
      <w:pPr>
        <w:spacing w:after="0" w:line="214" w:lineRule="exact"/>
        <w:rPr>
          <w:sz w:val="20"/>
          <w:szCs w:val="20"/>
          <w:color w:val="auto"/>
        </w:rPr>
      </w:pPr>
    </w:p>
    <w:p>
      <w:pPr>
        <w:ind w:left="46"/>
        <w:spacing w:after="0"/>
        <w:rPr>
          <w:sz w:val="20"/>
          <w:szCs w:val="20"/>
          <w:color w:val="auto"/>
        </w:rPr>
      </w:pPr>
      <w:r>
        <w:rPr>
          <w:rFonts w:ascii="Times New Roman" w:cs="Times New Roman" w:eastAsia="Times New Roman" w:hAnsi="Times New Roman"/>
          <w:sz w:val="20"/>
          <w:szCs w:val="20"/>
          <w:b w:val="1"/>
          <w:bCs w:val="1"/>
          <w:color w:val="auto"/>
        </w:rPr>
        <w:t>Exhibit</w:t>
      </w:r>
    </w:p>
    <w:p>
      <w:pPr>
        <w:spacing w:after="0" w:line="32" w:lineRule="exact"/>
        <w:rPr>
          <w:sz w:val="20"/>
          <w:szCs w:val="20"/>
          <w:color w:val="auto"/>
        </w:rPr>
      </w:pPr>
    </w:p>
    <w:p>
      <w:pPr>
        <w:ind w:left="46"/>
        <w:spacing w:after="0"/>
        <w:tabs>
          <w:tab w:leader="none" w:pos="5166" w:val="left"/>
        </w:tabs>
        <w:rPr>
          <w:sz w:val="20"/>
          <w:szCs w:val="20"/>
          <w:color w:val="auto"/>
        </w:rPr>
      </w:pPr>
      <w:r>
        <w:rPr>
          <w:rFonts w:ascii="Times New Roman" w:cs="Times New Roman" w:eastAsia="Times New Roman" w:hAnsi="Times New Roman"/>
          <w:sz w:val="20"/>
          <w:szCs w:val="20"/>
          <w:b w:val="1"/>
          <w:bCs w:val="1"/>
          <w:color w:val="auto"/>
        </w:rPr>
        <w:t>No.</w:t>
      </w:r>
      <w:r>
        <w:rPr>
          <w:sz w:val="20"/>
          <w:szCs w:val="20"/>
          <w:color w:val="auto"/>
        </w:rPr>
        <w:tab/>
      </w:r>
      <w:r>
        <w:rPr>
          <w:rFonts w:ascii="Times New Roman" w:cs="Times New Roman" w:eastAsia="Times New Roman" w:hAnsi="Times New Roman"/>
          <w:sz w:val="20"/>
          <w:szCs w:val="20"/>
          <w:b w:val="1"/>
          <w:bCs w:val="1"/>
          <w:color w:val="auto"/>
        </w:rPr>
        <w:t>Description</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0</wp:posOffset>
                </wp:positionH>
                <wp:positionV relativeFrom="paragraph">
                  <wp:posOffset>27305</wp:posOffset>
                </wp:positionV>
                <wp:extent cx="6515100" cy="370205"/>
                <wp:wrapNone/>
                <wp:docPr id="32" name="Shape 32"/>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515100" cy="370205"/>
                        </a:xfrm>
                        <a:prstGeom prst="rect">
                          <a:avLst/>
                        </a:prstGeom>
                        <a:solidFill>
                          <a:srgbClr val="DDDDDD"/>
                        </a:solidFill>
                      </wps:spPr>
                      <wps:bodyPr/>
                    </wps:wsp>
                  </a:graphicData>
                </a:graphic>
              </wp:anchor>
            </w:drawing>
          </mc:Choice>
          <mc:Fallback>
            <w:pict>
              <v:rect id="Shape 32" o:spid="_x0000_s1057" style="position:absolute;margin-left:0pt;margin-top:2.15pt;width:513pt;height:29.15pt;z-index:-251657728;visibility:visible;mso-wrap-style:square;mso-width-percent:0;mso-height-percent:0;mso-wrap-distance-left:0pt;mso-wrap-distance-top:0;mso-wrap-distance-right:0pt;mso-wrap-distance-bottom:0;mso-position-horizontal:absolute;mso-position-horizontal-relative:text;mso-position-vertical:absolute;mso-position-vertical-relative:text;mso-width-percent:0;mso-height-percent:0;mso-width-relative:page;mso-height-relative:page;v-text-anchor:top" o:allowincell="f" fillcolor="#DDDDDD" stroked="f"/>
            </w:pict>
          </mc:Fallback>
        </mc:AlternateContent>
        <mc:AlternateContent>
          <mc:Choice Requires="wps">
            <w:drawing>
              <wp:anchor simplePos="0" relativeHeight="251657728" behindDoc="1" locked="0" layoutInCell="0" allowOverlap="1">
                <wp:simplePos x="0" y="0"/>
                <wp:positionH relativeFrom="column">
                  <wp:posOffset>0</wp:posOffset>
                </wp:positionH>
                <wp:positionV relativeFrom="paragraph">
                  <wp:posOffset>22860</wp:posOffset>
                </wp:positionV>
                <wp:extent cx="635000" cy="0"/>
                <wp:wrapNone/>
                <wp:docPr id="33" name="Shape 33"/>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35000" cy="4763"/>
                        </a:xfrm>
                        <a:prstGeom prst="line">
                          <a:avLst/>
                        </a:prstGeom>
                        <a:solidFill>
                          <a:srgbClr val="FFFFFF"/>
                        </a:solidFill>
                        <a:ln w="9144">
                          <a:solidFill>
                            <a:srgbClr val="000000"/>
                          </a:solidFill>
                          <a:miter lim="800000"/>
                          <a:headEnd/>
                          <a:tailEnd/>
                        </a:ln>
                      </wps:spPr>
                      <wps:bodyPr/>
                    </wps:wsp>
                  </a:graphicData>
                </a:graphic>
              </wp:anchor>
            </w:drawing>
          </mc:Choice>
          <mc:Fallback>
            <w:pict>
              <v:line id="Shape 33" o:spid="_x0000_s1058"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0pt,1.8pt" to="50pt,1.8pt" o:allowincell="f" strokecolor="#000000" strokeweight="0.72pt"/>
            </w:pict>
          </mc:Fallback>
        </mc:AlternateContent>
        <mc:AlternateContent>
          <mc:Choice Requires="wps">
            <w:drawing>
              <wp:anchor simplePos="0" relativeHeight="251657728" behindDoc="1" locked="0" layoutInCell="0" allowOverlap="1">
                <wp:simplePos x="0" y="0"/>
                <wp:positionH relativeFrom="column">
                  <wp:posOffset>660400</wp:posOffset>
                </wp:positionH>
                <wp:positionV relativeFrom="paragraph">
                  <wp:posOffset>17780</wp:posOffset>
                </wp:positionV>
                <wp:extent cx="0" cy="379730"/>
                <wp:wrapNone/>
                <wp:docPr id="34" name="Shape 34"/>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4763" cy="379730"/>
                        </a:xfrm>
                        <a:prstGeom prst="line">
                          <a:avLst/>
                        </a:prstGeom>
                        <a:solidFill>
                          <a:srgbClr val="FFFFFF"/>
                        </a:solidFill>
                        <a:ln w="50291">
                          <a:solidFill>
                            <a:srgbClr val="DDDDDD"/>
                          </a:solidFill>
                          <a:miter lim="800000"/>
                          <a:headEnd/>
                          <a:tailEnd/>
                        </a:ln>
                      </wps:spPr>
                      <wps:bodyPr/>
                    </wps:wsp>
                  </a:graphicData>
                </a:graphic>
              </wp:anchor>
            </w:drawing>
          </mc:Choice>
          <mc:Fallback>
            <w:pict>
              <v:line id="Shape 34" o:spid="_x0000_s1059"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52pt,1.4pt" to="52pt,31.3pt" o:allowincell="f" strokecolor="#DDDDDD" strokeweight="3.9599pt"/>
            </w:pict>
          </mc:Fallback>
        </mc:AlternateContent>
        <mc:AlternateContent>
          <mc:Choice Requires="wps">
            <w:drawing>
              <wp:anchor simplePos="0" relativeHeight="251657728" behindDoc="1" locked="0" layoutInCell="0" allowOverlap="1">
                <wp:simplePos x="0" y="0"/>
                <wp:positionH relativeFrom="column">
                  <wp:posOffset>685800</wp:posOffset>
                </wp:positionH>
                <wp:positionV relativeFrom="paragraph">
                  <wp:posOffset>22860</wp:posOffset>
                </wp:positionV>
                <wp:extent cx="5829300" cy="0"/>
                <wp:wrapNone/>
                <wp:docPr id="35" name="Shape 35"/>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5829300" cy="4763"/>
                        </a:xfrm>
                        <a:prstGeom prst="line">
                          <a:avLst/>
                        </a:prstGeom>
                        <a:solidFill>
                          <a:srgbClr val="FFFFFF"/>
                        </a:solidFill>
                        <a:ln w="9144">
                          <a:solidFill>
                            <a:srgbClr val="000000"/>
                          </a:solidFill>
                          <a:miter lim="800000"/>
                          <a:headEnd/>
                          <a:tailEnd/>
                        </a:ln>
                      </wps:spPr>
                      <wps:bodyPr/>
                    </wps:wsp>
                  </a:graphicData>
                </a:graphic>
              </wp:anchor>
            </w:drawing>
          </mc:Choice>
          <mc:Fallback>
            <w:pict>
              <v:line id="Shape 35" o:spid="_x0000_s1060"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54pt,1.8pt" to="513pt,1.8pt" o:allowincell="f" strokecolor="#000000" strokeweight="0.72pt"/>
            </w:pict>
          </mc:Fallback>
        </mc:AlternateContent>
        <mc:AlternateContent>
          <mc:Choice Requires="wps">
            <w:drawing>
              <wp:anchor simplePos="0" relativeHeight="251657728" behindDoc="1" locked="0" layoutInCell="0" allowOverlap="1">
                <wp:simplePos x="0" y="0"/>
                <wp:positionH relativeFrom="column">
                  <wp:posOffset>0</wp:posOffset>
                </wp:positionH>
                <wp:positionV relativeFrom="paragraph">
                  <wp:posOffset>29210</wp:posOffset>
                </wp:positionV>
                <wp:extent cx="6515100" cy="0"/>
                <wp:wrapNone/>
                <wp:docPr id="36" name="Shape 36"/>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515100" cy="4763"/>
                        </a:xfrm>
                        <a:prstGeom prst="line">
                          <a:avLst/>
                        </a:prstGeom>
                        <a:solidFill>
                          <a:srgbClr val="FFFFFF"/>
                        </a:solidFill>
                        <a:ln w="4571">
                          <a:solidFill>
                            <a:srgbClr val="DDDDDD"/>
                          </a:solidFill>
                          <a:miter lim="800000"/>
                          <a:headEnd/>
                          <a:tailEnd/>
                        </a:ln>
                      </wps:spPr>
                      <wps:bodyPr/>
                    </wps:wsp>
                  </a:graphicData>
                </a:graphic>
              </wp:anchor>
            </w:drawing>
          </mc:Choice>
          <mc:Fallback>
            <w:pict>
              <v:line id="Shape 36" o:spid="_x0000_s1061"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0pt,2.3pt" to="513pt,2.3pt" o:allowincell="f" strokecolor="#DDDDDD" strokeweight="0.3599pt"/>
            </w:pict>
          </mc:Fallback>
        </mc:AlternateContent>
      </w:r>
    </w:p>
    <w:p>
      <w:pPr>
        <w:sectPr>
          <w:pgSz w:w="12240" w:h="15840" w:orient="portrait"/>
          <w:cols w:equalWidth="0" w:num="1">
            <w:col w:w="10266"/>
          </w:cols>
          <w:pgMar w:left="994" w:top="882" w:right="980" w:bottom="182" w:gutter="0" w:footer="0" w:header="0"/>
        </w:sectPr>
      </w:pPr>
    </w:p>
    <w:p>
      <w:pPr>
        <w:spacing w:after="0" w:line="345" w:lineRule="exact"/>
        <w:rPr>
          <w:sz w:val="20"/>
          <w:szCs w:val="20"/>
          <w:color w:val="auto"/>
        </w:rPr>
      </w:pPr>
    </w:p>
    <w:p>
      <w:pPr>
        <w:ind w:left="46"/>
        <w:spacing w:after="0"/>
        <w:rPr>
          <w:sz w:val="20"/>
          <w:szCs w:val="20"/>
          <w:color w:val="auto"/>
        </w:rPr>
      </w:pPr>
      <w:r>
        <w:rPr>
          <w:rFonts w:ascii="Times New Roman" w:cs="Times New Roman" w:eastAsia="Times New Roman" w:hAnsi="Times New Roman"/>
          <w:sz w:val="20"/>
          <w:szCs w:val="20"/>
          <w:color w:val="auto"/>
        </w:rPr>
        <w:t>3.1</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31750</wp:posOffset>
                </wp:positionH>
                <wp:positionV relativeFrom="paragraph">
                  <wp:posOffset>-154305</wp:posOffset>
                </wp:positionV>
                <wp:extent cx="571500" cy="187325"/>
                <wp:wrapNone/>
                <wp:docPr id="37" name="Shape 37"/>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571500" cy="187325"/>
                        </a:xfrm>
                        <a:prstGeom prst="rect">
                          <a:avLst/>
                        </a:prstGeom>
                        <a:solidFill>
                          <a:srgbClr val="DDDDDD"/>
                        </a:solidFill>
                      </wps:spPr>
                      <wps:bodyPr/>
                    </wps:wsp>
                  </a:graphicData>
                </a:graphic>
              </wp:anchor>
            </w:drawing>
          </mc:Choice>
          <mc:Fallback>
            <w:pict>
              <v:rect id="Shape 37" o:spid="_x0000_s1062" style="position:absolute;margin-left:2.5pt;margin-top:-12.1499pt;width:45pt;height:14.75pt;z-index:-251657728;visibility:visible;mso-wrap-style:square;mso-width-percent:0;mso-height-percent:0;mso-wrap-distance-left:0pt;mso-wrap-distance-top:0;mso-wrap-distance-right:0pt;mso-wrap-distance-bottom:0;mso-position-horizontal:absolute;mso-position-horizontal-relative:text;mso-position-vertical:absolute;mso-position-vertical-relative:text;mso-width-percent:0;mso-height-percent:0;mso-width-relative:page;mso-height-relative:page;v-text-anchor:top" o:allowincell="f" fillcolor="#DDDDDD" stroked="f"/>
            </w:pict>
          </mc:Fallback>
        </mc:AlternateContent>
      </w:r>
    </w:p>
    <w:p>
      <w:pPr>
        <w:spacing w:after="0" w:line="340" w:lineRule="exact"/>
        <w:rPr>
          <w:sz w:val="20"/>
          <w:szCs w:val="20"/>
          <w:color w:val="auto"/>
        </w:rPr>
      </w:pPr>
    </w:p>
    <w:p>
      <w:pPr>
        <w:ind w:left="46"/>
        <w:spacing w:after="0"/>
        <w:rPr>
          <w:sz w:val="20"/>
          <w:szCs w:val="20"/>
          <w:color w:val="auto"/>
        </w:rPr>
      </w:pPr>
      <w:r>
        <w:rPr>
          <w:rFonts w:ascii="Times New Roman" w:cs="Times New Roman" w:eastAsia="Times New Roman" w:hAnsi="Times New Roman"/>
          <w:sz w:val="20"/>
          <w:szCs w:val="20"/>
          <w:color w:val="auto"/>
        </w:rPr>
        <w:t>3.2</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0</wp:posOffset>
                </wp:positionH>
                <wp:positionV relativeFrom="paragraph">
                  <wp:posOffset>37465</wp:posOffset>
                </wp:positionV>
                <wp:extent cx="6515100" cy="379095"/>
                <wp:wrapNone/>
                <wp:docPr id="38" name="Shape 38"/>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515100" cy="379095"/>
                        </a:xfrm>
                        <a:prstGeom prst="rect">
                          <a:avLst/>
                        </a:prstGeom>
                        <a:solidFill>
                          <a:srgbClr val="DDDDDD"/>
                        </a:solidFill>
                      </wps:spPr>
                      <wps:bodyPr/>
                    </wps:wsp>
                  </a:graphicData>
                </a:graphic>
              </wp:anchor>
            </w:drawing>
          </mc:Choice>
          <mc:Fallback>
            <w:pict>
              <v:rect id="Shape 38" o:spid="_x0000_s1063" style="position:absolute;margin-left:0pt;margin-top:2.95pt;width:513pt;height:29.85pt;z-index:-251657728;visibility:visible;mso-wrap-style:square;mso-width-percent:0;mso-height-percent:0;mso-wrap-distance-left:0pt;mso-wrap-distance-top:0;mso-wrap-distance-right:0pt;mso-wrap-distance-bottom:0;mso-position-horizontal:absolute;mso-position-horizontal-relative:text;mso-position-vertical:absolute;mso-position-vertical-relative:text;mso-width-percent:0;mso-height-percent:0;mso-width-relative:page;mso-height-relative:page;v-text-anchor:top" o:allowincell="f" fillcolor="#DDDDDD" stroked="f"/>
            </w:pict>
          </mc:Fallback>
        </mc:AlternateContent>
        <mc:AlternateContent>
          <mc:Choice Requires="wps">
            <w:drawing>
              <wp:anchor simplePos="0" relativeHeight="251657728" behindDoc="1" locked="0" layoutInCell="0" allowOverlap="1">
                <wp:simplePos x="0" y="0"/>
                <wp:positionH relativeFrom="column">
                  <wp:posOffset>31750</wp:posOffset>
                </wp:positionH>
                <wp:positionV relativeFrom="paragraph">
                  <wp:posOffset>215900</wp:posOffset>
                </wp:positionV>
                <wp:extent cx="571500" cy="200660"/>
                <wp:wrapNone/>
                <wp:docPr id="39" name="Shape 39"/>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571500" cy="200660"/>
                        </a:xfrm>
                        <a:prstGeom prst="rect">
                          <a:avLst/>
                        </a:prstGeom>
                        <a:solidFill>
                          <a:srgbClr val="DDDDDD"/>
                        </a:solidFill>
                      </wps:spPr>
                      <wps:bodyPr/>
                    </wps:wsp>
                  </a:graphicData>
                </a:graphic>
              </wp:anchor>
            </w:drawing>
          </mc:Choice>
          <mc:Fallback>
            <w:pict>
              <v:rect id="Shape 39" o:spid="_x0000_s1064" style="position:absolute;margin-left:2.5pt;margin-top:17pt;width:45pt;height:15.8pt;z-index:-251657728;visibility:visible;mso-wrap-style:square;mso-width-percent:0;mso-height-percent:0;mso-wrap-distance-left:0pt;mso-wrap-distance-top:0;mso-wrap-distance-right:0pt;mso-wrap-distance-bottom:0;mso-position-horizontal:absolute;mso-position-horizontal-relative:text;mso-position-vertical:absolute;mso-position-vertical-relative:text;mso-width-percent:0;mso-height-percent:0;mso-width-relative:page;mso-height-relative:page;v-text-anchor:top" o:allowincell="f" fillcolor="#DDDDDD" stroked="f"/>
            </w:pict>
          </mc:Fallback>
        </mc:AlternateContent>
      </w:r>
    </w:p>
    <w:p>
      <w:pPr>
        <w:spacing w:after="0" w:line="348" w:lineRule="exact"/>
        <w:rPr>
          <w:sz w:val="20"/>
          <w:szCs w:val="20"/>
          <w:color w:val="auto"/>
        </w:rPr>
      </w:pPr>
    </w:p>
    <w:p>
      <w:pPr>
        <w:ind w:left="46"/>
        <w:spacing w:after="0"/>
        <w:rPr>
          <w:sz w:val="20"/>
          <w:szCs w:val="20"/>
          <w:color w:val="auto"/>
        </w:rPr>
      </w:pPr>
      <w:r>
        <w:rPr>
          <w:rFonts w:ascii="Times New Roman" w:cs="Times New Roman" w:eastAsia="Times New Roman" w:hAnsi="Times New Roman"/>
          <w:sz w:val="20"/>
          <w:szCs w:val="20"/>
          <w:color w:val="auto"/>
        </w:rPr>
        <w:t>4.1</w:t>
      </w:r>
    </w:p>
    <w:p>
      <w:pPr>
        <w:spacing w:after="0" w:line="375" w:lineRule="exact"/>
        <w:rPr>
          <w:sz w:val="20"/>
          <w:szCs w:val="20"/>
          <w:color w:val="auto"/>
        </w:rPr>
      </w:pPr>
    </w:p>
    <w:p>
      <w:pPr>
        <w:ind w:left="46"/>
        <w:spacing w:after="0"/>
        <w:rPr>
          <w:sz w:val="20"/>
          <w:szCs w:val="20"/>
          <w:color w:val="auto"/>
        </w:rPr>
      </w:pPr>
      <w:r>
        <w:rPr>
          <w:rFonts w:ascii="Times New Roman" w:cs="Times New Roman" w:eastAsia="Times New Roman" w:hAnsi="Times New Roman"/>
          <w:sz w:val="20"/>
          <w:szCs w:val="20"/>
          <w:color w:val="auto"/>
        </w:rPr>
        <w:t>4.2</w:t>
      </w:r>
    </w:p>
    <w:p>
      <w:pPr>
        <w:spacing w:after="0" w:line="20" w:lineRule="exact"/>
        <w:rPr>
          <w:sz w:val="20"/>
          <w:szCs w:val="20"/>
          <w:color w:val="auto"/>
        </w:rPr>
      </w:pPr>
      <w:r>
        <w:rPr>
          <w:sz w:val="20"/>
          <w:szCs w:val="20"/>
          <w:color w:val="auto"/>
        </w:rPr>
        <w:br w:type="column"/>
      </w:r>
    </w:p>
    <w:p>
      <w:pPr>
        <w:spacing w:after="0" w:line="37" w:lineRule="exact"/>
        <w:rPr>
          <w:sz w:val="20"/>
          <w:szCs w:val="20"/>
          <w:color w:val="auto"/>
        </w:rPr>
      </w:pPr>
    </w:p>
    <w:p>
      <w:pPr>
        <w:ind w:right="40"/>
        <w:spacing w:after="0" w:line="311" w:lineRule="auto"/>
        <w:rPr>
          <w:sz w:val="20"/>
          <w:szCs w:val="20"/>
          <w:color w:val="auto"/>
        </w:rPr>
      </w:pPr>
      <w:r>
        <w:rPr>
          <w:rFonts w:ascii="Times New Roman" w:cs="Times New Roman" w:eastAsia="Times New Roman" w:hAnsi="Times New Roman"/>
          <w:sz w:val="20"/>
          <w:szCs w:val="20"/>
          <w:color w:val="auto"/>
        </w:rPr>
        <w:t>Certificate of Incorporation of the Company, dated June 15, 2021 (incorporated by reference to Exhibit 3.1 to the Current Report on Form 8-K filed on June 21, 2021).</w:t>
      </w:r>
    </w:p>
    <w:p>
      <w:pPr>
        <w:spacing w:after="0" w:line="2" w:lineRule="exact"/>
        <w:rPr>
          <w:sz w:val="20"/>
          <w:szCs w:val="20"/>
          <w:color w:val="auto"/>
        </w:rPr>
      </w:pPr>
    </w:p>
    <w:p>
      <w:pPr>
        <w:ind w:right="40"/>
        <w:spacing w:after="0" w:line="311" w:lineRule="auto"/>
        <w:rPr>
          <w:sz w:val="20"/>
          <w:szCs w:val="20"/>
          <w:color w:val="auto"/>
        </w:rPr>
      </w:pPr>
      <w:r>
        <w:rPr>
          <w:rFonts w:ascii="Times New Roman" w:cs="Times New Roman" w:eastAsia="Times New Roman" w:hAnsi="Times New Roman"/>
          <w:sz w:val="20"/>
          <w:szCs w:val="20"/>
          <w:color w:val="auto"/>
        </w:rPr>
        <w:t>Amended and Restated Bylaws of the Company, dated June 16, 2021 (incorporated by reference to Exhibit 3.2 to the Current Report on Form 8-K filed on June 21, 2021).</w:t>
      </w:r>
    </w:p>
    <w:p>
      <w:pPr>
        <w:spacing w:after="0" w:line="2" w:lineRule="exact"/>
        <w:rPr>
          <w:sz w:val="20"/>
          <w:szCs w:val="20"/>
          <w:color w:val="auto"/>
        </w:rPr>
      </w:pPr>
    </w:p>
    <w:p>
      <w:pPr>
        <w:ind w:right="40"/>
        <w:spacing w:after="0" w:line="311" w:lineRule="auto"/>
        <w:rPr>
          <w:sz w:val="20"/>
          <w:szCs w:val="20"/>
          <w:color w:val="auto"/>
        </w:rPr>
      </w:pPr>
      <w:r>
        <w:rPr>
          <w:rFonts w:ascii="Times New Roman" w:cs="Times New Roman" w:eastAsia="Times New Roman" w:hAnsi="Times New Roman"/>
          <w:sz w:val="20"/>
          <w:szCs w:val="20"/>
          <w:color w:val="auto"/>
        </w:rPr>
        <w:t>Form of Common Stock Certificate of the Company (incorporated by reference to Exhibit 4.1 to the Current Report on Form 8-K filed on June 21, 2021).</w:t>
      </w:r>
    </w:p>
    <w:p>
      <w:pPr>
        <w:spacing w:after="0" w:line="2" w:lineRule="exact"/>
        <w:rPr>
          <w:sz w:val="20"/>
          <w:szCs w:val="20"/>
          <w:color w:val="auto"/>
        </w:rPr>
      </w:pPr>
    </w:p>
    <w:p>
      <w:pPr>
        <w:ind w:right="60"/>
        <w:spacing w:after="0" w:line="301" w:lineRule="auto"/>
        <w:rPr>
          <w:sz w:val="20"/>
          <w:szCs w:val="20"/>
          <w:color w:val="auto"/>
        </w:rPr>
      </w:pPr>
      <w:r>
        <w:rPr>
          <w:rFonts w:ascii="Times New Roman" w:cs="Times New Roman" w:eastAsia="Times New Roman" w:hAnsi="Times New Roman"/>
          <w:sz w:val="20"/>
          <w:szCs w:val="20"/>
          <w:color w:val="auto"/>
        </w:rPr>
        <w:t>Form of Warrant Certificate of the Company (incorporated by reference to Exhibit 4.2 to the Current Report on Form 8-K filed on June 21, 2021).</w:t>
      </w:r>
    </w:p>
    <w:p>
      <w:pPr>
        <w:spacing w:after="0" w:line="1" w:lineRule="exact"/>
        <w:rPr>
          <w:sz w:val="20"/>
          <w:szCs w:val="20"/>
          <w:color w:val="auto"/>
        </w:rPr>
      </w:pPr>
    </w:p>
    <w:p>
      <w:pPr>
        <w:sectPr>
          <w:pgSz w:w="12240" w:h="15840" w:orient="portrait"/>
          <w:cols w:equalWidth="0" w:num="2">
            <w:col w:w="426" w:space="720"/>
            <w:col w:w="9120"/>
          </w:cols>
          <w:pgMar w:left="994" w:top="882" w:right="980" w:bottom="182" w:gutter="0" w:footer="0" w:header="0"/>
          <w:type w:val="continuous"/>
        </w:sectPr>
      </w:pPr>
    </w:p>
    <w:tbl>
      <w:tblPr>
        <w:tblLayout w:type="fixed"/>
        <w:tblInd w:w="6" w:type="dxa"/>
        <w:tblCellMar>
          <w:top w:w="0" w:type="dxa"/>
          <w:left w:w="0" w:type="dxa"/>
          <w:bottom w:w="0" w:type="dxa"/>
          <w:right w:w="0" w:type="dxa"/>
        </w:tblCellMar>
      </w:tblPr>
      <w:tr>
        <w:trPr>
          <w:trHeight w:val="279"/>
        </w:trPr>
        <w:tc>
          <w:tcPr>
            <w:tcW w:w="940" w:type="dxa"/>
            <w:vAlign w:val="bottom"/>
            <w:shd w:val="clear" w:color="auto" w:fill="DDDDDD"/>
          </w:tcPr>
          <w:p>
            <w:pPr>
              <w:spacing w:after="0"/>
              <w:rPr>
                <w:sz w:val="24"/>
                <w:szCs w:val="24"/>
                <w:color w:val="auto"/>
              </w:rPr>
            </w:pPr>
          </w:p>
        </w:tc>
        <w:tc>
          <w:tcPr>
            <w:tcW w:w="9320" w:type="dxa"/>
            <w:vAlign w:val="bottom"/>
            <w:shd w:val="clear" w:color="auto" w:fill="DDDDDD"/>
          </w:tcPr>
          <w:p>
            <w:pPr>
              <w:ind w:left="200"/>
              <w:spacing w:after="0"/>
              <w:rPr>
                <w:sz w:val="20"/>
                <w:szCs w:val="20"/>
                <w:color w:val="auto"/>
              </w:rPr>
            </w:pPr>
            <w:r>
              <w:rPr>
                <w:rFonts w:ascii="Times New Roman" w:cs="Times New Roman" w:eastAsia="Times New Roman" w:hAnsi="Times New Roman"/>
                <w:sz w:val="20"/>
                <w:szCs w:val="20"/>
                <w:color w:val="auto"/>
              </w:rPr>
              <w:t>Warrant Agreement, dated August 7, 2019, between the Company and Continental Stock Transfer &amp; Trust</w:t>
            </w:r>
          </w:p>
        </w:tc>
      </w:tr>
      <w:tr>
        <w:trPr>
          <w:trHeight w:val="253"/>
        </w:trPr>
        <w:tc>
          <w:tcPr>
            <w:tcW w:w="940" w:type="dxa"/>
            <w:vAlign w:val="bottom"/>
            <w:shd w:val="clear" w:color="auto" w:fill="DDDDDD"/>
          </w:tcPr>
          <w:p>
            <w:pPr>
              <w:spacing w:after="0"/>
              <w:rPr>
                <w:sz w:val="21"/>
                <w:szCs w:val="21"/>
                <w:color w:val="auto"/>
              </w:rPr>
            </w:pPr>
          </w:p>
        </w:tc>
        <w:tc>
          <w:tcPr>
            <w:tcW w:w="9320" w:type="dxa"/>
            <w:vAlign w:val="bottom"/>
            <w:shd w:val="clear" w:color="auto" w:fill="DDDDDD"/>
          </w:tcPr>
          <w:p>
            <w:pPr>
              <w:ind w:left="200"/>
              <w:spacing w:after="0"/>
              <w:rPr>
                <w:sz w:val="20"/>
                <w:szCs w:val="20"/>
                <w:color w:val="auto"/>
              </w:rPr>
            </w:pPr>
            <w:r>
              <w:rPr>
                <w:rFonts w:ascii="Times New Roman" w:cs="Times New Roman" w:eastAsia="Times New Roman" w:hAnsi="Times New Roman"/>
                <w:sz w:val="20"/>
                <w:szCs w:val="20"/>
                <w:color w:val="auto"/>
              </w:rPr>
              <w:t>Company, as warrant agent (incorporated by reference to Exhibit 4.1 filed on Silver Spike’s Current Report on</w:t>
            </w:r>
          </w:p>
        </w:tc>
      </w:tr>
      <w:tr>
        <w:trPr>
          <w:trHeight w:val="317"/>
        </w:trPr>
        <w:tc>
          <w:tcPr>
            <w:tcW w:w="940" w:type="dxa"/>
            <w:vAlign w:val="bottom"/>
            <w:shd w:val="clear" w:color="auto" w:fill="DDDDDD"/>
          </w:tcPr>
          <w:p>
            <w:pPr>
              <w:ind w:left="40"/>
              <w:spacing w:after="0"/>
              <w:rPr>
                <w:sz w:val="20"/>
                <w:szCs w:val="20"/>
                <w:color w:val="auto"/>
              </w:rPr>
            </w:pPr>
            <w:r>
              <w:rPr>
                <w:rFonts w:ascii="Times New Roman" w:cs="Times New Roman" w:eastAsia="Times New Roman" w:hAnsi="Times New Roman"/>
                <w:sz w:val="20"/>
                <w:szCs w:val="20"/>
                <w:color w:val="auto"/>
              </w:rPr>
              <w:t>4.3</w:t>
            </w:r>
          </w:p>
        </w:tc>
        <w:tc>
          <w:tcPr>
            <w:tcW w:w="9320" w:type="dxa"/>
            <w:vAlign w:val="bottom"/>
            <w:shd w:val="clear" w:color="auto" w:fill="DDDDDD"/>
          </w:tcPr>
          <w:p>
            <w:pPr>
              <w:ind w:left="200"/>
              <w:spacing w:after="0"/>
              <w:rPr>
                <w:sz w:val="20"/>
                <w:szCs w:val="20"/>
                <w:color w:val="auto"/>
              </w:rPr>
            </w:pPr>
            <w:r>
              <w:rPr>
                <w:rFonts w:ascii="Times New Roman" w:cs="Times New Roman" w:eastAsia="Times New Roman" w:hAnsi="Times New Roman"/>
                <w:sz w:val="20"/>
                <w:szCs w:val="20"/>
                <w:color w:val="auto"/>
              </w:rPr>
              <w:t>Form 8-K, filed by the Company on August 12, 2019).</w:t>
            </w:r>
          </w:p>
        </w:tc>
      </w:tr>
      <w:tr>
        <w:trPr>
          <w:trHeight w:val="332"/>
        </w:trPr>
        <w:tc>
          <w:tcPr>
            <w:tcW w:w="940" w:type="dxa"/>
            <w:vAlign w:val="bottom"/>
          </w:tcPr>
          <w:p>
            <w:pPr>
              <w:ind w:left="40"/>
              <w:spacing w:after="0"/>
              <w:rPr>
                <w:sz w:val="20"/>
                <w:szCs w:val="20"/>
                <w:color w:val="auto"/>
              </w:rPr>
            </w:pPr>
            <w:r>
              <w:rPr>
                <w:rFonts w:ascii="Times New Roman" w:cs="Times New Roman" w:eastAsia="Times New Roman" w:hAnsi="Times New Roman"/>
                <w:sz w:val="20"/>
                <w:szCs w:val="20"/>
                <w:color w:val="auto"/>
              </w:rPr>
              <w:t>4.5</w:t>
            </w:r>
          </w:p>
        </w:tc>
        <w:tc>
          <w:tcPr>
            <w:tcW w:w="9320" w:type="dxa"/>
            <w:vAlign w:val="bottom"/>
          </w:tcPr>
          <w:p>
            <w:pPr>
              <w:ind w:left="200"/>
              <w:spacing w:after="0"/>
              <w:rPr>
                <w:sz w:val="20"/>
                <w:szCs w:val="20"/>
                <w:color w:val="auto"/>
              </w:rPr>
            </w:pPr>
            <w:r>
              <w:rPr>
                <w:rFonts w:ascii="Times New Roman" w:cs="Times New Roman" w:eastAsia="Times New Roman" w:hAnsi="Times New Roman"/>
                <w:sz w:val="20"/>
                <w:szCs w:val="20"/>
                <w:color w:val="auto"/>
              </w:rPr>
              <w:t>Description of Securities</w:t>
            </w:r>
          </w:p>
        </w:tc>
      </w:tr>
      <w:tr>
        <w:trPr>
          <w:trHeight w:val="293"/>
        </w:trPr>
        <w:tc>
          <w:tcPr>
            <w:tcW w:w="940" w:type="dxa"/>
            <w:vAlign w:val="bottom"/>
            <w:shd w:val="clear" w:color="auto" w:fill="DDDDDD"/>
          </w:tcPr>
          <w:p>
            <w:pPr>
              <w:spacing w:after="0"/>
              <w:rPr>
                <w:sz w:val="24"/>
                <w:szCs w:val="24"/>
                <w:color w:val="auto"/>
              </w:rPr>
            </w:pPr>
          </w:p>
        </w:tc>
        <w:tc>
          <w:tcPr>
            <w:tcW w:w="9320" w:type="dxa"/>
            <w:vAlign w:val="bottom"/>
            <w:shd w:val="clear" w:color="auto" w:fill="DDDDDD"/>
          </w:tcPr>
          <w:p>
            <w:pPr>
              <w:ind w:left="200"/>
              <w:spacing w:after="0"/>
              <w:rPr>
                <w:sz w:val="20"/>
                <w:szCs w:val="20"/>
                <w:color w:val="auto"/>
              </w:rPr>
            </w:pPr>
            <w:r>
              <w:rPr>
                <w:rFonts w:ascii="Times New Roman" w:cs="Times New Roman" w:eastAsia="Times New Roman" w:hAnsi="Times New Roman"/>
                <w:sz w:val="20"/>
                <w:szCs w:val="20"/>
                <w:color w:val="auto"/>
              </w:rPr>
              <w:t>Exchange Agreement, dated as of June 16, 2021, by and among the Company, Silver Spike Sponsor and the other</w:t>
            </w:r>
          </w:p>
        </w:tc>
      </w:tr>
      <w:tr>
        <w:trPr>
          <w:trHeight w:val="260"/>
        </w:trPr>
        <w:tc>
          <w:tcPr>
            <w:tcW w:w="940" w:type="dxa"/>
            <w:vAlign w:val="bottom"/>
            <w:shd w:val="clear" w:color="auto" w:fill="DDDDDD"/>
          </w:tcPr>
          <w:p>
            <w:pPr>
              <w:spacing w:after="0"/>
              <w:rPr>
                <w:sz w:val="22"/>
                <w:szCs w:val="22"/>
                <w:color w:val="auto"/>
              </w:rPr>
            </w:pPr>
          </w:p>
        </w:tc>
        <w:tc>
          <w:tcPr>
            <w:tcW w:w="9320" w:type="dxa"/>
            <w:vAlign w:val="bottom"/>
            <w:shd w:val="clear" w:color="auto" w:fill="DDDDDD"/>
          </w:tcPr>
          <w:p>
            <w:pPr>
              <w:ind w:left="200"/>
              <w:spacing w:after="0"/>
              <w:rPr>
                <w:sz w:val="20"/>
                <w:szCs w:val="20"/>
                <w:color w:val="auto"/>
              </w:rPr>
            </w:pPr>
            <w:r>
              <w:rPr>
                <w:rFonts w:ascii="Times New Roman" w:cs="Times New Roman" w:eastAsia="Times New Roman" w:hAnsi="Times New Roman"/>
                <w:sz w:val="20"/>
                <w:szCs w:val="20"/>
                <w:color w:val="auto"/>
              </w:rPr>
              <w:t>parties thereto (incorporated by reference to Exhibit 10.1 to the Current Report on Form 8-K filed on June 21,</w:t>
            </w:r>
          </w:p>
        </w:tc>
      </w:tr>
      <w:tr>
        <w:trPr>
          <w:trHeight w:val="310"/>
        </w:trPr>
        <w:tc>
          <w:tcPr>
            <w:tcW w:w="940" w:type="dxa"/>
            <w:vAlign w:val="bottom"/>
            <w:shd w:val="clear" w:color="auto" w:fill="DDDDDD"/>
          </w:tcPr>
          <w:p>
            <w:pPr>
              <w:ind w:left="40"/>
              <w:spacing w:after="0"/>
              <w:rPr>
                <w:sz w:val="20"/>
                <w:szCs w:val="20"/>
                <w:color w:val="auto"/>
              </w:rPr>
            </w:pPr>
            <w:r>
              <w:rPr>
                <w:rFonts w:ascii="Times New Roman" w:cs="Times New Roman" w:eastAsia="Times New Roman" w:hAnsi="Times New Roman"/>
                <w:sz w:val="20"/>
                <w:szCs w:val="20"/>
                <w:color w:val="auto"/>
              </w:rPr>
              <w:t>10.1</w:t>
            </w:r>
          </w:p>
        </w:tc>
        <w:tc>
          <w:tcPr>
            <w:tcW w:w="9320" w:type="dxa"/>
            <w:vAlign w:val="bottom"/>
            <w:shd w:val="clear" w:color="auto" w:fill="DDDDDD"/>
          </w:tcPr>
          <w:p>
            <w:pPr>
              <w:ind w:left="200"/>
              <w:spacing w:after="0"/>
              <w:rPr>
                <w:sz w:val="20"/>
                <w:szCs w:val="20"/>
                <w:color w:val="auto"/>
              </w:rPr>
            </w:pPr>
            <w:r>
              <w:rPr>
                <w:rFonts w:ascii="Times New Roman" w:cs="Times New Roman" w:eastAsia="Times New Roman" w:hAnsi="Times New Roman"/>
                <w:sz w:val="20"/>
                <w:szCs w:val="20"/>
                <w:color w:val="auto"/>
              </w:rPr>
              <w:t>2021).</w:t>
            </w:r>
          </w:p>
        </w:tc>
      </w:tr>
    </w:tbl>
    <w:p>
      <w:pPr>
        <w:spacing w:after="0" w:line="28" w:lineRule="exact"/>
        <w:rPr>
          <w:sz w:val="20"/>
          <w:szCs w:val="20"/>
          <w:color w:val="auto"/>
        </w:rPr>
      </w:pPr>
    </w:p>
    <w:p>
      <w:pPr>
        <w:sectPr>
          <w:pgSz w:w="12240" w:h="15840" w:orient="portrait"/>
          <w:cols w:equalWidth="0" w:num="1">
            <w:col w:w="10266"/>
          </w:cols>
          <w:pgMar w:left="994" w:top="882" w:right="980" w:bottom="182" w:gutter="0" w:footer="0" w:header="0"/>
          <w:type w:val="continuous"/>
        </w:sectPr>
      </w:pPr>
    </w:p>
    <w:p>
      <w:pPr>
        <w:spacing w:after="0" w:line="288" w:lineRule="exact"/>
        <w:rPr>
          <w:sz w:val="20"/>
          <w:szCs w:val="20"/>
          <w:color w:val="auto"/>
        </w:rPr>
      </w:pPr>
    </w:p>
    <w:p>
      <w:pPr>
        <w:ind w:left="46"/>
        <w:spacing w:after="0"/>
        <w:rPr>
          <w:sz w:val="20"/>
          <w:szCs w:val="20"/>
          <w:color w:val="auto"/>
        </w:rPr>
      </w:pPr>
      <w:r>
        <w:rPr>
          <w:rFonts w:ascii="Times New Roman" w:cs="Times New Roman" w:eastAsia="Times New Roman" w:hAnsi="Times New Roman"/>
          <w:sz w:val="20"/>
          <w:szCs w:val="20"/>
          <w:color w:val="auto"/>
        </w:rPr>
        <w:t>10.2</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0</wp:posOffset>
                </wp:positionH>
                <wp:positionV relativeFrom="paragraph">
                  <wp:posOffset>33020</wp:posOffset>
                </wp:positionV>
                <wp:extent cx="6515100" cy="379095"/>
                <wp:wrapNone/>
                <wp:docPr id="40" name="Shape 40"/>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515100" cy="379095"/>
                        </a:xfrm>
                        <a:prstGeom prst="rect">
                          <a:avLst/>
                        </a:prstGeom>
                        <a:solidFill>
                          <a:srgbClr val="DDDDDD"/>
                        </a:solidFill>
                      </wps:spPr>
                      <wps:bodyPr/>
                    </wps:wsp>
                  </a:graphicData>
                </a:graphic>
              </wp:anchor>
            </w:drawing>
          </mc:Choice>
          <mc:Fallback>
            <w:pict>
              <v:rect id="Shape 40" o:spid="_x0000_s1065" style="position:absolute;margin-left:0pt;margin-top:2.6pt;width:513pt;height:29.85pt;z-index:-251657728;visibility:visible;mso-wrap-style:square;mso-width-percent:0;mso-height-percent:0;mso-wrap-distance-left:0pt;mso-wrap-distance-top:0;mso-wrap-distance-right:0pt;mso-wrap-distance-bottom:0;mso-position-horizontal:absolute;mso-position-horizontal-relative:text;mso-position-vertical:absolute;mso-position-vertical-relative:text;mso-width-percent:0;mso-height-percent:0;mso-width-relative:page;mso-height-relative:page;v-text-anchor:top" o:allowincell="f" fillcolor="#DDDDDD" stroked="f"/>
            </w:pict>
          </mc:Fallback>
        </mc:AlternateContent>
        <mc:AlternateContent>
          <mc:Choice Requires="wps">
            <w:drawing>
              <wp:anchor simplePos="0" relativeHeight="251657728" behindDoc="1" locked="0" layoutInCell="0" allowOverlap="1">
                <wp:simplePos x="0" y="0"/>
                <wp:positionH relativeFrom="column">
                  <wp:posOffset>31750</wp:posOffset>
                </wp:positionH>
                <wp:positionV relativeFrom="paragraph">
                  <wp:posOffset>215900</wp:posOffset>
                </wp:positionV>
                <wp:extent cx="571500" cy="196215"/>
                <wp:wrapNone/>
                <wp:docPr id="41" name="Shape 41"/>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571500" cy="196215"/>
                        </a:xfrm>
                        <a:prstGeom prst="rect">
                          <a:avLst/>
                        </a:prstGeom>
                        <a:solidFill>
                          <a:srgbClr val="DDDDDD"/>
                        </a:solidFill>
                      </wps:spPr>
                      <wps:bodyPr/>
                    </wps:wsp>
                  </a:graphicData>
                </a:graphic>
              </wp:anchor>
            </w:drawing>
          </mc:Choice>
          <mc:Fallback>
            <w:pict>
              <v:rect id="Shape 41" o:spid="_x0000_s1066" style="position:absolute;margin-left:2.5pt;margin-top:17pt;width:45pt;height:15.45pt;z-index:-251657728;visibility:visible;mso-wrap-style:square;mso-width-percent:0;mso-height-percent:0;mso-wrap-distance-left:0pt;mso-wrap-distance-top:0;mso-wrap-distance-right:0pt;mso-wrap-distance-bottom:0;mso-position-horizontal:absolute;mso-position-horizontal-relative:text;mso-position-vertical:absolute;mso-position-vertical-relative:text;mso-width-percent:0;mso-height-percent:0;mso-width-relative:page;mso-height-relative:page;v-text-anchor:top" o:allowincell="f" fillcolor="#DDDDDD" stroked="f"/>
            </w:pict>
          </mc:Fallback>
        </mc:AlternateContent>
      </w:r>
    </w:p>
    <w:p>
      <w:pPr>
        <w:spacing w:after="0" w:line="348" w:lineRule="exact"/>
        <w:rPr>
          <w:sz w:val="20"/>
          <w:szCs w:val="20"/>
          <w:color w:val="auto"/>
        </w:rPr>
      </w:pPr>
    </w:p>
    <w:p>
      <w:pPr>
        <w:ind w:left="46"/>
        <w:spacing w:after="0"/>
        <w:rPr>
          <w:sz w:val="20"/>
          <w:szCs w:val="20"/>
          <w:color w:val="auto"/>
        </w:rPr>
      </w:pPr>
      <w:r>
        <w:rPr>
          <w:rFonts w:ascii="Times New Roman" w:cs="Times New Roman" w:eastAsia="Times New Roman" w:hAnsi="Times New Roman"/>
          <w:sz w:val="20"/>
          <w:szCs w:val="20"/>
          <w:color w:val="auto"/>
        </w:rPr>
        <w:t>10.3</w:t>
      </w:r>
    </w:p>
    <w:p>
      <w:pPr>
        <w:spacing w:after="0" w:line="368" w:lineRule="exact"/>
        <w:rPr>
          <w:sz w:val="20"/>
          <w:szCs w:val="20"/>
          <w:color w:val="auto"/>
        </w:rPr>
      </w:pPr>
    </w:p>
    <w:p>
      <w:pPr>
        <w:ind w:left="46"/>
        <w:spacing w:after="0"/>
        <w:rPr>
          <w:sz w:val="20"/>
          <w:szCs w:val="20"/>
          <w:color w:val="auto"/>
        </w:rPr>
      </w:pPr>
      <w:r>
        <w:rPr>
          <w:rFonts w:ascii="Times New Roman" w:cs="Times New Roman" w:eastAsia="Times New Roman" w:hAnsi="Times New Roman"/>
          <w:sz w:val="20"/>
          <w:szCs w:val="20"/>
          <w:color w:val="auto"/>
        </w:rPr>
        <w:t>10.4</w:t>
      </w:r>
    </w:p>
    <w:p>
      <w:pPr>
        <w:spacing w:after="0" w:line="20" w:lineRule="exact"/>
        <w:rPr>
          <w:sz w:val="20"/>
          <w:szCs w:val="20"/>
          <w:color w:val="auto"/>
        </w:rPr>
      </w:pPr>
      <w:r>
        <w:rPr>
          <w:sz w:val="20"/>
          <w:szCs w:val="20"/>
          <w:color w:val="auto"/>
        </w:rPr>
        <w:br w:type="column"/>
      </w:r>
    </w:p>
    <w:p>
      <w:pPr>
        <w:ind w:right="60"/>
        <w:spacing w:after="0" w:line="311" w:lineRule="auto"/>
        <w:rPr>
          <w:sz w:val="20"/>
          <w:szCs w:val="20"/>
          <w:color w:val="auto"/>
        </w:rPr>
      </w:pPr>
      <w:r>
        <w:rPr>
          <w:rFonts w:ascii="Times New Roman" w:cs="Times New Roman" w:eastAsia="Times New Roman" w:hAnsi="Times New Roman"/>
          <w:sz w:val="20"/>
          <w:szCs w:val="20"/>
          <w:color w:val="auto"/>
        </w:rPr>
        <w:t>Tax Receivable Agreement, dated as of June 16, 2021, by and among the Company and the other parties thereto (incorporated by reference to Exhibit 10.2 to the Current Report on Form 8-K filed on June 21, 2021).</w:t>
      </w:r>
    </w:p>
    <w:p>
      <w:pPr>
        <w:spacing w:after="0" w:line="2" w:lineRule="exact"/>
        <w:rPr>
          <w:sz w:val="20"/>
          <w:szCs w:val="20"/>
          <w:color w:val="auto"/>
        </w:rPr>
      </w:pPr>
    </w:p>
    <w:p>
      <w:pPr>
        <w:ind w:right="60"/>
        <w:spacing w:after="0" w:line="311" w:lineRule="auto"/>
        <w:rPr>
          <w:sz w:val="20"/>
          <w:szCs w:val="20"/>
          <w:color w:val="auto"/>
        </w:rPr>
      </w:pPr>
      <w:r>
        <w:rPr>
          <w:rFonts w:ascii="Times New Roman" w:cs="Times New Roman" w:eastAsia="Times New Roman" w:hAnsi="Times New Roman"/>
          <w:sz w:val="20"/>
          <w:szCs w:val="20"/>
          <w:color w:val="auto"/>
        </w:rPr>
        <w:t>Fourth Amended and Restated Operating Agreement of WMH LLC (incorporated by reference to Exhibit 10.3 to the Current Report on Form 8-K filed on June 21, 2021).</w:t>
      </w:r>
    </w:p>
    <w:p>
      <w:pPr>
        <w:spacing w:after="0" w:line="2" w:lineRule="exact"/>
        <w:rPr>
          <w:sz w:val="20"/>
          <w:szCs w:val="20"/>
          <w:color w:val="auto"/>
        </w:rPr>
      </w:pPr>
    </w:p>
    <w:p>
      <w:pPr>
        <w:ind w:right="200"/>
        <w:spacing w:after="0" w:line="301" w:lineRule="auto"/>
        <w:rPr>
          <w:sz w:val="20"/>
          <w:szCs w:val="20"/>
          <w:color w:val="auto"/>
        </w:rPr>
      </w:pPr>
      <w:r>
        <w:rPr>
          <w:rFonts w:ascii="Times New Roman" w:cs="Times New Roman" w:eastAsia="Times New Roman" w:hAnsi="Times New Roman"/>
          <w:sz w:val="20"/>
          <w:szCs w:val="20"/>
          <w:color w:val="auto"/>
        </w:rPr>
        <w:t>Form of Subscription Agreement (incorporated by reference to Exhibit 10.1 to the Current Report on Form 8-filed on December 10, 2020).</w:t>
      </w:r>
    </w:p>
    <w:p>
      <w:pPr>
        <w:spacing w:after="0" w:line="1" w:lineRule="exact"/>
        <w:rPr>
          <w:sz w:val="20"/>
          <w:szCs w:val="20"/>
          <w:color w:val="auto"/>
        </w:rPr>
      </w:pPr>
    </w:p>
    <w:p>
      <w:pPr>
        <w:sectPr>
          <w:pgSz w:w="12240" w:h="15840" w:orient="portrait"/>
          <w:cols w:equalWidth="0" w:num="2">
            <w:col w:w="426" w:space="720"/>
            <w:col w:w="9120"/>
          </w:cols>
          <w:pgMar w:left="994" w:top="882" w:right="980" w:bottom="182" w:gutter="0" w:footer="0" w:header="0"/>
          <w:type w:val="continuous"/>
        </w:sectPr>
      </w:pPr>
    </w:p>
    <w:tbl>
      <w:tblPr>
        <w:tblLayout w:type="fixed"/>
        <w:tblInd w:w="6" w:type="dxa"/>
        <w:tblCellMar>
          <w:top w:w="0" w:type="dxa"/>
          <w:left w:w="0" w:type="dxa"/>
          <w:bottom w:w="0" w:type="dxa"/>
          <w:right w:w="0" w:type="dxa"/>
        </w:tblCellMar>
      </w:tblPr>
      <w:tr>
        <w:trPr>
          <w:trHeight w:val="286"/>
        </w:trPr>
        <w:tc>
          <w:tcPr>
            <w:tcW w:w="940" w:type="dxa"/>
            <w:vAlign w:val="bottom"/>
            <w:shd w:val="clear" w:color="auto" w:fill="DDDDDD"/>
          </w:tcPr>
          <w:p>
            <w:pPr>
              <w:spacing w:after="0"/>
              <w:rPr>
                <w:sz w:val="24"/>
                <w:szCs w:val="24"/>
                <w:color w:val="auto"/>
              </w:rPr>
            </w:pPr>
          </w:p>
        </w:tc>
        <w:tc>
          <w:tcPr>
            <w:tcW w:w="9320" w:type="dxa"/>
            <w:vAlign w:val="bottom"/>
            <w:shd w:val="clear" w:color="auto" w:fill="DDDDDD"/>
          </w:tcPr>
          <w:p>
            <w:pPr>
              <w:ind w:left="200"/>
              <w:spacing w:after="0"/>
              <w:rPr>
                <w:sz w:val="20"/>
                <w:szCs w:val="20"/>
                <w:color w:val="auto"/>
              </w:rPr>
            </w:pPr>
            <w:r>
              <w:rPr>
                <w:rFonts w:ascii="Times New Roman" w:cs="Times New Roman" w:eastAsia="Times New Roman" w:hAnsi="Times New Roman"/>
                <w:sz w:val="20"/>
                <w:szCs w:val="20"/>
                <w:color w:val="auto"/>
              </w:rPr>
              <w:t>Amended and Restated Registration Rights Agreement, dated as of June 16, 2021, by and among the Company,</w:t>
            </w:r>
          </w:p>
        </w:tc>
      </w:tr>
      <w:tr>
        <w:trPr>
          <w:trHeight w:val="253"/>
        </w:trPr>
        <w:tc>
          <w:tcPr>
            <w:tcW w:w="940" w:type="dxa"/>
            <w:vAlign w:val="bottom"/>
            <w:shd w:val="clear" w:color="auto" w:fill="DDDDDD"/>
          </w:tcPr>
          <w:p>
            <w:pPr>
              <w:spacing w:after="0"/>
              <w:rPr>
                <w:sz w:val="21"/>
                <w:szCs w:val="21"/>
                <w:color w:val="auto"/>
              </w:rPr>
            </w:pPr>
          </w:p>
        </w:tc>
        <w:tc>
          <w:tcPr>
            <w:tcW w:w="9320" w:type="dxa"/>
            <w:vAlign w:val="bottom"/>
            <w:shd w:val="clear" w:color="auto" w:fill="DDDDDD"/>
          </w:tcPr>
          <w:p>
            <w:pPr>
              <w:ind w:left="200"/>
              <w:spacing w:after="0"/>
              <w:rPr>
                <w:sz w:val="20"/>
                <w:szCs w:val="20"/>
                <w:color w:val="auto"/>
              </w:rPr>
            </w:pPr>
            <w:r>
              <w:rPr>
                <w:rFonts w:ascii="Times New Roman" w:cs="Times New Roman" w:eastAsia="Times New Roman" w:hAnsi="Times New Roman"/>
                <w:sz w:val="20"/>
                <w:szCs w:val="20"/>
                <w:color w:val="auto"/>
                <w:w w:val="99"/>
              </w:rPr>
              <w:t>Silver Spike Sponsor and the other parties thereto (incorporated by reference to Exhibit 10.5 to the Current Report</w:t>
            </w:r>
          </w:p>
        </w:tc>
      </w:tr>
      <w:tr>
        <w:trPr>
          <w:trHeight w:val="317"/>
        </w:trPr>
        <w:tc>
          <w:tcPr>
            <w:tcW w:w="940" w:type="dxa"/>
            <w:vAlign w:val="bottom"/>
            <w:shd w:val="clear" w:color="auto" w:fill="DDDDDD"/>
          </w:tcPr>
          <w:p>
            <w:pPr>
              <w:jc w:val="right"/>
              <w:ind w:right="439"/>
              <w:spacing w:after="0"/>
              <w:rPr>
                <w:sz w:val="20"/>
                <w:szCs w:val="20"/>
                <w:color w:val="auto"/>
              </w:rPr>
            </w:pPr>
            <w:r>
              <w:rPr>
                <w:rFonts w:ascii="Times New Roman" w:cs="Times New Roman" w:eastAsia="Times New Roman" w:hAnsi="Times New Roman"/>
                <w:sz w:val="20"/>
                <w:szCs w:val="20"/>
                <w:color w:val="auto"/>
              </w:rPr>
              <w:t>10.5</w:t>
            </w:r>
          </w:p>
        </w:tc>
        <w:tc>
          <w:tcPr>
            <w:tcW w:w="9320" w:type="dxa"/>
            <w:vAlign w:val="bottom"/>
            <w:shd w:val="clear" w:color="auto" w:fill="DDDDDD"/>
          </w:tcPr>
          <w:p>
            <w:pPr>
              <w:ind w:left="200"/>
              <w:spacing w:after="0"/>
              <w:rPr>
                <w:sz w:val="20"/>
                <w:szCs w:val="20"/>
                <w:color w:val="auto"/>
              </w:rPr>
            </w:pPr>
            <w:r>
              <w:rPr>
                <w:rFonts w:ascii="Times New Roman" w:cs="Times New Roman" w:eastAsia="Times New Roman" w:hAnsi="Times New Roman"/>
                <w:sz w:val="20"/>
                <w:szCs w:val="20"/>
                <w:color w:val="auto"/>
              </w:rPr>
              <w:t>on Form 8-K filed on June 21, 2021).</w:t>
            </w:r>
          </w:p>
        </w:tc>
      </w:tr>
      <w:tr>
        <w:trPr>
          <w:trHeight w:val="391"/>
        </w:trPr>
        <w:tc>
          <w:tcPr>
            <w:tcW w:w="940" w:type="dxa"/>
            <w:vAlign w:val="bottom"/>
          </w:tcPr>
          <w:p>
            <w:pPr>
              <w:spacing w:after="0"/>
              <w:rPr>
                <w:sz w:val="24"/>
                <w:szCs w:val="24"/>
                <w:color w:val="auto"/>
              </w:rPr>
            </w:pPr>
          </w:p>
        </w:tc>
        <w:tc>
          <w:tcPr>
            <w:tcW w:w="9320" w:type="dxa"/>
            <w:vAlign w:val="bottom"/>
          </w:tcPr>
          <w:p>
            <w:pPr>
              <w:jc w:val="right"/>
              <w:ind w:right="4879"/>
              <w:spacing w:after="0"/>
              <w:rPr>
                <w:sz w:val="20"/>
                <w:szCs w:val="20"/>
                <w:color w:val="auto"/>
              </w:rPr>
            </w:pPr>
            <w:r>
              <w:rPr>
                <w:rFonts w:ascii="Times New Roman" w:cs="Times New Roman" w:eastAsia="Times New Roman" w:hAnsi="Times New Roman"/>
                <w:sz w:val="20"/>
                <w:szCs w:val="20"/>
                <w:color w:val="auto"/>
              </w:rPr>
              <w:t>107</w:t>
            </w:r>
          </w:p>
        </w:tc>
      </w:tr>
    </w:tbl>
    <w:p>
      <w:pPr>
        <w:sectPr>
          <w:pgSz w:w="12240" w:h="15840" w:orient="portrait"/>
          <w:cols w:equalWidth="0" w:num="1">
            <w:col w:w="10266"/>
          </w:cols>
          <w:pgMar w:left="994" w:top="882" w:right="980" w:bottom="182" w:gutter="0" w:footer="0" w:header="0"/>
          <w:type w:val="continuous"/>
        </w:sectPr>
      </w:pPr>
    </w:p>
    <w:bookmarkStart w:id="111" w:name="page112"/>
    <w:bookmarkEnd w:id="111"/>
    <w:p>
      <w:pPr>
        <w:spacing w:after="0" w:line="288"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0"/>
          <w:szCs w:val="20"/>
          <w:color w:val="auto"/>
        </w:rPr>
        <w:t>10.6#</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-3175</wp:posOffset>
                </wp:positionH>
                <wp:positionV relativeFrom="paragraph">
                  <wp:posOffset>33020</wp:posOffset>
                </wp:positionV>
                <wp:extent cx="6514465" cy="379095"/>
                <wp:wrapNone/>
                <wp:docPr id="42" name="Shape 42"/>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514465" cy="379095"/>
                        </a:xfrm>
                        <a:prstGeom prst="rect">
                          <a:avLst/>
                        </a:prstGeom>
                        <a:solidFill>
                          <a:srgbClr val="DDDDDD"/>
                        </a:solidFill>
                      </wps:spPr>
                      <wps:bodyPr/>
                    </wps:wsp>
                  </a:graphicData>
                </a:graphic>
              </wp:anchor>
            </w:drawing>
          </mc:Choice>
          <mc:Fallback>
            <w:pict>
              <v:rect id="Shape 42" o:spid="_x0000_s1067" style="position:absolute;margin-left:-0.2499pt;margin-top:2.6pt;width:512.95pt;height:29.85pt;z-index:-251657728;visibility:visible;mso-wrap-style:square;mso-width-percent:0;mso-height-percent:0;mso-wrap-distance-left:0pt;mso-wrap-distance-top:0;mso-wrap-distance-right:0pt;mso-wrap-distance-bottom:0;mso-position-horizontal:absolute;mso-position-horizontal-relative:text;mso-position-vertical:absolute;mso-position-vertical-relative:text;mso-width-percent:0;mso-height-percent:0;mso-width-relative:page;mso-height-relative:page;v-text-anchor:top" o:allowincell="f" fillcolor="#DDDDDD" stroked="f"/>
            </w:pict>
          </mc:Fallback>
        </mc:AlternateContent>
        <mc:AlternateContent>
          <mc:Choice Requires="wps">
            <w:drawing>
              <wp:anchor simplePos="0" relativeHeight="251657728" behindDoc="1" locked="0" layoutInCell="0" allowOverlap="1">
                <wp:simplePos x="0" y="0"/>
                <wp:positionH relativeFrom="column">
                  <wp:posOffset>27940</wp:posOffset>
                </wp:positionH>
                <wp:positionV relativeFrom="paragraph">
                  <wp:posOffset>215900</wp:posOffset>
                </wp:positionV>
                <wp:extent cx="571500" cy="196215"/>
                <wp:wrapNone/>
                <wp:docPr id="43" name="Shape 43"/>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571500" cy="196215"/>
                        </a:xfrm>
                        <a:prstGeom prst="rect">
                          <a:avLst/>
                        </a:prstGeom>
                        <a:solidFill>
                          <a:srgbClr val="DDDDDD"/>
                        </a:solidFill>
                      </wps:spPr>
                      <wps:bodyPr/>
                    </wps:wsp>
                  </a:graphicData>
                </a:graphic>
              </wp:anchor>
            </w:drawing>
          </mc:Choice>
          <mc:Fallback>
            <w:pict>
              <v:rect id="Shape 43" o:spid="_x0000_s1068" style="position:absolute;margin-left:2.2pt;margin-top:17pt;width:45pt;height:15.45pt;z-index:-251657728;visibility:visible;mso-wrap-style:square;mso-width-percent:0;mso-height-percent:0;mso-wrap-distance-left:0pt;mso-wrap-distance-top:0;mso-wrap-distance-right:0pt;mso-wrap-distance-bottom:0;mso-position-horizontal:absolute;mso-position-horizontal-relative:text;mso-position-vertical:absolute;mso-position-vertical-relative:text;mso-width-percent:0;mso-height-percent:0;mso-width-relative:page;mso-height-relative:page;v-text-anchor:top" o:allowincell="f" fillcolor="#DDDDDD" stroked="f"/>
            </w:pict>
          </mc:Fallback>
        </mc:AlternateContent>
      </w:r>
    </w:p>
    <w:p>
      <w:pPr>
        <w:spacing w:after="0" w:line="348"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0"/>
          <w:szCs w:val="20"/>
          <w:color w:val="auto"/>
        </w:rPr>
        <w:t>10.7#</w:t>
      </w:r>
    </w:p>
    <w:p>
      <w:pPr>
        <w:spacing w:after="0" w:line="368"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9"/>
          <w:szCs w:val="19"/>
          <w:color w:val="auto"/>
        </w:rPr>
        <w:t>10.7(a)(#)</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-3175</wp:posOffset>
                </wp:positionH>
                <wp:positionV relativeFrom="paragraph">
                  <wp:posOffset>40005</wp:posOffset>
                </wp:positionV>
                <wp:extent cx="6514465" cy="379730"/>
                <wp:wrapNone/>
                <wp:docPr id="44" name="Shape 44"/>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514465" cy="379730"/>
                        </a:xfrm>
                        <a:prstGeom prst="rect">
                          <a:avLst/>
                        </a:prstGeom>
                        <a:solidFill>
                          <a:srgbClr val="DDDDDD"/>
                        </a:solidFill>
                      </wps:spPr>
                      <wps:bodyPr/>
                    </wps:wsp>
                  </a:graphicData>
                </a:graphic>
              </wp:anchor>
            </w:drawing>
          </mc:Choice>
          <mc:Fallback>
            <w:pict>
              <v:rect id="Shape 44" o:spid="_x0000_s1069" style="position:absolute;margin-left:-0.2499pt;margin-top:3.15pt;width:512.95pt;height:29.9pt;z-index:-251657728;visibility:visible;mso-wrap-style:square;mso-width-percent:0;mso-height-percent:0;mso-wrap-distance-left:0pt;mso-wrap-distance-top:0;mso-wrap-distance-right:0pt;mso-wrap-distance-bottom:0;mso-position-horizontal:absolute;mso-position-horizontal-relative:text;mso-position-vertical:absolute;mso-position-vertical-relative:text;mso-width-percent:0;mso-height-percent:0;mso-width-relative:page;mso-height-relative:page;v-text-anchor:top" o:allowincell="f" fillcolor="#DDDDDD" stroked="f"/>
            </w:pict>
          </mc:Fallback>
        </mc:AlternateContent>
        <mc:AlternateContent>
          <mc:Choice Requires="wps">
            <w:drawing>
              <wp:anchor simplePos="0" relativeHeight="251657728" behindDoc="1" locked="0" layoutInCell="0" allowOverlap="1">
                <wp:simplePos x="0" y="0"/>
                <wp:positionH relativeFrom="column">
                  <wp:posOffset>27940</wp:posOffset>
                </wp:positionH>
                <wp:positionV relativeFrom="paragraph">
                  <wp:posOffset>222885</wp:posOffset>
                </wp:positionV>
                <wp:extent cx="571500" cy="196850"/>
                <wp:wrapNone/>
                <wp:docPr id="45" name="Shape 45"/>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571500" cy="196850"/>
                        </a:xfrm>
                        <a:prstGeom prst="rect">
                          <a:avLst/>
                        </a:prstGeom>
                        <a:solidFill>
                          <a:srgbClr val="DDDDDD"/>
                        </a:solidFill>
                      </wps:spPr>
                      <wps:bodyPr/>
                    </wps:wsp>
                  </a:graphicData>
                </a:graphic>
              </wp:anchor>
            </w:drawing>
          </mc:Choice>
          <mc:Fallback>
            <w:pict>
              <v:rect id="Shape 45" o:spid="_x0000_s1070" style="position:absolute;margin-left:2.2pt;margin-top:17.55pt;width:45pt;height:15.5pt;z-index:-251657728;visibility:visible;mso-wrap-style:square;mso-width-percent:0;mso-height-percent:0;mso-wrap-distance-left:0pt;mso-wrap-distance-top:0;mso-wrap-distance-right:0pt;mso-wrap-distance-bottom:0;mso-position-horizontal:absolute;mso-position-horizontal-relative:text;mso-position-vertical:absolute;mso-position-vertical-relative:text;mso-width-percent:0;mso-height-percent:0;mso-width-relative:page;mso-height-relative:page;v-text-anchor:top" o:allowincell="f" fillcolor="#DDDDDD" stroked="f"/>
            </w:pict>
          </mc:Fallback>
        </mc:AlternateContent>
      </w:r>
    </w:p>
    <w:p>
      <w:pPr>
        <w:spacing w:after="0" w:line="359"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0"/>
          <w:szCs w:val="20"/>
          <w:color w:val="auto"/>
        </w:rPr>
        <w:t>10.7(b)#</w:t>
      </w:r>
    </w:p>
    <w:p>
      <w:pPr>
        <w:spacing w:after="0" w:line="368"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0"/>
          <w:szCs w:val="20"/>
          <w:color w:val="auto"/>
        </w:rPr>
        <w:t>10.8#</w:t>
      </w:r>
    </w:p>
    <w:p>
      <w:pPr>
        <w:spacing w:after="0" w:line="20" w:lineRule="exact"/>
        <w:rPr>
          <w:sz w:val="20"/>
          <w:szCs w:val="20"/>
          <w:color w:val="auto"/>
        </w:rPr>
      </w:pPr>
      <w:r>
        <w:rPr>
          <w:sz w:val="20"/>
          <w:szCs w:val="20"/>
          <w:color w:val="auto"/>
        </w:rPr>
        <w:br w:type="column"/>
      </w:r>
    </w:p>
    <w:p>
      <w:pPr>
        <w:ind w:right="60"/>
        <w:spacing w:after="0" w:line="311" w:lineRule="auto"/>
        <w:rPr>
          <w:sz w:val="20"/>
          <w:szCs w:val="20"/>
          <w:color w:val="auto"/>
        </w:rPr>
      </w:pPr>
      <w:r>
        <w:rPr>
          <w:rFonts w:ascii="Times New Roman" w:cs="Times New Roman" w:eastAsia="Times New Roman" w:hAnsi="Times New Roman"/>
          <w:sz w:val="20"/>
          <w:szCs w:val="20"/>
          <w:color w:val="auto"/>
        </w:rPr>
        <w:t>Form of Indemnification Agreement by and between the Company and its directors and officers (incorporated by reference to Exhibit 10.6 to the Current Report on Form 8-K filed on June 21, 2021).</w:t>
      </w:r>
    </w:p>
    <w:p>
      <w:pPr>
        <w:spacing w:after="0" w:line="2" w:lineRule="exact"/>
        <w:rPr>
          <w:sz w:val="20"/>
          <w:szCs w:val="20"/>
          <w:color w:val="auto"/>
        </w:rPr>
      </w:pPr>
    </w:p>
    <w:p>
      <w:pPr>
        <w:ind w:right="60"/>
        <w:spacing w:after="0" w:line="311" w:lineRule="auto"/>
        <w:rPr>
          <w:sz w:val="20"/>
          <w:szCs w:val="20"/>
          <w:color w:val="auto"/>
        </w:rPr>
      </w:pPr>
      <w:r>
        <w:rPr>
          <w:rFonts w:ascii="Times New Roman" w:cs="Times New Roman" w:eastAsia="Times New Roman" w:hAnsi="Times New Roman"/>
          <w:sz w:val="20"/>
          <w:szCs w:val="20"/>
          <w:color w:val="auto"/>
        </w:rPr>
        <w:t>WM Technology, Inc. 2021 Equity Incentive Plan (incorporated by reference to Exhibit 10.7 to the Current Report on Form 8-K filed on June 21, 2021).</w:t>
      </w:r>
    </w:p>
    <w:p>
      <w:pPr>
        <w:spacing w:after="0" w:line="2" w:lineRule="exact"/>
        <w:rPr>
          <w:sz w:val="20"/>
          <w:szCs w:val="20"/>
          <w:color w:val="auto"/>
        </w:rPr>
      </w:pPr>
    </w:p>
    <w:p>
      <w:pPr>
        <w:ind w:right="40"/>
        <w:spacing w:after="0" w:line="311" w:lineRule="auto"/>
        <w:rPr>
          <w:sz w:val="20"/>
          <w:szCs w:val="20"/>
          <w:color w:val="auto"/>
        </w:rPr>
      </w:pPr>
      <w:r>
        <w:rPr>
          <w:rFonts w:ascii="Times New Roman" w:cs="Times New Roman" w:eastAsia="Times New Roman" w:hAnsi="Times New Roman"/>
          <w:sz w:val="20"/>
          <w:szCs w:val="20"/>
          <w:color w:val="auto"/>
        </w:rPr>
        <w:t>Form of Stock Option Grant Notice (incorporated by reference to Exhibit 10.7(a) to the Current Report on Form 8-K filed on June 21, 2021).</w:t>
      </w:r>
    </w:p>
    <w:p>
      <w:pPr>
        <w:spacing w:after="0" w:line="2" w:lineRule="exact"/>
        <w:rPr>
          <w:sz w:val="20"/>
          <w:szCs w:val="20"/>
          <w:color w:val="auto"/>
        </w:rPr>
      </w:pPr>
    </w:p>
    <w:p>
      <w:pPr>
        <w:ind w:right="60"/>
        <w:spacing w:after="0" w:line="311" w:lineRule="auto"/>
        <w:rPr>
          <w:sz w:val="20"/>
          <w:szCs w:val="20"/>
          <w:color w:val="auto"/>
        </w:rPr>
      </w:pPr>
      <w:r>
        <w:rPr>
          <w:rFonts w:ascii="Times New Roman" w:cs="Times New Roman" w:eastAsia="Times New Roman" w:hAnsi="Times New Roman"/>
          <w:sz w:val="20"/>
          <w:szCs w:val="20"/>
          <w:color w:val="auto"/>
        </w:rPr>
        <w:t>Form of RSU Award Grant Notice (incorporated by reference to Exhibit 10.7(b) to the Current Report on Form 8-K filed on June 21, 2021).</w:t>
      </w:r>
    </w:p>
    <w:p>
      <w:pPr>
        <w:spacing w:after="0" w:line="2" w:lineRule="exact"/>
        <w:rPr>
          <w:sz w:val="20"/>
          <w:szCs w:val="20"/>
          <w:color w:val="auto"/>
        </w:rPr>
      </w:pPr>
    </w:p>
    <w:p>
      <w:pPr>
        <w:ind w:right="40"/>
        <w:spacing w:after="0" w:line="301" w:lineRule="auto"/>
        <w:rPr>
          <w:sz w:val="20"/>
          <w:szCs w:val="20"/>
          <w:color w:val="auto"/>
        </w:rPr>
      </w:pPr>
      <w:r>
        <w:rPr>
          <w:rFonts w:ascii="Times New Roman" w:cs="Times New Roman" w:eastAsia="Times New Roman" w:hAnsi="Times New Roman"/>
          <w:sz w:val="20"/>
          <w:szCs w:val="20"/>
          <w:color w:val="auto"/>
        </w:rPr>
        <w:t>WM Technology, Inc. 2021 Employee Stock Purchase Plan (incorporated by reference to Exhibit 10.8 to the Current Report on Form 8-K filed on June 21, 2021).</w:t>
      </w:r>
    </w:p>
    <w:p>
      <w:pPr>
        <w:spacing w:after="0" w:line="1" w:lineRule="exact"/>
        <w:rPr>
          <w:sz w:val="20"/>
          <w:szCs w:val="20"/>
          <w:color w:val="auto"/>
        </w:rPr>
      </w:pPr>
    </w:p>
    <w:p>
      <w:pPr>
        <w:sectPr>
          <w:pgSz w:w="12240" w:h="15840" w:orient="portrait"/>
          <w:cols w:equalWidth="0" w:num="2">
            <w:col w:w="840" w:space="300"/>
            <w:col w:w="9120"/>
          </w:cols>
          <w:pgMar w:left="1000" w:top="935" w:right="980" w:bottom="182" w:gutter="0" w:footer="0" w:header="0"/>
        </w:sectPr>
      </w:pPr>
    </w:p>
    <w:tbl>
      <w:tblPr>
        <w:tblLayout w:type="fixed"/>
        <w:tblInd w:w="0" w:type="dxa"/>
        <w:tblCellMar>
          <w:top w:w="0" w:type="dxa"/>
          <w:left w:w="0" w:type="dxa"/>
          <w:bottom w:w="0" w:type="dxa"/>
          <w:right w:w="0" w:type="dxa"/>
        </w:tblCellMar>
      </w:tblPr>
      <w:tr>
        <w:trPr>
          <w:trHeight w:val="258"/>
        </w:trPr>
        <w:tc>
          <w:tcPr>
            <w:tcW w:w="40" w:type="dxa"/>
            <w:vAlign w:val="bottom"/>
            <w:shd w:val="clear" w:color="auto" w:fill="DDDDDD"/>
          </w:tcPr>
          <w:p>
            <w:pPr>
              <w:spacing w:after="0"/>
              <w:rPr>
                <w:sz w:val="22"/>
                <w:szCs w:val="22"/>
                <w:color w:val="auto"/>
              </w:rPr>
            </w:pPr>
          </w:p>
        </w:tc>
        <w:tc>
          <w:tcPr>
            <w:tcW w:w="900" w:type="dxa"/>
            <w:vAlign w:val="bottom"/>
            <w:shd w:val="clear" w:color="auto" w:fill="DDDDDD"/>
          </w:tcPr>
          <w:p>
            <w:pPr>
              <w:spacing w:after="0"/>
              <w:rPr>
                <w:sz w:val="22"/>
                <w:szCs w:val="22"/>
                <w:color w:val="auto"/>
              </w:rPr>
            </w:pPr>
          </w:p>
        </w:tc>
        <w:tc>
          <w:tcPr>
            <w:tcW w:w="9320" w:type="dxa"/>
            <w:vAlign w:val="bottom"/>
            <w:shd w:val="clear" w:color="auto" w:fill="DDDDDD"/>
          </w:tcPr>
          <w:p>
            <w:pPr>
              <w:ind w:left="200"/>
              <w:spacing w:after="0"/>
              <w:rPr>
                <w:sz w:val="20"/>
                <w:szCs w:val="20"/>
                <w:color w:val="auto"/>
              </w:rPr>
            </w:pPr>
            <w:r>
              <w:rPr>
                <w:rFonts w:ascii="Times New Roman" w:cs="Times New Roman" w:eastAsia="Times New Roman" w:hAnsi="Times New Roman"/>
                <w:sz w:val="20"/>
                <w:szCs w:val="20"/>
                <w:color w:val="auto"/>
              </w:rPr>
              <w:t>Lease by and between the Irvine Company LLC and Ghost Media Group, LLC, dated November 11, 2013, as</w:t>
            </w:r>
          </w:p>
        </w:tc>
        <w:tc>
          <w:tcPr>
            <w:tcW w:w="0" w:type="dxa"/>
            <w:vAlign w:val="bottom"/>
          </w:tcPr>
          <w:p>
            <w:pPr>
              <w:spacing w:after="0"/>
              <w:rPr>
                <w:sz w:val="1"/>
                <w:szCs w:val="1"/>
                <w:color w:val="auto"/>
              </w:rPr>
            </w:pPr>
          </w:p>
        </w:tc>
      </w:tr>
      <w:tr>
        <w:trPr>
          <w:trHeight w:val="282"/>
        </w:trPr>
        <w:tc>
          <w:tcPr>
            <w:tcW w:w="40" w:type="dxa"/>
            <w:vAlign w:val="bottom"/>
            <w:shd w:val="clear" w:color="auto" w:fill="DDDDDD"/>
          </w:tcPr>
          <w:p>
            <w:pPr>
              <w:spacing w:after="0"/>
              <w:rPr>
                <w:sz w:val="24"/>
                <w:szCs w:val="24"/>
                <w:color w:val="auto"/>
              </w:rPr>
            </w:pPr>
          </w:p>
        </w:tc>
        <w:tc>
          <w:tcPr>
            <w:tcW w:w="900" w:type="dxa"/>
            <w:vAlign w:val="bottom"/>
            <w:shd w:val="clear" w:color="auto" w:fill="DDDDDD"/>
          </w:tcPr>
          <w:p>
            <w:pPr>
              <w:spacing w:after="0"/>
              <w:rPr>
                <w:sz w:val="20"/>
                <w:szCs w:val="20"/>
                <w:color w:val="auto"/>
              </w:rPr>
            </w:pPr>
            <w:r>
              <w:rPr>
                <w:rFonts w:ascii="Times New Roman" w:cs="Times New Roman" w:eastAsia="Times New Roman" w:hAnsi="Times New Roman"/>
                <w:sz w:val="20"/>
                <w:szCs w:val="20"/>
                <w:color w:val="auto"/>
              </w:rPr>
              <w:t>10.9</w:t>
            </w:r>
          </w:p>
        </w:tc>
        <w:tc>
          <w:tcPr>
            <w:tcW w:w="9320" w:type="dxa"/>
            <w:vAlign w:val="bottom"/>
            <w:shd w:val="clear" w:color="auto" w:fill="DDDDDD"/>
          </w:tcPr>
          <w:p>
            <w:pPr>
              <w:ind w:left="200"/>
              <w:spacing w:after="0"/>
              <w:rPr>
                <w:sz w:val="20"/>
                <w:szCs w:val="20"/>
                <w:color w:val="auto"/>
              </w:rPr>
            </w:pPr>
            <w:r>
              <w:rPr>
                <w:rFonts w:ascii="Times New Roman" w:cs="Times New Roman" w:eastAsia="Times New Roman" w:hAnsi="Times New Roman"/>
                <w:sz w:val="20"/>
                <w:szCs w:val="20"/>
                <w:color w:val="auto"/>
              </w:rPr>
              <w:t>amended (incorporated by reference to Exhibit 10.12 to the Current Report on Form 8-K filed on June 21, 2021).</w:t>
            </w:r>
          </w:p>
        </w:tc>
        <w:tc>
          <w:tcPr>
            <w:tcW w:w="0" w:type="dxa"/>
            <w:vAlign w:val="bottom"/>
          </w:tcPr>
          <w:p>
            <w:pPr>
              <w:spacing w:after="0"/>
              <w:rPr>
                <w:sz w:val="1"/>
                <w:szCs w:val="1"/>
                <w:color w:val="auto"/>
              </w:rPr>
            </w:pPr>
          </w:p>
        </w:tc>
      </w:tr>
      <w:tr>
        <w:trPr>
          <w:trHeight w:val="258"/>
        </w:trPr>
        <w:tc>
          <w:tcPr>
            <w:tcW w:w="40" w:type="dxa"/>
            <w:vAlign w:val="bottom"/>
          </w:tcPr>
          <w:p>
            <w:pPr>
              <w:spacing w:after="0"/>
              <w:rPr>
                <w:sz w:val="22"/>
                <w:szCs w:val="22"/>
                <w:color w:val="auto"/>
              </w:rPr>
            </w:pPr>
          </w:p>
        </w:tc>
        <w:tc>
          <w:tcPr>
            <w:tcW w:w="900" w:type="dxa"/>
            <w:vAlign w:val="bottom"/>
          </w:tcPr>
          <w:p>
            <w:pPr>
              <w:spacing w:after="0"/>
              <w:rPr>
                <w:sz w:val="22"/>
                <w:szCs w:val="22"/>
                <w:color w:val="auto"/>
              </w:rPr>
            </w:pPr>
          </w:p>
        </w:tc>
        <w:tc>
          <w:tcPr>
            <w:tcW w:w="9320" w:type="dxa"/>
            <w:vAlign w:val="bottom"/>
          </w:tcPr>
          <w:p>
            <w:pPr>
              <w:ind w:left="200"/>
              <w:spacing w:after="0"/>
              <w:rPr>
                <w:sz w:val="20"/>
                <w:szCs w:val="20"/>
                <w:color w:val="auto"/>
              </w:rPr>
            </w:pPr>
            <w:r>
              <w:rPr>
                <w:rFonts w:ascii="Times New Roman" w:cs="Times New Roman" w:eastAsia="Times New Roman" w:hAnsi="Times New Roman"/>
                <w:sz w:val="20"/>
                <w:szCs w:val="20"/>
                <w:color w:val="auto"/>
              </w:rPr>
              <w:t>First Amendment to Lease and Consent to Assignment by and between Discovery Business Center LLC, as</w:t>
            </w:r>
          </w:p>
        </w:tc>
        <w:tc>
          <w:tcPr>
            <w:tcW w:w="0" w:type="dxa"/>
            <w:vAlign w:val="bottom"/>
          </w:tcPr>
          <w:p>
            <w:pPr>
              <w:spacing w:after="0"/>
              <w:rPr>
                <w:sz w:val="1"/>
                <w:szCs w:val="1"/>
                <w:color w:val="auto"/>
              </w:rPr>
            </w:pPr>
          </w:p>
        </w:tc>
      </w:tr>
      <w:tr>
        <w:trPr>
          <w:trHeight w:val="230"/>
        </w:trPr>
        <w:tc>
          <w:tcPr>
            <w:tcW w:w="4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9320" w:type="dxa"/>
            <w:vAlign w:val="bottom"/>
          </w:tcPr>
          <w:p>
            <w:pPr>
              <w:ind w:left="200"/>
              <w:spacing w:after="0"/>
              <w:rPr>
                <w:sz w:val="20"/>
                <w:szCs w:val="20"/>
                <w:color w:val="auto"/>
              </w:rPr>
            </w:pPr>
            <w:r>
              <w:rPr>
                <w:rFonts w:ascii="Times New Roman" w:cs="Times New Roman" w:eastAsia="Times New Roman" w:hAnsi="Times New Roman"/>
                <w:sz w:val="20"/>
                <w:szCs w:val="20"/>
                <w:color w:val="auto"/>
              </w:rPr>
              <w:t>successor-in-interest to the Irvine Company LLC, and Ghost Management Group, LLC, as successor-in-interest</w:t>
            </w:r>
          </w:p>
        </w:tc>
        <w:tc>
          <w:tcPr>
            <w:tcW w:w="0" w:type="dxa"/>
            <w:vAlign w:val="bottom"/>
          </w:tcPr>
          <w:p>
            <w:pPr>
              <w:spacing w:after="0"/>
              <w:rPr>
                <w:sz w:val="1"/>
                <w:szCs w:val="1"/>
                <w:color w:val="auto"/>
              </w:rPr>
            </w:pPr>
          </w:p>
        </w:tc>
      </w:tr>
      <w:tr>
        <w:trPr>
          <w:trHeight w:val="230"/>
        </w:trPr>
        <w:tc>
          <w:tcPr>
            <w:tcW w:w="4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9320" w:type="dxa"/>
            <w:vAlign w:val="bottom"/>
          </w:tcPr>
          <w:p>
            <w:pPr>
              <w:ind w:left="200"/>
              <w:spacing w:after="0"/>
              <w:rPr>
                <w:sz w:val="20"/>
                <w:szCs w:val="20"/>
                <w:color w:val="auto"/>
              </w:rPr>
            </w:pPr>
            <w:r>
              <w:rPr>
                <w:rFonts w:ascii="Times New Roman" w:cs="Times New Roman" w:eastAsia="Times New Roman" w:hAnsi="Times New Roman"/>
                <w:sz w:val="20"/>
                <w:szCs w:val="20"/>
                <w:color w:val="auto"/>
              </w:rPr>
              <w:t>to Ghost Media Group, LLC, dated January 27, 2016 (incorporated by reference to Exhibit 10.13 to the Current</w:t>
            </w:r>
          </w:p>
        </w:tc>
        <w:tc>
          <w:tcPr>
            <w:tcW w:w="0" w:type="dxa"/>
            <w:vAlign w:val="bottom"/>
          </w:tcPr>
          <w:p>
            <w:pPr>
              <w:spacing w:after="0"/>
              <w:rPr>
                <w:sz w:val="1"/>
                <w:szCs w:val="1"/>
                <w:color w:val="auto"/>
              </w:rPr>
            </w:pPr>
          </w:p>
        </w:tc>
      </w:tr>
      <w:tr>
        <w:trPr>
          <w:trHeight w:val="276"/>
        </w:trPr>
        <w:tc>
          <w:tcPr>
            <w:tcW w:w="940" w:type="dxa"/>
            <w:vAlign w:val="bottom"/>
            <w:gridSpan w:val="2"/>
          </w:tcPr>
          <w:p>
            <w:pPr>
              <w:ind w:left="40"/>
              <w:spacing w:after="0"/>
              <w:rPr>
                <w:sz w:val="20"/>
                <w:szCs w:val="20"/>
                <w:color w:val="auto"/>
              </w:rPr>
            </w:pPr>
            <w:r>
              <w:rPr>
                <w:rFonts w:ascii="Times New Roman" w:cs="Times New Roman" w:eastAsia="Times New Roman" w:hAnsi="Times New Roman"/>
                <w:sz w:val="20"/>
                <w:szCs w:val="20"/>
                <w:color w:val="auto"/>
              </w:rPr>
              <w:t>10.10</w:t>
            </w:r>
          </w:p>
        </w:tc>
        <w:tc>
          <w:tcPr>
            <w:tcW w:w="9320" w:type="dxa"/>
            <w:vAlign w:val="bottom"/>
          </w:tcPr>
          <w:p>
            <w:pPr>
              <w:ind w:left="200"/>
              <w:spacing w:after="0"/>
              <w:rPr>
                <w:sz w:val="20"/>
                <w:szCs w:val="20"/>
                <w:color w:val="auto"/>
              </w:rPr>
            </w:pPr>
            <w:r>
              <w:rPr>
                <w:rFonts w:ascii="Times New Roman" w:cs="Times New Roman" w:eastAsia="Times New Roman" w:hAnsi="Times New Roman"/>
                <w:sz w:val="20"/>
                <w:szCs w:val="20"/>
                <w:color w:val="auto"/>
              </w:rPr>
              <w:t>Report on Form 8-K filed on June 21, 2021).</w:t>
            </w:r>
          </w:p>
        </w:tc>
        <w:tc>
          <w:tcPr>
            <w:tcW w:w="0" w:type="dxa"/>
            <w:vAlign w:val="bottom"/>
          </w:tcPr>
          <w:p>
            <w:pPr>
              <w:spacing w:after="0"/>
              <w:rPr>
                <w:sz w:val="1"/>
                <w:szCs w:val="1"/>
                <w:color w:val="auto"/>
              </w:rPr>
            </w:pPr>
          </w:p>
        </w:tc>
      </w:tr>
      <w:tr>
        <w:trPr>
          <w:trHeight w:val="272"/>
        </w:trPr>
        <w:tc>
          <w:tcPr>
            <w:tcW w:w="40" w:type="dxa"/>
            <w:vAlign w:val="bottom"/>
            <w:shd w:val="clear" w:color="auto" w:fill="DDDDDD"/>
          </w:tcPr>
          <w:p>
            <w:pPr>
              <w:spacing w:after="0"/>
              <w:rPr>
                <w:sz w:val="23"/>
                <w:szCs w:val="23"/>
                <w:color w:val="auto"/>
              </w:rPr>
            </w:pPr>
          </w:p>
        </w:tc>
        <w:tc>
          <w:tcPr>
            <w:tcW w:w="900" w:type="dxa"/>
            <w:vAlign w:val="bottom"/>
            <w:shd w:val="clear" w:color="auto" w:fill="DDDDDD"/>
          </w:tcPr>
          <w:p>
            <w:pPr>
              <w:spacing w:after="0"/>
              <w:rPr>
                <w:sz w:val="23"/>
                <w:szCs w:val="23"/>
                <w:color w:val="auto"/>
              </w:rPr>
            </w:pPr>
          </w:p>
        </w:tc>
        <w:tc>
          <w:tcPr>
            <w:tcW w:w="9320" w:type="dxa"/>
            <w:vAlign w:val="bottom"/>
            <w:shd w:val="clear" w:color="auto" w:fill="DDDDDD"/>
          </w:tcPr>
          <w:p>
            <w:pPr>
              <w:ind w:left="200"/>
              <w:spacing w:after="0"/>
              <w:rPr>
                <w:sz w:val="20"/>
                <w:szCs w:val="20"/>
                <w:color w:val="auto"/>
              </w:rPr>
            </w:pPr>
            <w:r>
              <w:rPr>
                <w:rFonts w:ascii="Times New Roman" w:cs="Times New Roman" w:eastAsia="Times New Roman" w:hAnsi="Times New Roman"/>
                <w:sz w:val="20"/>
                <w:szCs w:val="20"/>
                <w:color w:val="auto"/>
              </w:rPr>
              <w:t>Second Amendment to Lease, by and between Discovery Business Center LLC and Ghost Management Group,</w:t>
            </w:r>
          </w:p>
        </w:tc>
        <w:tc>
          <w:tcPr>
            <w:tcW w:w="0" w:type="dxa"/>
            <w:vAlign w:val="bottom"/>
          </w:tcPr>
          <w:p>
            <w:pPr>
              <w:spacing w:after="0"/>
              <w:rPr>
                <w:sz w:val="1"/>
                <w:szCs w:val="1"/>
                <w:color w:val="auto"/>
              </w:rPr>
            </w:pPr>
          </w:p>
        </w:tc>
      </w:tr>
      <w:tr>
        <w:trPr>
          <w:trHeight w:val="230"/>
        </w:trPr>
        <w:tc>
          <w:tcPr>
            <w:tcW w:w="40" w:type="dxa"/>
            <w:vAlign w:val="bottom"/>
            <w:shd w:val="clear" w:color="auto" w:fill="DDDDDD"/>
          </w:tcPr>
          <w:p>
            <w:pPr>
              <w:spacing w:after="0"/>
              <w:rPr>
                <w:sz w:val="20"/>
                <w:szCs w:val="20"/>
                <w:color w:val="auto"/>
              </w:rPr>
            </w:pPr>
          </w:p>
        </w:tc>
        <w:tc>
          <w:tcPr>
            <w:tcW w:w="900" w:type="dxa"/>
            <w:vAlign w:val="bottom"/>
            <w:vMerge w:val="restart"/>
            <w:shd w:val="clear" w:color="auto" w:fill="DDDDDD"/>
          </w:tcPr>
          <w:p>
            <w:pPr>
              <w:spacing w:after="0"/>
              <w:rPr>
                <w:sz w:val="20"/>
                <w:szCs w:val="20"/>
                <w:color w:val="auto"/>
              </w:rPr>
            </w:pPr>
            <w:r>
              <w:rPr>
                <w:rFonts w:ascii="Times New Roman" w:cs="Times New Roman" w:eastAsia="Times New Roman" w:hAnsi="Times New Roman"/>
                <w:sz w:val="20"/>
                <w:szCs w:val="20"/>
                <w:color w:val="auto"/>
              </w:rPr>
              <w:t>10.11</w:t>
            </w:r>
          </w:p>
        </w:tc>
        <w:tc>
          <w:tcPr>
            <w:tcW w:w="9320" w:type="dxa"/>
            <w:vAlign w:val="bottom"/>
            <w:shd w:val="clear" w:color="auto" w:fill="DDDDDD"/>
          </w:tcPr>
          <w:p>
            <w:pPr>
              <w:ind w:left="200"/>
              <w:spacing w:after="0"/>
              <w:rPr>
                <w:sz w:val="20"/>
                <w:szCs w:val="20"/>
                <w:color w:val="auto"/>
              </w:rPr>
            </w:pPr>
            <w:r>
              <w:rPr>
                <w:rFonts w:ascii="Times New Roman" w:cs="Times New Roman" w:eastAsia="Times New Roman" w:hAnsi="Times New Roman"/>
                <w:sz w:val="20"/>
                <w:szCs w:val="20"/>
                <w:color w:val="auto"/>
              </w:rPr>
              <w:t>LLC, dated April 7, 2017 (incorporated by reference to Exhibit 10.14 to the Current Report on Form 8-K filed on</w:t>
            </w:r>
          </w:p>
        </w:tc>
        <w:tc>
          <w:tcPr>
            <w:tcW w:w="0" w:type="dxa"/>
            <w:vAlign w:val="bottom"/>
          </w:tcPr>
          <w:p>
            <w:pPr>
              <w:spacing w:after="0"/>
              <w:rPr>
                <w:sz w:val="1"/>
                <w:szCs w:val="1"/>
                <w:color w:val="auto"/>
              </w:rPr>
            </w:pPr>
          </w:p>
        </w:tc>
      </w:tr>
      <w:tr>
        <w:trPr>
          <w:trHeight w:val="282"/>
        </w:trPr>
        <w:tc>
          <w:tcPr>
            <w:tcW w:w="40" w:type="dxa"/>
            <w:vAlign w:val="bottom"/>
            <w:shd w:val="clear" w:color="auto" w:fill="DDDDDD"/>
          </w:tcPr>
          <w:p>
            <w:pPr>
              <w:spacing w:after="0"/>
              <w:rPr>
                <w:sz w:val="24"/>
                <w:szCs w:val="24"/>
                <w:color w:val="auto"/>
              </w:rPr>
            </w:pPr>
          </w:p>
        </w:tc>
        <w:tc>
          <w:tcPr>
            <w:tcW w:w="900" w:type="dxa"/>
            <w:vAlign w:val="bottom"/>
            <w:vMerge w:val="continue"/>
            <w:shd w:val="clear" w:color="auto" w:fill="DDDDDD"/>
          </w:tcPr>
          <w:p>
            <w:pPr>
              <w:spacing w:after="0"/>
              <w:rPr>
                <w:sz w:val="24"/>
                <w:szCs w:val="24"/>
                <w:color w:val="auto"/>
              </w:rPr>
            </w:pPr>
          </w:p>
        </w:tc>
        <w:tc>
          <w:tcPr>
            <w:tcW w:w="9320" w:type="dxa"/>
            <w:vAlign w:val="bottom"/>
            <w:shd w:val="clear" w:color="auto" w:fill="DDDDDD"/>
          </w:tcPr>
          <w:p>
            <w:pPr>
              <w:ind w:left="200"/>
              <w:spacing w:after="0"/>
              <w:rPr>
                <w:sz w:val="20"/>
                <w:szCs w:val="20"/>
                <w:color w:val="auto"/>
              </w:rPr>
            </w:pPr>
            <w:r>
              <w:rPr>
                <w:rFonts w:ascii="Times New Roman" w:cs="Times New Roman" w:eastAsia="Times New Roman" w:hAnsi="Times New Roman"/>
                <w:sz w:val="20"/>
                <w:szCs w:val="20"/>
                <w:color w:val="auto"/>
              </w:rPr>
              <w:t>June 21, 2021).</w:t>
            </w:r>
          </w:p>
        </w:tc>
        <w:tc>
          <w:tcPr>
            <w:tcW w:w="0" w:type="dxa"/>
            <w:vAlign w:val="bottom"/>
          </w:tcPr>
          <w:p>
            <w:pPr>
              <w:spacing w:after="0"/>
              <w:rPr>
                <w:sz w:val="1"/>
                <w:szCs w:val="1"/>
                <w:color w:val="auto"/>
              </w:rPr>
            </w:pPr>
          </w:p>
        </w:tc>
      </w:tr>
      <w:tr>
        <w:trPr>
          <w:trHeight w:val="258"/>
        </w:trPr>
        <w:tc>
          <w:tcPr>
            <w:tcW w:w="40" w:type="dxa"/>
            <w:vAlign w:val="bottom"/>
          </w:tcPr>
          <w:p>
            <w:pPr>
              <w:spacing w:after="0"/>
              <w:rPr>
                <w:sz w:val="22"/>
                <w:szCs w:val="22"/>
                <w:color w:val="auto"/>
              </w:rPr>
            </w:pPr>
          </w:p>
        </w:tc>
        <w:tc>
          <w:tcPr>
            <w:tcW w:w="900" w:type="dxa"/>
            <w:vAlign w:val="bottom"/>
          </w:tcPr>
          <w:p>
            <w:pPr>
              <w:spacing w:after="0"/>
              <w:rPr>
                <w:sz w:val="22"/>
                <w:szCs w:val="22"/>
                <w:color w:val="auto"/>
              </w:rPr>
            </w:pPr>
          </w:p>
        </w:tc>
        <w:tc>
          <w:tcPr>
            <w:tcW w:w="9320" w:type="dxa"/>
            <w:vAlign w:val="bottom"/>
          </w:tcPr>
          <w:p>
            <w:pPr>
              <w:ind w:left="200"/>
              <w:spacing w:after="0"/>
              <w:rPr>
                <w:sz w:val="20"/>
                <w:szCs w:val="20"/>
                <w:color w:val="auto"/>
              </w:rPr>
            </w:pPr>
            <w:r>
              <w:rPr>
                <w:rFonts w:ascii="Times New Roman" w:cs="Times New Roman" w:eastAsia="Times New Roman" w:hAnsi="Times New Roman"/>
                <w:sz w:val="20"/>
                <w:szCs w:val="20"/>
                <w:color w:val="auto"/>
              </w:rPr>
              <w:t>Third Amendment to Lease, by and between Discovery Business Center LLC and Ghost Management Group,</w:t>
            </w:r>
          </w:p>
        </w:tc>
        <w:tc>
          <w:tcPr>
            <w:tcW w:w="0" w:type="dxa"/>
            <w:vAlign w:val="bottom"/>
          </w:tcPr>
          <w:p>
            <w:pPr>
              <w:spacing w:after="0"/>
              <w:rPr>
                <w:sz w:val="1"/>
                <w:szCs w:val="1"/>
                <w:color w:val="auto"/>
              </w:rPr>
            </w:pPr>
          </w:p>
        </w:tc>
      </w:tr>
      <w:tr>
        <w:trPr>
          <w:trHeight w:val="230"/>
        </w:trPr>
        <w:tc>
          <w:tcPr>
            <w:tcW w:w="4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9320" w:type="dxa"/>
            <w:vAlign w:val="bottom"/>
          </w:tcPr>
          <w:p>
            <w:pPr>
              <w:ind w:left="200"/>
              <w:spacing w:after="0"/>
              <w:rPr>
                <w:sz w:val="20"/>
                <w:szCs w:val="20"/>
                <w:color w:val="auto"/>
              </w:rPr>
            </w:pPr>
            <w:r>
              <w:rPr>
                <w:rFonts w:ascii="Times New Roman" w:cs="Times New Roman" w:eastAsia="Times New Roman" w:hAnsi="Times New Roman"/>
                <w:sz w:val="20"/>
                <w:szCs w:val="20"/>
                <w:color w:val="auto"/>
              </w:rPr>
              <w:t>LLC, dated December 29, 2017 (incorporated by reference to Exhibit 10.15 to the Current Report on Form 8-K</w:t>
            </w:r>
          </w:p>
        </w:tc>
        <w:tc>
          <w:tcPr>
            <w:tcW w:w="0" w:type="dxa"/>
            <w:vAlign w:val="bottom"/>
          </w:tcPr>
          <w:p>
            <w:pPr>
              <w:spacing w:after="0"/>
              <w:rPr>
                <w:sz w:val="1"/>
                <w:szCs w:val="1"/>
                <w:color w:val="auto"/>
              </w:rPr>
            </w:pPr>
          </w:p>
        </w:tc>
      </w:tr>
      <w:tr>
        <w:trPr>
          <w:trHeight w:val="276"/>
        </w:trPr>
        <w:tc>
          <w:tcPr>
            <w:tcW w:w="940" w:type="dxa"/>
            <w:vAlign w:val="bottom"/>
            <w:gridSpan w:val="2"/>
          </w:tcPr>
          <w:p>
            <w:pPr>
              <w:ind w:left="40"/>
              <w:spacing w:after="0"/>
              <w:rPr>
                <w:sz w:val="20"/>
                <w:szCs w:val="20"/>
                <w:color w:val="auto"/>
              </w:rPr>
            </w:pPr>
            <w:r>
              <w:rPr>
                <w:rFonts w:ascii="Times New Roman" w:cs="Times New Roman" w:eastAsia="Times New Roman" w:hAnsi="Times New Roman"/>
                <w:sz w:val="20"/>
                <w:szCs w:val="20"/>
                <w:color w:val="auto"/>
              </w:rPr>
              <w:t>10.12</w:t>
            </w:r>
          </w:p>
        </w:tc>
        <w:tc>
          <w:tcPr>
            <w:tcW w:w="9320" w:type="dxa"/>
            <w:vAlign w:val="bottom"/>
          </w:tcPr>
          <w:p>
            <w:pPr>
              <w:ind w:left="200"/>
              <w:spacing w:after="0"/>
              <w:rPr>
                <w:sz w:val="20"/>
                <w:szCs w:val="20"/>
                <w:color w:val="auto"/>
              </w:rPr>
            </w:pPr>
            <w:r>
              <w:rPr>
                <w:rFonts w:ascii="Times New Roman" w:cs="Times New Roman" w:eastAsia="Times New Roman" w:hAnsi="Times New Roman"/>
                <w:sz w:val="20"/>
                <w:szCs w:val="20"/>
                <w:color w:val="auto"/>
              </w:rPr>
              <w:t>filed on June 21, 2021).</w:t>
            </w:r>
          </w:p>
        </w:tc>
        <w:tc>
          <w:tcPr>
            <w:tcW w:w="0" w:type="dxa"/>
            <w:vAlign w:val="bottom"/>
          </w:tcPr>
          <w:p>
            <w:pPr>
              <w:spacing w:after="0"/>
              <w:rPr>
                <w:sz w:val="1"/>
                <w:szCs w:val="1"/>
                <w:color w:val="auto"/>
              </w:rPr>
            </w:pPr>
          </w:p>
        </w:tc>
      </w:tr>
      <w:tr>
        <w:trPr>
          <w:trHeight w:val="264"/>
        </w:trPr>
        <w:tc>
          <w:tcPr>
            <w:tcW w:w="40" w:type="dxa"/>
            <w:vAlign w:val="bottom"/>
            <w:shd w:val="clear" w:color="auto" w:fill="DDDDDD"/>
          </w:tcPr>
          <w:p>
            <w:pPr>
              <w:spacing w:after="0"/>
              <w:rPr>
                <w:sz w:val="22"/>
                <w:szCs w:val="22"/>
                <w:color w:val="auto"/>
              </w:rPr>
            </w:pPr>
          </w:p>
        </w:tc>
        <w:tc>
          <w:tcPr>
            <w:tcW w:w="900" w:type="dxa"/>
            <w:vAlign w:val="bottom"/>
            <w:shd w:val="clear" w:color="auto" w:fill="DDDDDD"/>
          </w:tcPr>
          <w:p>
            <w:pPr>
              <w:spacing w:after="0"/>
              <w:rPr>
                <w:sz w:val="22"/>
                <w:szCs w:val="22"/>
                <w:color w:val="auto"/>
              </w:rPr>
            </w:pPr>
          </w:p>
        </w:tc>
        <w:tc>
          <w:tcPr>
            <w:tcW w:w="9320" w:type="dxa"/>
            <w:vAlign w:val="bottom"/>
            <w:shd w:val="clear" w:color="auto" w:fill="DDDDDD"/>
          </w:tcPr>
          <w:p>
            <w:pPr>
              <w:ind w:left="200"/>
              <w:spacing w:after="0"/>
              <w:rPr>
                <w:sz w:val="20"/>
                <w:szCs w:val="20"/>
                <w:color w:val="auto"/>
              </w:rPr>
            </w:pPr>
            <w:r>
              <w:rPr>
                <w:rFonts w:ascii="Times New Roman" w:cs="Times New Roman" w:eastAsia="Times New Roman" w:hAnsi="Times New Roman"/>
                <w:sz w:val="20"/>
                <w:szCs w:val="20"/>
                <w:color w:val="auto"/>
              </w:rPr>
              <w:t>Fourth Amendment to Lease, by and between Discovery Business Center LLC and Ghost Management Group,</w:t>
            </w:r>
          </w:p>
        </w:tc>
        <w:tc>
          <w:tcPr>
            <w:tcW w:w="0" w:type="dxa"/>
            <w:vAlign w:val="bottom"/>
          </w:tcPr>
          <w:p>
            <w:pPr>
              <w:spacing w:after="0"/>
              <w:rPr>
                <w:sz w:val="1"/>
                <w:szCs w:val="1"/>
                <w:color w:val="auto"/>
              </w:rPr>
            </w:pPr>
          </w:p>
        </w:tc>
      </w:tr>
      <w:tr>
        <w:trPr>
          <w:trHeight w:val="230"/>
        </w:trPr>
        <w:tc>
          <w:tcPr>
            <w:tcW w:w="40" w:type="dxa"/>
            <w:vAlign w:val="bottom"/>
            <w:shd w:val="clear" w:color="auto" w:fill="DDDDDD"/>
          </w:tcPr>
          <w:p>
            <w:pPr>
              <w:spacing w:after="0"/>
              <w:rPr>
                <w:sz w:val="20"/>
                <w:szCs w:val="20"/>
                <w:color w:val="auto"/>
              </w:rPr>
            </w:pPr>
          </w:p>
        </w:tc>
        <w:tc>
          <w:tcPr>
            <w:tcW w:w="900" w:type="dxa"/>
            <w:vAlign w:val="bottom"/>
            <w:shd w:val="clear" w:color="auto" w:fill="DDDDDD"/>
          </w:tcPr>
          <w:p>
            <w:pPr>
              <w:spacing w:after="0"/>
              <w:rPr>
                <w:sz w:val="20"/>
                <w:szCs w:val="20"/>
                <w:color w:val="auto"/>
              </w:rPr>
            </w:pPr>
          </w:p>
        </w:tc>
        <w:tc>
          <w:tcPr>
            <w:tcW w:w="9320" w:type="dxa"/>
            <w:vAlign w:val="bottom"/>
            <w:shd w:val="clear" w:color="auto" w:fill="DDDDDD"/>
          </w:tcPr>
          <w:p>
            <w:pPr>
              <w:ind w:left="200"/>
              <w:spacing w:after="0"/>
              <w:rPr>
                <w:sz w:val="20"/>
                <w:szCs w:val="20"/>
                <w:color w:val="auto"/>
              </w:rPr>
            </w:pPr>
            <w:r>
              <w:rPr>
                <w:rFonts w:ascii="Times New Roman" w:cs="Times New Roman" w:eastAsia="Times New Roman" w:hAnsi="Times New Roman"/>
                <w:sz w:val="20"/>
                <w:szCs w:val="20"/>
                <w:color w:val="auto"/>
              </w:rPr>
              <w:t>LLC, dated May 3, 2018 (incorporated by reference to Exhibit 10.16 to the Current Report on Form 8-K filed on</w:t>
            </w:r>
          </w:p>
        </w:tc>
        <w:tc>
          <w:tcPr>
            <w:tcW w:w="0" w:type="dxa"/>
            <w:vAlign w:val="bottom"/>
          </w:tcPr>
          <w:p>
            <w:pPr>
              <w:spacing w:after="0"/>
              <w:rPr>
                <w:sz w:val="1"/>
                <w:szCs w:val="1"/>
                <w:color w:val="auto"/>
              </w:rPr>
            </w:pPr>
          </w:p>
        </w:tc>
      </w:tr>
      <w:tr>
        <w:trPr>
          <w:trHeight w:val="282"/>
        </w:trPr>
        <w:tc>
          <w:tcPr>
            <w:tcW w:w="40" w:type="dxa"/>
            <w:vAlign w:val="bottom"/>
            <w:shd w:val="clear" w:color="auto" w:fill="DDDDDD"/>
          </w:tcPr>
          <w:p>
            <w:pPr>
              <w:spacing w:after="0"/>
              <w:rPr>
                <w:sz w:val="24"/>
                <w:szCs w:val="24"/>
                <w:color w:val="auto"/>
              </w:rPr>
            </w:pPr>
          </w:p>
        </w:tc>
        <w:tc>
          <w:tcPr>
            <w:tcW w:w="900" w:type="dxa"/>
            <w:vAlign w:val="bottom"/>
            <w:shd w:val="clear" w:color="auto" w:fill="DDDDDD"/>
          </w:tcPr>
          <w:p>
            <w:pPr>
              <w:spacing w:after="0"/>
              <w:rPr>
                <w:sz w:val="20"/>
                <w:szCs w:val="20"/>
                <w:color w:val="auto"/>
              </w:rPr>
            </w:pPr>
            <w:r>
              <w:rPr>
                <w:rFonts w:ascii="Times New Roman" w:cs="Times New Roman" w:eastAsia="Times New Roman" w:hAnsi="Times New Roman"/>
                <w:sz w:val="20"/>
                <w:szCs w:val="20"/>
                <w:color w:val="auto"/>
              </w:rPr>
              <w:t>10.13</w:t>
            </w:r>
          </w:p>
        </w:tc>
        <w:tc>
          <w:tcPr>
            <w:tcW w:w="9320" w:type="dxa"/>
            <w:vAlign w:val="bottom"/>
            <w:shd w:val="clear" w:color="auto" w:fill="DDDDDD"/>
          </w:tcPr>
          <w:p>
            <w:pPr>
              <w:ind w:left="200"/>
              <w:spacing w:after="0"/>
              <w:rPr>
                <w:sz w:val="20"/>
                <w:szCs w:val="20"/>
                <w:color w:val="auto"/>
              </w:rPr>
            </w:pPr>
            <w:r>
              <w:rPr>
                <w:rFonts w:ascii="Times New Roman" w:cs="Times New Roman" w:eastAsia="Times New Roman" w:hAnsi="Times New Roman"/>
                <w:sz w:val="20"/>
                <w:szCs w:val="20"/>
                <w:color w:val="auto"/>
              </w:rPr>
              <w:t>June 21, 2021).</w:t>
            </w:r>
          </w:p>
        </w:tc>
        <w:tc>
          <w:tcPr>
            <w:tcW w:w="0" w:type="dxa"/>
            <w:vAlign w:val="bottom"/>
          </w:tcPr>
          <w:p>
            <w:pPr>
              <w:spacing w:after="0"/>
              <w:rPr>
                <w:sz w:val="1"/>
                <w:szCs w:val="1"/>
                <w:color w:val="auto"/>
              </w:rPr>
            </w:pPr>
          </w:p>
        </w:tc>
      </w:tr>
      <w:tr>
        <w:trPr>
          <w:trHeight w:val="266"/>
        </w:trPr>
        <w:tc>
          <w:tcPr>
            <w:tcW w:w="940" w:type="dxa"/>
            <w:vAlign w:val="bottom"/>
            <w:gridSpan w:val="2"/>
            <w:vMerge w:val="restart"/>
          </w:tcPr>
          <w:p>
            <w:pPr>
              <w:ind w:left="40"/>
              <w:spacing w:after="0"/>
              <w:rPr>
                <w:sz w:val="20"/>
                <w:szCs w:val="20"/>
                <w:color w:val="auto"/>
              </w:rPr>
            </w:pPr>
            <w:r>
              <w:rPr>
                <w:rFonts w:ascii="Times New Roman" w:cs="Times New Roman" w:eastAsia="Times New Roman" w:hAnsi="Times New Roman"/>
                <w:sz w:val="20"/>
                <w:szCs w:val="20"/>
                <w:color w:val="auto"/>
              </w:rPr>
              <w:t>10.15#</w:t>
            </w:r>
          </w:p>
        </w:tc>
        <w:tc>
          <w:tcPr>
            <w:tcW w:w="9320" w:type="dxa"/>
            <w:vAlign w:val="bottom"/>
          </w:tcPr>
          <w:p>
            <w:pPr>
              <w:ind w:left="200"/>
              <w:spacing w:after="0"/>
              <w:rPr>
                <w:sz w:val="20"/>
                <w:szCs w:val="20"/>
                <w:color w:val="auto"/>
              </w:rPr>
            </w:pPr>
            <w:r>
              <w:rPr>
                <w:rFonts w:ascii="Times New Roman" w:cs="Times New Roman" w:eastAsia="Times New Roman" w:hAnsi="Times New Roman"/>
                <w:sz w:val="20"/>
                <w:szCs w:val="20"/>
                <w:color w:val="auto"/>
              </w:rPr>
              <w:t>WM Technology, Inc. Non-Employee Director Compensation Policy (incorporated by reference to Exhibit 10.1</w:t>
            </w:r>
          </w:p>
        </w:tc>
        <w:tc>
          <w:tcPr>
            <w:tcW w:w="0" w:type="dxa"/>
            <w:vAlign w:val="bottom"/>
          </w:tcPr>
          <w:p>
            <w:pPr>
              <w:spacing w:after="0"/>
              <w:rPr>
                <w:sz w:val="1"/>
                <w:szCs w:val="1"/>
                <w:color w:val="auto"/>
              </w:rPr>
            </w:pPr>
          </w:p>
        </w:tc>
      </w:tr>
      <w:tr>
        <w:trPr>
          <w:trHeight w:val="276"/>
        </w:trPr>
        <w:tc>
          <w:tcPr>
            <w:tcW w:w="940" w:type="dxa"/>
            <w:vAlign w:val="bottom"/>
            <w:gridSpan w:val="2"/>
            <w:vMerge w:val="continue"/>
          </w:tcPr>
          <w:p>
            <w:pPr>
              <w:spacing w:after="0"/>
              <w:rPr>
                <w:sz w:val="23"/>
                <w:szCs w:val="23"/>
                <w:color w:val="auto"/>
              </w:rPr>
            </w:pPr>
          </w:p>
        </w:tc>
        <w:tc>
          <w:tcPr>
            <w:tcW w:w="9320" w:type="dxa"/>
            <w:vAlign w:val="bottom"/>
          </w:tcPr>
          <w:p>
            <w:pPr>
              <w:ind w:left="200"/>
              <w:spacing w:after="0"/>
              <w:rPr>
                <w:sz w:val="20"/>
                <w:szCs w:val="20"/>
                <w:color w:val="auto"/>
              </w:rPr>
            </w:pPr>
            <w:r>
              <w:rPr>
                <w:rFonts w:ascii="Times New Roman" w:cs="Times New Roman" w:eastAsia="Times New Roman" w:hAnsi="Times New Roman"/>
                <w:sz w:val="20"/>
                <w:szCs w:val="20"/>
                <w:color w:val="auto"/>
              </w:rPr>
              <w:t>to the Quarterly Report on Form 10-Q filed on November 12, 2021).</w:t>
            </w:r>
          </w:p>
        </w:tc>
        <w:tc>
          <w:tcPr>
            <w:tcW w:w="0" w:type="dxa"/>
            <w:vAlign w:val="bottom"/>
          </w:tcPr>
          <w:p>
            <w:pPr>
              <w:spacing w:after="0"/>
              <w:rPr>
                <w:sz w:val="1"/>
                <w:szCs w:val="1"/>
                <w:color w:val="auto"/>
              </w:rPr>
            </w:pPr>
          </w:p>
        </w:tc>
      </w:tr>
      <w:tr>
        <w:trPr>
          <w:trHeight w:val="264"/>
        </w:trPr>
        <w:tc>
          <w:tcPr>
            <w:tcW w:w="40" w:type="dxa"/>
            <w:vAlign w:val="bottom"/>
            <w:shd w:val="clear" w:color="auto" w:fill="DDDDDD"/>
          </w:tcPr>
          <w:p>
            <w:pPr>
              <w:spacing w:after="0"/>
              <w:rPr>
                <w:sz w:val="22"/>
                <w:szCs w:val="22"/>
                <w:color w:val="auto"/>
              </w:rPr>
            </w:pPr>
          </w:p>
        </w:tc>
        <w:tc>
          <w:tcPr>
            <w:tcW w:w="900" w:type="dxa"/>
            <w:vAlign w:val="bottom"/>
            <w:shd w:val="clear" w:color="auto" w:fill="DDDDDD"/>
          </w:tcPr>
          <w:p>
            <w:pPr>
              <w:spacing w:after="0"/>
              <w:rPr>
                <w:sz w:val="22"/>
                <w:szCs w:val="22"/>
                <w:color w:val="auto"/>
              </w:rPr>
            </w:pPr>
          </w:p>
        </w:tc>
        <w:tc>
          <w:tcPr>
            <w:tcW w:w="9320" w:type="dxa"/>
            <w:vAlign w:val="bottom"/>
            <w:shd w:val="clear" w:color="auto" w:fill="DDDDDD"/>
          </w:tcPr>
          <w:p>
            <w:pPr>
              <w:ind w:left="200"/>
              <w:spacing w:after="0"/>
              <w:rPr>
                <w:sz w:val="20"/>
                <w:szCs w:val="20"/>
                <w:color w:val="auto"/>
              </w:rPr>
            </w:pPr>
            <w:r>
              <w:rPr>
                <w:rFonts w:ascii="Times New Roman" w:cs="Times New Roman" w:eastAsia="Times New Roman" w:hAnsi="Times New Roman"/>
                <w:sz w:val="20"/>
                <w:szCs w:val="20"/>
                <w:color w:val="auto"/>
              </w:rPr>
              <w:t>Amended and Restated WM Technology, Inc. Non-Employee Director Compensation Policy (incorporated by</w:t>
            </w:r>
          </w:p>
        </w:tc>
        <w:tc>
          <w:tcPr>
            <w:tcW w:w="0" w:type="dxa"/>
            <w:vAlign w:val="bottom"/>
          </w:tcPr>
          <w:p>
            <w:pPr>
              <w:spacing w:after="0"/>
              <w:rPr>
                <w:sz w:val="1"/>
                <w:szCs w:val="1"/>
                <w:color w:val="auto"/>
              </w:rPr>
            </w:pPr>
          </w:p>
        </w:tc>
      </w:tr>
      <w:tr>
        <w:trPr>
          <w:trHeight w:val="282"/>
        </w:trPr>
        <w:tc>
          <w:tcPr>
            <w:tcW w:w="40" w:type="dxa"/>
            <w:vAlign w:val="bottom"/>
            <w:shd w:val="clear" w:color="auto" w:fill="DDDDDD"/>
          </w:tcPr>
          <w:p>
            <w:pPr>
              <w:spacing w:after="0"/>
              <w:rPr>
                <w:sz w:val="24"/>
                <w:szCs w:val="24"/>
                <w:color w:val="auto"/>
              </w:rPr>
            </w:pPr>
          </w:p>
        </w:tc>
        <w:tc>
          <w:tcPr>
            <w:tcW w:w="900" w:type="dxa"/>
            <w:vAlign w:val="bottom"/>
            <w:shd w:val="clear" w:color="auto" w:fill="DDDDDD"/>
          </w:tcPr>
          <w:p>
            <w:pPr>
              <w:spacing w:after="0"/>
              <w:rPr>
                <w:sz w:val="20"/>
                <w:szCs w:val="20"/>
                <w:color w:val="auto"/>
              </w:rPr>
            </w:pPr>
            <w:r>
              <w:rPr>
                <w:rFonts w:ascii="Times New Roman" w:cs="Times New Roman" w:eastAsia="Times New Roman" w:hAnsi="Times New Roman"/>
                <w:sz w:val="20"/>
                <w:szCs w:val="20"/>
                <w:color w:val="auto"/>
              </w:rPr>
              <w:t>10.16#</w:t>
            </w:r>
          </w:p>
        </w:tc>
        <w:tc>
          <w:tcPr>
            <w:tcW w:w="9320" w:type="dxa"/>
            <w:vAlign w:val="bottom"/>
            <w:shd w:val="clear" w:color="auto" w:fill="DDDDDD"/>
          </w:tcPr>
          <w:p>
            <w:pPr>
              <w:ind w:left="200"/>
              <w:spacing w:after="0"/>
              <w:rPr>
                <w:sz w:val="20"/>
                <w:szCs w:val="20"/>
                <w:color w:val="auto"/>
              </w:rPr>
            </w:pPr>
            <w:r>
              <w:rPr>
                <w:rFonts w:ascii="Times New Roman" w:cs="Times New Roman" w:eastAsia="Times New Roman" w:hAnsi="Times New Roman"/>
                <w:sz w:val="20"/>
                <w:szCs w:val="20"/>
                <w:color w:val="auto"/>
              </w:rPr>
              <w:t>reference to Exhibit 10.2 to the Current Report on Form 8-K filed on October 6, 2023).</w:t>
            </w:r>
          </w:p>
        </w:tc>
        <w:tc>
          <w:tcPr>
            <w:tcW w:w="0" w:type="dxa"/>
            <w:vAlign w:val="bottom"/>
          </w:tcPr>
          <w:p>
            <w:pPr>
              <w:spacing w:after="0"/>
              <w:rPr>
                <w:sz w:val="1"/>
                <w:szCs w:val="1"/>
                <w:color w:val="auto"/>
              </w:rPr>
            </w:pPr>
          </w:p>
        </w:tc>
      </w:tr>
      <w:tr>
        <w:trPr>
          <w:trHeight w:val="307"/>
        </w:trPr>
        <w:tc>
          <w:tcPr>
            <w:tcW w:w="940" w:type="dxa"/>
            <w:vAlign w:val="bottom"/>
            <w:gridSpan w:val="2"/>
          </w:tcPr>
          <w:p>
            <w:pPr>
              <w:ind w:left="40"/>
              <w:spacing w:after="0"/>
              <w:rPr>
                <w:sz w:val="20"/>
                <w:szCs w:val="20"/>
                <w:color w:val="auto"/>
              </w:rPr>
            </w:pPr>
            <w:r>
              <w:rPr>
                <w:rFonts w:ascii="Times New Roman" w:cs="Times New Roman" w:eastAsia="Times New Roman" w:hAnsi="Times New Roman"/>
                <w:sz w:val="20"/>
                <w:szCs w:val="20"/>
                <w:color w:val="auto"/>
              </w:rPr>
              <w:t>10.17#</w:t>
            </w:r>
          </w:p>
        </w:tc>
        <w:tc>
          <w:tcPr>
            <w:tcW w:w="9320" w:type="dxa"/>
            <w:vAlign w:val="bottom"/>
          </w:tcPr>
          <w:p>
            <w:pPr>
              <w:ind w:left="200"/>
              <w:spacing w:after="0"/>
              <w:rPr>
                <w:sz w:val="20"/>
                <w:szCs w:val="20"/>
                <w:color w:val="auto"/>
              </w:rPr>
            </w:pPr>
            <w:r>
              <w:rPr>
                <w:rFonts w:ascii="Times New Roman" w:cs="Times New Roman" w:eastAsia="Times New Roman" w:hAnsi="Times New Roman"/>
                <w:sz w:val="20"/>
                <w:szCs w:val="20"/>
                <w:color w:val="auto"/>
              </w:rPr>
              <w:t>Offer letter by and between Ghost Management Group, LLC and Duncan Grazier, dated August 23, 2019</w:t>
            </w:r>
          </w:p>
        </w:tc>
        <w:tc>
          <w:tcPr>
            <w:tcW w:w="0" w:type="dxa"/>
            <w:vAlign w:val="bottom"/>
          </w:tcPr>
          <w:p>
            <w:pPr>
              <w:spacing w:after="0"/>
              <w:rPr>
                <w:sz w:val="1"/>
                <w:szCs w:val="1"/>
                <w:color w:val="auto"/>
              </w:rPr>
            </w:pPr>
          </w:p>
        </w:tc>
      </w:tr>
      <w:tr>
        <w:trPr>
          <w:trHeight w:val="268"/>
        </w:trPr>
        <w:tc>
          <w:tcPr>
            <w:tcW w:w="40" w:type="dxa"/>
            <w:vAlign w:val="bottom"/>
            <w:shd w:val="clear" w:color="auto" w:fill="DDDDDD"/>
          </w:tcPr>
          <w:p>
            <w:pPr>
              <w:spacing w:after="0"/>
              <w:rPr>
                <w:sz w:val="23"/>
                <w:szCs w:val="23"/>
                <w:color w:val="auto"/>
              </w:rPr>
            </w:pPr>
          </w:p>
        </w:tc>
        <w:tc>
          <w:tcPr>
            <w:tcW w:w="900" w:type="dxa"/>
            <w:vAlign w:val="bottom"/>
            <w:shd w:val="clear" w:color="auto" w:fill="DDDDDD"/>
          </w:tcPr>
          <w:p>
            <w:pPr>
              <w:spacing w:after="0"/>
              <w:rPr>
                <w:sz w:val="23"/>
                <w:szCs w:val="23"/>
                <w:color w:val="auto"/>
              </w:rPr>
            </w:pPr>
          </w:p>
        </w:tc>
        <w:tc>
          <w:tcPr>
            <w:tcW w:w="9320" w:type="dxa"/>
            <w:vAlign w:val="bottom"/>
            <w:shd w:val="clear" w:color="auto" w:fill="DDDDDD"/>
          </w:tcPr>
          <w:p>
            <w:pPr>
              <w:ind w:left="200"/>
              <w:spacing w:after="0"/>
              <w:rPr>
                <w:sz w:val="20"/>
                <w:szCs w:val="20"/>
                <w:color w:val="auto"/>
              </w:rPr>
            </w:pPr>
            <w:r>
              <w:rPr>
                <w:rFonts w:ascii="Times New Roman" w:cs="Times New Roman" w:eastAsia="Times New Roman" w:hAnsi="Times New Roman"/>
                <w:sz w:val="20"/>
                <w:szCs w:val="20"/>
                <w:color w:val="auto"/>
              </w:rPr>
              <w:t>Retention Agreement, effective October 2, 2023, by and between the Company and Duncan Grazier</w:t>
            </w:r>
          </w:p>
        </w:tc>
        <w:tc>
          <w:tcPr>
            <w:tcW w:w="0" w:type="dxa"/>
            <w:vAlign w:val="bottom"/>
          </w:tcPr>
          <w:p>
            <w:pPr>
              <w:spacing w:after="0"/>
              <w:rPr>
                <w:sz w:val="1"/>
                <w:szCs w:val="1"/>
                <w:color w:val="auto"/>
              </w:rPr>
            </w:pPr>
          </w:p>
        </w:tc>
      </w:tr>
      <w:tr>
        <w:trPr>
          <w:trHeight w:val="282"/>
        </w:trPr>
        <w:tc>
          <w:tcPr>
            <w:tcW w:w="40" w:type="dxa"/>
            <w:vAlign w:val="bottom"/>
            <w:shd w:val="clear" w:color="auto" w:fill="DDDDDD"/>
          </w:tcPr>
          <w:p>
            <w:pPr>
              <w:spacing w:after="0"/>
              <w:rPr>
                <w:sz w:val="24"/>
                <w:szCs w:val="24"/>
                <w:color w:val="auto"/>
              </w:rPr>
            </w:pPr>
          </w:p>
        </w:tc>
        <w:tc>
          <w:tcPr>
            <w:tcW w:w="900" w:type="dxa"/>
            <w:vAlign w:val="bottom"/>
            <w:shd w:val="clear" w:color="auto" w:fill="DDDDDD"/>
          </w:tcPr>
          <w:p>
            <w:pPr>
              <w:spacing w:after="0"/>
              <w:rPr>
                <w:sz w:val="20"/>
                <w:szCs w:val="20"/>
                <w:color w:val="auto"/>
              </w:rPr>
            </w:pPr>
            <w:r>
              <w:rPr>
                <w:rFonts w:ascii="Times New Roman" w:cs="Times New Roman" w:eastAsia="Times New Roman" w:hAnsi="Times New Roman"/>
                <w:sz w:val="20"/>
                <w:szCs w:val="20"/>
                <w:color w:val="auto"/>
              </w:rPr>
              <w:t>10.18#</w:t>
            </w:r>
          </w:p>
        </w:tc>
        <w:tc>
          <w:tcPr>
            <w:tcW w:w="9320" w:type="dxa"/>
            <w:vAlign w:val="bottom"/>
            <w:shd w:val="clear" w:color="auto" w:fill="DDDDDD"/>
          </w:tcPr>
          <w:p>
            <w:pPr>
              <w:ind w:left="200"/>
              <w:spacing w:after="0"/>
              <w:rPr>
                <w:sz w:val="20"/>
                <w:szCs w:val="20"/>
                <w:color w:val="auto"/>
              </w:rPr>
            </w:pPr>
            <w:r>
              <w:rPr>
                <w:rFonts w:ascii="Times New Roman" w:cs="Times New Roman" w:eastAsia="Times New Roman" w:hAnsi="Times New Roman"/>
                <w:sz w:val="20"/>
                <w:szCs w:val="20"/>
                <w:color w:val="auto"/>
              </w:rPr>
              <w:t>(incorporated by reference to Exhibit 10.1 to the Current Report on Form 8-K filed on October 6, 2023).</w:t>
            </w:r>
          </w:p>
        </w:tc>
        <w:tc>
          <w:tcPr>
            <w:tcW w:w="0" w:type="dxa"/>
            <w:vAlign w:val="bottom"/>
          </w:tcPr>
          <w:p>
            <w:pPr>
              <w:spacing w:after="0"/>
              <w:rPr>
                <w:sz w:val="1"/>
                <w:szCs w:val="1"/>
                <w:color w:val="auto"/>
              </w:rPr>
            </w:pPr>
          </w:p>
        </w:tc>
      </w:tr>
      <w:tr>
        <w:trPr>
          <w:trHeight w:val="258"/>
        </w:trPr>
        <w:tc>
          <w:tcPr>
            <w:tcW w:w="40" w:type="dxa"/>
            <w:vAlign w:val="bottom"/>
          </w:tcPr>
          <w:p>
            <w:pPr>
              <w:spacing w:after="0"/>
              <w:rPr>
                <w:sz w:val="22"/>
                <w:szCs w:val="22"/>
                <w:color w:val="auto"/>
              </w:rPr>
            </w:pPr>
          </w:p>
        </w:tc>
        <w:tc>
          <w:tcPr>
            <w:tcW w:w="900" w:type="dxa"/>
            <w:vAlign w:val="bottom"/>
          </w:tcPr>
          <w:p>
            <w:pPr>
              <w:spacing w:after="0"/>
              <w:rPr>
                <w:sz w:val="22"/>
                <w:szCs w:val="22"/>
                <w:color w:val="auto"/>
              </w:rPr>
            </w:pPr>
          </w:p>
        </w:tc>
        <w:tc>
          <w:tcPr>
            <w:tcW w:w="9320" w:type="dxa"/>
            <w:vAlign w:val="bottom"/>
          </w:tcPr>
          <w:p>
            <w:pPr>
              <w:ind w:left="200"/>
              <w:spacing w:after="0"/>
              <w:rPr>
                <w:sz w:val="20"/>
                <w:szCs w:val="20"/>
                <w:color w:val="auto"/>
              </w:rPr>
            </w:pPr>
            <w:r>
              <w:rPr>
                <w:rFonts w:ascii="Times New Roman" w:cs="Times New Roman" w:eastAsia="Times New Roman" w:hAnsi="Times New Roman"/>
                <w:sz w:val="20"/>
                <w:szCs w:val="20"/>
                <w:color w:val="auto"/>
              </w:rPr>
              <w:t>Employment Agreement, dated August 15, 2023, by and between the Company and Douglas Francis</w:t>
            </w:r>
          </w:p>
        </w:tc>
        <w:tc>
          <w:tcPr>
            <w:tcW w:w="0" w:type="dxa"/>
            <w:vAlign w:val="bottom"/>
          </w:tcPr>
          <w:p>
            <w:pPr>
              <w:spacing w:after="0"/>
              <w:rPr>
                <w:sz w:val="1"/>
                <w:szCs w:val="1"/>
                <w:color w:val="auto"/>
              </w:rPr>
            </w:pPr>
          </w:p>
        </w:tc>
      </w:tr>
      <w:tr>
        <w:trPr>
          <w:trHeight w:val="276"/>
        </w:trPr>
        <w:tc>
          <w:tcPr>
            <w:tcW w:w="940" w:type="dxa"/>
            <w:vAlign w:val="bottom"/>
            <w:gridSpan w:val="2"/>
          </w:tcPr>
          <w:p>
            <w:pPr>
              <w:ind w:left="40"/>
              <w:spacing w:after="0"/>
              <w:rPr>
                <w:sz w:val="20"/>
                <w:szCs w:val="20"/>
                <w:color w:val="auto"/>
              </w:rPr>
            </w:pPr>
            <w:r>
              <w:rPr>
                <w:rFonts w:ascii="Times New Roman" w:cs="Times New Roman" w:eastAsia="Times New Roman" w:hAnsi="Times New Roman"/>
                <w:sz w:val="20"/>
                <w:szCs w:val="20"/>
                <w:color w:val="auto"/>
              </w:rPr>
              <w:t>10.19#</w:t>
            </w:r>
          </w:p>
        </w:tc>
        <w:tc>
          <w:tcPr>
            <w:tcW w:w="9320" w:type="dxa"/>
            <w:vAlign w:val="bottom"/>
          </w:tcPr>
          <w:p>
            <w:pPr>
              <w:ind w:left="200"/>
              <w:spacing w:after="0"/>
              <w:rPr>
                <w:sz w:val="20"/>
                <w:szCs w:val="20"/>
                <w:color w:val="auto"/>
              </w:rPr>
            </w:pPr>
            <w:r>
              <w:rPr>
                <w:rFonts w:ascii="Times New Roman" w:cs="Times New Roman" w:eastAsia="Times New Roman" w:hAnsi="Times New Roman"/>
                <w:sz w:val="20"/>
                <w:szCs w:val="20"/>
                <w:color w:val="auto"/>
              </w:rPr>
              <w:t>(incorporated by reference to Exhibit 10.1 to the Current Report on Form 8-K filed on October 6, 2023).</w:t>
            </w:r>
          </w:p>
        </w:tc>
        <w:tc>
          <w:tcPr>
            <w:tcW w:w="0" w:type="dxa"/>
            <w:vAlign w:val="bottom"/>
          </w:tcPr>
          <w:p>
            <w:pPr>
              <w:spacing w:after="0"/>
              <w:rPr>
                <w:sz w:val="1"/>
                <w:szCs w:val="1"/>
                <w:color w:val="auto"/>
              </w:rPr>
            </w:pPr>
          </w:p>
        </w:tc>
      </w:tr>
      <w:tr>
        <w:trPr>
          <w:trHeight w:val="323"/>
        </w:trPr>
        <w:tc>
          <w:tcPr>
            <w:tcW w:w="940" w:type="dxa"/>
            <w:vAlign w:val="bottom"/>
            <w:gridSpan w:val="2"/>
            <w:shd w:val="clear" w:color="auto" w:fill="DDDDDD"/>
          </w:tcPr>
          <w:p>
            <w:pPr>
              <w:ind w:left="40"/>
              <w:spacing w:after="0"/>
              <w:rPr>
                <w:sz w:val="20"/>
                <w:szCs w:val="20"/>
                <w:color w:val="auto"/>
              </w:rPr>
            </w:pPr>
            <w:r>
              <w:rPr>
                <w:rFonts w:ascii="Times New Roman" w:cs="Times New Roman" w:eastAsia="Times New Roman" w:hAnsi="Times New Roman"/>
                <w:sz w:val="20"/>
                <w:szCs w:val="20"/>
                <w:color w:val="auto"/>
              </w:rPr>
              <w:t>10.20#</w:t>
            </w:r>
          </w:p>
        </w:tc>
        <w:tc>
          <w:tcPr>
            <w:tcW w:w="9320" w:type="dxa"/>
            <w:vAlign w:val="bottom"/>
            <w:shd w:val="clear" w:color="auto" w:fill="DDDDDD"/>
          </w:tcPr>
          <w:p>
            <w:pPr>
              <w:ind w:left="200"/>
              <w:spacing w:after="0"/>
              <w:rPr>
                <w:sz w:val="20"/>
                <w:szCs w:val="20"/>
                <w:color w:val="auto"/>
              </w:rPr>
            </w:pPr>
            <w:r>
              <w:rPr>
                <w:rFonts w:ascii="Times New Roman" w:cs="Times New Roman" w:eastAsia="Times New Roman" w:hAnsi="Times New Roman"/>
                <w:sz w:val="20"/>
                <w:szCs w:val="20"/>
                <w:color w:val="auto"/>
              </w:rPr>
              <w:t>Employment Agreement, dated April 4, 2019, by and between the Company and Brian Camire.</w:t>
            </w:r>
          </w:p>
        </w:tc>
        <w:tc>
          <w:tcPr>
            <w:tcW w:w="0" w:type="dxa"/>
            <w:vAlign w:val="bottom"/>
          </w:tcPr>
          <w:p>
            <w:pPr>
              <w:spacing w:after="0"/>
              <w:rPr>
                <w:sz w:val="1"/>
                <w:szCs w:val="1"/>
                <w:color w:val="auto"/>
              </w:rPr>
            </w:pPr>
          </w:p>
        </w:tc>
      </w:tr>
      <w:tr>
        <w:trPr>
          <w:trHeight w:val="258"/>
        </w:trPr>
        <w:tc>
          <w:tcPr>
            <w:tcW w:w="40" w:type="dxa"/>
            <w:vAlign w:val="bottom"/>
          </w:tcPr>
          <w:p>
            <w:pPr>
              <w:spacing w:after="0"/>
              <w:rPr>
                <w:sz w:val="22"/>
                <w:szCs w:val="22"/>
                <w:color w:val="auto"/>
              </w:rPr>
            </w:pPr>
          </w:p>
        </w:tc>
        <w:tc>
          <w:tcPr>
            <w:tcW w:w="900" w:type="dxa"/>
            <w:vAlign w:val="bottom"/>
          </w:tcPr>
          <w:p>
            <w:pPr>
              <w:spacing w:after="0"/>
              <w:rPr>
                <w:sz w:val="22"/>
                <w:szCs w:val="22"/>
                <w:color w:val="auto"/>
              </w:rPr>
            </w:pPr>
          </w:p>
        </w:tc>
        <w:tc>
          <w:tcPr>
            <w:tcW w:w="9320" w:type="dxa"/>
            <w:vAlign w:val="bottom"/>
          </w:tcPr>
          <w:p>
            <w:pPr>
              <w:ind w:left="200"/>
              <w:spacing w:after="0"/>
              <w:rPr>
                <w:sz w:val="20"/>
                <w:szCs w:val="20"/>
                <w:color w:val="auto"/>
              </w:rPr>
            </w:pPr>
            <w:r>
              <w:rPr>
                <w:rFonts w:ascii="Times New Roman" w:cs="Times New Roman" w:eastAsia="Times New Roman" w:hAnsi="Times New Roman"/>
                <w:sz w:val="20"/>
                <w:szCs w:val="20"/>
                <w:color w:val="auto"/>
              </w:rPr>
              <w:t>Executive Services Agreement, dated July 16, 2023, by and between SeatonHillPartners, L.P. and WM</w:t>
            </w:r>
          </w:p>
        </w:tc>
        <w:tc>
          <w:tcPr>
            <w:tcW w:w="0" w:type="dxa"/>
            <w:vAlign w:val="bottom"/>
          </w:tcPr>
          <w:p>
            <w:pPr>
              <w:spacing w:after="0"/>
              <w:rPr>
                <w:sz w:val="1"/>
                <w:szCs w:val="1"/>
                <w:color w:val="auto"/>
              </w:rPr>
            </w:pPr>
          </w:p>
        </w:tc>
      </w:tr>
      <w:tr>
        <w:trPr>
          <w:trHeight w:val="230"/>
        </w:trPr>
        <w:tc>
          <w:tcPr>
            <w:tcW w:w="4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9320" w:type="dxa"/>
            <w:vAlign w:val="bottom"/>
          </w:tcPr>
          <w:p>
            <w:pPr>
              <w:ind w:left="200"/>
              <w:spacing w:after="0"/>
              <w:rPr>
                <w:sz w:val="20"/>
                <w:szCs w:val="20"/>
                <w:color w:val="auto"/>
              </w:rPr>
            </w:pPr>
            <w:r>
              <w:rPr>
                <w:rFonts w:ascii="Times New Roman" w:cs="Times New Roman" w:eastAsia="Times New Roman" w:hAnsi="Times New Roman"/>
                <w:sz w:val="20"/>
                <w:szCs w:val="20"/>
                <w:color w:val="auto"/>
              </w:rPr>
              <w:t>Technology Inc. (incorporated herein by reference to Exhibit 10.1 to the Current Report on Form 8-K filed by</w:t>
            </w:r>
          </w:p>
        </w:tc>
        <w:tc>
          <w:tcPr>
            <w:tcW w:w="0" w:type="dxa"/>
            <w:vAlign w:val="bottom"/>
          </w:tcPr>
          <w:p>
            <w:pPr>
              <w:spacing w:after="0"/>
              <w:rPr>
                <w:sz w:val="1"/>
                <w:szCs w:val="1"/>
                <w:color w:val="auto"/>
              </w:rPr>
            </w:pPr>
          </w:p>
        </w:tc>
      </w:tr>
      <w:tr>
        <w:trPr>
          <w:trHeight w:val="276"/>
        </w:trPr>
        <w:tc>
          <w:tcPr>
            <w:tcW w:w="940" w:type="dxa"/>
            <w:vAlign w:val="bottom"/>
            <w:gridSpan w:val="2"/>
          </w:tcPr>
          <w:p>
            <w:pPr>
              <w:ind w:left="40"/>
              <w:spacing w:after="0"/>
              <w:rPr>
                <w:sz w:val="20"/>
                <w:szCs w:val="20"/>
                <w:color w:val="auto"/>
              </w:rPr>
            </w:pPr>
            <w:r>
              <w:rPr>
                <w:rFonts w:ascii="Times New Roman" w:cs="Times New Roman" w:eastAsia="Times New Roman" w:hAnsi="Times New Roman"/>
                <w:sz w:val="20"/>
                <w:szCs w:val="20"/>
                <w:color w:val="auto"/>
              </w:rPr>
              <w:t>10.21#</w:t>
            </w:r>
          </w:p>
        </w:tc>
        <w:tc>
          <w:tcPr>
            <w:tcW w:w="9320" w:type="dxa"/>
            <w:vAlign w:val="bottom"/>
          </w:tcPr>
          <w:p>
            <w:pPr>
              <w:ind w:left="200"/>
              <w:spacing w:after="0"/>
              <w:rPr>
                <w:sz w:val="20"/>
                <w:szCs w:val="20"/>
                <w:color w:val="auto"/>
              </w:rPr>
            </w:pPr>
            <w:r>
              <w:rPr>
                <w:rFonts w:ascii="Times New Roman" w:cs="Times New Roman" w:eastAsia="Times New Roman" w:hAnsi="Times New Roman"/>
                <w:sz w:val="20"/>
                <w:szCs w:val="20"/>
                <w:color w:val="auto"/>
              </w:rPr>
              <w:t>WM Technology, Inc. on July 20, 2023).</w:t>
            </w:r>
          </w:p>
        </w:tc>
        <w:tc>
          <w:tcPr>
            <w:tcW w:w="0" w:type="dxa"/>
            <w:vAlign w:val="bottom"/>
          </w:tcPr>
          <w:p>
            <w:pPr>
              <w:spacing w:after="0"/>
              <w:rPr>
                <w:sz w:val="1"/>
                <w:szCs w:val="1"/>
                <w:color w:val="auto"/>
              </w:rPr>
            </w:pPr>
          </w:p>
        </w:tc>
      </w:tr>
      <w:tr>
        <w:trPr>
          <w:trHeight w:val="272"/>
        </w:trPr>
        <w:tc>
          <w:tcPr>
            <w:tcW w:w="40" w:type="dxa"/>
            <w:vAlign w:val="bottom"/>
            <w:shd w:val="clear" w:color="auto" w:fill="DDDDDD"/>
          </w:tcPr>
          <w:p>
            <w:pPr>
              <w:spacing w:after="0"/>
              <w:rPr>
                <w:sz w:val="23"/>
                <w:szCs w:val="23"/>
                <w:color w:val="auto"/>
              </w:rPr>
            </w:pPr>
          </w:p>
        </w:tc>
        <w:tc>
          <w:tcPr>
            <w:tcW w:w="900" w:type="dxa"/>
            <w:vAlign w:val="bottom"/>
            <w:shd w:val="clear" w:color="auto" w:fill="DDDDDD"/>
          </w:tcPr>
          <w:p>
            <w:pPr>
              <w:spacing w:after="0"/>
              <w:rPr>
                <w:sz w:val="23"/>
                <w:szCs w:val="23"/>
                <w:color w:val="auto"/>
              </w:rPr>
            </w:pPr>
          </w:p>
        </w:tc>
        <w:tc>
          <w:tcPr>
            <w:tcW w:w="9320" w:type="dxa"/>
            <w:vAlign w:val="bottom"/>
            <w:shd w:val="clear" w:color="auto" w:fill="DDDDDD"/>
          </w:tcPr>
          <w:p>
            <w:pPr>
              <w:ind w:left="200"/>
              <w:spacing w:after="0"/>
              <w:rPr>
                <w:sz w:val="20"/>
                <w:szCs w:val="20"/>
                <w:color w:val="auto"/>
              </w:rPr>
            </w:pPr>
            <w:r>
              <w:rPr>
                <w:rFonts w:ascii="Times New Roman" w:cs="Times New Roman" w:eastAsia="Times New Roman" w:hAnsi="Times New Roman"/>
                <w:sz w:val="20"/>
                <w:szCs w:val="20"/>
                <w:color w:val="auto"/>
                <w:w w:val="99"/>
              </w:rPr>
              <w:t>Separation and Release Agreement, by and between Randa McMinn and WM Technology, Inc, dated October 18,</w:t>
            </w:r>
          </w:p>
        </w:tc>
        <w:tc>
          <w:tcPr>
            <w:tcW w:w="0" w:type="dxa"/>
            <w:vAlign w:val="bottom"/>
          </w:tcPr>
          <w:p>
            <w:pPr>
              <w:spacing w:after="0"/>
              <w:rPr>
                <w:sz w:val="1"/>
                <w:szCs w:val="1"/>
                <w:color w:val="auto"/>
              </w:rPr>
            </w:pPr>
          </w:p>
        </w:tc>
      </w:tr>
      <w:tr>
        <w:trPr>
          <w:trHeight w:val="230"/>
        </w:trPr>
        <w:tc>
          <w:tcPr>
            <w:tcW w:w="40" w:type="dxa"/>
            <w:vAlign w:val="bottom"/>
            <w:shd w:val="clear" w:color="auto" w:fill="DDDDDD"/>
          </w:tcPr>
          <w:p>
            <w:pPr>
              <w:spacing w:after="0"/>
              <w:rPr>
                <w:sz w:val="20"/>
                <w:szCs w:val="20"/>
                <w:color w:val="auto"/>
              </w:rPr>
            </w:pPr>
          </w:p>
        </w:tc>
        <w:tc>
          <w:tcPr>
            <w:tcW w:w="900" w:type="dxa"/>
            <w:vAlign w:val="bottom"/>
            <w:vMerge w:val="restart"/>
            <w:shd w:val="clear" w:color="auto" w:fill="DDDDDD"/>
          </w:tcPr>
          <w:p>
            <w:pPr>
              <w:spacing w:after="0"/>
              <w:rPr>
                <w:sz w:val="20"/>
                <w:szCs w:val="20"/>
                <w:color w:val="auto"/>
              </w:rPr>
            </w:pPr>
            <w:r>
              <w:rPr>
                <w:rFonts w:ascii="Times New Roman" w:cs="Times New Roman" w:eastAsia="Times New Roman" w:hAnsi="Times New Roman"/>
                <w:sz w:val="20"/>
                <w:szCs w:val="20"/>
                <w:color w:val="auto"/>
              </w:rPr>
              <w:t>10.22#</w:t>
            </w:r>
          </w:p>
        </w:tc>
        <w:tc>
          <w:tcPr>
            <w:tcW w:w="9320" w:type="dxa"/>
            <w:vAlign w:val="bottom"/>
            <w:shd w:val="clear" w:color="auto" w:fill="DDDDDD"/>
          </w:tcPr>
          <w:p>
            <w:pPr>
              <w:ind w:left="200"/>
              <w:spacing w:after="0"/>
              <w:rPr>
                <w:sz w:val="20"/>
                <w:szCs w:val="20"/>
                <w:color w:val="auto"/>
              </w:rPr>
            </w:pPr>
            <w:r>
              <w:rPr>
                <w:rFonts w:ascii="Times New Roman" w:cs="Times New Roman" w:eastAsia="Times New Roman" w:hAnsi="Times New Roman"/>
                <w:sz w:val="20"/>
                <w:szCs w:val="20"/>
                <w:color w:val="auto"/>
              </w:rPr>
              <w:t>2023 (incorporated herein by reference to Exhibit 10.5# to the Quarterly Report on Form 10-Q filed on</w:t>
            </w:r>
          </w:p>
        </w:tc>
        <w:tc>
          <w:tcPr>
            <w:tcW w:w="0" w:type="dxa"/>
            <w:vAlign w:val="bottom"/>
          </w:tcPr>
          <w:p>
            <w:pPr>
              <w:spacing w:after="0"/>
              <w:rPr>
                <w:sz w:val="1"/>
                <w:szCs w:val="1"/>
                <w:color w:val="auto"/>
              </w:rPr>
            </w:pPr>
          </w:p>
        </w:tc>
      </w:tr>
      <w:tr>
        <w:trPr>
          <w:trHeight w:val="282"/>
        </w:trPr>
        <w:tc>
          <w:tcPr>
            <w:tcW w:w="40" w:type="dxa"/>
            <w:vAlign w:val="bottom"/>
            <w:shd w:val="clear" w:color="auto" w:fill="DDDDDD"/>
          </w:tcPr>
          <w:p>
            <w:pPr>
              <w:spacing w:after="0"/>
              <w:rPr>
                <w:sz w:val="24"/>
                <w:szCs w:val="24"/>
                <w:color w:val="auto"/>
              </w:rPr>
            </w:pPr>
          </w:p>
        </w:tc>
        <w:tc>
          <w:tcPr>
            <w:tcW w:w="900" w:type="dxa"/>
            <w:vAlign w:val="bottom"/>
            <w:vMerge w:val="continue"/>
            <w:shd w:val="clear" w:color="auto" w:fill="DDDDDD"/>
          </w:tcPr>
          <w:p>
            <w:pPr>
              <w:spacing w:after="0"/>
              <w:rPr>
                <w:sz w:val="24"/>
                <w:szCs w:val="24"/>
                <w:color w:val="auto"/>
              </w:rPr>
            </w:pPr>
          </w:p>
        </w:tc>
        <w:tc>
          <w:tcPr>
            <w:tcW w:w="9320" w:type="dxa"/>
            <w:vAlign w:val="bottom"/>
            <w:shd w:val="clear" w:color="auto" w:fill="DDDDDD"/>
          </w:tcPr>
          <w:p>
            <w:pPr>
              <w:ind w:left="200"/>
              <w:spacing w:after="0"/>
              <w:rPr>
                <w:sz w:val="20"/>
                <w:szCs w:val="20"/>
                <w:color w:val="auto"/>
              </w:rPr>
            </w:pPr>
            <w:r>
              <w:rPr>
                <w:rFonts w:ascii="Times New Roman" w:cs="Times New Roman" w:eastAsia="Times New Roman" w:hAnsi="Times New Roman"/>
                <w:sz w:val="20"/>
                <w:szCs w:val="20"/>
                <w:color w:val="auto"/>
              </w:rPr>
              <w:t>November 8, 2023).</w:t>
            </w:r>
          </w:p>
        </w:tc>
        <w:tc>
          <w:tcPr>
            <w:tcW w:w="0" w:type="dxa"/>
            <w:vAlign w:val="bottom"/>
          </w:tcPr>
          <w:p>
            <w:pPr>
              <w:spacing w:after="0"/>
              <w:rPr>
                <w:sz w:val="1"/>
                <w:szCs w:val="1"/>
                <w:color w:val="auto"/>
              </w:rPr>
            </w:pPr>
          </w:p>
        </w:tc>
      </w:tr>
      <w:tr>
        <w:trPr>
          <w:trHeight w:val="258"/>
        </w:trPr>
        <w:tc>
          <w:tcPr>
            <w:tcW w:w="40" w:type="dxa"/>
            <w:vAlign w:val="bottom"/>
          </w:tcPr>
          <w:p>
            <w:pPr>
              <w:spacing w:after="0"/>
              <w:rPr>
                <w:sz w:val="22"/>
                <w:szCs w:val="22"/>
                <w:color w:val="auto"/>
              </w:rPr>
            </w:pPr>
          </w:p>
        </w:tc>
        <w:tc>
          <w:tcPr>
            <w:tcW w:w="900" w:type="dxa"/>
            <w:vAlign w:val="bottom"/>
          </w:tcPr>
          <w:p>
            <w:pPr>
              <w:spacing w:after="0"/>
              <w:rPr>
                <w:sz w:val="22"/>
                <w:szCs w:val="22"/>
                <w:color w:val="auto"/>
              </w:rPr>
            </w:pPr>
          </w:p>
        </w:tc>
        <w:tc>
          <w:tcPr>
            <w:tcW w:w="9320" w:type="dxa"/>
            <w:vAlign w:val="bottom"/>
          </w:tcPr>
          <w:p>
            <w:pPr>
              <w:ind w:left="200"/>
              <w:spacing w:after="0"/>
              <w:rPr>
                <w:sz w:val="20"/>
                <w:szCs w:val="20"/>
                <w:color w:val="auto"/>
              </w:rPr>
            </w:pPr>
            <w:r>
              <w:rPr>
                <w:rFonts w:ascii="Times New Roman" w:cs="Times New Roman" w:eastAsia="Times New Roman" w:hAnsi="Times New Roman"/>
                <w:sz w:val="20"/>
                <w:szCs w:val="20"/>
                <w:color w:val="auto"/>
              </w:rPr>
              <w:t>Amendment to Executive Services Agreement, by and between SeatonHillPartners, L.P. and WM Technology</w:t>
            </w:r>
          </w:p>
        </w:tc>
        <w:tc>
          <w:tcPr>
            <w:tcW w:w="0" w:type="dxa"/>
            <w:vAlign w:val="bottom"/>
          </w:tcPr>
          <w:p>
            <w:pPr>
              <w:spacing w:after="0"/>
              <w:rPr>
                <w:sz w:val="1"/>
                <w:szCs w:val="1"/>
                <w:color w:val="auto"/>
              </w:rPr>
            </w:pPr>
          </w:p>
        </w:tc>
      </w:tr>
      <w:tr>
        <w:trPr>
          <w:trHeight w:val="276"/>
        </w:trPr>
        <w:tc>
          <w:tcPr>
            <w:tcW w:w="940" w:type="dxa"/>
            <w:vAlign w:val="bottom"/>
            <w:gridSpan w:val="2"/>
          </w:tcPr>
          <w:p>
            <w:pPr>
              <w:ind w:left="40"/>
              <w:spacing w:after="0"/>
              <w:rPr>
                <w:sz w:val="20"/>
                <w:szCs w:val="20"/>
                <w:color w:val="auto"/>
              </w:rPr>
            </w:pPr>
            <w:r>
              <w:rPr>
                <w:rFonts w:ascii="Times New Roman" w:cs="Times New Roman" w:eastAsia="Times New Roman" w:hAnsi="Times New Roman"/>
                <w:sz w:val="20"/>
                <w:szCs w:val="20"/>
                <w:color w:val="auto"/>
              </w:rPr>
              <w:t>10.23#</w:t>
            </w:r>
          </w:p>
        </w:tc>
        <w:tc>
          <w:tcPr>
            <w:tcW w:w="9320" w:type="dxa"/>
            <w:vAlign w:val="bottom"/>
          </w:tcPr>
          <w:p>
            <w:pPr>
              <w:ind w:left="200"/>
              <w:spacing w:after="0"/>
              <w:rPr>
                <w:sz w:val="20"/>
                <w:szCs w:val="20"/>
                <w:color w:val="auto"/>
              </w:rPr>
            </w:pPr>
            <w:r>
              <w:rPr>
                <w:rFonts w:ascii="Times New Roman" w:cs="Times New Roman" w:eastAsia="Times New Roman" w:hAnsi="Times New Roman"/>
                <w:sz w:val="20"/>
                <w:szCs w:val="20"/>
                <w:color w:val="auto"/>
              </w:rPr>
              <w:t>Inc., dated February 26, 2024.</w:t>
            </w:r>
          </w:p>
        </w:tc>
        <w:tc>
          <w:tcPr>
            <w:tcW w:w="0" w:type="dxa"/>
            <w:vAlign w:val="bottom"/>
          </w:tcPr>
          <w:p>
            <w:pPr>
              <w:spacing w:after="0"/>
              <w:rPr>
                <w:sz w:val="1"/>
                <w:szCs w:val="1"/>
                <w:color w:val="auto"/>
              </w:rPr>
            </w:pPr>
          </w:p>
        </w:tc>
      </w:tr>
      <w:tr>
        <w:trPr>
          <w:trHeight w:val="323"/>
        </w:trPr>
        <w:tc>
          <w:tcPr>
            <w:tcW w:w="940" w:type="dxa"/>
            <w:vAlign w:val="bottom"/>
            <w:gridSpan w:val="2"/>
            <w:shd w:val="clear" w:color="auto" w:fill="DDDDDD"/>
          </w:tcPr>
          <w:p>
            <w:pPr>
              <w:ind w:left="40"/>
              <w:spacing w:after="0"/>
              <w:rPr>
                <w:sz w:val="20"/>
                <w:szCs w:val="20"/>
                <w:color w:val="auto"/>
              </w:rPr>
            </w:pPr>
            <w:r>
              <w:rPr>
                <w:rFonts w:ascii="Times New Roman" w:cs="Times New Roman" w:eastAsia="Times New Roman" w:hAnsi="Times New Roman"/>
                <w:sz w:val="20"/>
                <w:szCs w:val="20"/>
                <w:color w:val="auto"/>
              </w:rPr>
              <w:t>21.1</w:t>
            </w:r>
          </w:p>
        </w:tc>
        <w:tc>
          <w:tcPr>
            <w:tcW w:w="9320" w:type="dxa"/>
            <w:vAlign w:val="bottom"/>
            <w:shd w:val="clear" w:color="auto" w:fill="DDDDDD"/>
          </w:tcPr>
          <w:p>
            <w:pPr>
              <w:ind w:left="200"/>
              <w:spacing w:after="0"/>
              <w:rPr>
                <w:sz w:val="20"/>
                <w:szCs w:val="20"/>
                <w:color w:val="auto"/>
              </w:rPr>
            </w:pPr>
            <w:r>
              <w:rPr>
                <w:rFonts w:ascii="Times New Roman" w:cs="Times New Roman" w:eastAsia="Times New Roman" w:hAnsi="Times New Roman"/>
                <w:sz w:val="20"/>
                <w:szCs w:val="20"/>
                <w:color w:val="auto"/>
              </w:rPr>
              <w:t>List of Subsidiaries of the Registrant</w:t>
            </w:r>
          </w:p>
        </w:tc>
        <w:tc>
          <w:tcPr>
            <w:tcW w:w="0" w:type="dxa"/>
            <w:vAlign w:val="bottom"/>
          </w:tcPr>
          <w:p>
            <w:pPr>
              <w:spacing w:after="0"/>
              <w:rPr>
                <w:sz w:val="1"/>
                <w:szCs w:val="1"/>
                <w:color w:val="auto"/>
              </w:rPr>
            </w:pPr>
          </w:p>
        </w:tc>
      </w:tr>
      <w:tr>
        <w:trPr>
          <w:trHeight w:val="304"/>
        </w:trPr>
        <w:tc>
          <w:tcPr>
            <w:tcW w:w="940" w:type="dxa"/>
            <w:vAlign w:val="bottom"/>
            <w:gridSpan w:val="2"/>
          </w:tcPr>
          <w:p>
            <w:pPr>
              <w:ind w:left="40"/>
              <w:spacing w:after="0"/>
              <w:rPr>
                <w:sz w:val="20"/>
                <w:szCs w:val="20"/>
                <w:color w:val="auto"/>
              </w:rPr>
            </w:pPr>
            <w:r>
              <w:rPr>
                <w:rFonts w:ascii="Times New Roman" w:cs="Times New Roman" w:eastAsia="Times New Roman" w:hAnsi="Times New Roman"/>
                <w:sz w:val="20"/>
                <w:szCs w:val="20"/>
                <w:color w:val="auto"/>
              </w:rPr>
              <w:t>23.1</w:t>
            </w:r>
          </w:p>
        </w:tc>
        <w:tc>
          <w:tcPr>
            <w:tcW w:w="9320" w:type="dxa"/>
            <w:vAlign w:val="bottom"/>
          </w:tcPr>
          <w:p>
            <w:pPr>
              <w:ind w:left="200"/>
              <w:spacing w:after="0"/>
              <w:rPr>
                <w:sz w:val="20"/>
                <w:szCs w:val="20"/>
                <w:color w:val="auto"/>
              </w:rPr>
            </w:pPr>
            <w:r>
              <w:rPr>
                <w:rFonts w:ascii="Times New Roman" w:cs="Times New Roman" w:eastAsia="Times New Roman" w:hAnsi="Times New Roman"/>
                <w:sz w:val="20"/>
                <w:szCs w:val="20"/>
                <w:color w:val="auto"/>
              </w:rPr>
              <w:t>Consent of Baker Tilly US, LLP</w:t>
            </w:r>
          </w:p>
        </w:tc>
        <w:tc>
          <w:tcPr>
            <w:tcW w:w="0" w:type="dxa"/>
            <w:vAlign w:val="bottom"/>
          </w:tcPr>
          <w:p>
            <w:pPr>
              <w:spacing w:after="0"/>
              <w:rPr>
                <w:sz w:val="1"/>
                <w:szCs w:val="1"/>
                <w:color w:val="auto"/>
              </w:rPr>
            </w:pPr>
          </w:p>
        </w:tc>
      </w:tr>
      <w:tr>
        <w:trPr>
          <w:trHeight w:val="366"/>
        </w:trPr>
        <w:tc>
          <w:tcPr>
            <w:tcW w:w="40" w:type="dxa"/>
            <w:vAlign w:val="bottom"/>
            <w:shd w:val="clear" w:color="auto" w:fill="DDDDDD"/>
          </w:tcPr>
          <w:p>
            <w:pPr>
              <w:spacing w:after="0"/>
              <w:rPr>
                <w:sz w:val="24"/>
                <w:szCs w:val="24"/>
                <w:color w:val="auto"/>
              </w:rPr>
            </w:pPr>
          </w:p>
        </w:tc>
        <w:tc>
          <w:tcPr>
            <w:tcW w:w="900" w:type="dxa"/>
            <w:vAlign w:val="bottom"/>
            <w:shd w:val="clear" w:color="auto" w:fill="DDDDDD"/>
          </w:tcPr>
          <w:p>
            <w:pPr>
              <w:spacing w:after="0"/>
              <w:rPr>
                <w:sz w:val="20"/>
                <w:szCs w:val="20"/>
                <w:color w:val="auto"/>
              </w:rPr>
            </w:pPr>
            <w:r>
              <w:rPr>
                <w:rFonts w:ascii="Times New Roman" w:cs="Times New Roman" w:eastAsia="Times New Roman" w:hAnsi="Times New Roman"/>
                <w:sz w:val="20"/>
                <w:szCs w:val="20"/>
                <w:color w:val="auto"/>
              </w:rPr>
              <w:t>23.2</w:t>
            </w:r>
          </w:p>
        </w:tc>
        <w:tc>
          <w:tcPr>
            <w:tcW w:w="9320" w:type="dxa"/>
            <w:vAlign w:val="bottom"/>
            <w:shd w:val="clear" w:color="auto" w:fill="DDDDDD"/>
          </w:tcPr>
          <w:p>
            <w:pPr>
              <w:ind w:left="200"/>
              <w:spacing w:after="0"/>
              <w:rPr>
                <w:sz w:val="20"/>
                <w:szCs w:val="20"/>
                <w:color w:val="auto"/>
              </w:rPr>
            </w:pPr>
            <w:r>
              <w:rPr>
                <w:rFonts w:ascii="Times New Roman" w:cs="Times New Roman" w:eastAsia="Times New Roman" w:hAnsi="Times New Roman"/>
                <w:sz w:val="20"/>
                <w:szCs w:val="20"/>
                <w:color w:val="auto"/>
              </w:rPr>
              <w:t>Consent of Moss Adams, LLP</w:t>
            </w:r>
          </w:p>
        </w:tc>
        <w:tc>
          <w:tcPr>
            <w:tcW w:w="0" w:type="dxa"/>
            <w:vAlign w:val="bottom"/>
          </w:tcPr>
          <w:p>
            <w:pPr>
              <w:spacing w:after="0"/>
              <w:rPr>
                <w:sz w:val="1"/>
                <w:szCs w:val="1"/>
                <w:color w:val="auto"/>
              </w:rPr>
            </w:pPr>
          </w:p>
        </w:tc>
      </w:tr>
      <w:tr>
        <w:trPr>
          <w:trHeight w:val="287"/>
        </w:trPr>
        <w:tc>
          <w:tcPr>
            <w:tcW w:w="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9320" w:type="dxa"/>
            <w:vAlign w:val="bottom"/>
          </w:tcPr>
          <w:p>
            <w:pPr>
              <w:ind w:left="200"/>
              <w:spacing w:after="0"/>
              <w:rPr>
                <w:sz w:val="20"/>
                <w:szCs w:val="20"/>
                <w:color w:val="auto"/>
              </w:rPr>
            </w:pPr>
            <w:r>
              <w:rPr>
                <w:rFonts w:ascii="Times New Roman" w:cs="Times New Roman" w:eastAsia="Times New Roman" w:hAnsi="Times New Roman"/>
                <w:sz w:val="20"/>
                <w:szCs w:val="20"/>
                <w:color w:val="auto"/>
              </w:rPr>
              <w:t>Certification of the Principal Executive Officer pursuant to Rules 13a-14(a) and 15d-14(a) under the Securities</w:t>
            </w:r>
          </w:p>
        </w:tc>
        <w:tc>
          <w:tcPr>
            <w:tcW w:w="0" w:type="dxa"/>
            <w:vAlign w:val="bottom"/>
          </w:tcPr>
          <w:p>
            <w:pPr>
              <w:spacing w:after="0"/>
              <w:rPr>
                <w:sz w:val="1"/>
                <w:szCs w:val="1"/>
                <w:color w:val="auto"/>
              </w:rPr>
            </w:pPr>
          </w:p>
        </w:tc>
      </w:tr>
      <w:tr>
        <w:trPr>
          <w:trHeight w:val="298"/>
        </w:trPr>
        <w:tc>
          <w:tcPr>
            <w:tcW w:w="940" w:type="dxa"/>
            <w:vAlign w:val="bottom"/>
            <w:gridSpan w:val="2"/>
          </w:tcPr>
          <w:p>
            <w:pPr>
              <w:ind w:left="40"/>
              <w:spacing w:after="0"/>
              <w:rPr>
                <w:sz w:val="20"/>
                <w:szCs w:val="20"/>
                <w:color w:val="auto"/>
              </w:rPr>
            </w:pPr>
            <w:r>
              <w:rPr>
                <w:rFonts w:ascii="Times New Roman" w:cs="Times New Roman" w:eastAsia="Times New Roman" w:hAnsi="Times New Roman"/>
                <w:sz w:val="20"/>
                <w:szCs w:val="20"/>
                <w:color w:val="auto"/>
              </w:rPr>
              <w:t>31.1</w:t>
            </w:r>
          </w:p>
        </w:tc>
        <w:tc>
          <w:tcPr>
            <w:tcW w:w="9320" w:type="dxa"/>
            <w:vAlign w:val="bottom"/>
          </w:tcPr>
          <w:p>
            <w:pPr>
              <w:ind w:left="200"/>
              <w:spacing w:after="0"/>
              <w:rPr>
                <w:sz w:val="20"/>
                <w:szCs w:val="20"/>
                <w:color w:val="auto"/>
              </w:rPr>
            </w:pPr>
            <w:r>
              <w:rPr>
                <w:rFonts w:ascii="Times New Roman" w:cs="Times New Roman" w:eastAsia="Times New Roman" w:hAnsi="Times New Roman"/>
                <w:sz w:val="20"/>
                <w:szCs w:val="20"/>
                <w:color w:val="auto"/>
              </w:rPr>
              <w:t>Exchange Act of 1934, as adopted pursuant to Section 302 of the Sarbanes-Oxley Act of 2002</w:t>
            </w:r>
          </w:p>
        </w:tc>
        <w:tc>
          <w:tcPr>
            <w:tcW w:w="0" w:type="dxa"/>
            <w:vAlign w:val="bottom"/>
          </w:tcPr>
          <w:p>
            <w:pPr>
              <w:spacing w:after="0"/>
              <w:rPr>
                <w:sz w:val="1"/>
                <w:szCs w:val="1"/>
                <w:color w:val="auto"/>
              </w:rPr>
            </w:pPr>
          </w:p>
        </w:tc>
      </w:tr>
      <w:tr>
        <w:trPr>
          <w:trHeight w:val="871"/>
        </w:trPr>
        <w:tc>
          <w:tcPr>
            <w:tcW w:w="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9320" w:type="dxa"/>
            <w:vAlign w:val="bottom"/>
          </w:tcPr>
          <w:p>
            <w:pPr>
              <w:ind w:left="4020"/>
              <w:spacing w:after="0"/>
              <w:rPr>
                <w:sz w:val="20"/>
                <w:szCs w:val="20"/>
                <w:color w:val="auto"/>
              </w:rPr>
            </w:pPr>
            <w:r>
              <w:rPr>
                <w:rFonts w:ascii="Times New Roman" w:cs="Times New Roman" w:eastAsia="Times New Roman" w:hAnsi="Times New Roman"/>
                <w:sz w:val="20"/>
                <w:szCs w:val="20"/>
                <w:color w:val="auto"/>
              </w:rPr>
              <w:t>108</w:t>
            </w:r>
          </w:p>
        </w:tc>
        <w:tc>
          <w:tcPr>
            <w:tcW w:w="0" w:type="dxa"/>
            <w:vAlign w:val="bottom"/>
          </w:tcPr>
          <w:p>
            <w:pPr>
              <w:spacing w:after="0"/>
              <w:rPr>
                <w:sz w:val="1"/>
                <w:szCs w:val="1"/>
                <w:color w:val="auto"/>
              </w:rPr>
            </w:pPr>
          </w:p>
        </w:tc>
      </w:tr>
    </w:tbl>
    <w:p>
      <w:pPr>
        <w:sectPr>
          <w:pgSz w:w="12240" w:h="15840" w:orient="portrait"/>
          <w:cols w:equalWidth="0" w:num="1">
            <w:col w:w="10260"/>
          </w:cols>
          <w:pgMar w:left="1000" w:top="935" w:right="980" w:bottom="182" w:gutter="0" w:footer="0" w:header="0"/>
          <w:type w:val="continuous"/>
        </w:sectPr>
      </w:pPr>
    </w:p>
    <w:bookmarkStart w:id="112" w:name="page113"/>
    <w:bookmarkEnd w:id="112"/>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88"/>
        </w:trPr>
        <w:tc>
          <w:tcPr>
            <w:tcW w:w="1025" w:type="dxa"/>
            <w:vAlign w:val="bottom"/>
            <w:shd w:val="clear" w:color="auto" w:fill="DDDDDD"/>
          </w:tcPr>
          <w:p>
            <w:pPr>
              <w:spacing w:after="0"/>
              <w:rPr>
                <w:sz w:val="24"/>
                <w:szCs w:val="24"/>
                <w:color w:val="auto"/>
              </w:rPr>
            </w:pPr>
          </w:p>
        </w:tc>
        <w:tc>
          <w:tcPr>
            <w:tcW w:w="9235" w:type="dxa"/>
            <w:vAlign w:val="bottom"/>
            <w:shd w:val="clear" w:color="auto" w:fill="DDDDDD"/>
          </w:tcPr>
          <w:p>
            <w:pPr>
              <w:ind w:left="115"/>
              <w:spacing w:after="0"/>
              <w:rPr>
                <w:sz w:val="20"/>
                <w:szCs w:val="20"/>
                <w:color w:val="auto"/>
              </w:rPr>
            </w:pPr>
            <w:r>
              <w:rPr>
                <w:rFonts w:ascii="Times New Roman" w:cs="Times New Roman" w:eastAsia="Times New Roman" w:hAnsi="Times New Roman"/>
                <w:sz w:val="20"/>
                <w:szCs w:val="20"/>
                <w:color w:val="auto"/>
              </w:rPr>
              <w:t>Certification of the Principal Financial Officer pursuant to Rules 13a-14(a) and 15d-14(a) under the Securities</w:t>
            </w:r>
          </w:p>
        </w:tc>
      </w:tr>
      <w:tr>
        <w:trPr>
          <w:trHeight w:val="310"/>
        </w:trPr>
        <w:tc>
          <w:tcPr>
            <w:tcW w:w="1025" w:type="dxa"/>
            <w:vAlign w:val="bottom"/>
            <w:shd w:val="clear" w:color="auto" w:fill="DDDDDD"/>
          </w:tcPr>
          <w:p>
            <w:pPr>
              <w:ind w:left="40"/>
              <w:spacing w:after="0"/>
              <w:rPr>
                <w:sz w:val="20"/>
                <w:szCs w:val="20"/>
                <w:color w:val="auto"/>
              </w:rPr>
            </w:pPr>
            <w:r>
              <w:rPr>
                <w:rFonts w:ascii="Times New Roman" w:cs="Times New Roman" w:eastAsia="Times New Roman" w:hAnsi="Times New Roman"/>
                <w:sz w:val="20"/>
                <w:szCs w:val="20"/>
                <w:color w:val="auto"/>
              </w:rPr>
              <w:t>31.2</w:t>
            </w:r>
          </w:p>
        </w:tc>
        <w:tc>
          <w:tcPr>
            <w:tcW w:w="9235" w:type="dxa"/>
            <w:vAlign w:val="bottom"/>
            <w:shd w:val="clear" w:color="auto" w:fill="DDDDDD"/>
          </w:tcPr>
          <w:p>
            <w:pPr>
              <w:ind w:left="115"/>
              <w:spacing w:after="0"/>
              <w:rPr>
                <w:sz w:val="20"/>
                <w:szCs w:val="20"/>
                <w:color w:val="auto"/>
              </w:rPr>
            </w:pPr>
            <w:r>
              <w:rPr>
                <w:rFonts w:ascii="Times New Roman" w:cs="Times New Roman" w:eastAsia="Times New Roman" w:hAnsi="Times New Roman"/>
                <w:sz w:val="20"/>
                <w:szCs w:val="20"/>
                <w:color w:val="auto"/>
              </w:rPr>
              <w:t>Exchange Act of 1934, as adopted pursuant to Section 302 of the Sarbanes-Oxley Act of 2002</w:t>
            </w:r>
          </w:p>
        </w:tc>
      </w:tr>
      <w:tr>
        <w:trPr>
          <w:trHeight w:val="287"/>
        </w:trPr>
        <w:tc>
          <w:tcPr>
            <w:tcW w:w="1025" w:type="dxa"/>
            <w:vAlign w:val="bottom"/>
          </w:tcPr>
          <w:p>
            <w:pPr>
              <w:spacing w:after="0"/>
              <w:rPr>
                <w:sz w:val="24"/>
                <w:szCs w:val="24"/>
                <w:color w:val="auto"/>
              </w:rPr>
            </w:pPr>
          </w:p>
        </w:tc>
        <w:tc>
          <w:tcPr>
            <w:tcW w:w="9235" w:type="dxa"/>
            <w:vAlign w:val="bottom"/>
          </w:tcPr>
          <w:p>
            <w:pPr>
              <w:ind w:left="115"/>
              <w:spacing w:after="0"/>
              <w:rPr>
                <w:sz w:val="20"/>
                <w:szCs w:val="20"/>
                <w:color w:val="auto"/>
              </w:rPr>
            </w:pPr>
            <w:r>
              <w:rPr>
                <w:rFonts w:ascii="Times New Roman" w:cs="Times New Roman" w:eastAsia="Times New Roman" w:hAnsi="Times New Roman"/>
                <w:sz w:val="20"/>
                <w:szCs w:val="20"/>
                <w:color w:val="auto"/>
              </w:rPr>
              <w:t>Certifications of the Principal Executive Officer and Principal Financial Officer pursuant to 18 U.S.C. Section</w:t>
            </w:r>
          </w:p>
        </w:tc>
      </w:tr>
      <w:tr>
        <w:trPr>
          <w:trHeight w:val="304"/>
        </w:trPr>
        <w:tc>
          <w:tcPr>
            <w:tcW w:w="1025" w:type="dxa"/>
            <w:vAlign w:val="bottom"/>
          </w:tcPr>
          <w:p>
            <w:pPr>
              <w:ind w:left="40"/>
              <w:spacing w:after="0"/>
              <w:rPr>
                <w:sz w:val="20"/>
                <w:szCs w:val="20"/>
                <w:color w:val="auto"/>
              </w:rPr>
            </w:pPr>
            <w:r>
              <w:rPr>
                <w:rFonts w:ascii="Times New Roman" w:cs="Times New Roman" w:eastAsia="Times New Roman" w:hAnsi="Times New Roman"/>
                <w:sz w:val="20"/>
                <w:szCs w:val="20"/>
                <w:color w:val="auto"/>
              </w:rPr>
              <w:t>32.1*</w:t>
            </w:r>
          </w:p>
        </w:tc>
        <w:tc>
          <w:tcPr>
            <w:tcW w:w="9235" w:type="dxa"/>
            <w:vAlign w:val="bottom"/>
          </w:tcPr>
          <w:p>
            <w:pPr>
              <w:ind w:left="115"/>
              <w:spacing w:after="0"/>
              <w:rPr>
                <w:sz w:val="20"/>
                <w:szCs w:val="20"/>
                <w:color w:val="auto"/>
              </w:rPr>
            </w:pPr>
            <w:r>
              <w:rPr>
                <w:rFonts w:ascii="Times New Roman" w:cs="Times New Roman" w:eastAsia="Times New Roman" w:hAnsi="Times New Roman"/>
                <w:sz w:val="20"/>
                <w:szCs w:val="20"/>
                <w:color w:val="auto"/>
              </w:rPr>
              <w:t>1350, as adopted pursuant to Section 906 of the Sarbanes-Oxley Act of 2002</w:t>
            </w:r>
          </w:p>
        </w:tc>
      </w:tr>
      <w:tr>
        <w:trPr>
          <w:trHeight w:val="323"/>
        </w:trPr>
        <w:tc>
          <w:tcPr>
            <w:tcW w:w="1025" w:type="dxa"/>
            <w:vAlign w:val="bottom"/>
            <w:shd w:val="clear" w:color="auto" w:fill="DDDDDD"/>
          </w:tcPr>
          <w:p>
            <w:pPr>
              <w:ind w:left="40"/>
              <w:spacing w:after="0"/>
              <w:rPr>
                <w:sz w:val="20"/>
                <w:szCs w:val="20"/>
                <w:color w:val="auto"/>
              </w:rPr>
            </w:pPr>
            <w:r>
              <w:rPr>
                <w:rFonts w:ascii="Times New Roman" w:cs="Times New Roman" w:eastAsia="Times New Roman" w:hAnsi="Times New Roman"/>
                <w:sz w:val="20"/>
                <w:szCs w:val="20"/>
                <w:color w:val="auto"/>
              </w:rPr>
              <w:t>97</w:t>
            </w:r>
          </w:p>
        </w:tc>
        <w:tc>
          <w:tcPr>
            <w:tcW w:w="9235" w:type="dxa"/>
            <w:vAlign w:val="bottom"/>
            <w:shd w:val="clear" w:color="auto" w:fill="DDDDDD"/>
          </w:tcPr>
          <w:p>
            <w:pPr>
              <w:ind w:left="115"/>
              <w:spacing w:after="0"/>
              <w:rPr>
                <w:sz w:val="20"/>
                <w:szCs w:val="20"/>
                <w:color w:val="auto"/>
              </w:rPr>
            </w:pPr>
            <w:r>
              <w:rPr>
                <w:rFonts w:ascii="Times New Roman" w:cs="Times New Roman" w:eastAsia="Times New Roman" w:hAnsi="Times New Roman"/>
                <w:sz w:val="20"/>
                <w:szCs w:val="20"/>
                <w:color w:val="auto"/>
              </w:rPr>
              <w:t>Incentive Compensation Recoupment (Clawback) Policy, dated April 20, 2023</w:t>
            </w:r>
          </w:p>
        </w:tc>
      </w:tr>
      <w:tr>
        <w:trPr>
          <w:trHeight w:val="258"/>
        </w:trPr>
        <w:tc>
          <w:tcPr>
            <w:tcW w:w="1025" w:type="dxa"/>
            <w:vAlign w:val="bottom"/>
          </w:tcPr>
          <w:p>
            <w:pPr>
              <w:spacing w:after="0"/>
              <w:rPr>
                <w:sz w:val="22"/>
                <w:szCs w:val="22"/>
                <w:color w:val="auto"/>
              </w:rPr>
            </w:pPr>
          </w:p>
        </w:tc>
        <w:tc>
          <w:tcPr>
            <w:tcW w:w="9235" w:type="dxa"/>
            <w:vAlign w:val="bottom"/>
          </w:tcPr>
          <w:p>
            <w:pPr>
              <w:ind w:left="115"/>
              <w:spacing w:after="0"/>
              <w:rPr>
                <w:sz w:val="20"/>
                <w:szCs w:val="20"/>
                <w:color w:val="auto"/>
              </w:rPr>
            </w:pPr>
            <w:r>
              <w:rPr>
                <w:rFonts w:ascii="Times New Roman" w:cs="Times New Roman" w:eastAsia="Times New Roman" w:hAnsi="Times New Roman"/>
                <w:sz w:val="20"/>
                <w:szCs w:val="20"/>
                <w:color w:val="auto"/>
              </w:rPr>
              <w:t>Inline XBRL Instance Document (the instance document does not appear in the Interactive Data File because its</w:t>
            </w:r>
          </w:p>
        </w:tc>
      </w:tr>
      <w:tr>
        <w:trPr>
          <w:trHeight w:val="276"/>
        </w:trPr>
        <w:tc>
          <w:tcPr>
            <w:tcW w:w="1025" w:type="dxa"/>
            <w:vAlign w:val="bottom"/>
          </w:tcPr>
          <w:p>
            <w:pPr>
              <w:ind w:left="40"/>
              <w:spacing w:after="0"/>
              <w:rPr>
                <w:sz w:val="20"/>
                <w:szCs w:val="20"/>
                <w:color w:val="auto"/>
              </w:rPr>
            </w:pPr>
            <w:r>
              <w:rPr>
                <w:rFonts w:ascii="Times New Roman" w:cs="Times New Roman" w:eastAsia="Times New Roman" w:hAnsi="Times New Roman"/>
                <w:sz w:val="20"/>
                <w:szCs w:val="20"/>
                <w:color w:val="auto"/>
              </w:rPr>
              <w:t>101.INS</w:t>
            </w:r>
          </w:p>
        </w:tc>
        <w:tc>
          <w:tcPr>
            <w:tcW w:w="9235" w:type="dxa"/>
            <w:vAlign w:val="bottom"/>
          </w:tcPr>
          <w:p>
            <w:pPr>
              <w:ind w:left="115"/>
              <w:spacing w:after="0"/>
              <w:rPr>
                <w:sz w:val="20"/>
                <w:szCs w:val="20"/>
                <w:color w:val="auto"/>
              </w:rPr>
            </w:pPr>
            <w:r>
              <w:rPr>
                <w:rFonts w:ascii="Times New Roman" w:cs="Times New Roman" w:eastAsia="Times New Roman" w:hAnsi="Times New Roman"/>
                <w:sz w:val="20"/>
                <w:szCs w:val="20"/>
                <w:color w:val="auto"/>
              </w:rPr>
              <w:t>XBRL tags are embedded within the Inline XBRL document)</w:t>
            </w:r>
          </w:p>
        </w:tc>
      </w:tr>
      <w:tr>
        <w:trPr>
          <w:trHeight w:val="323"/>
        </w:trPr>
        <w:tc>
          <w:tcPr>
            <w:tcW w:w="1025" w:type="dxa"/>
            <w:vAlign w:val="bottom"/>
            <w:shd w:val="clear" w:color="auto" w:fill="DDDDDD"/>
          </w:tcPr>
          <w:p>
            <w:pPr>
              <w:ind w:left="40"/>
              <w:spacing w:after="0"/>
              <w:rPr>
                <w:sz w:val="20"/>
                <w:szCs w:val="20"/>
                <w:color w:val="auto"/>
              </w:rPr>
            </w:pPr>
            <w:r>
              <w:rPr>
                <w:rFonts w:ascii="Times New Roman" w:cs="Times New Roman" w:eastAsia="Times New Roman" w:hAnsi="Times New Roman"/>
                <w:sz w:val="20"/>
                <w:szCs w:val="20"/>
                <w:color w:val="auto"/>
              </w:rPr>
              <w:t>101.SCH</w:t>
            </w:r>
          </w:p>
        </w:tc>
        <w:tc>
          <w:tcPr>
            <w:tcW w:w="9235" w:type="dxa"/>
            <w:vAlign w:val="bottom"/>
            <w:shd w:val="clear" w:color="auto" w:fill="DDDDDD"/>
          </w:tcPr>
          <w:p>
            <w:pPr>
              <w:ind w:left="115"/>
              <w:spacing w:after="0"/>
              <w:rPr>
                <w:sz w:val="20"/>
                <w:szCs w:val="20"/>
                <w:color w:val="auto"/>
              </w:rPr>
            </w:pPr>
            <w:r>
              <w:rPr>
                <w:rFonts w:ascii="Times New Roman" w:cs="Times New Roman" w:eastAsia="Times New Roman" w:hAnsi="Times New Roman"/>
                <w:sz w:val="20"/>
                <w:szCs w:val="20"/>
                <w:color w:val="auto"/>
              </w:rPr>
              <w:t>Inline XBRL Taxonomy Extension Schema Document</w:t>
            </w:r>
          </w:p>
        </w:tc>
      </w:tr>
      <w:tr>
        <w:trPr>
          <w:trHeight w:val="304"/>
        </w:trPr>
        <w:tc>
          <w:tcPr>
            <w:tcW w:w="1025" w:type="dxa"/>
            <w:vAlign w:val="bottom"/>
          </w:tcPr>
          <w:p>
            <w:pPr>
              <w:ind w:left="40"/>
              <w:spacing w:after="0"/>
              <w:rPr>
                <w:sz w:val="20"/>
                <w:szCs w:val="20"/>
                <w:color w:val="auto"/>
              </w:rPr>
            </w:pPr>
            <w:r>
              <w:rPr>
                <w:rFonts w:ascii="Times New Roman" w:cs="Times New Roman" w:eastAsia="Times New Roman" w:hAnsi="Times New Roman"/>
                <w:sz w:val="20"/>
                <w:szCs w:val="20"/>
                <w:color w:val="auto"/>
              </w:rPr>
              <w:t>101.CAL</w:t>
            </w:r>
          </w:p>
        </w:tc>
        <w:tc>
          <w:tcPr>
            <w:tcW w:w="9235" w:type="dxa"/>
            <w:vAlign w:val="bottom"/>
          </w:tcPr>
          <w:p>
            <w:pPr>
              <w:ind w:left="115"/>
              <w:spacing w:after="0"/>
              <w:rPr>
                <w:sz w:val="20"/>
                <w:szCs w:val="20"/>
                <w:color w:val="auto"/>
              </w:rPr>
            </w:pPr>
            <w:r>
              <w:rPr>
                <w:rFonts w:ascii="Times New Roman" w:cs="Times New Roman" w:eastAsia="Times New Roman" w:hAnsi="Times New Roman"/>
                <w:sz w:val="20"/>
                <w:szCs w:val="20"/>
                <w:color w:val="auto"/>
              </w:rPr>
              <w:t>Inline XBRL Taxonomy Extension Calculation Linkbase Document</w:t>
            </w:r>
          </w:p>
        </w:tc>
      </w:tr>
      <w:tr>
        <w:trPr>
          <w:trHeight w:val="323"/>
        </w:trPr>
        <w:tc>
          <w:tcPr>
            <w:tcW w:w="1025" w:type="dxa"/>
            <w:vAlign w:val="bottom"/>
            <w:shd w:val="clear" w:color="auto" w:fill="DDDDDD"/>
          </w:tcPr>
          <w:p>
            <w:pPr>
              <w:ind w:left="40"/>
              <w:spacing w:after="0"/>
              <w:rPr>
                <w:sz w:val="20"/>
                <w:szCs w:val="20"/>
                <w:color w:val="auto"/>
              </w:rPr>
            </w:pPr>
            <w:r>
              <w:rPr>
                <w:rFonts w:ascii="Times New Roman" w:cs="Times New Roman" w:eastAsia="Times New Roman" w:hAnsi="Times New Roman"/>
                <w:sz w:val="20"/>
                <w:szCs w:val="20"/>
                <w:color w:val="auto"/>
              </w:rPr>
              <w:t>101.DEF</w:t>
            </w:r>
          </w:p>
        </w:tc>
        <w:tc>
          <w:tcPr>
            <w:tcW w:w="9235" w:type="dxa"/>
            <w:vAlign w:val="bottom"/>
            <w:shd w:val="clear" w:color="auto" w:fill="DDDDDD"/>
          </w:tcPr>
          <w:p>
            <w:pPr>
              <w:ind w:left="115"/>
              <w:spacing w:after="0"/>
              <w:rPr>
                <w:sz w:val="20"/>
                <w:szCs w:val="20"/>
                <w:color w:val="auto"/>
              </w:rPr>
            </w:pPr>
            <w:r>
              <w:rPr>
                <w:rFonts w:ascii="Times New Roman" w:cs="Times New Roman" w:eastAsia="Times New Roman" w:hAnsi="Times New Roman"/>
                <w:sz w:val="20"/>
                <w:szCs w:val="20"/>
                <w:color w:val="auto"/>
              </w:rPr>
              <w:t>Inline XBRL Taxonomy Extension Definition Linkbase Document</w:t>
            </w:r>
          </w:p>
        </w:tc>
      </w:tr>
      <w:tr>
        <w:trPr>
          <w:trHeight w:val="304"/>
        </w:trPr>
        <w:tc>
          <w:tcPr>
            <w:tcW w:w="1025" w:type="dxa"/>
            <w:vAlign w:val="bottom"/>
          </w:tcPr>
          <w:p>
            <w:pPr>
              <w:ind w:left="40"/>
              <w:spacing w:after="0"/>
              <w:rPr>
                <w:sz w:val="20"/>
                <w:szCs w:val="20"/>
                <w:color w:val="auto"/>
              </w:rPr>
            </w:pPr>
            <w:r>
              <w:rPr>
                <w:rFonts w:ascii="Times New Roman" w:cs="Times New Roman" w:eastAsia="Times New Roman" w:hAnsi="Times New Roman"/>
                <w:sz w:val="20"/>
                <w:szCs w:val="20"/>
                <w:color w:val="auto"/>
              </w:rPr>
              <w:t>101.LAB</w:t>
            </w:r>
          </w:p>
        </w:tc>
        <w:tc>
          <w:tcPr>
            <w:tcW w:w="9235" w:type="dxa"/>
            <w:vAlign w:val="bottom"/>
          </w:tcPr>
          <w:p>
            <w:pPr>
              <w:ind w:left="115"/>
              <w:spacing w:after="0"/>
              <w:rPr>
                <w:sz w:val="20"/>
                <w:szCs w:val="20"/>
                <w:color w:val="auto"/>
              </w:rPr>
            </w:pPr>
            <w:r>
              <w:rPr>
                <w:rFonts w:ascii="Times New Roman" w:cs="Times New Roman" w:eastAsia="Times New Roman" w:hAnsi="Times New Roman"/>
                <w:sz w:val="20"/>
                <w:szCs w:val="20"/>
                <w:color w:val="auto"/>
              </w:rPr>
              <w:t>Inline XBRL Taxonomy Extension Label Linkbase Document</w:t>
            </w:r>
          </w:p>
        </w:tc>
      </w:tr>
      <w:tr>
        <w:trPr>
          <w:trHeight w:val="316"/>
        </w:trPr>
        <w:tc>
          <w:tcPr>
            <w:tcW w:w="1025" w:type="dxa"/>
            <w:vAlign w:val="bottom"/>
            <w:shd w:val="clear" w:color="auto" w:fill="DDDDDD"/>
          </w:tcPr>
          <w:p>
            <w:pPr>
              <w:ind w:left="40"/>
              <w:spacing w:after="0"/>
              <w:rPr>
                <w:sz w:val="20"/>
                <w:szCs w:val="20"/>
                <w:color w:val="auto"/>
              </w:rPr>
            </w:pPr>
            <w:r>
              <w:rPr>
                <w:rFonts w:ascii="Times New Roman" w:cs="Times New Roman" w:eastAsia="Times New Roman" w:hAnsi="Times New Roman"/>
                <w:sz w:val="20"/>
                <w:szCs w:val="20"/>
                <w:color w:val="auto"/>
              </w:rPr>
              <w:t>101.PRE</w:t>
            </w:r>
          </w:p>
        </w:tc>
        <w:tc>
          <w:tcPr>
            <w:tcW w:w="9235" w:type="dxa"/>
            <w:vAlign w:val="bottom"/>
            <w:shd w:val="clear" w:color="auto" w:fill="DDDDDD"/>
          </w:tcPr>
          <w:p>
            <w:pPr>
              <w:ind w:left="115"/>
              <w:spacing w:after="0"/>
              <w:rPr>
                <w:sz w:val="20"/>
                <w:szCs w:val="20"/>
                <w:color w:val="auto"/>
              </w:rPr>
            </w:pPr>
            <w:r>
              <w:rPr>
                <w:rFonts w:ascii="Times New Roman" w:cs="Times New Roman" w:eastAsia="Times New Roman" w:hAnsi="Times New Roman"/>
                <w:sz w:val="20"/>
                <w:szCs w:val="20"/>
                <w:color w:val="auto"/>
              </w:rPr>
              <w:t>Inline XBRL Taxonomy Extension Presentation Linkbase Document</w:t>
            </w:r>
          </w:p>
        </w:tc>
      </w:tr>
      <w:tr>
        <w:trPr>
          <w:trHeight w:val="298"/>
        </w:trPr>
        <w:tc>
          <w:tcPr>
            <w:tcW w:w="1025" w:type="dxa"/>
            <w:vAlign w:val="bottom"/>
          </w:tcPr>
          <w:p>
            <w:pPr>
              <w:ind w:left="40"/>
              <w:spacing w:after="0"/>
              <w:rPr>
                <w:sz w:val="20"/>
                <w:szCs w:val="20"/>
                <w:color w:val="auto"/>
              </w:rPr>
            </w:pPr>
            <w:r>
              <w:rPr>
                <w:rFonts w:ascii="Times New Roman" w:cs="Times New Roman" w:eastAsia="Times New Roman" w:hAnsi="Times New Roman"/>
                <w:sz w:val="20"/>
                <w:szCs w:val="20"/>
                <w:color w:val="auto"/>
              </w:rPr>
              <w:t>104</w:t>
            </w:r>
          </w:p>
        </w:tc>
        <w:tc>
          <w:tcPr>
            <w:tcW w:w="9235" w:type="dxa"/>
            <w:vAlign w:val="bottom"/>
          </w:tcPr>
          <w:p>
            <w:pPr>
              <w:ind w:left="115"/>
              <w:spacing w:after="0"/>
              <w:rPr>
                <w:sz w:val="20"/>
                <w:szCs w:val="20"/>
                <w:color w:val="auto"/>
              </w:rPr>
            </w:pPr>
            <w:r>
              <w:rPr>
                <w:rFonts w:ascii="Times New Roman" w:cs="Times New Roman" w:eastAsia="Times New Roman" w:hAnsi="Times New Roman"/>
                <w:sz w:val="20"/>
                <w:szCs w:val="20"/>
                <w:color w:val="auto"/>
              </w:rPr>
              <w:t>Cover Page Interactive Data File (formatted as Inline XBRL and contained in Exhibit 101)</w:t>
            </w:r>
          </w:p>
        </w:tc>
      </w:tr>
    </w:tbl>
    <w:p>
      <w:pPr>
        <w:spacing w:after="0" w:line="130"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___________________</w:t>
      </w:r>
    </w:p>
    <w:p>
      <w:pPr>
        <w:spacing w:after="0" w:line="72" w:lineRule="exact"/>
        <w:rPr>
          <w:sz w:val="20"/>
          <w:szCs w:val="20"/>
          <w:color w:val="auto"/>
        </w:rPr>
      </w:pPr>
    </w:p>
    <w:p>
      <w:pPr>
        <w:ind w:left="60"/>
        <w:spacing w:after="0"/>
        <w:tabs>
          <w:tab w:leader="none" w:pos="320" w:val="left"/>
        </w:tabs>
        <w:rPr>
          <w:sz w:val="20"/>
          <w:szCs w:val="20"/>
          <w:color w:val="auto"/>
        </w:rPr>
      </w:pPr>
      <w:r>
        <w:rPr>
          <w:rFonts w:ascii="Times New Roman" w:cs="Times New Roman" w:eastAsia="Times New Roman" w:hAnsi="Times New Roman"/>
          <w:sz w:val="20"/>
          <w:szCs w:val="20"/>
          <w:color w:val="auto"/>
        </w:rPr>
        <w:t>#</w:t>
      </w:r>
      <w:r>
        <w:rPr>
          <w:sz w:val="20"/>
          <w:szCs w:val="20"/>
          <w:color w:val="auto"/>
        </w:rPr>
        <w:tab/>
      </w:r>
      <w:r>
        <w:rPr>
          <w:rFonts w:ascii="Times New Roman" w:cs="Times New Roman" w:eastAsia="Times New Roman" w:hAnsi="Times New Roman"/>
          <w:sz w:val="19"/>
          <w:szCs w:val="19"/>
          <w:color w:val="auto"/>
        </w:rPr>
        <w:t>Indicates management contract or compensatory plan, contract or agreement.</w:t>
      </w:r>
    </w:p>
    <w:p>
      <w:pPr>
        <w:spacing w:after="0" w:line="116" w:lineRule="exact"/>
        <w:rPr>
          <w:sz w:val="20"/>
          <w:szCs w:val="20"/>
          <w:color w:val="auto"/>
        </w:rPr>
      </w:pPr>
    </w:p>
    <w:p>
      <w:pPr>
        <w:jc w:val="both"/>
        <w:ind w:left="340" w:right="60" w:hanging="274"/>
        <w:spacing w:after="0" w:line="281" w:lineRule="auto"/>
        <w:tabs>
          <w:tab w:leader="none" w:pos="340" w:val="left"/>
        </w:tabs>
        <w:numPr>
          <w:ilvl w:val="0"/>
          <w:numId w:val="6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certifications attached as Exhibit 32.1 that accompany this Annual Report on Form 10-K are deemed furnished and not filed with the SEC and are not to be incorporated by reference into any filing of the Company under the Securities Act or the Exchange Act, whether made before or after the date of this Annual Report on Form 10-K, irrespective of any general incorporation language contained in such filing.</w:t>
      </w:r>
    </w:p>
    <w:p>
      <w:pPr>
        <w:spacing w:after="0" w:line="253" w:lineRule="exact"/>
        <w:rPr>
          <w:sz w:val="20"/>
          <w:szCs w:val="20"/>
          <w:color w:val="auto"/>
        </w:rPr>
      </w:pPr>
    </w:p>
    <w:p>
      <w:pPr>
        <w:spacing w:after="0"/>
        <w:tabs>
          <w:tab w:leader="none" w:pos="1060" w:val="left"/>
        </w:tabs>
        <w:rPr>
          <w:sz w:val="20"/>
          <w:szCs w:val="20"/>
          <w:color w:val="auto"/>
        </w:rPr>
      </w:pPr>
      <w:r>
        <w:rPr>
          <w:rFonts w:ascii="Times New Roman" w:cs="Times New Roman" w:eastAsia="Times New Roman" w:hAnsi="Times New Roman"/>
          <w:sz w:val="20"/>
          <w:szCs w:val="20"/>
          <w:b w:val="1"/>
          <w:bCs w:val="1"/>
          <w:color w:val="auto"/>
        </w:rPr>
        <w:t>ITEM 16.</w:t>
      </w:r>
      <w:r>
        <w:rPr>
          <w:sz w:val="20"/>
          <w:szCs w:val="20"/>
          <w:color w:val="auto"/>
        </w:rPr>
        <w:tab/>
      </w:r>
      <w:r>
        <w:rPr>
          <w:rFonts w:ascii="Times New Roman" w:cs="Times New Roman" w:eastAsia="Times New Roman" w:hAnsi="Times New Roman"/>
          <w:sz w:val="19"/>
          <w:szCs w:val="19"/>
          <w:b w:val="1"/>
          <w:bCs w:val="1"/>
          <w:color w:val="auto"/>
        </w:rPr>
        <w:t>FORM 10-K SUMMARY</w:t>
      </w:r>
    </w:p>
    <w:p>
      <w:pPr>
        <w:spacing w:after="0" w:line="29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Not applicable.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3"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20"/>
          <w:szCs w:val="20"/>
          <w:color w:val="auto"/>
        </w:rPr>
        <w:t>109</w:t>
      </w:r>
    </w:p>
    <w:p>
      <w:pPr>
        <w:sectPr>
          <w:pgSz w:w="12240" w:h="15840" w:orient="portrait"/>
          <w:cols w:equalWidth="0" w:num="1">
            <w:col w:w="10260"/>
          </w:cols>
          <w:pgMar w:left="1000" w:top="907" w:right="980" w:bottom="222" w:gutter="0" w:footer="0" w:header="0"/>
        </w:sectPr>
      </w:pPr>
    </w:p>
    <w:bookmarkStart w:id="113" w:name="page114"/>
    <w:bookmarkEnd w:id="113"/>
    <w:p>
      <w:pPr>
        <w:jc w:val="center"/>
        <w:ind w:right="20"/>
        <w:spacing w:after="0"/>
        <w:rPr>
          <w:sz w:val="20"/>
          <w:szCs w:val="20"/>
          <w:color w:val="auto"/>
        </w:rPr>
      </w:pPr>
      <w:r>
        <w:rPr>
          <w:rFonts w:ascii="Times New Roman" w:cs="Times New Roman" w:eastAsia="Times New Roman" w:hAnsi="Times New Roman"/>
          <w:sz w:val="20"/>
          <w:szCs w:val="20"/>
          <w:b w:val="1"/>
          <w:bCs w:val="1"/>
          <w:color w:val="auto"/>
        </w:rPr>
        <w:t>SIGNATURES</w:t>
      </w:r>
    </w:p>
    <w:p>
      <w:pPr>
        <w:spacing w:after="0" w:line="168" w:lineRule="exact"/>
        <w:rPr>
          <w:sz w:val="20"/>
          <w:szCs w:val="20"/>
          <w:color w:val="auto"/>
        </w:rPr>
      </w:pPr>
    </w:p>
    <w:p>
      <w:pPr>
        <w:jc w:val="both"/>
        <w:ind w:right="20"/>
        <w:spacing w:after="0" w:line="314" w:lineRule="auto"/>
        <w:rPr>
          <w:sz w:val="20"/>
          <w:szCs w:val="20"/>
          <w:color w:val="auto"/>
        </w:rPr>
      </w:pPr>
      <w:r>
        <w:rPr>
          <w:rFonts w:ascii="Times New Roman" w:cs="Times New Roman" w:eastAsia="Times New Roman" w:hAnsi="Times New Roman"/>
          <w:sz w:val="20"/>
          <w:szCs w:val="20"/>
          <w:color w:val="auto"/>
        </w:rPr>
        <w:t>Pursuant to the requirements of Securities Exchange Act of 1934, the registrant has duly caused this report to be signed on its behalf by the undersigned, thereunto duly authorized.</w:t>
      </w:r>
    </w:p>
    <w:p>
      <w:pPr>
        <w:spacing w:after="0" w:line="1" w:lineRule="exact"/>
        <w:rPr>
          <w:sz w:val="20"/>
          <w:szCs w:val="20"/>
          <w:color w:val="auto"/>
        </w:rPr>
      </w:pPr>
    </w:p>
    <w:tbl>
      <w:tblPr>
        <w:tblLayout w:type="fixed"/>
        <w:tblInd w:w="40" w:type="dxa"/>
        <w:tblCellMar>
          <w:top w:w="0" w:type="dxa"/>
          <w:left w:w="0" w:type="dxa"/>
          <w:bottom w:w="0" w:type="dxa"/>
          <w:right w:w="0" w:type="dxa"/>
        </w:tblCellMar>
      </w:tblPr>
      <w:tr>
        <w:trPr>
          <w:trHeight w:val="278"/>
        </w:trPr>
        <w:tc>
          <w:tcPr>
            <w:tcW w:w="3560" w:type="dxa"/>
            <w:vAlign w:val="bottom"/>
          </w:tcPr>
          <w:p>
            <w:pPr>
              <w:spacing w:after="0"/>
              <w:rPr>
                <w:sz w:val="24"/>
                <w:szCs w:val="24"/>
                <w:color w:val="auto"/>
              </w:rPr>
            </w:pPr>
          </w:p>
        </w:tc>
        <w:tc>
          <w:tcPr>
            <w:tcW w:w="6660" w:type="dxa"/>
            <w:vAlign w:val="bottom"/>
            <w:gridSpan w:val="2"/>
          </w:tcPr>
          <w:p>
            <w:pPr>
              <w:ind w:left="1900"/>
              <w:spacing w:after="0"/>
              <w:rPr>
                <w:sz w:val="20"/>
                <w:szCs w:val="20"/>
                <w:color w:val="auto"/>
              </w:rPr>
            </w:pPr>
            <w:r>
              <w:rPr>
                <w:rFonts w:ascii="Times New Roman" w:cs="Times New Roman" w:eastAsia="Times New Roman" w:hAnsi="Times New Roman"/>
                <w:sz w:val="20"/>
                <w:szCs w:val="20"/>
                <w:b w:val="1"/>
                <w:bCs w:val="1"/>
                <w:color w:val="auto"/>
              </w:rPr>
              <w:t>WM TECHNOLOGY, INC.</w:t>
            </w:r>
          </w:p>
        </w:tc>
      </w:tr>
      <w:tr>
        <w:trPr>
          <w:trHeight w:val="834"/>
        </w:trPr>
        <w:tc>
          <w:tcPr>
            <w:tcW w:w="3560" w:type="dxa"/>
            <w:vAlign w:val="bottom"/>
          </w:tcPr>
          <w:p>
            <w:pPr>
              <w:spacing w:after="0"/>
              <w:rPr>
                <w:sz w:val="20"/>
                <w:szCs w:val="20"/>
                <w:color w:val="auto"/>
              </w:rPr>
            </w:pPr>
            <w:r>
              <w:rPr>
                <w:rFonts w:ascii="Times New Roman" w:cs="Times New Roman" w:eastAsia="Times New Roman" w:hAnsi="Times New Roman"/>
                <w:sz w:val="20"/>
                <w:szCs w:val="20"/>
                <w:color w:val="auto"/>
              </w:rPr>
              <w:t>Date: May 24, 2024</w:t>
            </w:r>
          </w:p>
        </w:tc>
        <w:tc>
          <w:tcPr>
            <w:tcW w:w="6660" w:type="dxa"/>
            <w:vAlign w:val="bottom"/>
            <w:gridSpan w:val="2"/>
          </w:tcPr>
          <w:p>
            <w:pPr>
              <w:ind w:left="1900"/>
              <w:spacing w:after="0"/>
              <w:rPr>
                <w:sz w:val="20"/>
                <w:szCs w:val="20"/>
                <w:color w:val="auto"/>
              </w:rPr>
            </w:pPr>
            <w:r>
              <w:rPr>
                <w:rFonts w:ascii="Times New Roman" w:cs="Times New Roman" w:eastAsia="Times New Roman" w:hAnsi="Times New Roman"/>
                <w:sz w:val="20"/>
                <w:szCs w:val="20"/>
                <w:color w:val="auto"/>
              </w:rPr>
              <w:t>By: /s/ Douglas Francis</w:t>
            </w:r>
          </w:p>
        </w:tc>
      </w:tr>
      <w:tr>
        <w:trPr>
          <w:trHeight w:val="285"/>
        </w:trPr>
        <w:tc>
          <w:tcPr>
            <w:tcW w:w="3560" w:type="dxa"/>
            <w:vAlign w:val="bottom"/>
          </w:tcPr>
          <w:p>
            <w:pPr>
              <w:spacing w:after="0"/>
              <w:rPr>
                <w:sz w:val="24"/>
                <w:szCs w:val="24"/>
                <w:color w:val="auto"/>
              </w:rPr>
            </w:pPr>
          </w:p>
        </w:tc>
        <w:tc>
          <w:tcPr>
            <w:tcW w:w="2240" w:type="dxa"/>
            <w:vAlign w:val="bottom"/>
          </w:tcPr>
          <w:p>
            <w:pPr>
              <w:spacing w:after="0"/>
              <w:rPr>
                <w:sz w:val="24"/>
                <w:szCs w:val="24"/>
                <w:color w:val="auto"/>
              </w:rPr>
            </w:pPr>
          </w:p>
        </w:tc>
        <w:tc>
          <w:tcPr>
            <w:tcW w:w="4420" w:type="dxa"/>
            <w:vAlign w:val="bottom"/>
            <w:tcBorders>
              <w:top w:val="single" w:sz="8" w:color="auto"/>
            </w:tcBorders>
          </w:tcPr>
          <w:p>
            <w:pPr>
              <w:ind w:left="60"/>
              <w:spacing w:after="0"/>
              <w:rPr>
                <w:sz w:val="20"/>
                <w:szCs w:val="20"/>
                <w:color w:val="auto"/>
              </w:rPr>
            </w:pPr>
            <w:r>
              <w:rPr>
                <w:rFonts w:ascii="Times New Roman" w:cs="Times New Roman" w:eastAsia="Times New Roman" w:hAnsi="Times New Roman"/>
                <w:sz w:val="20"/>
                <w:szCs w:val="20"/>
                <w:color w:val="auto"/>
              </w:rPr>
              <w:t>Name: Douglas Francis</w:t>
            </w:r>
          </w:p>
        </w:tc>
      </w:tr>
      <w:tr>
        <w:trPr>
          <w:trHeight w:val="281"/>
        </w:trPr>
        <w:tc>
          <w:tcPr>
            <w:tcW w:w="3560" w:type="dxa"/>
            <w:vAlign w:val="bottom"/>
          </w:tcPr>
          <w:p>
            <w:pPr>
              <w:spacing w:after="0"/>
              <w:rPr>
                <w:sz w:val="24"/>
                <w:szCs w:val="24"/>
                <w:color w:val="auto"/>
              </w:rPr>
            </w:pPr>
          </w:p>
        </w:tc>
        <w:tc>
          <w:tcPr>
            <w:tcW w:w="2240" w:type="dxa"/>
            <w:vAlign w:val="bottom"/>
          </w:tcPr>
          <w:p>
            <w:pPr>
              <w:spacing w:after="0"/>
              <w:rPr>
                <w:sz w:val="24"/>
                <w:szCs w:val="24"/>
                <w:color w:val="auto"/>
              </w:rPr>
            </w:pPr>
          </w:p>
        </w:tc>
        <w:tc>
          <w:tcPr>
            <w:tcW w:w="4420" w:type="dxa"/>
            <w:vAlign w:val="bottom"/>
          </w:tcPr>
          <w:p>
            <w:pPr>
              <w:ind w:left="60"/>
              <w:spacing w:after="0"/>
              <w:rPr>
                <w:sz w:val="20"/>
                <w:szCs w:val="20"/>
                <w:color w:val="auto"/>
              </w:rPr>
            </w:pPr>
            <w:r>
              <w:rPr>
                <w:rFonts w:ascii="Times New Roman" w:cs="Times New Roman" w:eastAsia="Times New Roman" w:hAnsi="Times New Roman"/>
                <w:sz w:val="20"/>
                <w:szCs w:val="20"/>
                <w:color w:val="auto"/>
              </w:rPr>
              <w:t>Title:  Executive Chair</w:t>
            </w:r>
          </w:p>
        </w:tc>
      </w:tr>
      <w:tr>
        <w:trPr>
          <w:trHeight w:val="281"/>
        </w:trPr>
        <w:tc>
          <w:tcPr>
            <w:tcW w:w="3560" w:type="dxa"/>
            <w:vAlign w:val="bottom"/>
          </w:tcPr>
          <w:p>
            <w:pPr>
              <w:spacing w:after="0"/>
              <w:rPr>
                <w:sz w:val="24"/>
                <w:szCs w:val="24"/>
                <w:color w:val="auto"/>
              </w:rPr>
            </w:pPr>
          </w:p>
        </w:tc>
        <w:tc>
          <w:tcPr>
            <w:tcW w:w="2240" w:type="dxa"/>
            <w:vAlign w:val="bottom"/>
          </w:tcPr>
          <w:p>
            <w:pPr>
              <w:spacing w:after="0"/>
              <w:rPr>
                <w:sz w:val="24"/>
                <w:szCs w:val="24"/>
                <w:color w:val="auto"/>
              </w:rPr>
            </w:pPr>
          </w:p>
        </w:tc>
        <w:tc>
          <w:tcPr>
            <w:tcW w:w="4420" w:type="dxa"/>
            <w:vAlign w:val="bottom"/>
          </w:tcPr>
          <w:p>
            <w:pPr>
              <w:ind w:left="700"/>
              <w:spacing w:after="0"/>
              <w:rPr>
                <w:sz w:val="20"/>
                <w:szCs w:val="20"/>
                <w:color w:val="auto"/>
              </w:rPr>
            </w:pPr>
            <w:r>
              <w:rPr>
                <w:rFonts w:ascii="Times New Roman" w:cs="Times New Roman" w:eastAsia="Times New Roman" w:hAnsi="Times New Roman"/>
                <w:sz w:val="20"/>
                <w:szCs w:val="20"/>
                <w:i w:val="1"/>
                <w:iCs w:val="1"/>
                <w:color w:val="auto"/>
              </w:rPr>
              <w:t>(Principal Executive Officer)</w:t>
            </w:r>
          </w:p>
        </w:tc>
      </w:tr>
    </w:tbl>
    <w:p>
      <w:pPr>
        <w:spacing w:after="0" w:line="24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POWER OF ATTORNEY</w:t>
      </w:r>
    </w:p>
    <w:p>
      <w:pPr>
        <w:spacing w:after="0" w:line="48" w:lineRule="exact"/>
        <w:rPr>
          <w:sz w:val="20"/>
          <w:szCs w:val="20"/>
          <w:color w:val="auto"/>
        </w:rPr>
      </w:pPr>
    </w:p>
    <w:p>
      <w:pPr>
        <w:jc w:val="both"/>
        <w:ind w:firstLine="540"/>
        <w:spacing w:after="0" w:line="290" w:lineRule="auto"/>
        <w:rPr>
          <w:sz w:val="20"/>
          <w:szCs w:val="20"/>
          <w:color w:val="auto"/>
        </w:rPr>
      </w:pPr>
      <w:r>
        <w:rPr>
          <w:rFonts w:ascii="Times New Roman" w:cs="Times New Roman" w:eastAsia="Times New Roman" w:hAnsi="Times New Roman"/>
          <w:sz w:val="20"/>
          <w:szCs w:val="20"/>
          <w:color w:val="auto"/>
        </w:rPr>
        <w:t>KNOW ALL PERSONS BY THESE PRESENTS, that each person whose signature appears below hereby constitutes and appoints Douglas Francis and Susan Echard, and each of them, his or her true and lawful attorneys-in-fact and agents, each with full power of substitution and resubstitution, for him or her and in their name, place and stead, in any and all capacities, to sign any and all amendments to this Annual Report on Form 10-K, and to file the same, with all exhibits thereto and other documents in connection therewith, with the Securities and Exchange Commission, granting unto said attorneys-in-fact and agents, and each of them, full power and authority to do and perform each and every act and thing requisite and necessary to be done in connection therewith, as fully to all intents and purposes as he or she might or could do in person, hereby ratifying and confirming all that said attorneys-in-fact and agents or any of them, or his or her substitute or substitutes, may lawfully do or cause to be done by virtue hereof.</w:t>
      </w:r>
    </w:p>
    <w:p>
      <w:pPr>
        <w:spacing w:after="0" w:line="89" w:lineRule="exact"/>
        <w:rPr>
          <w:sz w:val="20"/>
          <w:szCs w:val="20"/>
          <w:color w:val="auto"/>
        </w:rPr>
      </w:pPr>
    </w:p>
    <w:p>
      <w:pPr>
        <w:ind w:right="100" w:firstLine="540"/>
        <w:spacing w:after="0" w:line="326" w:lineRule="auto"/>
        <w:rPr>
          <w:sz w:val="20"/>
          <w:szCs w:val="20"/>
          <w:color w:val="auto"/>
        </w:rPr>
      </w:pPr>
      <w:r>
        <w:rPr>
          <w:rFonts w:ascii="Times New Roman" w:cs="Times New Roman" w:eastAsia="Times New Roman" w:hAnsi="Times New Roman"/>
          <w:sz w:val="20"/>
          <w:szCs w:val="20"/>
          <w:color w:val="auto"/>
        </w:rPr>
        <w:t>Pursuant to the requirements of the Securities Exchange Act of 1934, this report has been signed below by the following persons on behalf of the registrant and in the capacities and on the dates indicated.</w:t>
      </w:r>
    </w:p>
    <w:p>
      <w:pPr>
        <w:spacing w:after="0" w:line="93" w:lineRule="exact"/>
        <w:rPr>
          <w:sz w:val="20"/>
          <w:szCs w:val="20"/>
          <w:color w:val="auto"/>
        </w:rPr>
      </w:pPr>
    </w:p>
    <w:tbl>
      <w:tblPr>
        <w:tblLayout w:type="fixed"/>
        <w:tblInd w:w="0" w:type="dxa"/>
        <w:tblCellMar>
          <w:top w:w="0" w:type="dxa"/>
          <w:left w:w="0" w:type="dxa"/>
          <w:bottom w:w="0" w:type="dxa"/>
          <w:right w:w="0" w:type="dxa"/>
        </w:tblCellMar>
      </w:tblPr>
      <w:tr>
        <w:trPr>
          <w:trHeight w:val="278"/>
        </w:trPr>
        <w:tc>
          <w:tcPr>
            <w:tcW w:w="2900" w:type="dxa"/>
            <w:vAlign w:val="bottom"/>
          </w:tcPr>
          <w:p>
            <w:pPr>
              <w:ind w:left="1040"/>
              <w:spacing w:after="0"/>
              <w:rPr>
                <w:sz w:val="20"/>
                <w:szCs w:val="20"/>
                <w:color w:val="auto"/>
              </w:rPr>
            </w:pPr>
            <w:r>
              <w:rPr>
                <w:rFonts w:ascii="Times New Roman" w:cs="Times New Roman" w:eastAsia="Times New Roman" w:hAnsi="Times New Roman"/>
                <w:sz w:val="20"/>
                <w:szCs w:val="20"/>
                <w:b w:val="1"/>
                <w:bCs w:val="1"/>
                <w:color w:val="auto"/>
              </w:rPr>
              <w:t>Signature</w:t>
            </w:r>
          </w:p>
        </w:tc>
        <w:tc>
          <w:tcPr>
            <w:tcW w:w="5240" w:type="dxa"/>
            <w:vAlign w:val="bottom"/>
          </w:tcPr>
          <w:p>
            <w:pPr>
              <w:ind w:left="2460"/>
              <w:spacing w:after="0"/>
              <w:rPr>
                <w:sz w:val="20"/>
                <w:szCs w:val="20"/>
                <w:color w:val="auto"/>
              </w:rPr>
            </w:pPr>
            <w:r>
              <w:rPr>
                <w:rFonts w:ascii="Times New Roman" w:cs="Times New Roman" w:eastAsia="Times New Roman" w:hAnsi="Times New Roman"/>
                <w:sz w:val="20"/>
                <w:szCs w:val="20"/>
                <w:b w:val="1"/>
                <w:bCs w:val="1"/>
                <w:color w:val="auto"/>
              </w:rPr>
              <w:t>Title</w:t>
            </w:r>
          </w:p>
        </w:tc>
        <w:tc>
          <w:tcPr>
            <w:tcW w:w="1300" w:type="dxa"/>
            <w:vAlign w:val="bottom"/>
          </w:tcPr>
          <w:p>
            <w:pPr>
              <w:ind w:left="900"/>
              <w:spacing w:after="0"/>
              <w:rPr>
                <w:sz w:val="20"/>
                <w:szCs w:val="20"/>
                <w:color w:val="auto"/>
              </w:rPr>
            </w:pPr>
            <w:r>
              <w:rPr>
                <w:rFonts w:ascii="Times New Roman" w:cs="Times New Roman" w:eastAsia="Times New Roman" w:hAnsi="Times New Roman"/>
                <w:sz w:val="20"/>
                <w:szCs w:val="20"/>
                <w:b w:val="1"/>
                <w:bCs w:val="1"/>
                <w:color w:val="auto"/>
                <w:w w:val="94"/>
              </w:rPr>
              <w:t>Date</w:t>
            </w:r>
          </w:p>
        </w:tc>
      </w:tr>
      <w:tr>
        <w:trPr>
          <w:trHeight w:val="496"/>
        </w:trPr>
        <w:tc>
          <w:tcPr>
            <w:tcW w:w="2900" w:type="dxa"/>
            <w:vAlign w:val="bottom"/>
            <w:tcBorders>
              <w:bottom w:val="single" w:sz="8" w:color="auto"/>
            </w:tcBorders>
          </w:tcPr>
          <w:p>
            <w:pPr>
              <w:ind w:left="40"/>
              <w:spacing w:after="0"/>
              <w:rPr>
                <w:sz w:val="20"/>
                <w:szCs w:val="20"/>
                <w:color w:val="auto"/>
              </w:rPr>
            </w:pPr>
            <w:r>
              <w:rPr>
                <w:rFonts w:ascii="Times New Roman" w:cs="Times New Roman" w:eastAsia="Times New Roman" w:hAnsi="Times New Roman"/>
                <w:sz w:val="20"/>
                <w:szCs w:val="20"/>
                <w:color w:val="auto"/>
              </w:rPr>
              <w:t>/s/ Douglas Francis</w:t>
            </w:r>
          </w:p>
        </w:tc>
        <w:tc>
          <w:tcPr>
            <w:tcW w:w="5240" w:type="dxa"/>
            <w:vAlign w:val="bottom"/>
          </w:tcPr>
          <w:p>
            <w:pPr>
              <w:ind w:left="180"/>
              <w:spacing w:after="0"/>
              <w:rPr>
                <w:sz w:val="20"/>
                <w:szCs w:val="20"/>
                <w:color w:val="auto"/>
              </w:rPr>
            </w:pPr>
            <w:r>
              <w:rPr>
                <w:rFonts w:ascii="Times New Roman" w:cs="Times New Roman" w:eastAsia="Times New Roman" w:hAnsi="Times New Roman"/>
                <w:sz w:val="20"/>
                <w:szCs w:val="20"/>
                <w:color w:val="auto"/>
              </w:rPr>
              <w:t>Executive Chair</w:t>
            </w:r>
          </w:p>
        </w:tc>
        <w:tc>
          <w:tcPr>
            <w:tcW w:w="1300" w:type="dxa"/>
            <w:vAlign w:val="bottom"/>
          </w:tcPr>
          <w:p>
            <w:pPr>
              <w:ind w:left="140"/>
              <w:spacing w:after="0"/>
              <w:rPr>
                <w:sz w:val="20"/>
                <w:szCs w:val="20"/>
                <w:color w:val="auto"/>
              </w:rPr>
            </w:pPr>
            <w:r>
              <w:rPr>
                <w:rFonts w:ascii="Times New Roman" w:cs="Times New Roman" w:eastAsia="Times New Roman" w:hAnsi="Times New Roman"/>
                <w:sz w:val="20"/>
                <w:szCs w:val="20"/>
                <w:color w:val="auto"/>
              </w:rPr>
              <w:t>May 24, 2024</w:t>
            </w:r>
          </w:p>
        </w:tc>
      </w:tr>
      <w:tr>
        <w:trPr>
          <w:trHeight w:val="285"/>
        </w:trPr>
        <w:tc>
          <w:tcPr>
            <w:tcW w:w="2900" w:type="dxa"/>
            <w:vAlign w:val="bottom"/>
          </w:tcPr>
          <w:p>
            <w:pPr>
              <w:ind w:left="40"/>
              <w:spacing w:after="0"/>
              <w:rPr>
                <w:sz w:val="20"/>
                <w:szCs w:val="20"/>
                <w:color w:val="auto"/>
              </w:rPr>
            </w:pPr>
            <w:r>
              <w:rPr>
                <w:rFonts w:ascii="Times New Roman" w:cs="Times New Roman" w:eastAsia="Times New Roman" w:hAnsi="Times New Roman"/>
                <w:sz w:val="20"/>
                <w:szCs w:val="20"/>
                <w:color w:val="auto"/>
              </w:rPr>
              <w:t>Douglas Francis</w:t>
            </w:r>
          </w:p>
        </w:tc>
        <w:tc>
          <w:tcPr>
            <w:tcW w:w="5240" w:type="dxa"/>
            <w:vAlign w:val="bottom"/>
          </w:tcPr>
          <w:p>
            <w:pPr>
              <w:ind w:left="140"/>
              <w:spacing w:after="0"/>
              <w:rPr>
                <w:sz w:val="20"/>
                <w:szCs w:val="20"/>
                <w:color w:val="auto"/>
              </w:rPr>
            </w:pPr>
            <w:r>
              <w:rPr>
                <w:rFonts w:ascii="Times New Roman" w:cs="Times New Roman" w:eastAsia="Times New Roman" w:hAnsi="Times New Roman"/>
                <w:sz w:val="20"/>
                <w:szCs w:val="20"/>
                <w:color w:val="auto"/>
              </w:rPr>
              <w:t>(Principal Executive Officer)</w:t>
            </w:r>
          </w:p>
        </w:tc>
        <w:tc>
          <w:tcPr>
            <w:tcW w:w="1300" w:type="dxa"/>
            <w:vAlign w:val="bottom"/>
          </w:tcPr>
          <w:p>
            <w:pPr>
              <w:spacing w:after="0"/>
              <w:rPr>
                <w:sz w:val="24"/>
                <w:szCs w:val="24"/>
                <w:color w:val="auto"/>
              </w:rPr>
            </w:pPr>
          </w:p>
        </w:tc>
      </w:tr>
      <w:tr>
        <w:trPr>
          <w:trHeight w:val="494"/>
        </w:trPr>
        <w:tc>
          <w:tcPr>
            <w:tcW w:w="2900" w:type="dxa"/>
            <w:vAlign w:val="bottom"/>
            <w:tcBorders>
              <w:bottom w:val="single" w:sz="8" w:color="auto"/>
            </w:tcBorders>
          </w:tcPr>
          <w:p>
            <w:pPr>
              <w:ind w:left="40"/>
              <w:spacing w:after="0"/>
              <w:rPr>
                <w:sz w:val="20"/>
                <w:szCs w:val="20"/>
                <w:color w:val="auto"/>
              </w:rPr>
            </w:pPr>
            <w:r>
              <w:rPr>
                <w:rFonts w:ascii="Times New Roman" w:cs="Times New Roman" w:eastAsia="Times New Roman" w:hAnsi="Times New Roman"/>
                <w:sz w:val="20"/>
                <w:szCs w:val="20"/>
                <w:color w:val="auto"/>
              </w:rPr>
              <w:t>/s/ Susan Echard</w:t>
            </w:r>
          </w:p>
        </w:tc>
        <w:tc>
          <w:tcPr>
            <w:tcW w:w="5240" w:type="dxa"/>
            <w:vAlign w:val="bottom"/>
          </w:tcPr>
          <w:p>
            <w:pPr>
              <w:ind w:left="180"/>
              <w:spacing w:after="0"/>
              <w:rPr>
                <w:sz w:val="20"/>
                <w:szCs w:val="20"/>
                <w:color w:val="auto"/>
              </w:rPr>
            </w:pPr>
            <w:r>
              <w:rPr>
                <w:rFonts w:ascii="Times New Roman" w:cs="Times New Roman" w:eastAsia="Times New Roman" w:hAnsi="Times New Roman"/>
                <w:sz w:val="20"/>
                <w:szCs w:val="20"/>
                <w:color w:val="auto"/>
              </w:rPr>
              <w:t>Interim Chief Financial Officer</w:t>
            </w:r>
          </w:p>
        </w:tc>
        <w:tc>
          <w:tcPr>
            <w:tcW w:w="1300" w:type="dxa"/>
            <w:vAlign w:val="bottom"/>
          </w:tcPr>
          <w:p>
            <w:pPr>
              <w:ind w:left="140"/>
              <w:spacing w:after="0"/>
              <w:rPr>
                <w:sz w:val="20"/>
                <w:szCs w:val="20"/>
                <w:color w:val="auto"/>
              </w:rPr>
            </w:pPr>
            <w:r>
              <w:rPr>
                <w:rFonts w:ascii="Times New Roman" w:cs="Times New Roman" w:eastAsia="Times New Roman" w:hAnsi="Times New Roman"/>
                <w:sz w:val="20"/>
                <w:szCs w:val="20"/>
                <w:color w:val="auto"/>
              </w:rPr>
              <w:t>May 24, 2024</w:t>
            </w:r>
          </w:p>
        </w:tc>
      </w:tr>
      <w:tr>
        <w:trPr>
          <w:trHeight w:val="285"/>
        </w:trPr>
        <w:tc>
          <w:tcPr>
            <w:tcW w:w="2900" w:type="dxa"/>
            <w:vAlign w:val="bottom"/>
          </w:tcPr>
          <w:p>
            <w:pPr>
              <w:ind w:left="40"/>
              <w:spacing w:after="0"/>
              <w:rPr>
                <w:sz w:val="20"/>
                <w:szCs w:val="20"/>
                <w:color w:val="auto"/>
              </w:rPr>
            </w:pPr>
            <w:r>
              <w:rPr>
                <w:rFonts w:ascii="Times New Roman" w:cs="Times New Roman" w:eastAsia="Times New Roman" w:hAnsi="Times New Roman"/>
                <w:sz w:val="20"/>
                <w:szCs w:val="20"/>
                <w:color w:val="auto"/>
              </w:rPr>
              <w:t>Susan Echard</w:t>
            </w:r>
          </w:p>
        </w:tc>
        <w:tc>
          <w:tcPr>
            <w:tcW w:w="5240" w:type="dxa"/>
            <w:vAlign w:val="bottom"/>
          </w:tcPr>
          <w:p>
            <w:pPr>
              <w:ind w:left="140"/>
              <w:spacing w:after="0"/>
              <w:rPr>
                <w:sz w:val="20"/>
                <w:szCs w:val="20"/>
                <w:color w:val="auto"/>
              </w:rPr>
            </w:pPr>
            <w:r>
              <w:rPr>
                <w:rFonts w:ascii="Times New Roman" w:cs="Times New Roman" w:eastAsia="Times New Roman" w:hAnsi="Times New Roman"/>
                <w:sz w:val="20"/>
                <w:szCs w:val="20"/>
                <w:color w:val="auto"/>
              </w:rPr>
              <w:t>(Principal Financial Officer and Principal Accounting Officer)</w:t>
            </w:r>
          </w:p>
        </w:tc>
        <w:tc>
          <w:tcPr>
            <w:tcW w:w="1300" w:type="dxa"/>
            <w:vAlign w:val="bottom"/>
          </w:tcPr>
          <w:p>
            <w:pPr>
              <w:spacing w:after="0"/>
              <w:rPr>
                <w:sz w:val="24"/>
                <w:szCs w:val="24"/>
                <w:color w:val="auto"/>
              </w:rPr>
            </w:pPr>
          </w:p>
        </w:tc>
      </w:tr>
      <w:tr>
        <w:trPr>
          <w:trHeight w:val="494"/>
        </w:trPr>
        <w:tc>
          <w:tcPr>
            <w:tcW w:w="2900" w:type="dxa"/>
            <w:vAlign w:val="bottom"/>
            <w:tcBorders>
              <w:bottom w:val="single" w:sz="8" w:color="auto"/>
            </w:tcBorders>
          </w:tcPr>
          <w:p>
            <w:pPr>
              <w:ind w:left="40"/>
              <w:spacing w:after="0"/>
              <w:rPr>
                <w:sz w:val="20"/>
                <w:szCs w:val="20"/>
                <w:color w:val="auto"/>
              </w:rPr>
            </w:pPr>
            <w:r>
              <w:rPr>
                <w:rFonts w:ascii="Times New Roman" w:cs="Times New Roman" w:eastAsia="Times New Roman" w:hAnsi="Times New Roman"/>
                <w:sz w:val="20"/>
                <w:szCs w:val="20"/>
                <w:color w:val="auto"/>
              </w:rPr>
              <w:t>/s/ Tony Aquila</w:t>
            </w:r>
          </w:p>
        </w:tc>
        <w:tc>
          <w:tcPr>
            <w:tcW w:w="5240" w:type="dxa"/>
            <w:vAlign w:val="bottom"/>
          </w:tcPr>
          <w:p>
            <w:pPr>
              <w:ind w:left="140"/>
              <w:spacing w:after="0"/>
              <w:rPr>
                <w:sz w:val="20"/>
                <w:szCs w:val="20"/>
                <w:color w:val="auto"/>
              </w:rPr>
            </w:pPr>
            <w:r>
              <w:rPr>
                <w:rFonts w:ascii="Times New Roman" w:cs="Times New Roman" w:eastAsia="Times New Roman" w:hAnsi="Times New Roman"/>
                <w:sz w:val="20"/>
                <w:szCs w:val="20"/>
                <w:color w:val="auto"/>
              </w:rPr>
              <w:t>Director</w:t>
            </w:r>
          </w:p>
        </w:tc>
        <w:tc>
          <w:tcPr>
            <w:tcW w:w="1300" w:type="dxa"/>
            <w:vAlign w:val="bottom"/>
          </w:tcPr>
          <w:p>
            <w:pPr>
              <w:ind w:left="140"/>
              <w:spacing w:after="0"/>
              <w:rPr>
                <w:sz w:val="20"/>
                <w:szCs w:val="20"/>
                <w:color w:val="auto"/>
              </w:rPr>
            </w:pPr>
            <w:r>
              <w:rPr>
                <w:rFonts w:ascii="Times New Roman" w:cs="Times New Roman" w:eastAsia="Times New Roman" w:hAnsi="Times New Roman"/>
                <w:sz w:val="20"/>
                <w:szCs w:val="20"/>
                <w:color w:val="auto"/>
              </w:rPr>
              <w:t>May 24, 2024</w:t>
            </w:r>
          </w:p>
        </w:tc>
      </w:tr>
      <w:tr>
        <w:trPr>
          <w:trHeight w:val="285"/>
        </w:trPr>
        <w:tc>
          <w:tcPr>
            <w:tcW w:w="2900" w:type="dxa"/>
            <w:vAlign w:val="bottom"/>
          </w:tcPr>
          <w:p>
            <w:pPr>
              <w:ind w:left="40"/>
              <w:spacing w:after="0"/>
              <w:rPr>
                <w:sz w:val="20"/>
                <w:szCs w:val="20"/>
                <w:color w:val="auto"/>
              </w:rPr>
            </w:pPr>
            <w:r>
              <w:rPr>
                <w:rFonts w:ascii="Times New Roman" w:cs="Times New Roman" w:eastAsia="Times New Roman" w:hAnsi="Times New Roman"/>
                <w:sz w:val="20"/>
                <w:szCs w:val="20"/>
                <w:color w:val="auto"/>
              </w:rPr>
              <w:t>Tony Aquila</w:t>
            </w:r>
          </w:p>
        </w:tc>
        <w:tc>
          <w:tcPr>
            <w:tcW w:w="5240" w:type="dxa"/>
            <w:vAlign w:val="bottom"/>
          </w:tcPr>
          <w:p>
            <w:pPr>
              <w:spacing w:after="0"/>
              <w:rPr>
                <w:sz w:val="24"/>
                <w:szCs w:val="24"/>
                <w:color w:val="auto"/>
              </w:rPr>
            </w:pPr>
          </w:p>
        </w:tc>
        <w:tc>
          <w:tcPr>
            <w:tcW w:w="1300" w:type="dxa"/>
            <w:vAlign w:val="bottom"/>
          </w:tcPr>
          <w:p>
            <w:pPr>
              <w:spacing w:after="0"/>
              <w:rPr>
                <w:sz w:val="24"/>
                <w:szCs w:val="24"/>
                <w:color w:val="auto"/>
              </w:rPr>
            </w:pPr>
          </w:p>
        </w:tc>
      </w:tr>
      <w:tr>
        <w:trPr>
          <w:trHeight w:val="494"/>
        </w:trPr>
        <w:tc>
          <w:tcPr>
            <w:tcW w:w="2900" w:type="dxa"/>
            <w:vAlign w:val="bottom"/>
            <w:tcBorders>
              <w:bottom w:val="single" w:sz="8" w:color="auto"/>
            </w:tcBorders>
          </w:tcPr>
          <w:p>
            <w:pPr>
              <w:ind w:left="40"/>
              <w:spacing w:after="0"/>
              <w:rPr>
                <w:sz w:val="20"/>
                <w:szCs w:val="20"/>
                <w:color w:val="auto"/>
              </w:rPr>
            </w:pPr>
            <w:r>
              <w:rPr>
                <w:rFonts w:ascii="Times New Roman" w:cs="Times New Roman" w:eastAsia="Times New Roman" w:hAnsi="Times New Roman"/>
                <w:sz w:val="20"/>
                <w:szCs w:val="20"/>
                <w:color w:val="auto"/>
              </w:rPr>
              <w:t>/s/ Anthony Bay</w:t>
            </w:r>
          </w:p>
        </w:tc>
        <w:tc>
          <w:tcPr>
            <w:tcW w:w="5240" w:type="dxa"/>
            <w:vAlign w:val="bottom"/>
          </w:tcPr>
          <w:p>
            <w:pPr>
              <w:ind w:left="140"/>
              <w:spacing w:after="0"/>
              <w:rPr>
                <w:sz w:val="20"/>
                <w:szCs w:val="20"/>
                <w:color w:val="auto"/>
              </w:rPr>
            </w:pPr>
            <w:r>
              <w:rPr>
                <w:rFonts w:ascii="Times New Roman" w:cs="Times New Roman" w:eastAsia="Times New Roman" w:hAnsi="Times New Roman"/>
                <w:sz w:val="20"/>
                <w:szCs w:val="20"/>
                <w:color w:val="auto"/>
              </w:rPr>
              <w:t>Director</w:t>
            </w:r>
          </w:p>
        </w:tc>
        <w:tc>
          <w:tcPr>
            <w:tcW w:w="1300" w:type="dxa"/>
            <w:vAlign w:val="bottom"/>
          </w:tcPr>
          <w:p>
            <w:pPr>
              <w:ind w:left="140"/>
              <w:spacing w:after="0"/>
              <w:rPr>
                <w:sz w:val="20"/>
                <w:szCs w:val="20"/>
                <w:color w:val="auto"/>
              </w:rPr>
            </w:pPr>
            <w:r>
              <w:rPr>
                <w:rFonts w:ascii="Times New Roman" w:cs="Times New Roman" w:eastAsia="Times New Roman" w:hAnsi="Times New Roman"/>
                <w:sz w:val="20"/>
                <w:szCs w:val="20"/>
                <w:color w:val="auto"/>
              </w:rPr>
              <w:t>May 24, 2024</w:t>
            </w:r>
          </w:p>
        </w:tc>
      </w:tr>
      <w:tr>
        <w:trPr>
          <w:trHeight w:val="285"/>
        </w:trPr>
        <w:tc>
          <w:tcPr>
            <w:tcW w:w="2900" w:type="dxa"/>
            <w:vAlign w:val="bottom"/>
          </w:tcPr>
          <w:p>
            <w:pPr>
              <w:ind w:left="40"/>
              <w:spacing w:after="0"/>
              <w:rPr>
                <w:sz w:val="20"/>
                <w:szCs w:val="20"/>
                <w:color w:val="auto"/>
              </w:rPr>
            </w:pPr>
            <w:r>
              <w:rPr>
                <w:rFonts w:ascii="Times New Roman" w:cs="Times New Roman" w:eastAsia="Times New Roman" w:hAnsi="Times New Roman"/>
                <w:sz w:val="20"/>
                <w:szCs w:val="20"/>
                <w:color w:val="auto"/>
              </w:rPr>
              <w:t>Anthony Bay</w:t>
            </w:r>
          </w:p>
        </w:tc>
        <w:tc>
          <w:tcPr>
            <w:tcW w:w="5240" w:type="dxa"/>
            <w:vAlign w:val="bottom"/>
          </w:tcPr>
          <w:p>
            <w:pPr>
              <w:spacing w:after="0"/>
              <w:rPr>
                <w:sz w:val="24"/>
                <w:szCs w:val="24"/>
                <w:color w:val="auto"/>
              </w:rPr>
            </w:pPr>
          </w:p>
        </w:tc>
        <w:tc>
          <w:tcPr>
            <w:tcW w:w="1300" w:type="dxa"/>
            <w:vAlign w:val="bottom"/>
          </w:tcPr>
          <w:p>
            <w:pPr>
              <w:spacing w:after="0"/>
              <w:rPr>
                <w:sz w:val="24"/>
                <w:szCs w:val="24"/>
                <w:color w:val="auto"/>
              </w:rPr>
            </w:pPr>
          </w:p>
        </w:tc>
      </w:tr>
      <w:tr>
        <w:trPr>
          <w:trHeight w:val="494"/>
        </w:trPr>
        <w:tc>
          <w:tcPr>
            <w:tcW w:w="2900" w:type="dxa"/>
            <w:vAlign w:val="bottom"/>
            <w:tcBorders>
              <w:bottom w:val="single" w:sz="8" w:color="auto"/>
            </w:tcBorders>
          </w:tcPr>
          <w:p>
            <w:pPr>
              <w:ind w:left="40"/>
              <w:spacing w:after="0"/>
              <w:rPr>
                <w:sz w:val="20"/>
                <w:szCs w:val="20"/>
                <w:color w:val="auto"/>
              </w:rPr>
            </w:pPr>
            <w:r>
              <w:rPr>
                <w:rFonts w:ascii="Times New Roman" w:cs="Times New Roman" w:eastAsia="Times New Roman" w:hAnsi="Times New Roman"/>
                <w:sz w:val="20"/>
                <w:szCs w:val="20"/>
                <w:color w:val="auto"/>
              </w:rPr>
              <w:t>/s/ Brenda Freeman</w:t>
            </w:r>
          </w:p>
        </w:tc>
        <w:tc>
          <w:tcPr>
            <w:tcW w:w="5240" w:type="dxa"/>
            <w:vAlign w:val="bottom"/>
          </w:tcPr>
          <w:p>
            <w:pPr>
              <w:ind w:left="140"/>
              <w:spacing w:after="0"/>
              <w:rPr>
                <w:sz w:val="20"/>
                <w:szCs w:val="20"/>
                <w:color w:val="auto"/>
              </w:rPr>
            </w:pPr>
            <w:r>
              <w:rPr>
                <w:rFonts w:ascii="Times New Roman" w:cs="Times New Roman" w:eastAsia="Times New Roman" w:hAnsi="Times New Roman"/>
                <w:sz w:val="20"/>
                <w:szCs w:val="20"/>
                <w:color w:val="auto"/>
              </w:rPr>
              <w:t>Director</w:t>
            </w:r>
          </w:p>
        </w:tc>
        <w:tc>
          <w:tcPr>
            <w:tcW w:w="1300" w:type="dxa"/>
            <w:vAlign w:val="bottom"/>
          </w:tcPr>
          <w:p>
            <w:pPr>
              <w:ind w:left="140"/>
              <w:spacing w:after="0"/>
              <w:rPr>
                <w:sz w:val="20"/>
                <w:szCs w:val="20"/>
                <w:color w:val="auto"/>
              </w:rPr>
            </w:pPr>
            <w:r>
              <w:rPr>
                <w:rFonts w:ascii="Times New Roman" w:cs="Times New Roman" w:eastAsia="Times New Roman" w:hAnsi="Times New Roman"/>
                <w:sz w:val="20"/>
                <w:szCs w:val="20"/>
                <w:color w:val="auto"/>
              </w:rPr>
              <w:t>May 24, 2024</w:t>
            </w:r>
          </w:p>
        </w:tc>
      </w:tr>
      <w:tr>
        <w:trPr>
          <w:trHeight w:val="285"/>
        </w:trPr>
        <w:tc>
          <w:tcPr>
            <w:tcW w:w="2900" w:type="dxa"/>
            <w:vAlign w:val="bottom"/>
          </w:tcPr>
          <w:p>
            <w:pPr>
              <w:ind w:left="40"/>
              <w:spacing w:after="0"/>
              <w:rPr>
                <w:sz w:val="20"/>
                <w:szCs w:val="20"/>
                <w:color w:val="auto"/>
              </w:rPr>
            </w:pPr>
            <w:r>
              <w:rPr>
                <w:rFonts w:ascii="Times New Roman" w:cs="Times New Roman" w:eastAsia="Times New Roman" w:hAnsi="Times New Roman"/>
                <w:sz w:val="20"/>
                <w:szCs w:val="20"/>
                <w:color w:val="auto"/>
              </w:rPr>
              <w:t>Brenda Freeman</w:t>
            </w:r>
          </w:p>
        </w:tc>
        <w:tc>
          <w:tcPr>
            <w:tcW w:w="5240" w:type="dxa"/>
            <w:vAlign w:val="bottom"/>
          </w:tcPr>
          <w:p>
            <w:pPr>
              <w:spacing w:after="0"/>
              <w:rPr>
                <w:sz w:val="24"/>
                <w:szCs w:val="24"/>
                <w:color w:val="auto"/>
              </w:rPr>
            </w:pPr>
          </w:p>
        </w:tc>
        <w:tc>
          <w:tcPr>
            <w:tcW w:w="1300" w:type="dxa"/>
            <w:vAlign w:val="bottom"/>
          </w:tcPr>
          <w:p>
            <w:pPr>
              <w:spacing w:after="0"/>
              <w:rPr>
                <w:sz w:val="24"/>
                <w:szCs w:val="24"/>
                <w:color w:val="auto"/>
              </w:rPr>
            </w:pPr>
          </w:p>
        </w:tc>
      </w:tr>
      <w:tr>
        <w:trPr>
          <w:trHeight w:val="494"/>
        </w:trPr>
        <w:tc>
          <w:tcPr>
            <w:tcW w:w="2900" w:type="dxa"/>
            <w:vAlign w:val="bottom"/>
            <w:tcBorders>
              <w:bottom w:val="single" w:sz="8" w:color="auto"/>
            </w:tcBorders>
          </w:tcPr>
          <w:p>
            <w:pPr>
              <w:ind w:left="40"/>
              <w:spacing w:after="0"/>
              <w:rPr>
                <w:sz w:val="20"/>
                <w:szCs w:val="20"/>
                <w:color w:val="auto"/>
              </w:rPr>
            </w:pPr>
            <w:r>
              <w:rPr>
                <w:rFonts w:ascii="Times New Roman" w:cs="Times New Roman" w:eastAsia="Times New Roman" w:hAnsi="Times New Roman"/>
                <w:sz w:val="20"/>
                <w:szCs w:val="20"/>
                <w:color w:val="auto"/>
              </w:rPr>
              <w:t>/s/ Olga Gonzalez</w:t>
            </w:r>
          </w:p>
        </w:tc>
        <w:tc>
          <w:tcPr>
            <w:tcW w:w="5240" w:type="dxa"/>
            <w:vAlign w:val="bottom"/>
          </w:tcPr>
          <w:p>
            <w:pPr>
              <w:ind w:left="140"/>
              <w:spacing w:after="0"/>
              <w:rPr>
                <w:sz w:val="20"/>
                <w:szCs w:val="20"/>
                <w:color w:val="auto"/>
              </w:rPr>
            </w:pPr>
            <w:r>
              <w:rPr>
                <w:rFonts w:ascii="Times New Roman" w:cs="Times New Roman" w:eastAsia="Times New Roman" w:hAnsi="Times New Roman"/>
                <w:sz w:val="20"/>
                <w:szCs w:val="20"/>
                <w:color w:val="auto"/>
              </w:rPr>
              <w:t>Director</w:t>
            </w:r>
          </w:p>
        </w:tc>
        <w:tc>
          <w:tcPr>
            <w:tcW w:w="1300" w:type="dxa"/>
            <w:vAlign w:val="bottom"/>
          </w:tcPr>
          <w:p>
            <w:pPr>
              <w:ind w:left="140"/>
              <w:spacing w:after="0"/>
              <w:rPr>
                <w:sz w:val="20"/>
                <w:szCs w:val="20"/>
                <w:color w:val="auto"/>
              </w:rPr>
            </w:pPr>
            <w:r>
              <w:rPr>
                <w:rFonts w:ascii="Times New Roman" w:cs="Times New Roman" w:eastAsia="Times New Roman" w:hAnsi="Times New Roman"/>
                <w:sz w:val="20"/>
                <w:szCs w:val="20"/>
                <w:color w:val="auto"/>
              </w:rPr>
              <w:t>May 24, 2024</w:t>
            </w:r>
          </w:p>
        </w:tc>
      </w:tr>
      <w:tr>
        <w:trPr>
          <w:trHeight w:val="285"/>
        </w:trPr>
        <w:tc>
          <w:tcPr>
            <w:tcW w:w="2900" w:type="dxa"/>
            <w:vAlign w:val="bottom"/>
          </w:tcPr>
          <w:p>
            <w:pPr>
              <w:ind w:left="40"/>
              <w:spacing w:after="0"/>
              <w:rPr>
                <w:sz w:val="20"/>
                <w:szCs w:val="20"/>
                <w:color w:val="auto"/>
              </w:rPr>
            </w:pPr>
            <w:r>
              <w:rPr>
                <w:rFonts w:ascii="Times New Roman" w:cs="Times New Roman" w:eastAsia="Times New Roman" w:hAnsi="Times New Roman"/>
                <w:sz w:val="20"/>
                <w:szCs w:val="20"/>
                <w:color w:val="auto"/>
              </w:rPr>
              <w:t>Olga Gonzalez</w:t>
            </w:r>
          </w:p>
        </w:tc>
        <w:tc>
          <w:tcPr>
            <w:tcW w:w="5240" w:type="dxa"/>
            <w:vAlign w:val="bottom"/>
          </w:tcPr>
          <w:p>
            <w:pPr>
              <w:spacing w:after="0"/>
              <w:rPr>
                <w:sz w:val="24"/>
                <w:szCs w:val="24"/>
                <w:color w:val="auto"/>
              </w:rPr>
            </w:pPr>
          </w:p>
        </w:tc>
        <w:tc>
          <w:tcPr>
            <w:tcW w:w="1300" w:type="dxa"/>
            <w:vAlign w:val="bottom"/>
          </w:tcPr>
          <w:p>
            <w:pPr>
              <w:spacing w:after="0"/>
              <w:rPr>
                <w:sz w:val="24"/>
                <w:szCs w:val="24"/>
                <w:color w:val="auto"/>
              </w:rPr>
            </w:pPr>
          </w:p>
        </w:tc>
      </w:tr>
      <w:tr>
        <w:trPr>
          <w:trHeight w:val="502"/>
        </w:trPr>
        <w:tc>
          <w:tcPr>
            <w:tcW w:w="2900" w:type="dxa"/>
            <w:vAlign w:val="bottom"/>
            <w:tcBorders>
              <w:bottom w:val="single" w:sz="8" w:color="auto"/>
            </w:tcBorders>
          </w:tcPr>
          <w:p>
            <w:pPr>
              <w:ind w:left="40"/>
              <w:spacing w:after="0"/>
              <w:rPr>
                <w:sz w:val="20"/>
                <w:szCs w:val="20"/>
                <w:color w:val="auto"/>
              </w:rPr>
            </w:pPr>
            <w:r>
              <w:rPr>
                <w:rFonts w:ascii="Times New Roman" w:cs="Times New Roman" w:eastAsia="Times New Roman" w:hAnsi="Times New Roman"/>
                <w:sz w:val="20"/>
                <w:szCs w:val="20"/>
                <w:color w:val="auto"/>
              </w:rPr>
              <w:t>/s/ Scott Gordon</w:t>
            </w:r>
          </w:p>
        </w:tc>
        <w:tc>
          <w:tcPr>
            <w:tcW w:w="5240" w:type="dxa"/>
            <w:vAlign w:val="bottom"/>
          </w:tcPr>
          <w:p>
            <w:pPr>
              <w:ind w:left="140"/>
              <w:spacing w:after="0"/>
              <w:rPr>
                <w:sz w:val="20"/>
                <w:szCs w:val="20"/>
                <w:color w:val="auto"/>
              </w:rPr>
            </w:pPr>
            <w:r>
              <w:rPr>
                <w:rFonts w:ascii="Times New Roman" w:cs="Times New Roman" w:eastAsia="Times New Roman" w:hAnsi="Times New Roman"/>
                <w:sz w:val="20"/>
                <w:szCs w:val="20"/>
                <w:color w:val="auto"/>
              </w:rPr>
              <w:t>Director</w:t>
            </w:r>
          </w:p>
        </w:tc>
        <w:tc>
          <w:tcPr>
            <w:tcW w:w="1300" w:type="dxa"/>
            <w:vAlign w:val="bottom"/>
          </w:tcPr>
          <w:p>
            <w:pPr>
              <w:ind w:left="140"/>
              <w:spacing w:after="0"/>
              <w:rPr>
                <w:sz w:val="20"/>
                <w:szCs w:val="20"/>
                <w:color w:val="auto"/>
              </w:rPr>
            </w:pPr>
            <w:r>
              <w:rPr>
                <w:rFonts w:ascii="Times New Roman" w:cs="Times New Roman" w:eastAsia="Times New Roman" w:hAnsi="Times New Roman"/>
                <w:sz w:val="20"/>
                <w:szCs w:val="20"/>
                <w:color w:val="auto"/>
              </w:rPr>
              <w:t>May 24, 2024</w:t>
            </w:r>
          </w:p>
        </w:tc>
      </w:tr>
      <w:tr>
        <w:trPr>
          <w:trHeight w:val="278"/>
        </w:trPr>
        <w:tc>
          <w:tcPr>
            <w:tcW w:w="2900" w:type="dxa"/>
            <w:vAlign w:val="bottom"/>
          </w:tcPr>
          <w:p>
            <w:pPr>
              <w:ind w:left="40"/>
              <w:spacing w:after="0"/>
              <w:rPr>
                <w:sz w:val="20"/>
                <w:szCs w:val="20"/>
                <w:color w:val="auto"/>
              </w:rPr>
            </w:pPr>
            <w:r>
              <w:rPr>
                <w:rFonts w:ascii="Times New Roman" w:cs="Times New Roman" w:eastAsia="Times New Roman" w:hAnsi="Times New Roman"/>
                <w:sz w:val="20"/>
                <w:szCs w:val="20"/>
                <w:color w:val="auto"/>
              </w:rPr>
              <w:t>Scott Gordon</w:t>
            </w:r>
          </w:p>
        </w:tc>
        <w:tc>
          <w:tcPr>
            <w:tcW w:w="5240" w:type="dxa"/>
            <w:vAlign w:val="bottom"/>
          </w:tcPr>
          <w:p>
            <w:pPr>
              <w:spacing w:after="0"/>
              <w:rPr>
                <w:sz w:val="24"/>
                <w:szCs w:val="24"/>
                <w:color w:val="auto"/>
              </w:rPr>
            </w:pPr>
          </w:p>
        </w:tc>
        <w:tc>
          <w:tcPr>
            <w:tcW w:w="1300" w:type="dxa"/>
            <w:vAlign w:val="bottom"/>
          </w:tcPr>
          <w:p>
            <w:pPr>
              <w:spacing w:after="0"/>
              <w:rPr>
                <w:sz w:val="24"/>
                <w:szCs w:val="24"/>
                <w:color w:val="auto"/>
              </w:rPr>
            </w:pPr>
          </w:p>
        </w:tc>
      </w:tr>
      <w:tr>
        <w:trPr>
          <w:trHeight w:val="502"/>
        </w:trPr>
        <w:tc>
          <w:tcPr>
            <w:tcW w:w="2900" w:type="dxa"/>
            <w:vAlign w:val="bottom"/>
            <w:tcBorders>
              <w:bottom w:val="single" w:sz="8" w:color="auto"/>
            </w:tcBorders>
          </w:tcPr>
          <w:p>
            <w:pPr>
              <w:ind w:left="40"/>
              <w:spacing w:after="0"/>
              <w:rPr>
                <w:sz w:val="20"/>
                <w:szCs w:val="20"/>
                <w:color w:val="auto"/>
              </w:rPr>
            </w:pPr>
            <w:r>
              <w:rPr>
                <w:rFonts w:ascii="Times New Roman" w:cs="Times New Roman" w:eastAsia="Times New Roman" w:hAnsi="Times New Roman"/>
                <w:sz w:val="20"/>
                <w:szCs w:val="20"/>
                <w:color w:val="auto"/>
              </w:rPr>
              <w:t>/s/ Fiona Tan</w:t>
            </w:r>
          </w:p>
        </w:tc>
        <w:tc>
          <w:tcPr>
            <w:tcW w:w="5240" w:type="dxa"/>
            <w:vAlign w:val="bottom"/>
          </w:tcPr>
          <w:p>
            <w:pPr>
              <w:ind w:left="140"/>
              <w:spacing w:after="0"/>
              <w:rPr>
                <w:sz w:val="20"/>
                <w:szCs w:val="20"/>
                <w:color w:val="auto"/>
              </w:rPr>
            </w:pPr>
            <w:r>
              <w:rPr>
                <w:rFonts w:ascii="Times New Roman" w:cs="Times New Roman" w:eastAsia="Times New Roman" w:hAnsi="Times New Roman"/>
                <w:sz w:val="20"/>
                <w:szCs w:val="20"/>
                <w:color w:val="auto"/>
              </w:rPr>
              <w:t>Director</w:t>
            </w:r>
          </w:p>
        </w:tc>
        <w:tc>
          <w:tcPr>
            <w:tcW w:w="1300" w:type="dxa"/>
            <w:vAlign w:val="bottom"/>
          </w:tcPr>
          <w:p>
            <w:pPr>
              <w:ind w:left="140"/>
              <w:spacing w:after="0"/>
              <w:rPr>
                <w:sz w:val="20"/>
                <w:szCs w:val="20"/>
                <w:color w:val="auto"/>
              </w:rPr>
            </w:pPr>
            <w:r>
              <w:rPr>
                <w:rFonts w:ascii="Times New Roman" w:cs="Times New Roman" w:eastAsia="Times New Roman" w:hAnsi="Times New Roman"/>
                <w:sz w:val="20"/>
                <w:szCs w:val="20"/>
                <w:color w:val="auto"/>
              </w:rPr>
              <w:t>May 24, 2024</w:t>
            </w:r>
          </w:p>
        </w:tc>
      </w:tr>
      <w:tr>
        <w:trPr>
          <w:trHeight w:val="278"/>
        </w:trPr>
        <w:tc>
          <w:tcPr>
            <w:tcW w:w="2900" w:type="dxa"/>
            <w:vAlign w:val="bottom"/>
          </w:tcPr>
          <w:p>
            <w:pPr>
              <w:ind w:left="40"/>
              <w:spacing w:after="0"/>
              <w:rPr>
                <w:sz w:val="20"/>
                <w:szCs w:val="20"/>
                <w:color w:val="auto"/>
              </w:rPr>
            </w:pPr>
            <w:r>
              <w:rPr>
                <w:rFonts w:ascii="Times New Roman" w:cs="Times New Roman" w:eastAsia="Times New Roman" w:hAnsi="Times New Roman"/>
                <w:sz w:val="20"/>
                <w:szCs w:val="20"/>
                <w:color w:val="auto"/>
              </w:rPr>
              <w:t>Fiona Tan</w:t>
            </w:r>
          </w:p>
        </w:tc>
        <w:tc>
          <w:tcPr>
            <w:tcW w:w="5240" w:type="dxa"/>
            <w:vAlign w:val="bottom"/>
          </w:tcPr>
          <w:p>
            <w:pPr>
              <w:spacing w:after="0"/>
              <w:rPr>
                <w:sz w:val="24"/>
                <w:szCs w:val="24"/>
                <w:color w:val="auto"/>
              </w:rPr>
            </w:pPr>
          </w:p>
        </w:tc>
        <w:tc>
          <w:tcPr>
            <w:tcW w:w="1300" w:type="dxa"/>
            <w:vAlign w:val="bottom"/>
          </w:tcPr>
          <w:p>
            <w:pPr>
              <w:spacing w:after="0"/>
              <w:rPr>
                <w:sz w:val="24"/>
                <w:szCs w:val="24"/>
                <w:color w:val="auto"/>
              </w:rPr>
            </w:pPr>
          </w:p>
        </w:tc>
      </w:tr>
      <w:tr>
        <w:trPr>
          <w:trHeight w:val="734"/>
        </w:trPr>
        <w:tc>
          <w:tcPr>
            <w:tcW w:w="2900" w:type="dxa"/>
            <w:vAlign w:val="bottom"/>
          </w:tcPr>
          <w:p>
            <w:pPr>
              <w:spacing w:after="0"/>
              <w:rPr>
                <w:sz w:val="24"/>
                <w:szCs w:val="24"/>
                <w:color w:val="auto"/>
              </w:rPr>
            </w:pPr>
          </w:p>
        </w:tc>
        <w:tc>
          <w:tcPr>
            <w:tcW w:w="5240" w:type="dxa"/>
            <w:vAlign w:val="bottom"/>
          </w:tcPr>
          <w:p>
            <w:pPr>
              <w:ind w:left="2060"/>
              <w:spacing w:after="0"/>
              <w:rPr>
                <w:sz w:val="20"/>
                <w:szCs w:val="20"/>
                <w:color w:val="auto"/>
              </w:rPr>
            </w:pPr>
            <w:r>
              <w:rPr>
                <w:rFonts w:ascii="Times New Roman" w:cs="Times New Roman" w:eastAsia="Times New Roman" w:hAnsi="Times New Roman"/>
                <w:sz w:val="20"/>
                <w:szCs w:val="20"/>
                <w:color w:val="auto"/>
              </w:rPr>
              <w:t>110</w:t>
            </w:r>
          </w:p>
        </w:tc>
        <w:tc>
          <w:tcPr>
            <w:tcW w:w="1300" w:type="dxa"/>
            <w:vAlign w:val="bottom"/>
          </w:tcPr>
          <w:p>
            <w:pPr>
              <w:spacing w:after="0"/>
              <w:rPr>
                <w:sz w:val="24"/>
                <w:szCs w:val="24"/>
                <w:color w:val="auto"/>
              </w:rPr>
            </w:pPr>
          </w:p>
        </w:tc>
      </w:tr>
    </w:tbl>
    <w:p>
      <w:pPr>
        <w:sectPr>
          <w:pgSz w:w="12240" w:h="15840" w:orient="portrait"/>
          <w:cols w:equalWidth="0" w:num="1">
            <w:col w:w="10260"/>
          </w:cols>
          <w:pgMar w:left="1000" w:top="882" w:right="980" w:bottom="182" w:gutter="0" w:footer="0" w:header="0"/>
        </w:sectPr>
      </w:pPr>
    </w:p>
    <w:bookmarkStart w:id="114" w:name="page115"/>
    <w:bookmarkEnd w:id="114"/>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78"/>
        </w:trPr>
        <w:tc>
          <w:tcPr>
            <w:tcW w:w="7880" w:type="dxa"/>
            <w:vAlign w:val="bottom"/>
          </w:tcPr>
          <w:p>
            <w:pPr>
              <w:ind w:left="2480"/>
              <w:spacing w:after="0"/>
              <w:rPr>
                <w:sz w:val="20"/>
                <w:szCs w:val="20"/>
                <w:color w:val="auto"/>
              </w:rPr>
            </w:pPr>
            <w:r>
              <w:rPr>
                <w:rFonts w:ascii="Times New Roman" w:cs="Times New Roman" w:eastAsia="Times New Roman" w:hAnsi="Times New Roman"/>
                <w:sz w:val="20"/>
                <w:szCs w:val="20"/>
                <w:b w:val="1"/>
                <w:bCs w:val="1"/>
                <w:color w:val="auto"/>
              </w:rPr>
              <w:t>INDEX TO CONSOLIDATED FINANCIAL STATEMENTS</w:t>
            </w:r>
          </w:p>
        </w:tc>
        <w:tc>
          <w:tcPr>
            <w:tcW w:w="2340" w:type="dxa"/>
            <w:vAlign w:val="bottom"/>
          </w:tcPr>
          <w:p>
            <w:pPr>
              <w:spacing w:after="0"/>
              <w:rPr>
                <w:sz w:val="24"/>
                <w:szCs w:val="24"/>
                <w:color w:val="auto"/>
              </w:rPr>
            </w:pPr>
          </w:p>
        </w:tc>
      </w:tr>
      <w:tr>
        <w:trPr>
          <w:trHeight w:val="553"/>
        </w:trPr>
        <w:tc>
          <w:tcPr>
            <w:tcW w:w="7880" w:type="dxa"/>
            <w:vAlign w:val="bottom"/>
          </w:tcPr>
          <w:p>
            <w:pPr>
              <w:spacing w:after="0"/>
              <w:rPr>
                <w:sz w:val="24"/>
                <w:szCs w:val="24"/>
                <w:color w:val="auto"/>
              </w:rPr>
            </w:pPr>
          </w:p>
        </w:tc>
        <w:tc>
          <w:tcPr>
            <w:tcW w:w="23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20"/>
                <w:szCs w:val="20"/>
                <w:b w:val="1"/>
                <w:bCs w:val="1"/>
                <w:color w:val="auto"/>
              </w:rPr>
              <w:t>Page</w:t>
            </w:r>
          </w:p>
        </w:tc>
      </w:tr>
      <w:tr>
        <w:trPr>
          <w:trHeight w:val="555"/>
        </w:trPr>
        <w:tc>
          <w:tcPr>
            <w:tcW w:w="7880" w:type="dxa"/>
            <w:vAlign w:val="bottom"/>
          </w:tcPr>
          <w:p>
            <w:pPr>
              <w:spacing w:after="0"/>
              <w:rPr>
                <w:sz w:val="20"/>
                <w:szCs w:val="20"/>
                <w:color w:val="auto"/>
              </w:rPr>
            </w:pPr>
            <w:r>
              <w:rPr>
                <w:rFonts w:ascii="Times New Roman" w:cs="Times New Roman" w:eastAsia="Times New Roman" w:hAnsi="Times New Roman"/>
                <w:sz w:val="20"/>
                <w:szCs w:val="20"/>
                <w:color w:val="auto"/>
              </w:rPr>
              <w:t>Report of Independent Registered Public Accounting Firm (Moss Adams LLP, Irvine, California,</w:t>
            </w:r>
          </w:p>
        </w:tc>
        <w:tc>
          <w:tcPr>
            <w:tcW w:w="2340" w:type="dxa"/>
            <w:vAlign w:val="bottom"/>
          </w:tcPr>
          <w:p>
            <w:pPr>
              <w:spacing w:after="0"/>
              <w:rPr>
                <w:sz w:val="24"/>
                <w:szCs w:val="24"/>
                <w:color w:val="auto"/>
              </w:rPr>
            </w:pPr>
          </w:p>
        </w:tc>
      </w:tr>
      <w:tr>
        <w:trPr>
          <w:trHeight w:val="270"/>
        </w:trPr>
        <w:tc>
          <w:tcPr>
            <w:tcW w:w="7880" w:type="dxa"/>
            <w:vAlign w:val="bottom"/>
          </w:tcPr>
          <w:p>
            <w:pPr>
              <w:spacing w:after="0"/>
              <w:rPr>
                <w:sz w:val="20"/>
                <w:szCs w:val="20"/>
                <w:color w:val="auto"/>
              </w:rPr>
            </w:pPr>
            <w:r>
              <w:rPr>
                <w:rFonts w:ascii="Times New Roman" w:cs="Times New Roman" w:eastAsia="Times New Roman" w:hAnsi="Times New Roman"/>
                <w:sz w:val="20"/>
                <w:szCs w:val="20"/>
                <w:color w:val="auto"/>
              </w:rPr>
              <w:t>Auditor ID: (PCAOB ID 659))</w:t>
            </w:r>
          </w:p>
        </w:tc>
        <w:tc>
          <w:tcPr>
            <w:tcW w:w="2340" w:type="dxa"/>
            <w:vAlign w:val="bottom"/>
          </w:tcPr>
          <w:p>
            <w:pPr>
              <w:spacing w:after="0"/>
              <w:rPr>
                <w:sz w:val="23"/>
                <w:szCs w:val="23"/>
                <w:color w:val="auto"/>
              </w:rPr>
            </w:pPr>
          </w:p>
        </w:tc>
      </w:tr>
      <w:tr>
        <w:trPr>
          <w:trHeight w:val="507"/>
        </w:trPr>
        <w:tc>
          <w:tcPr>
            <w:tcW w:w="7880" w:type="dxa"/>
            <w:vAlign w:val="bottom"/>
          </w:tcPr>
          <w:p>
            <w:pPr>
              <w:spacing w:after="0"/>
              <w:rPr>
                <w:sz w:val="20"/>
                <w:szCs w:val="20"/>
                <w:color w:val="auto"/>
              </w:rPr>
            </w:pPr>
            <w:r>
              <w:rPr>
                <w:rFonts w:ascii="Times New Roman" w:cs="Times New Roman" w:eastAsia="Times New Roman" w:hAnsi="Times New Roman"/>
                <w:sz w:val="20"/>
                <w:szCs w:val="20"/>
                <w:color w:val="auto"/>
              </w:rPr>
              <w:t>Report of Independent Registered Public Accounting Firm (Baker Tilly, LLP, Irvine, California,</w:t>
            </w:r>
          </w:p>
        </w:tc>
        <w:tc>
          <w:tcPr>
            <w:tcW w:w="2340" w:type="dxa"/>
            <w:vAlign w:val="bottom"/>
          </w:tcPr>
          <w:p>
            <w:pPr>
              <w:spacing w:after="0"/>
              <w:rPr>
                <w:sz w:val="24"/>
                <w:szCs w:val="24"/>
                <w:color w:val="auto"/>
              </w:rPr>
            </w:pPr>
          </w:p>
        </w:tc>
      </w:tr>
      <w:tr>
        <w:trPr>
          <w:trHeight w:val="270"/>
        </w:trPr>
        <w:tc>
          <w:tcPr>
            <w:tcW w:w="7880" w:type="dxa"/>
            <w:vAlign w:val="bottom"/>
          </w:tcPr>
          <w:p>
            <w:pPr>
              <w:spacing w:after="0"/>
              <w:rPr>
                <w:sz w:val="20"/>
                <w:szCs w:val="20"/>
                <w:color w:val="auto"/>
              </w:rPr>
            </w:pPr>
            <w:r>
              <w:rPr>
                <w:rFonts w:ascii="Times New Roman" w:cs="Times New Roman" w:eastAsia="Times New Roman" w:hAnsi="Times New Roman"/>
                <w:sz w:val="20"/>
                <w:szCs w:val="20"/>
                <w:color w:val="auto"/>
              </w:rPr>
              <w:t>Auditor ID: (PCAOB ID 23)</w:t>
            </w:r>
          </w:p>
        </w:tc>
        <w:tc>
          <w:tcPr>
            <w:tcW w:w="2340" w:type="dxa"/>
            <w:vAlign w:val="bottom"/>
          </w:tcPr>
          <w:p>
            <w:pPr>
              <w:spacing w:after="0"/>
              <w:rPr>
                <w:sz w:val="23"/>
                <w:szCs w:val="23"/>
                <w:color w:val="auto"/>
              </w:rPr>
            </w:pPr>
          </w:p>
        </w:tc>
      </w:tr>
      <w:tr>
        <w:trPr>
          <w:trHeight w:val="670"/>
        </w:trPr>
        <w:tc>
          <w:tcPr>
            <w:tcW w:w="7880" w:type="dxa"/>
            <w:vAlign w:val="bottom"/>
          </w:tcPr>
          <w:p>
            <w:pPr>
              <w:spacing w:after="0"/>
              <w:rPr>
                <w:sz w:val="20"/>
                <w:szCs w:val="20"/>
                <w:color w:val="auto"/>
              </w:rPr>
            </w:pPr>
            <w:r>
              <w:rPr>
                <w:rFonts w:ascii="Times New Roman" w:cs="Times New Roman" w:eastAsia="Times New Roman" w:hAnsi="Times New Roman"/>
                <w:sz w:val="20"/>
                <w:szCs w:val="20"/>
                <w:color w:val="auto"/>
              </w:rPr>
              <w:t>Consolidated Balance Sheets</w:t>
            </w:r>
          </w:p>
        </w:tc>
        <w:tc>
          <w:tcPr>
            <w:tcW w:w="2340" w:type="dxa"/>
            <w:vAlign w:val="bottom"/>
          </w:tcPr>
          <w:p>
            <w:pPr>
              <w:jc w:val="center"/>
              <w:spacing w:after="0"/>
              <w:rPr>
                <w:sz w:val="20"/>
                <w:szCs w:val="20"/>
                <w:color w:val="auto"/>
              </w:rPr>
            </w:pPr>
            <w:r>
              <w:rPr>
                <w:rFonts w:ascii="Times New Roman" w:cs="Times New Roman" w:eastAsia="Times New Roman" w:hAnsi="Times New Roman"/>
                <w:sz w:val="20"/>
                <w:szCs w:val="20"/>
                <w:color w:val="auto"/>
              </w:rPr>
              <w:t>F-1</w:t>
            </w:r>
          </w:p>
        </w:tc>
      </w:tr>
      <w:tr>
        <w:trPr>
          <w:trHeight w:val="288"/>
        </w:trPr>
        <w:tc>
          <w:tcPr>
            <w:tcW w:w="7880" w:type="dxa"/>
            <w:vAlign w:val="bottom"/>
          </w:tcPr>
          <w:p>
            <w:pPr>
              <w:spacing w:after="0"/>
              <w:rPr>
                <w:sz w:val="20"/>
                <w:szCs w:val="20"/>
                <w:color w:val="auto"/>
              </w:rPr>
            </w:pPr>
            <w:r>
              <w:rPr>
                <w:rFonts w:ascii="Times New Roman" w:cs="Times New Roman" w:eastAsia="Times New Roman" w:hAnsi="Times New Roman"/>
                <w:sz w:val="20"/>
                <w:szCs w:val="20"/>
                <w:color w:val="auto"/>
              </w:rPr>
              <w:t>Consolidated Statements of Operations</w:t>
            </w:r>
          </w:p>
        </w:tc>
        <w:tc>
          <w:tcPr>
            <w:tcW w:w="2340" w:type="dxa"/>
            <w:vAlign w:val="bottom"/>
          </w:tcPr>
          <w:p>
            <w:pPr>
              <w:jc w:val="center"/>
              <w:spacing w:after="0"/>
              <w:rPr>
                <w:sz w:val="20"/>
                <w:szCs w:val="20"/>
                <w:color w:val="auto"/>
              </w:rPr>
            </w:pPr>
            <w:r>
              <w:rPr>
                <w:rFonts w:ascii="Times New Roman" w:cs="Times New Roman" w:eastAsia="Times New Roman" w:hAnsi="Times New Roman"/>
                <w:sz w:val="20"/>
                <w:szCs w:val="20"/>
                <w:color w:val="auto"/>
              </w:rPr>
              <w:t>F-2</w:t>
            </w:r>
          </w:p>
        </w:tc>
      </w:tr>
      <w:tr>
        <w:trPr>
          <w:trHeight w:val="281"/>
        </w:trPr>
        <w:tc>
          <w:tcPr>
            <w:tcW w:w="7880" w:type="dxa"/>
            <w:vAlign w:val="bottom"/>
          </w:tcPr>
          <w:p>
            <w:pPr>
              <w:spacing w:after="0"/>
              <w:rPr>
                <w:sz w:val="20"/>
                <w:szCs w:val="20"/>
                <w:color w:val="auto"/>
              </w:rPr>
            </w:pPr>
            <w:r>
              <w:rPr>
                <w:rFonts w:ascii="Times New Roman" w:cs="Times New Roman" w:eastAsia="Times New Roman" w:hAnsi="Times New Roman"/>
                <w:sz w:val="20"/>
                <w:szCs w:val="20"/>
                <w:color w:val="auto"/>
              </w:rPr>
              <w:t>Consolidated Statements of Equity</w:t>
            </w:r>
          </w:p>
        </w:tc>
        <w:tc>
          <w:tcPr>
            <w:tcW w:w="2340" w:type="dxa"/>
            <w:vAlign w:val="bottom"/>
          </w:tcPr>
          <w:p>
            <w:pPr>
              <w:jc w:val="center"/>
              <w:spacing w:after="0"/>
              <w:rPr>
                <w:sz w:val="20"/>
                <w:szCs w:val="20"/>
                <w:color w:val="auto"/>
              </w:rPr>
            </w:pPr>
            <w:r>
              <w:rPr>
                <w:rFonts w:ascii="Times New Roman" w:cs="Times New Roman" w:eastAsia="Times New Roman" w:hAnsi="Times New Roman"/>
                <w:sz w:val="20"/>
                <w:szCs w:val="20"/>
                <w:color w:val="auto"/>
              </w:rPr>
              <w:t>F-3</w:t>
            </w:r>
          </w:p>
        </w:tc>
      </w:tr>
      <w:tr>
        <w:trPr>
          <w:trHeight w:val="288"/>
        </w:trPr>
        <w:tc>
          <w:tcPr>
            <w:tcW w:w="7880" w:type="dxa"/>
            <w:vAlign w:val="bottom"/>
          </w:tcPr>
          <w:p>
            <w:pPr>
              <w:spacing w:after="0"/>
              <w:rPr>
                <w:sz w:val="20"/>
                <w:szCs w:val="20"/>
                <w:color w:val="auto"/>
              </w:rPr>
            </w:pPr>
            <w:r>
              <w:rPr>
                <w:rFonts w:ascii="Times New Roman" w:cs="Times New Roman" w:eastAsia="Times New Roman" w:hAnsi="Times New Roman"/>
                <w:sz w:val="20"/>
                <w:szCs w:val="20"/>
                <w:color w:val="auto"/>
              </w:rPr>
              <w:t>Consolidated Statements of Cash Flows</w:t>
            </w:r>
          </w:p>
        </w:tc>
        <w:tc>
          <w:tcPr>
            <w:tcW w:w="2340" w:type="dxa"/>
            <w:vAlign w:val="bottom"/>
          </w:tcPr>
          <w:p>
            <w:pPr>
              <w:jc w:val="center"/>
              <w:spacing w:after="0"/>
              <w:rPr>
                <w:sz w:val="20"/>
                <w:szCs w:val="20"/>
                <w:color w:val="auto"/>
              </w:rPr>
            </w:pPr>
            <w:r>
              <w:rPr>
                <w:rFonts w:ascii="Times New Roman" w:cs="Times New Roman" w:eastAsia="Times New Roman" w:hAnsi="Times New Roman"/>
                <w:sz w:val="20"/>
                <w:szCs w:val="20"/>
                <w:color w:val="auto"/>
              </w:rPr>
              <w:t>F-4</w:t>
            </w:r>
          </w:p>
        </w:tc>
      </w:tr>
      <w:tr>
        <w:trPr>
          <w:trHeight w:val="281"/>
        </w:trPr>
        <w:tc>
          <w:tcPr>
            <w:tcW w:w="7880" w:type="dxa"/>
            <w:vAlign w:val="bottom"/>
          </w:tcPr>
          <w:p>
            <w:pPr>
              <w:spacing w:after="0"/>
              <w:rPr>
                <w:sz w:val="20"/>
                <w:szCs w:val="20"/>
                <w:color w:val="auto"/>
              </w:rPr>
            </w:pPr>
            <w:r>
              <w:rPr>
                <w:rFonts w:ascii="Times New Roman" w:cs="Times New Roman" w:eastAsia="Times New Roman" w:hAnsi="Times New Roman"/>
                <w:sz w:val="20"/>
                <w:szCs w:val="20"/>
                <w:color w:val="auto"/>
              </w:rPr>
              <w:t>Notes to Consolidated Financial Statements</w:t>
            </w:r>
          </w:p>
        </w:tc>
        <w:tc>
          <w:tcPr>
            <w:tcW w:w="2340" w:type="dxa"/>
            <w:vAlign w:val="bottom"/>
          </w:tcPr>
          <w:p>
            <w:pPr>
              <w:jc w:val="center"/>
              <w:spacing w:after="0"/>
              <w:rPr>
                <w:sz w:val="20"/>
                <w:szCs w:val="20"/>
                <w:color w:val="auto"/>
              </w:rPr>
            </w:pPr>
            <w:r>
              <w:rPr>
                <w:rFonts w:ascii="Times New Roman" w:cs="Times New Roman" w:eastAsia="Times New Roman" w:hAnsi="Times New Roman"/>
                <w:sz w:val="20"/>
                <w:szCs w:val="20"/>
                <w:color w:val="auto"/>
              </w:rPr>
              <w:t>F-6</w:t>
            </w:r>
          </w:p>
        </w:tc>
      </w:tr>
    </w:tbl>
    <w:p>
      <w:pPr>
        <w:sectPr>
          <w:pgSz w:w="12240" w:h="15840" w:orient="portrait"/>
          <w:cols w:equalWidth="0" w:num="1">
            <w:col w:w="10220"/>
          </w:cols>
          <w:pgMar w:left="1040" w:top="1394" w:right="980" w:bottom="1440" w:gutter="0" w:footer="0" w:header="0"/>
        </w:sectPr>
      </w:pPr>
    </w:p>
    <w:bookmarkStart w:id="115" w:name="page116"/>
    <w:bookmarkEnd w:id="115"/>
    <w:p>
      <w:pPr>
        <w:ind w:left="2620"/>
        <w:spacing w:after="0"/>
        <w:rPr>
          <w:sz w:val="20"/>
          <w:szCs w:val="20"/>
          <w:color w:val="auto"/>
        </w:rPr>
      </w:pPr>
      <w:r>
        <w:rPr>
          <w:rFonts w:ascii="Times New Roman" w:cs="Times New Roman" w:eastAsia="Times New Roman" w:hAnsi="Times New Roman"/>
          <w:sz w:val="20"/>
          <w:szCs w:val="20"/>
          <w:b w:val="1"/>
          <w:bCs w:val="1"/>
          <w:color w:val="auto"/>
        </w:rPr>
        <w:t>Report of Independent Registered Public Accounting Firm</w:t>
      </w:r>
    </w:p>
    <w:p>
      <w:pPr>
        <w:spacing w:after="0" w:line="305"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The Shareholders and the Board of Directors of</w:t>
      </w:r>
    </w:p>
    <w:p>
      <w:pPr>
        <w:spacing w:after="0" w:line="4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WM Technology, Inc.</w:t>
      </w:r>
    </w:p>
    <w:p>
      <w:pPr>
        <w:spacing w:after="0" w:line="294"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Opinions on the Financial Statements and Internal Control over Financial Reporting</w:t>
      </w:r>
    </w:p>
    <w:p>
      <w:pPr>
        <w:spacing w:after="0" w:line="294" w:lineRule="exact"/>
        <w:rPr>
          <w:sz w:val="20"/>
          <w:szCs w:val="20"/>
          <w:color w:val="auto"/>
        </w:rPr>
      </w:pPr>
    </w:p>
    <w:p>
      <w:pPr>
        <w:ind w:right="100"/>
        <w:spacing w:after="0" w:line="304" w:lineRule="auto"/>
        <w:rPr>
          <w:sz w:val="20"/>
          <w:szCs w:val="20"/>
          <w:color w:val="auto"/>
        </w:rPr>
      </w:pPr>
      <w:r>
        <w:rPr>
          <w:rFonts w:ascii="Times New Roman" w:cs="Times New Roman" w:eastAsia="Times New Roman" w:hAnsi="Times New Roman"/>
          <w:sz w:val="19"/>
          <w:szCs w:val="19"/>
          <w:color w:val="auto"/>
        </w:rPr>
        <w:t xml:space="preserve">We have audited the accompanying consolidated balance sheet of WM Technology, Inc. (the “Company”) as of December 31, 2023, the related consolidated statements of operations, equity and cash flows for the year ended December 31, 2023, and the related notes (collectively referred to as the “consolidated financial statements”). We also have audited the Company’s internal control over financial reporting as of December 31, 2023, based on criteria established in </w:t>
      </w:r>
      <w:r>
        <w:rPr>
          <w:rFonts w:ascii="Times New Roman" w:cs="Times New Roman" w:eastAsia="Times New Roman" w:hAnsi="Times New Roman"/>
          <w:sz w:val="19"/>
          <w:szCs w:val="19"/>
          <w:i w:val="1"/>
          <w:iCs w:val="1"/>
          <w:color w:val="auto"/>
        </w:rPr>
        <w:t>Internal Control - Integrated</w:t>
      </w:r>
      <w:r>
        <w:rPr>
          <w:rFonts w:ascii="Times New Roman" w:cs="Times New Roman" w:eastAsia="Times New Roman" w:hAnsi="Times New Roman"/>
          <w:sz w:val="19"/>
          <w:szCs w:val="19"/>
          <w:color w:val="auto"/>
        </w:rPr>
        <w:t xml:space="preserve"> </w:t>
      </w:r>
      <w:r>
        <w:rPr>
          <w:rFonts w:ascii="Times New Roman" w:cs="Times New Roman" w:eastAsia="Times New Roman" w:hAnsi="Times New Roman"/>
          <w:sz w:val="19"/>
          <w:szCs w:val="19"/>
          <w:i w:val="1"/>
          <w:iCs w:val="1"/>
          <w:color w:val="auto"/>
        </w:rPr>
        <w:t xml:space="preserve">Framework (2013) </w:t>
      </w:r>
      <w:r>
        <w:rPr>
          <w:rFonts w:ascii="Times New Roman" w:cs="Times New Roman" w:eastAsia="Times New Roman" w:hAnsi="Times New Roman"/>
          <w:sz w:val="19"/>
          <w:szCs w:val="19"/>
          <w:color w:val="auto"/>
        </w:rPr>
        <w:t>issued by the Committee of Sponsoring Organizations of the Treadway Commission (“COSO”).</w:t>
      </w:r>
    </w:p>
    <w:p>
      <w:pPr>
        <w:spacing w:after="0" w:line="207" w:lineRule="exact"/>
        <w:rPr>
          <w:sz w:val="20"/>
          <w:szCs w:val="20"/>
          <w:color w:val="auto"/>
        </w:rPr>
      </w:pPr>
    </w:p>
    <w:p>
      <w:pPr>
        <w:ind w:right="20"/>
        <w:spacing w:after="0" w:line="283" w:lineRule="auto"/>
        <w:rPr>
          <w:sz w:val="20"/>
          <w:szCs w:val="20"/>
          <w:color w:val="auto"/>
        </w:rPr>
      </w:pPr>
      <w:r>
        <w:rPr>
          <w:rFonts w:ascii="Times New Roman" w:cs="Times New Roman" w:eastAsia="Times New Roman" w:hAnsi="Times New Roman"/>
          <w:sz w:val="20"/>
          <w:szCs w:val="20"/>
          <w:color w:val="auto"/>
        </w:rPr>
        <w:t xml:space="preserve">In our opinion, the consolidated financial statements referred to above present fairly, in all material respects, the consolidated financial position of the Company as of December 31, 2023, and the consolidated results of its operations and its cash flows for the year ended December 31, 2023, in conformity with accounting principles generally accepted in the United States of America. Also in our opinion, because of the effect of the material weaknesses identified below on the achievement of the objectives of the control criteria, the Company has not maintained effective internal control over financial reporting as of December 31, 2023, based on criteria established in </w:t>
      </w:r>
      <w:r>
        <w:rPr>
          <w:rFonts w:ascii="Times New Roman" w:cs="Times New Roman" w:eastAsia="Times New Roman" w:hAnsi="Times New Roman"/>
          <w:sz w:val="20"/>
          <w:szCs w:val="20"/>
          <w:i w:val="1"/>
          <w:iCs w:val="1"/>
          <w:color w:val="auto"/>
        </w:rPr>
        <w:t>Internal Control - Integrated Framework (2013)</w:t>
      </w:r>
      <w:r>
        <w:rPr>
          <w:rFonts w:ascii="Times New Roman" w:cs="Times New Roman" w:eastAsia="Times New Roman" w:hAnsi="Times New Roman"/>
          <w:sz w:val="20"/>
          <w:szCs w:val="20"/>
          <w:color w:val="auto"/>
        </w:rPr>
        <w:t xml:space="preserve"> issued by COSO.</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Restatement of Financial Statements</w:t>
      </w:r>
    </w:p>
    <w:p>
      <w:pPr>
        <w:spacing w:after="0" w:line="107" w:lineRule="exact"/>
        <w:rPr>
          <w:sz w:val="20"/>
          <w:szCs w:val="20"/>
          <w:color w:val="auto"/>
        </w:rPr>
      </w:pPr>
    </w:p>
    <w:p>
      <w:pPr>
        <w:ind w:right="340"/>
        <w:spacing w:after="0" w:line="311" w:lineRule="auto"/>
        <w:rPr>
          <w:sz w:val="20"/>
          <w:szCs w:val="20"/>
          <w:color w:val="auto"/>
        </w:rPr>
      </w:pPr>
      <w:r>
        <w:rPr>
          <w:rFonts w:ascii="Times New Roman" w:cs="Times New Roman" w:eastAsia="Times New Roman" w:hAnsi="Times New Roman"/>
          <w:sz w:val="20"/>
          <w:szCs w:val="20"/>
          <w:color w:val="auto"/>
        </w:rPr>
        <w:t>As discussed in Note 2 to the consolidated financial statements, certain quarterly financial statements for the quarters ended March 31, 2023, June 30, 2023, and September 30, 2023 have been restated to correct a misstatement.</w:t>
      </w:r>
    </w:p>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Basis for Opinions</w:t>
      </w:r>
    </w:p>
    <w:p>
      <w:pPr>
        <w:spacing w:after="0" w:line="99" w:lineRule="exact"/>
        <w:rPr>
          <w:sz w:val="20"/>
          <w:szCs w:val="20"/>
          <w:color w:val="auto"/>
        </w:rPr>
      </w:pPr>
    </w:p>
    <w:p>
      <w:pPr>
        <w:ind w:right="40"/>
        <w:spacing w:after="0" w:line="282" w:lineRule="auto"/>
        <w:rPr>
          <w:sz w:val="20"/>
          <w:szCs w:val="20"/>
          <w:color w:val="auto"/>
        </w:rPr>
      </w:pPr>
      <w:r>
        <w:rPr>
          <w:rFonts w:ascii="Times New Roman" w:cs="Times New Roman" w:eastAsia="Times New Roman" w:hAnsi="Times New Roman"/>
          <w:sz w:val="20"/>
          <w:szCs w:val="20"/>
          <w:color w:val="auto"/>
        </w:rPr>
        <w:t>The Company’s management is responsible for these consolidated financial statements, for maintaining effective internal control over financial reporting, and for its assessment of the effectiveness of internal control over financial reporting, included in the accompanying Management’s Report on Internal Control over Financial Reporting included in Item 9A. Our responsibility is to express an opinion on the Company’s consolidated financial statements and an opinion on the Company’s internal control over financial reporting based on our audits. We are a public accounting firm registered with the Public Company Accounting Oversight Board (United States) (“PCAOB”) and are required to be independent with respect to the Company in accordance with the U.S. federal securities laws and the applicable rules and regulations of the Securities and Exchange Commission and the PCAOB.</w:t>
      </w:r>
    </w:p>
    <w:p>
      <w:pPr>
        <w:spacing w:after="0" w:line="77" w:lineRule="exact"/>
        <w:rPr>
          <w:sz w:val="20"/>
          <w:szCs w:val="20"/>
          <w:color w:val="auto"/>
        </w:rPr>
      </w:pPr>
    </w:p>
    <w:p>
      <w:pPr>
        <w:spacing w:after="0" w:line="301" w:lineRule="auto"/>
        <w:rPr>
          <w:sz w:val="20"/>
          <w:szCs w:val="20"/>
          <w:color w:val="auto"/>
        </w:rPr>
      </w:pPr>
      <w:r>
        <w:rPr>
          <w:rFonts w:ascii="Times New Roman" w:cs="Times New Roman" w:eastAsia="Times New Roman" w:hAnsi="Times New Roman"/>
          <w:sz w:val="20"/>
          <w:szCs w:val="20"/>
          <w:color w:val="auto"/>
        </w:rPr>
        <w:t>We conducted our audits in accordance with the standards of the PCAOB. Those standards require that we plan and perform the audits to obtain reasonable assurance about whether the consolidated financial statements are free of material misstatement, whether due to error or fraud, and whether effective internal control over financial reporting was maintained in all material respects.</w:t>
      </w:r>
    </w:p>
    <w:p>
      <w:pPr>
        <w:spacing w:after="0" w:line="70" w:lineRule="exact"/>
        <w:rPr>
          <w:sz w:val="20"/>
          <w:szCs w:val="20"/>
          <w:color w:val="auto"/>
        </w:rPr>
      </w:pPr>
    </w:p>
    <w:p>
      <w:pPr>
        <w:ind w:right="120"/>
        <w:spacing w:after="0" w:line="293" w:lineRule="auto"/>
        <w:rPr>
          <w:sz w:val="20"/>
          <w:szCs w:val="20"/>
          <w:color w:val="auto"/>
        </w:rPr>
      </w:pPr>
      <w:r>
        <w:rPr>
          <w:rFonts w:ascii="Times New Roman" w:cs="Times New Roman" w:eastAsia="Times New Roman" w:hAnsi="Times New Roman"/>
          <w:sz w:val="20"/>
          <w:szCs w:val="20"/>
          <w:color w:val="auto"/>
        </w:rPr>
        <w:t>Our audit of the consolidated financial statements included performing procedures to assess the risks of material misstatement of the consolidated financial statements, whether due to error or fraud, and performing procedures to respond to those risks. Such procedures included examining, on a test basis, evidence regarding the amounts and disclosures in the consolidated financial statements. Our audit also included evaluating the accounting principles used and significant estimates made by management, as well as evaluating the overall presentation of the consolidated financial statements. Our audit of internal control over financial reporting included obtaining an understanding of internal control over financial reporting, assessing the risk that a material weakness exists, and testing and evaluating the design and operating effectiveness of internal control based on the assessed risk. Our audits also included performing such other procedures as we considered necessary in the circumstances. We believe that our audits provide a reasonable basis for our opinions.</w:t>
      </w:r>
    </w:p>
    <w:p>
      <w:pPr>
        <w:spacing w:after="0" w:line="79" w:lineRule="exact"/>
        <w:rPr>
          <w:sz w:val="20"/>
          <w:szCs w:val="20"/>
          <w:color w:val="auto"/>
        </w:rPr>
      </w:pPr>
    </w:p>
    <w:p>
      <w:pPr>
        <w:ind w:right="200"/>
        <w:spacing w:after="0" w:line="356" w:lineRule="auto"/>
        <w:rPr>
          <w:sz w:val="20"/>
          <w:szCs w:val="20"/>
          <w:color w:val="auto"/>
        </w:rPr>
      </w:pPr>
      <w:r>
        <w:rPr>
          <w:rFonts w:ascii="Times New Roman" w:cs="Times New Roman" w:eastAsia="Times New Roman" w:hAnsi="Times New Roman"/>
          <w:sz w:val="19"/>
          <w:szCs w:val="19"/>
          <w:color w:val="auto"/>
        </w:rPr>
        <w:t>A material weakness is a deficiency, or a combination of deficiencies, in internal control over financial reporting, such that there is a reasonable possibility that a material misstatement of the Company’s annual or interim financial statements will not</w:t>
      </w:r>
    </w:p>
    <w:p>
      <w:pPr>
        <w:sectPr>
          <w:pgSz w:w="12240" w:h="15840" w:orient="portrait"/>
          <w:cols w:equalWidth="0" w:num="1">
            <w:col w:w="10220"/>
          </w:cols>
          <w:pgMar w:left="1000" w:top="1156" w:right="1020" w:bottom="648" w:gutter="0" w:footer="0" w:header="0"/>
        </w:sectPr>
      </w:pPr>
    </w:p>
    <w:bookmarkStart w:id="116" w:name="page117"/>
    <w:bookmarkEnd w:id="116"/>
    <w:p>
      <w:pPr>
        <w:ind w:right="1020"/>
        <w:spacing w:after="0" w:line="326" w:lineRule="auto"/>
        <w:rPr>
          <w:sz w:val="20"/>
          <w:szCs w:val="20"/>
          <w:color w:val="auto"/>
        </w:rPr>
      </w:pPr>
      <w:r>
        <w:rPr>
          <w:rFonts w:ascii="Times New Roman" w:cs="Times New Roman" w:eastAsia="Times New Roman" w:hAnsi="Times New Roman"/>
          <w:sz w:val="20"/>
          <w:szCs w:val="20"/>
          <w:color w:val="auto"/>
        </w:rPr>
        <w:t>be prevented or detected on a timely basis. The following material weaknesses have been identified and included in management’s assessment in Item 9A:</w:t>
      </w:r>
    </w:p>
    <w:p>
      <w:pPr>
        <w:spacing w:after="0" w:line="81" w:lineRule="exact"/>
        <w:rPr>
          <w:sz w:val="20"/>
          <w:szCs w:val="20"/>
          <w:color w:val="auto"/>
        </w:rPr>
      </w:pPr>
    </w:p>
    <w:p>
      <w:pPr>
        <w:jc w:val="both"/>
        <w:ind w:left="720" w:hanging="366"/>
        <w:spacing w:after="0" w:line="273" w:lineRule="auto"/>
        <w:tabs>
          <w:tab w:leader="none" w:pos="720" w:val="left"/>
        </w:tabs>
        <w:numPr>
          <w:ilvl w:val="0"/>
          <w:numId w:val="69"/>
        </w:numPr>
        <w:rPr>
          <w:rFonts w:ascii="Times New Roman" w:cs="Times New Roman" w:eastAsia="Times New Roman" w:hAnsi="Times New Roman"/>
          <w:sz w:val="24"/>
          <w:szCs w:val="24"/>
          <w:color w:val="auto"/>
        </w:rPr>
      </w:pPr>
      <w:r>
        <w:rPr>
          <w:rFonts w:ascii="Times New Roman" w:cs="Times New Roman" w:eastAsia="Times New Roman" w:hAnsi="Times New Roman"/>
          <w:sz w:val="20"/>
          <w:szCs w:val="20"/>
          <w:color w:val="auto"/>
        </w:rPr>
        <w:t>The Company did not fully maintain components of the COSO framework, including elements of the control environment, risk assessment, information and communication and monitoring activities components, relating to (i) developing general control activities over technology to support the achievement of objectives across the entity, (ii) sufficiency of processes related to identifying and analyzing risks to the achievement of objectives, including technology, across the entity, and (iii) sufficiency of selecting and developing control activities that contribute to the mitigation of risks to the achievement of objectives to acceptable levels.</w:t>
      </w:r>
    </w:p>
    <w:p>
      <w:pPr>
        <w:spacing w:after="0" w:line="236" w:lineRule="exact"/>
        <w:rPr>
          <w:sz w:val="20"/>
          <w:szCs w:val="20"/>
          <w:color w:val="auto"/>
        </w:rPr>
      </w:pPr>
    </w:p>
    <w:p>
      <w:pPr>
        <w:ind w:right="100"/>
        <w:spacing w:after="0" w:line="319" w:lineRule="auto"/>
        <w:rPr>
          <w:sz w:val="20"/>
          <w:szCs w:val="20"/>
          <w:color w:val="auto"/>
        </w:rPr>
      </w:pPr>
      <w:r>
        <w:rPr>
          <w:rFonts w:ascii="Times New Roman" w:cs="Times New Roman" w:eastAsia="Times New Roman" w:hAnsi="Times New Roman"/>
          <w:sz w:val="20"/>
          <w:szCs w:val="20"/>
          <w:color w:val="auto"/>
        </w:rPr>
        <w:t>The entity level material weaknesses contributed to other material weaknesses within the Company’s system of internal control over financial reporting:</w:t>
      </w:r>
    </w:p>
    <w:p>
      <w:pPr>
        <w:spacing w:after="0" w:line="1" w:lineRule="exact"/>
        <w:rPr>
          <w:sz w:val="20"/>
          <w:szCs w:val="20"/>
          <w:color w:val="auto"/>
        </w:rPr>
      </w:pPr>
    </w:p>
    <w:p>
      <w:pPr>
        <w:jc w:val="both"/>
        <w:ind w:left="720" w:hanging="366"/>
        <w:spacing w:after="0" w:line="290" w:lineRule="auto"/>
        <w:tabs>
          <w:tab w:leader="none" w:pos="720" w:val="left"/>
        </w:tabs>
        <w:numPr>
          <w:ilvl w:val="0"/>
          <w:numId w:val="70"/>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The Company did not design and maintain effective information technology (IT) general controls for certain information systems supporting its key financial reporting processes. Specifically, the Company did not design, implement and maintain (a) change management controls to ensure that program and data changes affecting financial applications and underlying accounting records are identified, tested, authorized and implemented appropriately, (b) access controls to ensure appropriate IT segregation of duties are maintained that adequately restrict and segregate privileged access between environments which support development and production, and (c) controls to monitor on an on-going basis for the proper segregation of privileged access between environments which support development and production. As a result, IT application controls and business process controls that are dependent on the ineffective IT general controls, or that rely on data produced from systems impacted by the ineffective IT general controls, are also deemed ineffective, which affects substantially all of the Company’s financial statement account balances and disclosures.</w:t>
      </w:r>
    </w:p>
    <w:p>
      <w:pPr>
        <w:spacing w:after="0" w:line="5" w:lineRule="exact"/>
        <w:rPr>
          <w:rFonts w:ascii="Times New Roman" w:cs="Times New Roman" w:eastAsia="Times New Roman" w:hAnsi="Times New Roman"/>
          <w:sz w:val="19"/>
          <w:szCs w:val="19"/>
          <w:color w:val="auto"/>
        </w:rPr>
      </w:pPr>
    </w:p>
    <w:p>
      <w:pPr>
        <w:jc w:val="both"/>
        <w:ind w:left="720" w:hanging="366"/>
        <w:spacing w:after="0" w:line="276" w:lineRule="auto"/>
        <w:tabs>
          <w:tab w:leader="none" w:pos="720" w:val="left"/>
        </w:tabs>
        <w:numPr>
          <w:ilvl w:val="0"/>
          <w:numId w:val="7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Company did not design and maintain effective IT general controls for certain information systems supporting its key financial reporting processes. Specifically, the Company did not design, implement and maintain sufficient change management, security, and operations controls for certain in-scope on-premise applications and vendor-supported applications.</w:t>
      </w:r>
    </w:p>
    <w:p>
      <w:pPr>
        <w:jc w:val="both"/>
        <w:ind w:left="720" w:right="20" w:hanging="366"/>
        <w:spacing w:after="0" w:line="293" w:lineRule="auto"/>
        <w:tabs>
          <w:tab w:leader="none" w:pos="720" w:val="left"/>
        </w:tabs>
        <w:numPr>
          <w:ilvl w:val="0"/>
          <w:numId w:val="7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Company did not design and maintain effective process-level controls related to the order-to-cash cycle (including revenues, accounts receivables, and deferred revenue), procure-to-pay-cycle (including operating expenses, prepaid expenses and other current assets, accounts payable and accrued expenses), capitalized software, and long-term assets.</w:t>
      </w:r>
    </w:p>
    <w:p>
      <w:pPr>
        <w:spacing w:after="0" w:line="213" w:lineRule="exact"/>
        <w:rPr>
          <w:sz w:val="20"/>
          <w:szCs w:val="20"/>
          <w:color w:val="auto"/>
        </w:rPr>
      </w:pPr>
    </w:p>
    <w:p>
      <w:pPr>
        <w:ind w:right="300"/>
        <w:spacing w:after="0" w:line="306" w:lineRule="auto"/>
        <w:rPr>
          <w:sz w:val="20"/>
          <w:szCs w:val="20"/>
          <w:color w:val="auto"/>
        </w:rPr>
      </w:pPr>
      <w:r>
        <w:rPr>
          <w:rFonts w:ascii="Times New Roman" w:cs="Times New Roman" w:eastAsia="Times New Roman" w:hAnsi="Times New Roman"/>
          <w:sz w:val="20"/>
          <w:szCs w:val="20"/>
          <w:color w:val="auto"/>
        </w:rPr>
        <w:t>We considered the material weaknesses in determining the nature, timing, and extent of audit tests applied in our audit of the Company’s consolidated financial statements as of and for the year ended December 31, 2023, and our opinion on such consolidated financial statements was not affected.</w:t>
      </w:r>
    </w:p>
    <w:p>
      <w:pPr>
        <w:spacing w:after="0" w:line="65"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Definition and Limitations of Internal Control Over Financial Reporting</w:t>
      </w:r>
    </w:p>
    <w:p>
      <w:pPr>
        <w:spacing w:after="0" w:line="107" w:lineRule="exact"/>
        <w:rPr>
          <w:sz w:val="20"/>
          <w:szCs w:val="20"/>
          <w:color w:val="auto"/>
        </w:rPr>
      </w:pPr>
    </w:p>
    <w:p>
      <w:pPr>
        <w:ind w:right="200"/>
        <w:spacing w:after="0" w:line="310" w:lineRule="auto"/>
        <w:rPr>
          <w:sz w:val="20"/>
          <w:szCs w:val="20"/>
          <w:color w:val="auto"/>
        </w:rPr>
      </w:pPr>
      <w:r>
        <w:rPr>
          <w:rFonts w:ascii="Times New Roman" w:cs="Times New Roman" w:eastAsia="Times New Roman" w:hAnsi="Times New Roman"/>
          <w:sz w:val="19"/>
          <w:szCs w:val="19"/>
          <w:color w:val="auto"/>
        </w:rPr>
        <w:t>A company’s internal control over financial reporting is a process designed to provide reasonable assurance regarding the reliability of financial reporting and the preparation of financial statements for external purposes in accordance with generally accepted accounting principles. A company’s internal control over financial reporting includes those policies and procedures that (1) pertain to the maintenance of records that, in reasonable detail, accurately and fairly reflect the transactions and dispositions of the assets of the Company; (2) provide reasonable assurance that transactions are recorded as necessary to permit preparation of financial statements in accordance with generally accepted accounting principles, and that receipts and expenditures of the Company are being made only in accordance with authorizations of management and directors of the Company; and (3) provide reasonable assurance regarding prevention or timely detection of unauthorized acquisition, use, or disposition of the Company’s assets that could have a material effect on the consolidated financial statements.</w:t>
      </w:r>
    </w:p>
    <w:p>
      <w:pPr>
        <w:spacing w:after="0" w:line="66" w:lineRule="exact"/>
        <w:rPr>
          <w:sz w:val="20"/>
          <w:szCs w:val="20"/>
          <w:color w:val="auto"/>
        </w:rPr>
      </w:pPr>
    </w:p>
    <w:p>
      <w:pPr>
        <w:jc w:val="both"/>
        <w:ind w:right="480"/>
        <w:spacing w:after="0" w:line="316" w:lineRule="auto"/>
        <w:rPr>
          <w:sz w:val="20"/>
          <w:szCs w:val="20"/>
          <w:color w:val="auto"/>
        </w:rPr>
      </w:pPr>
      <w:r>
        <w:rPr>
          <w:rFonts w:ascii="Times New Roman" w:cs="Times New Roman" w:eastAsia="Times New Roman" w:hAnsi="Times New Roman"/>
          <w:sz w:val="19"/>
          <w:szCs w:val="19"/>
          <w:color w:val="auto"/>
        </w:rPr>
        <w:t>Because of its inherent limitations, internal control over financial reporting may not prevent or detect misstatements. Also, projections of any evaluation of effectiveness to future periods are subject to the risk that controls may become inadequate because of changes in conditions, or that the degree of compliance with the policies or procedures may deteriorate.</w:t>
      </w:r>
    </w:p>
    <w:p>
      <w:pPr>
        <w:spacing w:after="0" w:line="197"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Critical Audit Matters</w:t>
      </w:r>
    </w:p>
    <w:p>
      <w:pPr>
        <w:spacing w:after="0" w:line="99" w:lineRule="exact"/>
        <w:rPr>
          <w:sz w:val="20"/>
          <w:szCs w:val="20"/>
          <w:color w:val="auto"/>
        </w:rPr>
      </w:pPr>
    </w:p>
    <w:p>
      <w:pPr>
        <w:ind w:right="280"/>
        <w:spacing w:after="0" w:line="348" w:lineRule="auto"/>
        <w:rPr>
          <w:sz w:val="20"/>
          <w:szCs w:val="20"/>
          <w:color w:val="auto"/>
        </w:rPr>
      </w:pPr>
      <w:r>
        <w:rPr>
          <w:rFonts w:ascii="Times New Roman" w:cs="Times New Roman" w:eastAsia="Times New Roman" w:hAnsi="Times New Roman"/>
          <w:sz w:val="19"/>
          <w:szCs w:val="19"/>
          <w:color w:val="auto"/>
        </w:rPr>
        <w:t>The critical audit matters communicated below are matters arising from the current period audit of the consolidated financial statements that were communicated or required to be communicated to the audit committee and that (1) relate to accounts or</w:t>
      </w:r>
    </w:p>
    <w:p>
      <w:pPr>
        <w:sectPr>
          <w:pgSz w:w="12240" w:h="15840" w:orient="portrait"/>
          <w:cols w:equalWidth="0" w:num="1">
            <w:col w:w="10260"/>
          </w:cols>
          <w:pgMar w:left="1000" w:top="884" w:right="980" w:bottom="546" w:gutter="0" w:footer="0" w:header="0"/>
        </w:sectPr>
      </w:pPr>
    </w:p>
    <w:bookmarkStart w:id="117" w:name="page118"/>
    <w:bookmarkEnd w:id="117"/>
    <w:p>
      <w:pPr>
        <w:ind w:right="120"/>
        <w:spacing w:after="0" w:line="289" w:lineRule="auto"/>
        <w:rPr>
          <w:sz w:val="20"/>
          <w:szCs w:val="20"/>
          <w:color w:val="auto"/>
        </w:rPr>
      </w:pPr>
      <w:r>
        <w:rPr>
          <w:rFonts w:ascii="Times New Roman" w:cs="Times New Roman" w:eastAsia="Times New Roman" w:hAnsi="Times New Roman"/>
          <w:sz w:val="20"/>
          <w:szCs w:val="20"/>
          <w:color w:val="auto"/>
        </w:rPr>
        <w:t>disclosures that are material to the consolidated financial statements and (2) involved our especially challenging, subjective, or complex judgments. The communication of critical audit matters does not alter in any way our opinion on the consolidated financial statements, taken as a whole, and we are not, by communicating the critical audit matters below, providing a separate opinion on the critical audit matters or on the accounts or disclosures to which they relate.</w:t>
      </w:r>
    </w:p>
    <w:p>
      <w:pPr>
        <w:spacing w:after="0" w:line="215"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Allowance for Credit Losses on Accounts Receivable</w:t>
      </w:r>
    </w:p>
    <w:p>
      <w:pPr>
        <w:spacing w:after="0" w:line="103" w:lineRule="exact"/>
        <w:rPr>
          <w:sz w:val="20"/>
          <w:szCs w:val="20"/>
          <w:color w:val="auto"/>
        </w:rPr>
      </w:pPr>
    </w:p>
    <w:p>
      <w:pPr>
        <w:ind w:right="80"/>
        <w:spacing w:after="0" w:line="292" w:lineRule="auto"/>
        <w:rPr>
          <w:sz w:val="20"/>
          <w:szCs w:val="20"/>
          <w:color w:val="auto"/>
        </w:rPr>
      </w:pPr>
      <w:r>
        <w:rPr>
          <w:rFonts w:ascii="Times New Roman" w:cs="Times New Roman" w:eastAsia="Times New Roman" w:hAnsi="Times New Roman"/>
          <w:sz w:val="20"/>
          <w:szCs w:val="20"/>
          <w:color w:val="auto"/>
        </w:rPr>
        <w:t>As described in Note 2 to the consolidated financial statements, the Company maintains an allowance for credit losses that management believes to be sufficient to absorb estimated losses in the accounts receivable portfolio. As of December 31, 2023, the allowance for credit losses was $8.7 million. We identified the Company’s assessment of expected credit losses on its trade accounts receivable, as a critical audit matter. The determination of the allowance for credit losses involves significant judgment by management in assessing the likelihood of collection of a customer’s accounts receivable including assessment of various factors such as communications from the customer, historical collections, and the number of days accounts receivables have been outstanding. Auditing the significant assumptions and judgements used by management involved a high degree of auditor judgment and increased extent of effort when performing audit procedures and evaluating the results of those procedures. Additionally, as described in the “Basis for Opinions” section, a material weakness was identified in relation to this matter.</w:t>
      </w:r>
    </w:p>
    <w:p>
      <w:pPr>
        <w:spacing w:after="0" w:line="25"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The primary procedures we performed to address this critical audit matter included:</w:t>
      </w:r>
    </w:p>
    <w:p>
      <w:pPr>
        <w:spacing w:after="0" w:line="144" w:lineRule="exact"/>
        <w:rPr>
          <w:sz w:val="20"/>
          <w:szCs w:val="20"/>
          <w:color w:val="auto"/>
        </w:rPr>
      </w:pPr>
    </w:p>
    <w:p>
      <w:pPr>
        <w:ind w:left="720" w:hanging="366"/>
        <w:spacing w:after="0"/>
        <w:tabs>
          <w:tab w:leader="none" w:pos="720" w:val="left"/>
        </w:tabs>
        <w:numPr>
          <w:ilvl w:val="0"/>
          <w:numId w:val="71"/>
        </w:numPr>
        <w:rPr>
          <w:rFonts w:ascii="Times New Roman" w:cs="Times New Roman" w:eastAsia="Times New Roman" w:hAnsi="Times New Roman"/>
          <w:sz w:val="23"/>
          <w:szCs w:val="23"/>
          <w:color w:val="auto"/>
        </w:rPr>
      </w:pPr>
      <w:r>
        <w:rPr>
          <w:rFonts w:ascii="Times New Roman" w:cs="Times New Roman" w:eastAsia="Times New Roman" w:hAnsi="Times New Roman"/>
          <w:sz w:val="19"/>
          <w:szCs w:val="19"/>
          <w:color w:val="auto"/>
        </w:rPr>
        <w:t>Obtaining an understanding of management's processes and assumptions for developing the allowance for credit losses.</w:t>
      </w:r>
    </w:p>
    <w:p>
      <w:pPr>
        <w:spacing w:after="0" w:line="96" w:lineRule="exact"/>
        <w:rPr>
          <w:rFonts w:ascii="Times New Roman" w:cs="Times New Roman" w:eastAsia="Times New Roman" w:hAnsi="Times New Roman"/>
          <w:sz w:val="23"/>
          <w:szCs w:val="23"/>
          <w:color w:val="auto"/>
        </w:rPr>
      </w:pPr>
    </w:p>
    <w:p>
      <w:pPr>
        <w:ind w:left="720" w:hanging="366"/>
        <w:spacing w:after="0"/>
        <w:tabs>
          <w:tab w:leader="none" w:pos="720" w:val="left"/>
        </w:tabs>
        <w:numPr>
          <w:ilvl w:val="0"/>
          <w:numId w:val="71"/>
        </w:numPr>
        <w:rPr>
          <w:rFonts w:ascii="Times New Roman" w:cs="Times New Roman" w:eastAsia="Times New Roman" w:hAnsi="Times New Roman"/>
          <w:sz w:val="24"/>
          <w:szCs w:val="24"/>
          <w:color w:val="auto"/>
        </w:rPr>
      </w:pPr>
      <w:r>
        <w:rPr>
          <w:rFonts w:ascii="Times New Roman" w:cs="Times New Roman" w:eastAsia="Times New Roman" w:hAnsi="Times New Roman"/>
          <w:sz w:val="20"/>
          <w:szCs w:val="20"/>
          <w:color w:val="auto"/>
        </w:rPr>
        <w:t>Evaluating the methods and significant assumptions used by management including:</w:t>
      </w:r>
    </w:p>
    <w:p>
      <w:pPr>
        <w:spacing w:after="0" w:line="111" w:lineRule="exact"/>
        <w:rPr>
          <w:rFonts w:ascii="Times New Roman" w:cs="Times New Roman" w:eastAsia="Times New Roman" w:hAnsi="Times New Roman"/>
          <w:sz w:val="24"/>
          <w:szCs w:val="24"/>
          <w:color w:val="auto"/>
        </w:rPr>
      </w:pPr>
    </w:p>
    <w:p>
      <w:pPr>
        <w:jc w:val="both"/>
        <w:ind w:left="1440" w:hanging="366"/>
        <w:spacing w:after="0" w:line="278" w:lineRule="auto"/>
        <w:tabs>
          <w:tab w:leader="none" w:pos="1440" w:val="left"/>
        </w:tabs>
        <w:numPr>
          <w:ilvl w:val="1"/>
          <w:numId w:val="71"/>
        </w:numPr>
        <w:rPr>
          <w:rFonts w:ascii="Times New Roman" w:cs="Times New Roman" w:eastAsia="Times New Roman" w:hAnsi="Times New Roman"/>
          <w:sz w:val="24"/>
          <w:szCs w:val="24"/>
          <w:color w:val="auto"/>
        </w:rPr>
      </w:pPr>
      <w:r>
        <w:rPr>
          <w:rFonts w:ascii="Times New Roman" w:cs="Times New Roman" w:eastAsia="Times New Roman" w:hAnsi="Times New Roman"/>
          <w:sz w:val="20"/>
          <w:szCs w:val="20"/>
          <w:color w:val="auto"/>
        </w:rPr>
        <w:t>For customers that share similar risk characteristics, we evaluated the underlying assumptions in the determination of the allowance for credit losses including the historical credit loss rates and their application to a provisional matrix based on days outstanding;</w:t>
      </w:r>
    </w:p>
    <w:p>
      <w:pPr>
        <w:spacing w:after="0" w:line="76" w:lineRule="exact"/>
        <w:rPr>
          <w:rFonts w:ascii="Times New Roman" w:cs="Times New Roman" w:eastAsia="Times New Roman" w:hAnsi="Times New Roman"/>
          <w:sz w:val="24"/>
          <w:szCs w:val="24"/>
          <w:color w:val="auto"/>
        </w:rPr>
      </w:pPr>
    </w:p>
    <w:p>
      <w:pPr>
        <w:jc w:val="both"/>
        <w:ind w:left="1440" w:hanging="366"/>
        <w:spacing w:after="0" w:line="280" w:lineRule="auto"/>
        <w:tabs>
          <w:tab w:leader="none" w:pos="1440" w:val="left"/>
        </w:tabs>
        <w:numPr>
          <w:ilvl w:val="1"/>
          <w:numId w:val="71"/>
        </w:numPr>
        <w:rPr>
          <w:rFonts w:ascii="Times New Roman" w:cs="Times New Roman" w:eastAsia="Times New Roman" w:hAnsi="Times New Roman"/>
          <w:sz w:val="24"/>
          <w:szCs w:val="24"/>
          <w:color w:val="auto"/>
        </w:rPr>
      </w:pPr>
      <w:r>
        <w:rPr>
          <w:rFonts w:ascii="Times New Roman" w:cs="Times New Roman" w:eastAsia="Times New Roman" w:hAnsi="Times New Roman"/>
          <w:sz w:val="20"/>
          <w:szCs w:val="20"/>
          <w:color w:val="auto"/>
        </w:rPr>
        <w:t>For customers that lack similar risk characteristics, we evaluated the rationale for establishing a specific customer allowance for credit losses and assessed the reasonable of management’s estimate of the specific customer allowance by evaluating historical credit loss rates for these specific customers, historical and current collection trends, and the number of days accounts receivables have been outstanding.</w:t>
      </w:r>
    </w:p>
    <w:p>
      <w:pPr>
        <w:spacing w:after="0" w:line="75" w:lineRule="exact"/>
        <w:rPr>
          <w:rFonts w:ascii="Times New Roman" w:cs="Times New Roman" w:eastAsia="Times New Roman" w:hAnsi="Times New Roman"/>
          <w:sz w:val="24"/>
          <w:szCs w:val="24"/>
          <w:color w:val="auto"/>
        </w:rPr>
      </w:pPr>
    </w:p>
    <w:p>
      <w:pPr>
        <w:ind w:left="720" w:right="20" w:hanging="366"/>
        <w:spacing w:after="0" w:line="271" w:lineRule="auto"/>
        <w:tabs>
          <w:tab w:leader="none" w:pos="720" w:val="left"/>
        </w:tabs>
        <w:numPr>
          <w:ilvl w:val="0"/>
          <w:numId w:val="71"/>
        </w:numPr>
        <w:rPr>
          <w:rFonts w:ascii="Times New Roman" w:cs="Times New Roman" w:eastAsia="Times New Roman" w:hAnsi="Times New Roman"/>
          <w:sz w:val="24"/>
          <w:szCs w:val="24"/>
          <w:color w:val="auto"/>
        </w:rPr>
      </w:pPr>
      <w:r>
        <w:rPr>
          <w:rFonts w:ascii="Times New Roman" w:cs="Times New Roman" w:eastAsia="Times New Roman" w:hAnsi="Times New Roman"/>
          <w:sz w:val="20"/>
          <w:szCs w:val="20"/>
          <w:color w:val="auto"/>
        </w:rPr>
        <w:t>Testing the completeness and accuracy of the underlying data and evaluating the relevance and reliability of the sources of the data used by management.</w:t>
      </w:r>
    </w:p>
    <w:p>
      <w:pPr>
        <w:spacing w:after="0" w:line="76" w:lineRule="exact"/>
        <w:rPr>
          <w:rFonts w:ascii="Times New Roman" w:cs="Times New Roman" w:eastAsia="Times New Roman" w:hAnsi="Times New Roman"/>
          <w:sz w:val="24"/>
          <w:szCs w:val="24"/>
          <w:color w:val="auto"/>
        </w:rPr>
      </w:pPr>
    </w:p>
    <w:p>
      <w:pPr>
        <w:ind w:left="720" w:right="20" w:hanging="366"/>
        <w:spacing w:after="0" w:line="271" w:lineRule="auto"/>
        <w:tabs>
          <w:tab w:leader="none" w:pos="720" w:val="left"/>
        </w:tabs>
        <w:numPr>
          <w:ilvl w:val="0"/>
          <w:numId w:val="71"/>
        </w:numPr>
        <w:rPr>
          <w:rFonts w:ascii="Times New Roman" w:cs="Times New Roman" w:eastAsia="Times New Roman" w:hAnsi="Times New Roman"/>
          <w:sz w:val="24"/>
          <w:szCs w:val="24"/>
          <w:color w:val="auto"/>
        </w:rPr>
      </w:pPr>
      <w:r>
        <w:rPr>
          <w:rFonts w:ascii="Times New Roman" w:cs="Times New Roman" w:eastAsia="Times New Roman" w:hAnsi="Times New Roman"/>
          <w:sz w:val="20"/>
          <w:szCs w:val="20"/>
          <w:color w:val="auto"/>
        </w:rPr>
        <w:t>Evaluating subsequent collections and write-offs occurring after the balance sheet date for select customers and considering the impact of potential subsequent events on the estimate of the specific customer allowance.</w:t>
      </w:r>
    </w:p>
    <w:p>
      <w:pPr>
        <w:spacing w:after="0" w:line="298"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Revenue Recognition</w:t>
      </w:r>
    </w:p>
    <w:p>
      <w:pPr>
        <w:spacing w:after="0" w:line="103" w:lineRule="exact"/>
        <w:rPr>
          <w:sz w:val="20"/>
          <w:szCs w:val="20"/>
          <w:color w:val="auto"/>
        </w:rPr>
      </w:pPr>
    </w:p>
    <w:p>
      <w:pPr>
        <w:ind w:right="40"/>
        <w:spacing w:after="0" w:line="292" w:lineRule="auto"/>
        <w:rPr>
          <w:sz w:val="20"/>
          <w:szCs w:val="20"/>
          <w:color w:val="auto"/>
        </w:rPr>
      </w:pPr>
      <w:r>
        <w:rPr>
          <w:rFonts w:ascii="Times New Roman" w:cs="Times New Roman" w:eastAsia="Times New Roman" w:hAnsi="Times New Roman"/>
          <w:sz w:val="20"/>
          <w:szCs w:val="20"/>
          <w:color w:val="auto"/>
        </w:rPr>
        <w:t>As described in Note 2 to the consolidated financial statements, the Company has a certain subset of customers for whom management determined it was no longer probable that the Company will collect the consideration to which it will be entitled resulting in revenue not being recognized until the contract is completed and payment is received in accordance with ASC 606. The Company refers to customers in this situation as customers that have been placed on “cash basis”. We identified the Company’s evaluation of when a customer is placed on “cash basis” as a critical audit matter because of the significant judgment required by management in both making that determination as well as the timing of such determination. Management’s evaluation is based on the best information available to the Company and takes into consideration industry-specific circumstances, current discussions with the customers, as well as historical and current collection trends. This, in turn, led to a high degree of auditor judgment, subjectivity, and effort in performing procedures and evaluating audit evidence related to the Company’s “cash basis” determination. Additionally, as described in the “Basis for Opinions” section, a material weakness was identified in relation to this matter.</w:t>
      </w:r>
    </w:p>
    <w:p>
      <w:pPr>
        <w:spacing w:after="0" w:line="83"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The primary procedures we performed to address this critical audit matter included:</w:t>
      </w:r>
    </w:p>
    <w:p>
      <w:pPr>
        <w:spacing w:after="0" w:line="101" w:lineRule="exact"/>
        <w:rPr>
          <w:sz w:val="20"/>
          <w:szCs w:val="20"/>
          <w:color w:val="auto"/>
        </w:rPr>
      </w:pPr>
    </w:p>
    <w:p>
      <w:pPr>
        <w:ind w:left="720" w:right="220" w:hanging="366"/>
        <w:spacing w:after="0" w:line="348" w:lineRule="auto"/>
        <w:tabs>
          <w:tab w:leader="none" w:pos="720" w:val="left"/>
        </w:tabs>
        <w:numPr>
          <w:ilvl w:val="0"/>
          <w:numId w:val="72"/>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Obtaining an understanding of management’s process for evaluating whether it is probable the Company will collect the consideration to which it will be entitled for purposes of determining whether a contract exists under ASC 606.</w:t>
      </w:r>
    </w:p>
    <w:p>
      <w:pPr>
        <w:sectPr>
          <w:pgSz w:w="12240" w:h="15840" w:orient="portrait"/>
          <w:cols w:equalWidth="0" w:num="1">
            <w:col w:w="10260"/>
          </w:cols>
          <w:pgMar w:left="1000" w:top="884" w:right="980" w:bottom="682" w:gutter="0" w:footer="0" w:header="0"/>
        </w:sectPr>
      </w:pPr>
    </w:p>
    <w:bookmarkStart w:id="118" w:name="page119"/>
    <w:bookmarkEnd w:id="118"/>
    <w:p>
      <w:pPr>
        <w:ind w:left="720" w:right="20" w:hanging="366"/>
        <w:spacing w:after="0" w:line="279" w:lineRule="auto"/>
        <w:tabs>
          <w:tab w:leader="none" w:pos="720" w:val="left"/>
        </w:tabs>
        <w:numPr>
          <w:ilvl w:val="0"/>
          <w:numId w:val="7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Evaluating the judgments made by management in determining whether to place a customer on a “cash basis” because it was no longer probable that the Company will collect the consideration to which it will be entitled.</w:t>
      </w:r>
    </w:p>
    <w:p>
      <w:pPr>
        <w:spacing w:after="0" w:line="1" w:lineRule="exact"/>
        <w:rPr>
          <w:rFonts w:ascii="Times New Roman" w:cs="Times New Roman" w:eastAsia="Times New Roman" w:hAnsi="Times New Roman"/>
          <w:sz w:val="20"/>
          <w:szCs w:val="20"/>
          <w:color w:val="auto"/>
        </w:rPr>
      </w:pPr>
    </w:p>
    <w:p>
      <w:pPr>
        <w:ind w:left="720" w:right="340" w:hanging="366"/>
        <w:spacing w:after="0" w:line="275" w:lineRule="auto"/>
        <w:tabs>
          <w:tab w:leader="none" w:pos="720" w:val="left"/>
        </w:tabs>
        <w:numPr>
          <w:ilvl w:val="0"/>
          <w:numId w:val="7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Evaluating the reasonableness of the date at which management determined that it was no longer probable that the Company would collect the consideration to which it will be entitled. This included evaluating management’s assertions regarding collectability of outstanding accounts receivable for these customers.</w:t>
      </w:r>
    </w:p>
    <w:p>
      <w:pPr>
        <w:spacing w:after="0" w:line="1" w:lineRule="exact"/>
        <w:rPr>
          <w:rFonts w:ascii="Times New Roman" w:cs="Times New Roman" w:eastAsia="Times New Roman" w:hAnsi="Times New Roman"/>
          <w:sz w:val="20"/>
          <w:szCs w:val="20"/>
          <w:color w:val="auto"/>
        </w:rPr>
      </w:pPr>
    </w:p>
    <w:p>
      <w:pPr>
        <w:ind w:left="720" w:hanging="366"/>
        <w:spacing w:after="0" w:line="275" w:lineRule="auto"/>
        <w:tabs>
          <w:tab w:leader="none" w:pos="720" w:val="left"/>
        </w:tabs>
        <w:numPr>
          <w:ilvl w:val="0"/>
          <w:numId w:val="7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Evaluating whether the population of customers placed on a “cash basis” was complete as of December 31, 2023. This included comparing actual cash collections and write-offs to the assumptions made as of the determination date in order to evaluate the reasonableness of management’s estimate.</w:t>
      </w:r>
    </w:p>
    <w:p>
      <w:pPr>
        <w:spacing w:after="0" w:line="1" w:lineRule="exact"/>
        <w:rPr>
          <w:rFonts w:ascii="Times New Roman" w:cs="Times New Roman" w:eastAsia="Times New Roman" w:hAnsi="Times New Roman"/>
          <w:sz w:val="20"/>
          <w:szCs w:val="20"/>
          <w:color w:val="auto"/>
        </w:rPr>
      </w:pPr>
    </w:p>
    <w:p>
      <w:pPr>
        <w:ind w:left="720" w:hanging="366"/>
        <w:spacing w:after="0"/>
        <w:tabs>
          <w:tab w:leader="none" w:pos="720" w:val="left"/>
        </w:tabs>
        <w:numPr>
          <w:ilvl w:val="0"/>
          <w:numId w:val="7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Testing the completeness and accuracy of the underlying data used in management’s analysis.</w:t>
      </w:r>
    </w:p>
    <w:p>
      <w:pPr>
        <w:spacing w:after="0" w:line="200" w:lineRule="exact"/>
        <w:rPr>
          <w:sz w:val="20"/>
          <w:szCs w:val="20"/>
          <w:color w:val="auto"/>
        </w:rPr>
      </w:pPr>
    </w:p>
    <w:p>
      <w:pPr>
        <w:spacing w:after="0" w:line="359"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/s/ Moss Adams LLP</w:t>
      </w:r>
    </w:p>
    <w:p>
      <w:pPr>
        <w:spacing w:after="0" w:line="29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Irvine, California</w:t>
      </w:r>
    </w:p>
    <w:p>
      <w:pPr>
        <w:spacing w:after="0" w:line="4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May 24, 2024</w:t>
      </w:r>
    </w:p>
    <w:p>
      <w:pPr>
        <w:spacing w:after="0" w:line="292"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We have served as the Company’s auditor since 2023.</w:t>
      </w:r>
    </w:p>
    <w:p>
      <w:pPr>
        <w:sectPr>
          <w:pgSz w:w="12240" w:h="15840" w:orient="portrait"/>
          <w:cols w:equalWidth="0" w:num="1">
            <w:col w:w="10200"/>
          </w:cols>
          <w:pgMar w:left="1000" w:top="884" w:right="1040" w:bottom="1440" w:gutter="0" w:footer="0" w:header="0"/>
        </w:sectPr>
      </w:pPr>
    </w:p>
    <w:bookmarkStart w:id="119" w:name="page120"/>
    <w:bookmarkEnd w:id="119"/>
    <w:p>
      <w:pPr>
        <w:jc w:val="center"/>
        <w:ind w:right="20"/>
        <w:spacing w:after="0"/>
        <w:rPr>
          <w:sz w:val="20"/>
          <w:szCs w:val="20"/>
          <w:color w:val="auto"/>
        </w:rPr>
      </w:pPr>
      <w:r>
        <w:rPr>
          <w:rFonts w:ascii="Times New Roman" w:cs="Times New Roman" w:eastAsia="Times New Roman" w:hAnsi="Times New Roman"/>
          <w:sz w:val="20"/>
          <w:szCs w:val="20"/>
          <w:b w:val="1"/>
          <w:bCs w:val="1"/>
          <w:color w:val="auto"/>
        </w:rPr>
        <w:t>Report of Independent Registered Public Accounting Firm</w:t>
      </w:r>
    </w:p>
    <w:p>
      <w:pPr>
        <w:spacing w:after="0" w:line="200" w:lineRule="exact"/>
        <w:rPr>
          <w:sz w:val="20"/>
          <w:szCs w:val="20"/>
          <w:color w:val="auto"/>
        </w:rPr>
      </w:pPr>
    </w:p>
    <w:p>
      <w:pPr>
        <w:spacing w:after="0" w:line="200" w:lineRule="exact"/>
        <w:rPr>
          <w:sz w:val="20"/>
          <w:szCs w:val="20"/>
          <w:color w:val="auto"/>
        </w:rPr>
      </w:pPr>
    </w:p>
    <w:p>
      <w:pPr>
        <w:spacing w:after="0" w:line="385"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To the stockholders and board of directors of WM Technology, Inc.:</w:t>
      </w:r>
    </w:p>
    <w:p>
      <w:pPr>
        <w:spacing w:after="0" w:line="339"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Opinion on the Financial Statements</w:t>
      </w:r>
    </w:p>
    <w:p>
      <w:pPr>
        <w:spacing w:after="0" w:line="348" w:lineRule="exact"/>
        <w:rPr>
          <w:sz w:val="20"/>
          <w:szCs w:val="20"/>
          <w:color w:val="auto"/>
        </w:rPr>
      </w:pPr>
    </w:p>
    <w:p>
      <w:pPr>
        <w:jc w:val="both"/>
        <w:ind w:right="20"/>
        <w:spacing w:after="0" w:line="277" w:lineRule="auto"/>
        <w:rPr>
          <w:sz w:val="20"/>
          <w:szCs w:val="20"/>
          <w:color w:val="auto"/>
        </w:rPr>
      </w:pPr>
      <w:r>
        <w:rPr>
          <w:rFonts w:ascii="Times New Roman" w:cs="Times New Roman" w:eastAsia="Times New Roman" w:hAnsi="Times New Roman"/>
          <w:sz w:val="20"/>
          <w:szCs w:val="20"/>
          <w:color w:val="auto"/>
        </w:rPr>
        <w:t>We have audited the accompanying consolidated balance sheet of WM Technology, Inc. (the “Company”) as of December 31, 2022, the related consolidated statements of operations, changes in stockholders’ equity and cash flows for the years ended December 31, 2022 and 2021, and the related notes (collectively referred to as the “consolidated financial statements”). In our opinion, the consolidated financial statements present fairly, in all material respects, the financial position of the Company as of December 31, 2022, and the results of its operations and its cash flows for years ended December 31, 2022 and 2021, in conformity with accounting principles generally accepted in the United States of America.</w:t>
      </w:r>
    </w:p>
    <w:p>
      <w:pPr>
        <w:spacing w:after="0" w:line="27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Basis for Opinion</w:t>
      </w:r>
    </w:p>
    <w:p>
      <w:pPr>
        <w:spacing w:after="0" w:line="348" w:lineRule="exact"/>
        <w:rPr>
          <w:sz w:val="20"/>
          <w:szCs w:val="20"/>
          <w:color w:val="auto"/>
        </w:rPr>
      </w:pPr>
    </w:p>
    <w:p>
      <w:pPr>
        <w:jc w:val="both"/>
        <w:spacing w:after="0" w:line="279" w:lineRule="auto"/>
        <w:rPr>
          <w:sz w:val="20"/>
          <w:szCs w:val="20"/>
          <w:color w:val="auto"/>
        </w:rPr>
      </w:pPr>
      <w:r>
        <w:rPr>
          <w:rFonts w:ascii="Times New Roman" w:cs="Times New Roman" w:eastAsia="Times New Roman" w:hAnsi="Times New Roman"/>
          <w:sz w:val="20"/>
          <w:szCs w:val="20"/>
          <w:color w:val="auto"/>
        </w:rPr>
        <w:t>These consolidated financial statements are the responsibility of the Company’s management. Our responsibility is to express an opinion on the Company’s consolidated financial statements based on our audits. We are a public accounting firm registered with the Public Company Accounting Oversight Board (United States) ("PCAOB") and are required to be independent with respect to the Company in accordance with the U.S. federal securities laws and the applicable rules and regulations of the Securities and Exchange Commission and the PCAOB.</w:t>
      </w:r>
    </w:p>
    <w:p>
      <w:pPr>
        <w:spacing w:after="0" w:line="269" w:lineRule="exact"/>
        <w:rPr>
          <w:sz w:val="20"/>
          <w:szCs w:val="20"/>
          <w:color w:val="auto"/>
        </w:rPr>
      </w:pPr>
    </w:p>
    <w:p>
      <w:pPr>
        <w:jc w:val="both"/>
        <w:ind w:right="20"/>
        <w:spacing w:after="0" w:line="291" w:lineRule="auto"/>
        <w:rPr>
          <w:sz w:val="20"/>
          <w:szCs w:val="20"/>
          <w:color w:val="auto"/>
        </w:rPr>
      </w:pPr>
      <w:r>
        <w:rPr>
          <w:rFonts w:ascii="Times New Roman" w:cs="Times New Roman" w:eastAsia="Times New Roman" w:hAnsi="Times New Roman"/>
          <w:sz w:val="20"/>
          <w:szCs w:val="20"/>
          <w:color w:val="auto"/>
        </w:rPr>
        <w:t>We conducted our audits in accordance with the standards of the PCAOB. Those standards require that we plan and perform the audits to obtain reasonable assurance about whether the consolidated financial statements are free of material misstatement, whether due to error or fraud.</w:t>
      </w:r>
    </w:p>
    <w:p>
      <w:pPr>
        <w:spacing w:after="0" w:line="258" w:lineRule="exact"/>
        <w:rPr>
          <w:sz w:val="20"/>
          <w:szCs w:val="20"/>
          <w:color w:val="auto"/>
        </w:rPr>
      </w:pPr>
    </w:p>
    <w:p>
      <w:pPr>
        <w:jc w:val="both"/>
        <w:spacing w:after="0" w:line="279" w:lineRule="auto"/>
        <w:rPr>
          <w:sz w:val="20"/>
          <w:szCs w:val="20"/>
          <w:color w:val="auto"/>
        </w:rPr>
      </w:pPr>
      <w:r>
        <w:rPr>
          <w:rFonts w:ascii="Times New Roman" w:cs="Times New Roman" w:eastAsia="Times New Roman" w:hAnsi="Times New Roman"/>
          <w:sz w:val="20"/>
          <w:szCs w:val="20"/>
          <w:color w:val="auto"/>
        </w:rPr>
        <w:t>Our audits included performing procedures to assess the risks of material misstatement of the consolidated financial statements, whether due to error or fraud, and performing procedures that respond to those risks. Such procedures included examining, on a test basis, evidence regarding the amounts and disclosures in the consolidated financial statements. Our audits also included evaluating the accounting principles used and significant estimates made by management, as well as evaluating the overall presentation of the consolidated financial statements. We believe that our audits provide a reasonable basis for our opinions.</w:t>
      </w:r>
    </w:p>
    <w:p>
      <w:pPr>
        <w:spacing w:after="0" w:line="267"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Emphasis of Matter Related to the Company’s Operations</w:t>
      </w:r>
    </w:p>
    <w:p>
      <w:pPr>
        <w:spacing w:after="0" w:line="348" w:lineRule="exact"/>
        <w:rPr>
          <w:sz w:val="20"/>
          <w:szCs w:val="20"/>
          <w:color w:val="auto"/>
        </w:rPr>
      </w:pPr>
    </w:p>
    <w:p>
      <w:pPr>
        <w:jc w:val="both"/>
        <w:spacing w:after="0" w:line="279" w:lineRule="auto"/>
        <w:rPr>
          <w:sz w:val="20"/>
          <w:szCs w:val="20"/>
          <w:color w:val="auto"/>
        </w:rPr>
      </w:pPr>
      <w:r>
        <w:rPr>
          <w:rFonts w:ascii="Times New Roman" w:cs="Times New Roman" w:eastAsia="Times New Roman" w:hAnsi="Times New Roman"/>
          <w:sz w:val="20"/>
          <w:szCs w:val="20"/>
          <w:color w:val="auto"/>
        </w:rPr>
        <w:t>The Company is an organization that provides online directory services to legalized cannabis companies. As discussed in Note 2, the Company operates in an industry where laws and regulations vary significantly by jurisdiction. Currently, several states permit medicinal or recreational use of cannabis; however, the use of cannabis is prohibited on a federal level in the United States. If any of the states that permit use of cannabis were to change their laws or the federal government was to actively enforce such prohibition, the Company’s business could be adversely affected.</w:t>
      </w:r>
    </w:p>
    <w:p>
      <w:pPr>
        <w:spacing w:after="0" w:line="269"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/s/ Baker Tilly US, LLP</w:t>
      </w:r>
    </w:p>
    <w:p>
      <w:pPr>
        <w:spacing w:after="0" w:line="34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We served as the Company's auditor from 2014 to 2023.</w:t>
      </w:r>
    </w:p>
    <w:p>
      <w:pPr>
        <w:spacing w:after="0" w:line="34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Irvine, California</w:t>
      </w:r>
    </w:p>
    <w:p>
      <w:pPr>
        <w:spacing w:after="0" w:line="4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March 16, 2023</w:t>
      </w:r>
    </w:p>
    <w:p>
      <w:pPr>
        <w:sectPr>
          <w:pgSz w:w="12240" w:h="15840" w:orient="portrait"/>
          <w:cols w:equalWidth="0" w:num="1">
            <w:col w:w="10260"/>
          </w:cols>
          <w:pgMar w:left="1000" w:top="882" w:right="980" w:bottom="1440" w:gutter="0" w:footer="0" w:header="0"/>
        </w:sectPr>
      </w:pPr>
    </w:p>
    <w:bookmarkStart w:id="120" w:name="page121"/>
    <w:bookmarkEnd w:id="120"/>
    <w:p>
      <w:pPr>
        <w:jc w:val="center"/>
        <w:ind w:right="20"/>
        <w:spacing w:after="0"/>
        <w:rPr>
          <w:sz w:val="20"/>
          <w:szCs w:val="20"/>
          <w:color w:val="auto"/>
        </w:rPr>
      </w:pPr>
      <w:r>
        <w:rPr>
          <w:rFonts w:ascii="Times New Roman" w:cs="Times New Roman" w:eastAsia="Times New Roman" w:hAnsi="Times New Roman"/>
          <w:sz w:val="20"/>
          <w:szCs w:val="20"/>
          <w:b w:val="1"/>
          <w:bCs w:val="1"/>
          <w:color w:val="auto"/>
        </w:rPr>
        <w:t>WM TECHNOLOGY, INC. AND SUBSIDIARIES</w:t>
      </w:r>
    </w:p>
    <w:p>
      <w:pPr>
        <w:spacing w:after="0" w:line="48"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20"/>
          <w:szCs w:val="20"/>
          <w:b w:val="1"/>
          <w:bCs w:val="1"/>
          <w:color w:val="auto"/>
        </w:rPr>
        <w:t>CONSOLIDATED BALANCE SHEETS</w:t>
      </w:r>
    </w:p>
    <w:p>
      <w:pPr>
        <w:spacing w:after="0" w:line="4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(In thousands, except for share data)</w:t>
      </w:r>
    </w:p>
    <w:p>
      <w:pPr>
        <w:spacing w:after="0" w:line="216" w:lineRule="exact"/>
        <w:rPr>
          <w:sz w:val="20"/>
          <w:szCs w:val="20"/>
          <w:color w:val="auto"/>
        </w:rPr>
      </w:pPr>
    </w:p>
    <w:tbl>
      <w:tblPr>
        <w:tblLayout w:type="fixed"/>
        <w:tblInd w:w="0" w:type="dxa"/>
        <w:tblCellMar>
          <w:top w:w="0" w:type="dxa"/>
          <w:left w:w="0" w:type="dxa"/>
          <w:bottom w:w="0" w:type="dxa"/>
          <w:right w:w="0" w:type="dxa"/>
        </w:tblCellMar>
      </w:tblPr>
      <w:tr>
        <w:trPr>
          <w:trHeight w:val="281"/>
        </w:trPr>
        <w:tc>
          <w:tcPr>
            <w:tcW w:w="68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80" w:type="dxa"/>
            <w:vAlign w:val="bottom"/>
            <w:tcBorders>
              <w:bottom w:val="single" w:sz="8" w:color="auto"/>
            </w:tcBorders>
          </w:tcPr>
          <w:p>
            <w:pPr>
              <w:spacing w:after="0"/>
              <w:rPr>
                <w:sz w:val="24"/>
                <w:szCs w:val="24"/>
                <w:color w:val="auto"/>
              </w:rPr>
            </w:pPr>
          </w:p>
        </w:tc>
        <w:tc>
          <w:tcPr>
            <w:tcW w:w="1960" w:type="dxa"/>
            <w:vAlign w:val="bottom"/>
            <w:tcBorders>
              <w:bottom w:val="single" w:sz="8" w:color="auto"/>
            </w:tcBorders>
            <w:gridSpan w:val="4"/>
          </w:tcPr>
          <w:p>
            <w:pPr>
              <w:jc w:val="right"/>
              <w:spacing w:after="0"/>
              <w:rPr>
                <w:sz w:val="20"/>
                <w:szCs w:val="20"/>
                <w:color w:val="auto"/>
              </w:rPr>
            </w:pPr>
            <w:r>
              <w:rPr>
                <w:rFonts w:ascii="Times New Roman" w:cs="Times New Roman" w:eastAsia="Times New Roman" w:hAnsi="Times New Roman"/>
                <w:sz w:val="20"/>
                <w:szCs w:val="20"/>
                <w:b w:val="1"/>
                <w:bCs w:val="1"/>
                <w:color w:val="auto"/>
              </w:rPr>
              <w:t>December 31,</w:t>
            </w:r>
          </w:p>
        </w:tc>
        <w:tc>
          <w:tcPr>
            <w:tcW w:w="110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6800" w:type="dxa"/>
            <w:vAlign w:val="bottom"/>
            <w:tcBorders>
              <w:bottom w:val="single" w:sz="8" w:color="DDDDDD"/>
            </w:tcBorders>
          </w:tcPr>
          <w:p>
            <w:pPr>
              <w:spacing w:after="0"/>
              <w:rPr>
                <w:sz w:val="24"/>
                <w:szCs w:val="24"/>
                <w:color w:val="auto"/>
              </w:rPr>
            </w:pPr>
          </w:p>
        </w:tc>
        <w:tc>
          <w:tcPr>
            <w:tcW w:w="20" w:type="dxa"/>
            <w:vAlign w:val="bottom"/>
            <w:tcBorders>
              <w:bottom w:val="single" w:sz="8" w:color="DDDDDD"/>
            </w:tcBorders>
          </w:tcPr>
          <w:p>
            <w:pPr>
              <w:spacing w:after="0"/>
              <w:rPr>
                <w:sz w:val="24"/>
                <w:szCs w:val="24"/>
                <w:color w:val="auto"/>
              </w:rPr>
            </w:pPr>
          </w:p>
        </w:tc>
        <w:tc>
          <w:tcPr>
            <w:tcW w:w="380" w:type="dxa"/>
            <w:vAlign w:val="bottom"/>
            <w:tcBorders>
              <w:bottom w:val="single" w:sz="8" w:color="auto"/>
            </w:tcBorders>
          </w:tcPr>
          <w:p>
            <w:pPr>
              <w:spacing w:after="0"/>
              <w:rPr>
                <w:sz w:val="24"/>
                <w:szCs w:val="24"/>
                <w:color w:val="auto"/>
              </w:rPr>
            </w:pPr>
          </w:p>
        </w:tc>
        <w:tc>
          <w:tcPr>
            <w:tcW w:w="1300" w:type="dxa"/>
            <w:vAlign w:val="bottom"/>
            <w:tcBorders>
              <w:bottom w:val="single" w:sz="8" w:color="auto"/>
            </w:tcBorders>
          </w:tcPr>
          <w:p>
            <w:pPr>
              <w:jc w:val="right"/>
              <w:ind w:right="559"/>
              <w:spacing w:after="0"/>
              <w:rPr>
                <w:sz w:val="20"/>
                <w:szCs w:val="20"/>
                <w:color w:val="auto"/>
              </w:rPr>
            </w:pPr>
            <w:r>
              <w:rPr>
                <w:rFonts w:ascii="Times New Roman" w:cs="Times New Roman" w:eastAsia="Times New Roman" w:hAnsi="Times New Roman"/>
                <w:sz w:val="20"/>
                <w:szCs w:val="20"/>
                <w:b w:val="1"/>
                <w:bCs w:val="1"/>
                <w:color w:val="auto"/>
              </w:rPr>
              <w:t>2023</w:t>
            </w:r>
          </w:p>
        </w:tc>
        <w:tc>
          <w:tcPr>
            <w:tcW w:w="40" w:type="dxa"/>
            <w:vAlign w:val="bottom"/>
            <w:tcBorders>
              <w:bottom w:val="single" w:sz="8" w:color="DDDDDD"/>
            </w:tcBorders>
          </w:tcPr>
          <w:p>
            <w:pPr>
              <w:spacing w:after="0"/>
              <w:rPr>
                <w:sz w:val="24"/>
                <w:szCs w:val="24"/>
                <w:color w:val="auto"/>
              </w:rPr>
            </w:pPr>
          </w:p>
        </w:tc>
        <w:tc>
          <w:tcPr>
            <w:tcW w:w="20" w:type="dxa"/>
            <w:vAlign w:val="bottom"/>
            <w:tcBorders>
              <w:bottom w:val="single" w:sz="8" w:color="DDDDDD"/>
            </w:tcBorders>
          </w:tcPr>
          <w:p>
            <w:pPr>
              <w:spacing w:after="0"/>
              <w:rPr>
                <w:sz w:val="24"/>
                <w:szCs w:val="24"/>
                <w:color w:val="auto"/>
              </w:rPr>
            </w:pPr>
          </w:p>
        </w:tc>
        <w:tc>
          <w:tcPr>
            <w:tcW w:w="600" w:type="dxa"/>
            <w:vAlign w:val="bottom"/>
            <w:tcBorders>
              <w:bottom w:val="single" w:sz="8" w:color="auto"/>
            </w:tcBorders>
          </w:tcPr>
          <w:p>
            <w:pPr>
              <w:spacing w:after="0"/>
              <w:rPr>
                <w:sz w:val="24"/>
                <w:szCs w:val="24"/>
                <w:color w:val="auto"/>
              </w:rPr>
            </w:pPr>
          </w:p>
        </w:tc>
        <w:tc>
          <w:tcPr>
            <w:tcW w:w="1100" w:type="dxa"/>
            <w:vAlign w:val="bottom"/>
            <w:tcBorders>
              <w:bottom w:val="single" w:sz="8" w:color="auto"/>
            </w:tcBorders>
          </w:tcPr>
          <w:p>
            <w:pPr>
              <w:jc w:val="right"/>
              <w:ind w:right="559"/>
              <w:spacing w:after="0"/>
              <w:rPr>
                <w:sz w:val="20"/>
                <w:szCs w:val="20"/>
                <w:color w:val="auto"/>
              </w:rPr>
            </w:pPr>
            <w:r>
              <w:rPr>
                <w:rFonts w:ascii="Times New Roman" w:cs="Times New Roman" w:eastAsia="Times New Roman" w:hAnsi="Times New Roman"/>
                <w:sz w:val="20"/>
                <w:szCs w:val="20"/>
                <w:b w:val="1"/>
                <w:bCs w:val="1"/>
                <w:color w:val="auto"/>
              </w:rPr>
              <w:t>2022</w:t>
            </w:r>
          </w:p>
        </w:tc>
        <w:tc>
          <w:tcPr>
            <w:tcW w:w="0" w:type="dxa"/>
            <w:vAlign w:val="bottom"/>
          </w:tcPr>
          <w:p>
            <w:pPr>
              <w:spacing w:after="0"/>
              <w:rPr>
                <w:sz w:val="1"/>
                <w:szCs w:val="1"/>
                <w:color w:val="auto"/>
              </w:rPr>
            </w:pPr>
          </w:p>
        </w:tc>
      </w:tr>
      <w:tr>
        <w:trPr>
          <w:trHeight w:val="264"/>
        </w:trPr>
        <w:tc>
          <w:tcPr>
            <w:tcW w:w="6820" w:type="dxa"/>
            <w:vAlign w:val="bottom"/>
            <w:gridSpan w:val="2"/>
            <w:shd w:val="clear" w:color="auto" w:fill="DDDDDD"/>
          </w:tcPr>
          <w:p>
            <w:pPr>
              <w:ind w:left="40"/>
              <w:spacing w:after="0"/>
              <w:rPr>
                <w:sz w:val="20"/>
                <w:szCs w:val="20"/>
                <w:color w:val="auto"/>
              </w:rPr>
            </w:pPr>
            <w:r>
              <w:rPr>
                <w:rFonts w:ascii="Times New Roman" w:cs="Times New Roman" w:eastAsia="Times New Roman" w:hAnsi="Times New Roman"/>
                <w:sz w:val="20"/>
                <w:szCs w:val="20"/>
                <w:b w:val="1"/>
                <w:bCs w:val="1"/>
                <w:color w:val="auto"/>
              </w:rPr>
              <w:t>Assets</w:t>
            </w:r>
          </w:p>
        </w:tc>
        <w:tc>
          <w:tcPr>
            <w:tcW w:w="380" w:type="dxa"/>
            <w:vAlign w:val="bottom"/>
            <w:shd w:val="clear" w:color="auto" w:fill="DDDDDD"/>
          </w:tcPr>
          <w:p>
            <w:pPr>
              <w:spacing w:after="0"/>
              <w:rPr>
                <w:sz w:val="22"/>
                <w:szCs w:val="22"/>
                <w:color w:val="auto"/>
              </w:rPr>
            </w:pPr>
          </w:p>
        </w:tc>
        <w:tc>
          <w:tcPr>
            <w:tcW w:w="1300" w:type="dxa"/>
            <w:vAlign w:val="bottom"/>
            <w:shd w:val="clear" w:color="auto" w:fill="DDDDDD"/>
          </w:tcPr>
          <w:p>
            <w:pPr>
              <w:spacing w:after="0"/>
              <w:rPr>
                <w:sz w:val="22"/>
                <w:szCs w:val="22"/>
                <w:color w:val="auto"/>
              </w:rPr>
            </w:pPr>
          </w:p>
        </w:tc>
        <w:tc>
          <w:tcPr>
            <w:tcW w:w="40" w:type="dxa"/>
            <w:vAlign w:val="bottom"/>
            <w:shd w:val="clear" w:color="auto" w:fill="DDDDDD"/>
          </w:tcPr>
          <w:p>
            <w:pPr>
              <w:spacing w:after="0"/>
              <w:rPr>
                <w:sz w:val="22"/>
                <w:szCs w:val="22"/>
                <w:color w:val="auto"/>
              </w:rPr>
            </w:pPr>
          </w:p>
        </w:tc>
        <w:tc>
          <w:tcPr>
            <w:tcW w:w="20" w:type="dxa"/>
            <w:vAlign w:val="bottom"/>
            <w:shd w:val="clear" w:color="auto" w:fill="DDDDDD"/>
          </w:tcPr>
          <w:p>
            <w:pPr>
              <w:spacing w:after="0"/>
              <w:rPr>
                <w:sz w:val="22"/>
                <w:szCs w:val="22"/>
                <w:color w:val="auto"/>
              </w:rPr>
            </w:pPr>
          </w:p>
        </w:tc>
        <w:tc>
          <w:tcPr>
            <w:tcW w:w="600" w:type="dxa"/>
            <w:vAlign w:val="bottom"/>
            <w:shd w:val="clear" w:color="auto" w:fill="DDDDDD"/>
          </w:tcPr>
          <w:p>
            <w:pPr>
              <w:spacing w:after="0"/>
              <w:rPr>
                <w:sz w:val="22"/>
                <w:szCs w:val="22"/>
                <w:color w:val="auto"/>
              </w:rPr>
            </w:pPr>
          </w:p>
        </w:tc>
        <w:tc>
          <w:tcPr>
            <w:tcW w:w="1100" w:type="dxa"/>
            <w:vAlign w:val="bottom"/>
            <w:shd w:val="clear" w:color="auto" w:fill="DDDDDD"/>
          </w:tcPr>
          <w:p>
            <w:pPr>
              <w:spacing w:after="0"/>
              <w:rPr>
                <w:sz w:val="22"/>
                <w:szCs w:val="22"/>
                <w:color w:val="auto"/>
              </w:rPr>
            </w:pPr>
          </w:p>
        </w:tc>
        <w:tc>
          <w:tcPr>
            <w:tcW w:w="0" w:type="dxa"/>
            <w:vAlign w:val="bottom"/>
          </w:tcPr>
          <w:p>
            <w:pPr>
              <w:spacing w:after="0"/>
              <w:rPr>
                <w:sz w:val="1"/>
                <w:szCs w:val="1"/>
                <w:color w:val="auto"/>
              </w:rPr>
            </w:pPr>
          </w:p>
        </w:tc>
      </w:tr>
      <w:tr>
        <w:trPr>
          <w:trHeight w:val="288"/>
        </w:trPr>
        <w:tc>
          <w:tcPr>
            <w:tcW w:w="6820" w:type="dxa"/>
            <w:vAlign w:val="bottom"/>
            <w:gridSpan w:val="2"/>
          </w:tcPr>
          <w:p>
            <w:pPr>
              <w:ind w:left="40"/>
              <w:spacing w:after="0"/>
              <w:rPr>
                <w:sz w:val="20"/>
                <w:szCs w:val="20"/>
                <w:color w:val="auto"/>
              </w:rPr>
            </w:pPr>
            <w:r>
              <w:rPr>
                <w:rFonts w:ascii="Times New Roman" w:cs="Times New Roman" w:eastAsia="Times New Roman" w:hAnsi="Times New Roman"/>
                <w:sz w:val="20"/>
                <w:szCs w:val="20"/>
                <w:color w:val="auto"/>
              </w:rPr>
              <w:t>Current assets</w:t>
            </w:r>
          </w:p>
        </w:tc>
        <w:tc>
          <w:tcPr>
            <w:tcW w:w="38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81"/>
        </w:trPr>
        <w:tc>
          <w:tcPr>
            <w:tcW w:w="6800" w:type="dxa"/>
            <w:vAlign w:val="bottom"/>
            <w:shd w:val="clear" w:color="auto" w:fill="DDDDDD"/>
          </w:tcPr>
          <w:p>
            <w:pPr>
              <w:ind w:left="280"/>
              <w:spacing w:after="0"/>
              <w:rPr>
                <w:sz w:val="20"/>
                <w:szCs w:val="20"/>
                <w:color w:val="auto"/>
              </w:rPr>
            </w:pPr>
            <w:r>
              <w:rPr>
                <w:rFonts w:ascii="Times New Roman" w:cs="Times New Roman" w:eastAsia="Times New Roman" w:hAnsi="Times New Roman"/>
                <w:sz w:val="20"/>
                <w:szCs w:val="20"/>
                <w:color w:val="auto"/>
              </w:rPr>
              <w:t>Cash</w:t>
            </w:r>
          </w:p>
        </w:tc>
        <w:tc>
          <w:tcPr>
            <w:tcW w:w="20" w:type="dxa"/>
            <w:vAlign w:val="bottom"/>
            <w:shd w:val="clear" w:color="auto" w:fill="DDDDDD"/>
          </w:tcPr>
          <w:p>
            <w:pPr>
              <w:spacing w:after="0"/>
              <w:rPr>
                <w:sz w:val="24"/>
                <w:szCs w:val="24"/>
                <w:color w:val="auto"/>
              </w:rPr>
            </w:pPr>
          </w:p>
        </w:tc>
        <w:tc>
          <w:tcPr>
            <w:tcW w:w="380" w:type="dxa"/>
            <w:vAlign w:val="bottom"/>
            <w:shd w:val="clear" w:color="auto" w:fill="DDDDDD"/>
          </w:tcPr>
          <w:p>
            <w:pPr>
              <w:jc w:val="right"/>
              <w:ind w:right="139"/>
              <w:spacing w:after="0"/>
              <w:rPr>
                <w:sz w:val="20"/>
                <w:szCs w:val="20"/>
                <w:color w:val="auto"/>
              </w:rPr>
            </w:pPr>
            <w:r>
              <w:rPr>
                <w:rFonts w:ascii="Times New Roman" w:cs="Times New Roman" w:eastAsia="Times New Roman" w:hAnsi="Times New Roman"/>
                <w:sz w:val="20"/>
                <w:szCs w:val="20"/>
                <w:color w:val="auto"/>
              </w:rPr>
              <w:t>$</w:t>
            </w:r>
          </w:p>
        </w:tc>
        <w:tc>
          <w:tcPr>
            <w:tcW w:w="1300" w:type="dxa"/>
            <w:vAlign w:val="bottom"/>
            <w:shd w:val="clear" w:color="auto" w:fill="DDDDDD"/>
          </w:tcPr>
          <w:p>
            <w:pPr>
              <w:jc w:val="right"/>
              <w:spacing w:after="0"/>
              <w:rPr>
                <w:sz w:val="20"/>
                <w:szCs w:val="20"/>
                <w:color w:val="auto"/>
              </w:rPr>
            </w:pPr>
            <w:r>
              <w:rPr>
                <w:rFonts w:ascii="Times New Roman" w:cs="Times New Roman" w:eastAsia="Times New Roman" w:hAnsi="Times New Roman"/>
                <w:sz w:val="20"/>
                <w:szCs w:val="20"/>
                <w:color w:val="auto"/>
              </w:rPr>
              <w:t>34,350</w:t>
            </w:r>
          </w:p>
        </w:tc>
        <w:tc>
          <w:tcPr>
            <w:tcW w:w="40" w:type="dxa"/>
            <w:vAlign w:val="bottom"/>
            <w:shd w:val="clear" w:color="auto" w:fill="DDDDDD"/>
          </w:tcPr>
          <w:p>
            <w:pPr>
              <w:spacing w:after="0"/>
              <w:rPr>
                <w:sz w:val="24"/>
                <w:szCs w:val="24"/>
                <w:color w:val="auto"/>
              </w:rPr>
            </w:pPr>
          </w:p>
        </w:tc>
        <w:tc>
          <w:tcPr>
            <w:tcW w:w="20" w:type="dxa"/>
            <w:vAlign w:val="bottom"/>
            <w:shd w:val="clear" w:color="auto" w:fill="DDDDDD"/>
          </w:tcPr>
          <w:p>
            <w:pPr>
              <w:spacing w:after="0"/>
              <w:rPr>
                <w:sz w:val="24"/>
                <w:szCs w:val="24"/>
                <w:color w:val="auto"/>
              </w:rPr>
            </w:pPr>
          </w:p>
        </w:tc>
        <w:tc>
          <w:tcPr>
            <w:tcW w:w="600" w:type="dxa"/>
            <w:vAlign w:val="bottom"/>
            <w:shd w:val="clear" w:color="auto" w:fill="DDDDDD"/>
          </w:tcPr>
          <w:p>
            <w:pPr>
              <w:jc w:val="right"/>
              <w:ind w:right="339"/>
              <w:spacing w:after="0"/>
              <w:rPr>
                <w:sz w:val="20"/>
                <w:szCs w:val="20"/>
                <w:color w:val="auto"/>
              </w:rPr>
            </w:pPr>
            <w:r>
              <w:rPr>
                <w:rFonts w:ascii="Times New Roman" w:cs="Times New Roman" w:eastAsia="Times New Roman" w:hAnsi="Times New Roman"/>
                <w:sz w:val="20"/>
                <w:szCs w:val="20"/>
                <w:color w:val="auto"/>
              </w:rPr>
              <w:t>$</w:t>
            </w:r>
          </w:p>
        </w:tc>
        <w:tc>
          <w:tcPr>
            <w:tcW w:w="1100" w:type="dxa"/>
            <w:vAlign w:val="bottom"/>
            <w:shd w:val="clear" w:color="auto" w:fill="DDDDDD"/>
          </w:tcPr>
          <w:p>
            <w:pPr>
              <w:jc w:val="right"/>
              <w:spacing w:after="0"/>
              <w:rPr>
                <w:sz w:val="20"/>
                <w:szCs w:val="20"/>
                <w:color w:val="auto"/>
              </w:rPr>
            </w:pPr>
            <w:r>
              <w:rPr>
                <w:rFonts w:ascii="Times New Roman" w:cs="Times New Roman" w:eastAsia="Times New Roman" w:hAnsi="Times New Roman"/>
                <w:sz w:val="20"/>
                <w:szCs w:val="20"/>
                <w:color w:val="auto"/>
              </w:rPr>
              <w:t>28,583</w:t>
            </w:r>
          </w:p>
        </w:tc>
        <w:tc>
          <w:tcPr>
            <w:tcW w:w="0" w:type="dxa"/>
            <w:vAlign w:val="bottom"/>
          </w:tcPr>
          <w:p>
            <w:pPr>
              <w:spacing w:after="0"/>
              <w:rPr>
                <w:sz w:val="1"/>
                <w:szCs w:val="1"/>
                <w:color w:val="auto"/>
              </w:rPr>
            </w:pPr>
          </w:p>
        </w:tc>
      </w:tr>
      <w:tr>
        <w:trPr>
          <w:trHeight w:val="288"/>
        </w:trPr>
        <w:tc>
          <w:tcPr>
            <w:tcW w:w="6820" w:type="dxa"/>
            <w:vAlign w:val="bottom"/>
            <w:gridSpan w:val="2"/>
          </w:tcPr>
          <w:p>
            <w:pPr>
              <w:ind w:left="280"/>
              <w:spacing w:after="0"/>
              <w:rPr>
                <w:sz w:val="20"/>
                <w:szCs w:val="20"/>
                <w:color w:val="auto"/>
              </w:rPr>
            </w:pPr>
            <w:r>
              <w:rPr>
                <w:rFonts w:ascii="Times New Roman" w:cs="Times New Roman" w:eastAsia="Times New Roman" w:hAnsi="Times New Roman"/>
                <w:sz w:val="20"/>
                <w:szCs w:val="20"/>
                <w:color w:val="auto"/>
              </w:rPr>
              <w:t>Accounts receivable, net</w:t>
            </w:r>
          </w:p>
        </w:tc>
        <w:tc>
          <w:tcPr>
            <w:tcW w:w="380" w:type="dxa"/>
            <w:vAlign w:val="bottom"/>
          </w:tcPr>
          <w:p>
            <w:pPr>
              <w:spacing w:after="0"/>
              <w:rPr>
                <w:sz w:val="24"/>
                <w:szCs w:val="24"/>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11,158</w:t>
            </w: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17,438</w:t>
            </w:r>
          </w:p>
        </w:tc>
        <w:tc>
          <w:tcPr>
            <w:tcW w:w="0" w:type="dxa"/>
            <w:vAlign w:val="bottom"/>
          </w:tcPr>
          <w:p>
            <w:pPr>
              <w:spacing w:after="0"/>
              <w:rPr>
                <w:sz w:val="1"/>
                <w:szCs w:val="1"/>
                <w:color w:val="auto"/>
              </w:rPr>
            </w:pPr>
          </w:p>
        </w:tc>
      </w:tr>
      <w:tr>
        <w:trPr>
          <w:trHeight w:val="281"/>
        </w:trPr>
        <w:tc>
          <w:tcPr>
            <w:tcW w:w="6800" w:type="dxa"/>
            <w:vAlign w:val="bottom"/>
            <w:shd w:val="clear" w:color="auto" w:fill="DDDDDD"/>
          </w:tcPr>
          <w:p>
            <w:pPr>
              <w:ind w:left="280"/>
              <w:spacing w:after="0"/>
              <w:rPr>
                <w:sz w:val="20"/>
                <w:szCs w:val="20"/>
                <w:color w:val="auto"/>
              </w:rPr>
            </w:pPr>
            <w:r>
              <w:rPr>
                <w:rFonts w:ascii="Times New Roman" w:cs="Times New Roman" w:eastAsia="Times New Roman" w:hAnsi="Times New Roman"/>
                <w:sz w:val="20"/>
                <w:szCs w:val="20"/>
                <w:color w:val="auto"/>
              </w:rPr>
              <w:t>Prepaid expenses and other current assets</w:t>
            </w:r>
          </w:p>
        </w:tc>
        <w:tc>
          <w:tcPr>
            <w:tcW w:w="20" w:type="dxa"/>
            <w:vAlign w:val="bottom"/>
            <w:shd w:val="clear" w:color="auto" w:fill="DDDDDD"/>
          </w:tcPr>
          <w:p>
            <w:pPr>
              <w:spacing w:after="0"/>
              <w:rPr>
                <w:sz w:val="24"/>
                <w:szCs w:val="24"/>
                <w:color w:val="auto"/>
              </w:rPr>
            </w:pPr>
          </w:p>
        </w:tc>
        <w:tc>
          <w:tcPr>
            <w:tcW w:w="380" w:type="dxa"/>
            <w:vAlign w:val="bottom"/>
            <w:tcBorders>
              <w:bottom w:val="single" w:sz="8" w:color="auto"/>
            </w:tcBorders>
            <w:shd w:val="clear" w:color="auto" w:fill="DDDDDD"/>
          </w:tcPr>
          <w:p>
            <w:pPr>
              <w:spacing w:after="0"/>
              <w:rPr>
                <w:sz w:val="24"/>
                <w:szCs w:val="24"/>
                <w:color w:val="auto"/>
              </w:rPr>
            </w:pPr>
          </w:p>
        </w:tc>
        <w:tc>
          <w:tcPr>
            <w:tcW w:w="1300" w:type="dxa"/>
            <w:vAlign w:val="bottom"/>
            <w:tcBorders>
              <w:bottom w:val="single" w:sz="8" w:color="auto"/>
            </w:tcBorders>
            <w:shd w:val="clear" w:color="auto" w:fill="DDDDDD"/>
          </w:tcPr>
          <w:p>
            <w:pPr>
              <w:jc w:val="right"/>
              <w:spacing w:after="0"/>
              <w:rPr>
                <w:sz w:val="20"/>
                <w:szCs w:val="20"/>
                <w:color w:val="auto"/>
              </w:rPr>
            </w:pPr>
            <w:r>
              <w:rPr>
                <w:rFonts w:ascii="Times New Roman" w:cs="Times New Roman" w:eastAsia="Times New Roman" w:hAnsi="Times New Roman"/>
                <w:sz w:val="20"/>
                <w:szCs w:val="20"/>
                <w:color w:val="auto"/>
              </w:rPr>
              <w:t>5,978</w:t>
            </w:r>
          </w:p>
        </w:tc>
        <w:tc>
          <w:tcPr>
            <w:tcW w:w="40" w:type="dxa"/>
            <w:vAlign w:val="bottom"/>
            <w:shd w:val="clear" w:color="auto" w:fill="DDDDDD"/>
          </w:tcPr>
          <w:p>
            <w:pPr>
              <w:spacing w:after="0"/>
              <w:rPr>
                <w:sz w:val="24"/>
                <w:szCs w:val="24"/>
                <w:color w:val="auto"/>
              </w:rPr>
            </w:pPr>
          </w:p>
        </w:tc>
        <w:tc>
          <w:tcPr>
            <w:tcW w:w="20" w:type="dxa"/>
            <w:vAlign w:val="bottom"/>
            <w:shd w:val="clear" w:color="auto" w:fill="DDDDDD"/>
          </w:tcPr>
          <w:p>
            <w:pPr>
              <w:spacing w:after="0"/>
              <w:rPr>
                <w:sz w:val="24"/>
                <w:szCs w:val="24"/>
                <w:color w:val="auto"/>
              </w:rPr>
            </w:pPr>
          </w:p>
        </w:tc>
        <w:tc>
          <w:tcPr>
            <w:tcW w:w="600" w:type="dxa"/>
            <w:vAlign w:val="bottom"/>
            <w:tcBorders>
              <w:bottom w:val="single" w:sz="8" w:color="auto"/>
            </w:tcBorders>
            <w:shd w:val="clear" w:color="auto" w:fill="DDDDDD"/>
          </w:tcPr>
          <w:p>
            <w:pPr>
              <w:spacing w:after="0"/>
              <w:rPr>
                <w:sz w:val="24"/>
                <w:szCs w:val="24"/>
                <w:color w:val="auto"/>
              </w:rPr>
            </w:pPr>
          </w:p>
        </w:tc>
        <w:tc>
          <w:tcPr>
            <w:tcW w:w="1100" w:type="dxa"/>
            <w:vAlign w:val="bottom"/>
            <w:tcBorders>
              <w:bottom w:val="single" w:sz="8" w:color="auto"/>
            </w:tcBorders>
            <w:shd w:val="clear" w:color="auto" w:fill="DDDDDD"/>
          </w:tcPr>
          <w:p>
            <w:pPr>
              <w:jc w:val="right"/>
              <w:spacing w:after="0"/>
              <w:rPr>
                <w:sz w:val="20"/>
                <w:szCs w:val="20"/>
                <w:color w:val="auto"/>
              </w:rPr>
            </w:pPr>
            <w:r>
              <w:rPr>
                <w:rFonts w:ascii="Times New Roman" w:cs="Times New Roman" w:eastAsia="Times New Roman" w:hAnsi="Times New Roman"/>
                <w:sz w:val="20"/>
                <w:szCs w:val="20"/>
                <w:color w:val="auto"/>
              </w:rPr>
              <w:t>8,962</w:t>
            </w:r>
          </w:p>
        </w:tc>
        <w:tc>
          <w:tcPr>
            <w:tcW w:w="0" w:type="dxa"/>
            <w:vAlign w:val="bottom"/>
          </w:tcPr>
          <w:p>
            <w:pPr>
              <w:spacing w:after="0"/>
              <w:rPr>
                <w:sz w:val="1"/>
                <w:szCs w:val="1"/>
                <w:color w:val="auto"/>
              </w:rPr>
            </w:pPr>
          </w:p>
        </w:tc>
      </w:tr>
      <w:tr>
        <w:trPr>
          <w:trHeight w:val="268"/>
        </w:trPr>
        <w:tc>
          <w:tcPr>
            <w:tcW w:w="6820" w:type="dxa"/>
            <w:vAlign w:val="bottom"/>
            <w:gridSpan w:val="2"/>
          </w:tcPr>
          <w:p>
            <w:pPr>
              <w:ind w:left="400"/>
              <w:spacing w:after="0"/>
              <w:rPr>
                <w:sz w:val="20"/>
                <w:szCs w:val="20"/>
                <w:color w:val="auto"/>
              </w:rPr>
            </w:pPr>
            <w:r>
              <w:rPr>
                <w:rFonts w:ascii="Times New Roman" w:cs="Times New Roman" w:eastAsia="Times New Roman" w:hAnsi="Times New Roman"/>
                <w:sz w:val="20"/>
                <w:szCs w:val="20"/>
                <w:color w:val="auto"/>
              </w:rPr>
              <w:t>Total current assets</w:t>
            </w:r>
          </w:p>
        </w:tc>
        <w:tc>
          <w:tcPr>
            <w:tcW w:w="380" w:type="dxa"/>
            <w:vAlign w:val="bottom"/>
          </w:tcPr>
          <w:p>
            <w:pPr>
              <w:spacing w:after="0"/>
              <w:rPr>
                <w:sz w:val="23"/>
                <w:szCs w:val="23"/>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51,486</w:t>
            </w:r>
          </w:p>
        </w:tc>
        <w:tc>
          <w:tcPr>
            <w:tcW w:w="4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600" w:type="dxa"/>
            <w:vAlign w:val="bottom"/>
          </w:tcPr>
          <w:p>
            <w:pPr>
              <w:spacing w:after="0"/>
              <w:rPr>
                <w:sz w:val="23"/>
                <w:szCs w:val="23"/>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54,983</w:t>
            </w:r>
          </w:p>
        </w:tc>
        <w:tc>
          <w:tcPr>
            <w:tcW w:w="0" w:type="dxa"/>
            <w:vAlign w:val="bottom"/>
          </w:tcPr>
          <w:p>
            <w:pPr>
              <w:spacing w:after="0"/>
              <w:rPr>
                <w:sz w:val="1"/>
                <w:szCs w:val="1"/>
                <w:color w:val="auto"/>
              </w:rPr>
            </w:pPr>
          </w:p>
        </w:tc>
      </w:tr>
      <w:tr>
        <w:trPr>
          <w:trHeight w:val="288"/>
        </w:trPr>
        <w:tc>
          <w:tcPr>
            <w:tcW w:w="6800" w:type="dxa"/>
            <w:vAlign w:val="bottom"/>
            <w:shd w:val="clear" w:color="auto" w:fill="DDDDDD"/>
          </w:tcPr>
          <w:p>
            <w:pPr>
              <w:ind w:left="40"/>
              <w:spacing w:after="0"/>
              <w:rPr>
                <w:sz w:val="20"/>
                <w:szCs w:val="20"/>
                <w:color w:val="auto"/>
              </w:rPr>
            </w:pPr>
            <w:r>
              <w:rPr>
                <w:rFonts w:ascii="Times New Roman" w:cs="Times New Roman" w:eastAsia="Times New Roman" w:hAnsi="Times New Roman"/>
                <w:sz w:val="20"/>
                <w:szCs w:val="20"/>
                <w:color w:val="auto"/>
              </w:rPr>
              <w:t>Property and equipment, net</w:t>
            </w:r>
          </w:p>
        </w:tc>
        <w:tc>
          <w:tcPr>
            <w:tcW w:w="20" w:type="dxa"/>
            <w:vAlign w:val="bottom"/>
            <w:shd w:val="clear" w:color="auto" w:fill="DDDDDD"/>
          </w:tcPr>
          <w:p>
            <w:pPr>
              <w:spacing w:after="0"/>
              <w:rPr>
                <w:sz w:val="24"/>
                <w:szCs w:val="24"/>
                <w:color w:val="auto"/>
              </w:rPr>
            </w:pPr>
          </w:p>
        </w:tc>
        <w:tc>
          <w:tcPr>
            <w:tcW w:w="380" w:type="dxa"/>
            <w:vAlign w:val="bottom"/>
            <w:shd w:val="clear" w:color="auto" w:fill="DDDDDD"/>
          </w:tcPr>
          <w:p>
            <w:pPr>
              <w:spacing w:after="0"/>
              <w:rPr>
                <w:sz w:val="24"/>
                <w:szCs w:val="24"/>
                <w:color w:val="auto"/>
              </w:rPr>
            </w:pPr>
          </w:p>
        </w:tc>
        <w:tc>
          <w:tcPr>
            <w:tcW w:w="1300" w:type="dxa"/>
            <w:vAlign w:val="bottom"/>
            <w:shd w:val="clear" w:color="auto" w:fill="DDDDDD"/>
          </w:tcPr>
          <w:p>
            <w:pPr>
              <w:jc w:val="right"/>
              <w:spacing w:after="0"/>
              <w:rPr>
                <w:sz w:val="20"/>
                <w:szCs w:val="20"/>
                <w:color w:val="auto"/>
              </w:rPr>
            </w:pPr>
            <w:r>
              <w:rPr>
                <w:rFonts w:ascii="Times New Roman" w:cs="Times New Roman" w:eastAsia="Times New Roman" w:hAnsi="Times New Roman"/>
                <w:sz w:val="20"/>
                <w:szCs w:val="20"/>
                <w:color w:val="auto"/>
              </w:rPr>
              <w:t>24,255</w:t>
            </w:r>
          </w:p>
        </w:tc>
        <w:tc>
          <w:tcPr>
            <w:tcW w:w="40" w:type="dxa"/>
            <w:vAlign w:val="bottom"/>
            <w:shd w:val="clear" w:color="auto" w:fill="DDDDDD"/>
          </w:tcPr>
          <w:p>
            <w:pPr>
              <w:spacing w:after="0"/>
              <w:rPr>
                <w:sz w:val="24"/>
                <w:szCs w:val="24"/>
                <w:color w:val="auto"/>
              </w:rPr>
            </w:pPr>
          </w:p>
        </w:tc>
        <w:tc>
          <w:tcPr>
            <w:tcW w:w="20" w:type="dxa"/>
            <w:vAlign w:val="bottom"/>
            <w:shd w:val="clear" w:color="auto" w:fill="DDDDDD"/>
          </w:tcPr>
          <w:p>
            <w:pPr>
              <w:spacing w:after="0"/>
              <w:rPr>
                <w:sz w:val="24"/>
                <w:szCs w:val="24"/>
                <w:color w:val="auto"/>
              </w:rPr>
            </w:pPr>
          </w:p>
        </w:tc>
        <w:tc>
          <w:tcPr>
            <w:tcW w:w="600" w:type="dxa"/>
            <w:vAlign w:val="bottom"/>
            <w:shd w:val="clear" w:color="auto" w:fill="DDDDDD"/>
          </w:tcPr>
          <w:p>
            <w:pPr>
              <w:spacing w:after="0"/>
              <w:rPr>
                <w:sz w:val="24"/>
                <w:szCs w:val="24"/>
                <w:color w:val="auto"/>
              </w:rPr>
            </w:pPr>
          </w:p>
        </w:tc>
        <w:tc>
          <w:tcPr>
            <w:tcW w:w="1100" w:type="dxa"/>
            <w:vAlign w:val="bottom"/>
            <w:shd w:val="clear" w:color="auto" w:fill="DDDDDD"/>
          </w:tcPr>
          <w:p>
            <w:pPr>
              <w:jc w:val="right"/>
              <w:spacing w:after="0"/>
              <w:rPr>
                <w:sz w:val="20"/>
                <w:szCs w:val="20"/>
                <w:color w:val="auto"/>
              </w:rPr>
            </w:pPr>
            <w:r>
              <w:rPr>
                <w:rFonts w:ascii="Times New Roman" w:cs="Times New Roman" w:eastAsia="Times New Roman" w:hAnsi="Times New Roman"/>
                <w:sz w:val="20"/>
                <w:szCs w:val="20"/>
                <w:color w:val="auto"/>
              </w:rPr>
              <w:t>24,928</w:t>
            </w:r>
          </w:p>
        </w:tc>
        <w:tc>
          <w:tcPr>
            <w:tcW w:w="0" w:type="dxa"/>
            <w:vAlign w:val="bottom"/>
          </w:tcPr>
          <w:p>
            <w:pPr>
              <w:spacing w:after="0"/>
              <w:rPr>
                <w:sz w:val="1"/>
                <w:szCs w:val="1"/>
                <w:color w:val="auto"/>
              </w:rPr>
            </w:pPr>
          </w:p>
        </w:tc>
      </w:tr>
      <w:tr>
        <w:trPr>
          <w:trHeight w:val="281"/>
        </w:trPr>
        <w:tc>
          <w:tcPr>
            <w:tcW w:w="6820" w:type="dxa"/>
            <w:vAlign w:val="bottom"/>
            <w:gridSpan w:val="2"/>
          </w:tcPr>
          <w:p>
            <w:pPr>
              <w:ind w:left="40"/>
              <w:spacing w:after="0"/>
              <w:rPr>
                <w:sz w:val="20"/>
                <w:szCs w:val="20"/>
                <w:color w:val="auto"/>
              </w:rPr>
            </w:pPr>
            <w:r>
              <w:rPr>
                <w:rFonts w:ascii="Times New Roman" w:cs="Times New Roman" w:eastAsia="Times New Roman" w:hAnsi="Times New Roman"/>
                <w:sz w:val="20"/>
                <w:szCs w:val="20"/>
                <w:color w:val="auto"/>
              </w:rPr>
              <w:t>Goodwill</w:t>
            </w:r>
          </w:p>
        </w:tc>
        <w:tc>
          <w:tcPr>
            <w:tcW w:w="380" w:type="dxa"/>
            <w:vAlign w:val="bottom"/>
          </w:tcPr>
          <w:p>
            <w:pPr>
              <w:spacing w:after="0"/>
              <w:rPr>
                <w:sz w:val="24"/>
                <w:szCs w:val="24"/>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68,368</w:t>
            </w: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68,368</w:t>
            </w:r>
          </w:p>
        </w:tc>
        <w:tc>
          <w:tcPr>
            <w:tcW w:w="0" w:type="dxa"/>
            <w:vAlign w:val="bottom"/>
          </w:tcPr>
          <w:p>
            <w:pPr>
              <w:spacing w:after="0"/>
              <w:rPr>
                <w:sz w:val="1"/>
                <w:szCs w:val="1"/>
                <w:color w:val="auto"/>
              </w:rPr>
            </w:pPr>
          </w:p>
        </w:tc>
      </w:tr>
      <w:tr>
        <w:trPr>
          <w:trHeight w:val="288"/>
        </w:trPr>
        <w:tc>
          <w:tcPr>
            <w:tcW w:w="6800" w:type="dxa"/>
            <w:vAlign w:val="bottom"/>
            <w:shd w:val="clear" w:color="auto" w:fill="DDDDDD"/>
          </w:tcPr>
          <w:p>
            <w:pPr>
              <w:ind w:left="40"/>
              <w:spacing w:after="0"/>
              <w:rPr>
                <w:sz w:val="20"/>
                <w:szCs w:val="20"/>
                <w:color w:val="auto"/>
              </w:rPr>
            </w:pPr>
            <w:r>
              <w:rPr>
                <w:rFonts w:ascii="Times New Roman" w:cs="Times New Roman" w:eastAsia="Times New Roman" w:hAnsi="Times New Roman"/>
                <w:sz w:val="20"/>
                <w:szCs w:val="20"/>
                <w:color w:val="auto"/>
              </w:rPr>
              <w:t>Intangible assets, net</w:t>
            </w:r>
          </w:p>
        </w:tc>
        <w:tc>
          <w:tcPr>
            <w:tcW w:w="20" w:type="dxa"/>
            <w:vAlign w:val="bottom"/>
            <w:shd w:val="clear" w:color="auto" w:fill="DDDDDD"/>
          </w:tcPr>
          <w:p>
            <w:pPr>
              <w:spacing w:after="0"/>
              <w:rPr>
                <w:sz w:val="24"/>
                <w:szCs w:val="24"/>
                <w:color w:val="auto"/>
              </w:rPr>
            </w:pPr>
          </w:p>
        </w:tc>
        <w:tc>
          <w:tcPr>
            <w:tcW w:w="380" w:type="dxa"/>
            <w:vAlign w:val="bottom"/>
            <w:shd w:val="clear" w:color="auto" w:fill="DDDDDD"/>
          </w:tcPr>
          <w:p>
            <w:pPr>
              <w:spacing w:after="0"/>
              <w:rPr>
                <w:sz w:val="24"/>
                <w:szCs w:val="24"/>
                <w:color w:val="auto"/>
              </w:rPr>
            </w:pPr>
          </w:p>
        </w:tc>
        <w:tc>
          <w:tcPr>
            <w:tcW w:w="1300" w:type="dxa"/>
            <w:vAlign w:val="bottom"/>
            <w:shd w:val="clear" w:color="auto" w:fill="DDDDDD"/>
          </w:tcPr>
          <w:p>
            <w:pPr>
              <w:jc w:val="right"/>
              <w:spacing w:after="0"/>
              <w:rPr>
                <w:sz w:val="20"/>
                <w:szCs w:val="20"/>
                <w:color w:val="auto"/>
              </w:rPr>
            </w:pPr>
            <w:r>
              <w:rPr>
                <w:rFonts w:ascii="Times New Roman" w:cs="Times New Roman" w:eastAsia="Times New Roman" w:hAnsi="Times New Roman"/>
                <w:sz w:val="20"/>
                <w:szCs w:val="20"/>
                <w:color w:val="auto"/>
              </w:rPr>
              <w:t>2,507</w:t>
            </w:r>
          </w:p>
        </w:tc>
        <w:tc>
          <w:tcPr>
            <w:tcW w:w="40" w:type="dxa"/>
            <w:vAlign w:val="bottom"/>
            <w:shd w:val="clear" w:color="auto" w:fill="DDDDDD"/>
          </w:tcPr>
          <w:p>
            <w:pPr>
              <w:spacing w:after="0"/>
              <w:rPr>
                <w:sz w:val="24"/>
                <w:szCs w:val="24"/>
                <w:color w:val="auto"/>
              </w:rPr>
            </w:pPr>
          </w:p>
        </w:tc>
        <w:tc>
          <w:tcPr>
            <w:tcW w:w="20" w:type="dxa"/>
            <w:vAlign w:val="bottom"/>
            <w:shd w:val="clear" w:color="auto" w:fill="DDDDDD"/>
          </w:tcPr>
          <w:p>
            <w:pPr>
              <w:spacing w:after="0"/>
              <w:rPr>
                <w:sz w:val="24"/>
                <w:szCs w:val="24"/>
                <w:color w:val="auto"/>
              </w:rPr>
            </w:pPr>
          </w:p>
        </w:tc>
        <w:tc>
          <w:tcPr>
            <w:tcW w:w="600" w:type="dxa"/>
            <w:vAlign w:val="bottom"/>
            <w:shd w:val="clear" w:color="auto" w:fill="DDDDDD"/>
          </w:tcPr>
          <w:p>
            <w:pPr>
              <w:spacing w:after="0"/>
              <w:rPr>
                <w:sz w:val="24"/>
                <w:szCs w:val="24"/>
                <w:color w:val="auto"/>
              </w:rPr>
            </w:pPr>
          </w:p>
        </w:tc>
        <w:tc>
          <w:tcPr>
            <w:tcW w:w="1100" w:type="dxa"/>
            <w:vAlign w:val="bottom"/>
            <w:shd w:val="clear" w:color="auto" w:fill="DDDDDD"/>
          </w:tcPr>
          <w:p>
            <w:pPr>
              <w:jc w:val="right"/>
              <w:spacing w:after="0"/>
              <w:rPr>
                <w:sz w:val="20"/>
                <w:szCs w:val="20"/>
                <w:color w:val="auto"/>
              </w:rPr>
            </w:pPr>
            <w:r>
              <w:rPr>
                <w:rFonts w:ascii="Times New Roman" w:cs="Times New Roman" w:eastAsia="Times New Roman" w:hAnsi="Times New Roman"/>
                <w:sz w:val="20"/>
                <w:szCs w:val="20"/>
                <w:color w:val="auto"/>
              </w:rPr>
              <w:t>10,339</w:t>
            </w:r>
          </w:p>
        </w:tc>
        <w:tc>
          <w:tcPr>
            <w:tcW w:w="0" w:type="dxa"/>
            <w:vAlign w:val="bottom"/>
          </w:tcPr>
          <w:p>
            <w:pPr>
              <w:spacing w:after="0"/>
              <w:rPr>
                <w:sz w:val="1"/>
                <w:szCs w:val="1"/>
                <w:color w:val="auto"/>
              </w:rPr>
            </w:pPr>
          </w:p>
        </w:tc>
      </w:tr>
      <w:tr>
        <w:trPr>
          <w:trHeight w:val="281"/>
        </w:trPr>
        <w:tc>
          <w:tcPr>
            <w:tcW w:w="6820" w:type="dxa"/>
            <w:vAlign w:val="bottom"/>
            <w:gridSpan w:val="2"/>
          </w:tcPr>
          <w:p>
            <w:pPr>
              <w:ind w:left="40"/>
              <w:spacing w:after="0"/>
              <w:rPr>
                <w:sz w:val="20"/>
                <w:szCs w:val="20"/>
                <w:color w:val="auto"/>
              </w:rPr>
            </w:pPr>
            <w:r>
              <w:rPr>
                <w:rFonts w:ascii="Times New Roman" w:cs="Times New Roman" w:eastAsia="Times New Roman" w:hAnsi="Times New Roman"/>
                <w:sz w:val="20"/>
                <w:szCs w:val="20"/>
                <w:color w:val="auto"/>
              </w:rPr>
              <w:t>Right-of-use assets</w:t>
            </w:r>
          </w:p>
        </w:tc>
        <w:tc>
          <w:tcPr>
            <w:tcW w:w="380" w:type="dxa"/>
            <w:vAlign w:val="bottom"/>
          </w:tcPr>
          <w:p>
            <w:pPr>
              <w:spacing w:after="0"/>
              <w:rPr>
                <w:sz w:val="24"/>
                <w:szCs w:val="24"/>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15,629</w:t>
            </w: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31,447</w:t>
            </w:r>
          </w:p>
        </w:tc>
        <w:tc>
          <w:tcPr>
            <w:tcW w:w="0" w:type="dxa"/>
            <w:vAlign w:val="bottom"/>
          </w:tcPr>
          <w:p>
            <w:pPr>
              <w:spacing w:after="0"/>
              <w:rPr>
                <w:sz w:val="1"/>
                <w:szCs w:val="1"/>
                <w:color w:val="auto"/>
              </w:rPr>
            </w:pPr>
          </w:p>
        </w:tc>
      </w:tr>
      <w:tr>
        <w:trPr>
          <w:trHeight w:val="288"/>
        </w:trPr>
        <w:tc>
          <w:tcPr>
            <w:tcW w:w="6800" w:type="dxa"/>
            <w:vAlign w:val="bottom"/>
            <w:tcBorders>
              <w:bottom w:val="single" w:sz="8" w:color="DDDDDD"/>
            </w:tcBorders>
            <w:shd w:val="clear" w:color="auto" w:fill="DDDDDD"/>
          </w:tcPr>
          <w:p>
            <w:pPr>
              <w:ind w:left="40"/>
              <w:spacing w:after="0"/>
              <w:rPr>
                <w:sz w:val="20"/>
                <w:szCs w:val="20"/>
                <w:color w:val="auto"/>
              </w:rPr>
            </w:pPr>
            <w:r>
              <w:rPr>
                <w:rFonts w:ascii="Times New Roman" w:cs="Times New Roman" w:eastAsia="Times New Roman" w:hAnsi="Times New Roman"/>
                <w:sz w:val="20"/>
                <w:szCs w:val="20"/>
                <w:color w:val="auto"/>
              </w:rPr>
              <w:t>Other assets</w:t>
            </w:r>
          </w:p>
        </w:tc>
        <w:tc>
          <w:tcPr>
            <w:tcW w:w="20" w:type="dxa"/>
            <w:vAlign w:val="bottom"/>
            <w:tcBorders>
              <w:bottom w:val="single" w:sz="8" w:color="DDDDDD"/>
            </w:tcBorders>
            <w:shd w:val="clear" w:color="auto" w:fill="DDDDDD"/>
          </w:tcPr>
          <w:p>
            <w:pPr>
              <w:spacing w:after="0"/>
              <w:rPr>
                <w:sz w:val="24"/>
                <w:szCs w:val="24"/>
                <w:color w:val="auto"/>
              </w:rPr>
            </w:pPr>
          </w:p>
        </w:tc>
        <w:tc>
          <w:tcPr>
            <w:tcW w:w="380" w:type="dxa"/>
            <w:vAlign w:val="bottom"/>
            <w:tcBorders>
              <w:bottom w:val="single" w:sz="8" w:color="auto"/>
            </w:tcBorders>
            <w:shd w:val="clear" w:color="auto" w:fill="DDDDDD"/>
          </w:tcPr>
          <w:p>
            <w:pPr>
              <w:spacing w:after="0"/>
              <w:rPr>
                <w:sz w:val="24"/>
                <w:szCs w:val="24"/>
                <w:color w:val="auto"/>
              </w:rPr>
            </w:pPr>
          </w:p>
        </w:tc>
        <w:tc>
          <w:tcPr>
            <w:tcW w:w="1300" w:type="dxa"/>
            <w:vAlign w:val="bottom"/>
            <w:tcBorders>
              <w:bottom w:val="single" w:sz="8" w:color="auto"/>
            </w:tcBorders>
            <w:shd w:val="clear" w:color="auto" w:fill="DDDDDD"/>
          </w:tcPr>
          <w:p>
            <w:pPr>
              <w:jc w:val="right"/>
              <w:spacing w:after="0"/>
              <w:rPr>
                <w:sz w:val="20"/>
                <w:szCs w:val="20"/>
                <w:color w:val="auto"/>
              </w:rPr>
            </w:pPr>
            <w:r>
              <w:rPr>
                <w:rFonts w:ascii="Times New Roman" w:cs="Times New Roman" w:eastAsia="Times New Roman" w:hAnsi="Times New Roman"/>
                <w:sz w:val="20"/>
                <w:szCs w:val="20"/>
                <w:color w:val="auto"/>
              </w:rPr>
              <w:t>4,776</w:t>
            </w:r>
          </w:p>
        </w:tc>
        <w:tc>
          <w:tcPr>
            <w:tcW w:w="40" w:type="dxa"/>
            <w:vAlign w:val="bottom"/>
            <w:tcBorders>
              <w:bottom w:val="single" w:sz="8" w:color="DDDDDD"/>
            </w:tcBorders>
            <w:shd w:val="clear" w:color="auto" w:fill="DDDDDD"/>
          </w:tcPr>
          <w:p>
            <w:pPr>
              <w:spacing w:after="0"/>
              <w:rPr>
                <w:sz w:val="24"/>
                <w:szCs w:val="24"/>
                <w:color w:val="auto"/>
              </w:rPr>
            </w:pPr>
          </w:p>
        </w:tc>
        <w:tc>
          <w:tcPr>
            <w:tcW w:w="20" w:type="dxa"/>
            <w:vAlign w:val="bottom"/>
            <w:tcBorders>
              <w:bottom w:val="single" w:sz="8" w:color="DDDDDD"/>
            </w:tcBorders>
            <w:shd w:val="clear" w:color="auto" w:fill="DDDDDD"/>
          </w:tcPr>
          <w:p>
            <w:pPr>
              <w:spacing w:after="0"/>
              <w:rPr>
                <w:sz w:val="24"/>
                <w:szCs w:val="24"/>
                <w:color w:val="auto"/>
              </w:rPr>
            </w:pPr>
          </w:p>
        </w:tc>
        <w:tc>
          <w:tcPr>
            <w:tcW w:w="600" w:type="dxa"/>
            <w:vAlign w:val="bottom"/>
            <w:tcBorders>
              <w:bottom w:val="single" w:sz="8" w:color="auto"/>
            </w:tcBorders>
            <w:shd w:val="clear" w:color="auto" w:fill="DDDDDD"/>
          </w:tcPr>
          <w:p>
            <w:pPr>
              <w:spacing w:after="0"/>
              <w:rPr>
                <w:sz w:val="24"/>
                <w:szCs w:val="24"/>
                <w:color w:val="auto"/>
              </w:rPr>
            </w:pPr>
          </w:p>
        </w:tc>
        <w:tc>
          <w:tcPr>
            <w:tcW w:w="1100" w:type="dxa"/>
            <w:vAlign w:val="bottom"/>
            <w:tcBorders>
              <w:bottom w:val="single" w:sz="8" w:color="auto"/>
            </w:tcBorders>
            <w:shd w:val="clear" w:color="auto" w:fill="DDDDDD"/>
          </w:tcPr>
          <w:p>
            <w:pPr>
              <w:jc w:val="right"/>
              <w:spacing w:after="0"/>
              <w:rPr>
                <w:sz w:val="20"/>
                <w:szCs w:val="20"/>
                <w:color w:val="auto"/>
              </w:rPr>
            </w:pPr>
            <w:r>
              <w:rPr>
                <w:rFonts w:ascii="Times New Roman" w:cs="Times New Roman" w:eastAsia="Times New Roman" w:hAnsi="Times New Roman"/>
                <w:sz w:val="20"/>
                <w:szCs w:val="20"/>
                <w:color w:val="auto"/>
              </w:rPr>
              <w:t>8,970</w:t>
            </w:r>
          </w:p>
        </w:tc>
        <w:tc>
          <w:tcPr>
            <w:tcW w:w="0" w:type="dxa"/>
            <w:vAlign w:val="bottom"/>
          </w:tcPr>
          <w:p>
            <w:pPr>
              <w:spacing w:after="0"/>
              <w:rPr>
                <w:sz w:val="1"/>
                <w:szCs w:val="1"/>
                <w:color w:val="auto"/>
              </w:rPr>
            </w:pPr>
          </w:p>
        </w:tc>
      </w:tr>
      <w:tr>
        <w:trPr>
          <w:trHeight w:val="308"/>
        </w:trPr>
        <w:tc>
          <w:tcPr>
            <w:tcW w:w="6820" w:type="dxa"/>
            <w:vAlign w:val="bottom"/>
            <w:gridSpan w:val="2"/>
          </w:tcPr>
          <w:p>
            <w:pPr>
              <w:ind w:left="400"/>
              <w:spacing w:after="0"/>
              <w:rPr>
                <w:sz w:val="20"/>
                <w:szCs w:val="20"/>
                <w:color w:val="auto"/>
              </w:rPr>
            </w:pPr>
            <w:r>
              <w:rPr>
                <w:rFonts w:ascii="Times New Roman" w:cs="Times New Roman" w:eastAsia="Times New Roman" w:hAnsi="Times New Roman"/>
                <w:sz w:val="20"/>
                <w:szCs w:val="20"/>
                <w:color w:val="auto"/>
              </w:rPr>
              <w:t>Total assets</w:t>
            </w:r>
          </w:p>
        </w:tc>
        <w:tc>
          <w:tcPr>
            <w:tcW w:w="380" w:type="dxa"/>
            <w:vAlign w:val="bottom"/>
          </w:tcPr>
          <w:p>
            <w:pPr>
              <w:jc w:val="right"/>
              <w:ind w:right="139"/>
              <w:spacing w:after="0"/>
              <w:rPr>
                <w:sz w:val="20"/>
                <w:szCs w:val="20"/>
                <w:color w:val="auto"/>
              </w:rPr>
            </w:pPr>
            <w:r>
              <w:rPr>
                <w:rFonts w:ascii="Times New Roman" w:cs="Times New Roman" w:eastAsia="Times New Roman" w:hAnsi="Times New Roman"/>
                <w:sz w:val="20"/>
                <w:szCs w:val="20"/>
                <w:color w:val="auto"/>
              </w:rPr>
              <w:t>$</w:t>
            </w:r>
          </w:p>
        </w:tc>
        <w:tc>
          <w:tcPr>
            <w:tcW w:w="13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167,021</w:t>
            </w:r>
          </w:p>
        </w:tc>
        <w:tc>
          <w:tcPr>
            <w:tcW w:w="660" w:type="dxa"/>
            <w:vAlign w:val="bottom"/>
            <w:gridSpan w:val="3"/>
          </w:tcPr>
          <w:p>
            <w:pPr>
              <w:jc w:val="right"/>
              <w:ind w:right="339"/>
              <w:spacing w:after="0"/>
              <w:rPr>
                <w:sz w:val="20"/>
                <w:szCs w:val="20"/>
                <w:color w:val="auto"/>
              </w:rPr>
            </w:pPr>
            <w:r>
              <w:rPr>
                <w:rFonts w:ascii="Times New Roman" w:cs="Times New Roman" w:eastAsia="Times New Roman" w:hAnsi="Times New Roman"/>
                <w:sz w:val="20"/>
                <w:szCs w:val="20"/>
                <w:color w:val="auto"/>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199,035</w:t>
            </w:r>
          </w:p>
        </w:tc>
        <w:tc>
          <w:tcPr>
            <w:tcW w:w="0" w:type="dxa"/>
            <w:vAlign w:val="bottom"/>
          </w:tcPr>
          <w:p>
            <w:pPr>
              <w:spacing w:after="0"/>
              <w:rPr>
                <w:sz w:val="1"/>
                <w:szCs w:val="1"/>
                <w:color w:val="auto"/>
              </w:rPr>
            </w:pPr>
          </w:p>
        </w:tc>
      </w:tr>
      <w:tr>
        <w:trPr>
          <w:trHeight w:val="221"/>
        </w:trPr>
        <w:tc>
          <w:tcPr>
            <w:tcW w:w="6820" w:type="dxa"/>
            <w:vAlign w:val="bottom"/>
            <w:tcBorders>
              <w:top w:val="single" w:sz="8" w:color="DDDDDD"/>
            </w:tcBorders>
            <w:gridSpan w:val="2"/>
            <w:shd w:val="clear" w:color="auto" w:fill="DDDDDD"/>
          </w:tcPr>
          <w:p>
            <w:pPr>
              <w:ind w:left="40"/>
              <w:spacing w:after="0" w:line="221" w:lineRule="exact"/>
              <w:rPr>
                <w:sz w:val="20"/>
                <w:szCs w:val="20"/>
                <w:color w:val="auto"/>
              </w:rPr>
            </w:pPr>
            <w:r>
              <w:rPr>
                <w:rFonts w:ascii="Times New Roman" w:cs="Times New Roman" w:eastAsia="Times New Roman" w:hAnsi="Times New Roman"/>
                <w:sz w:val="20"/>
                <w:szCs w:val="20"/>
                <w:b w:val="1"/>
                <w:bCs w:val="1"/>
                <w:color w:val="auto"/>
              </w:rPr>
              <w:t>Liabilities and Stockholders’ Equity</w:t>
            </w:r>
          </w:p>
        </w:tc>
        <w:tc>
          <w:tcPr>
            <w:tcW w:w="380" w:type="dxa"/>
            <w:vAlign w:val="bottom"/>
            <w:tcBorders>
              <w:top w:val="single" w:sz="8" w:color="auto"/>
            </w:tcBorders>
            <w:shd w:val="clear" w:color="auto" w:fill="DDDDDD"/>
          </w:tcPr>
          <w:p>
            <w:pPr>
              <w:spacing w:after="0"/>
              <w:rPr>
                <w:sz w:val="19"/>
                <w:szCs w:val="19"/>
                <w:color w:val="auto"/>
              </w:rPr>
            </w:pPr>
          </w:p>
        </w:tc>
        <w:tc>
          <w:tcPr>
            <w:tcW w:w="1300" w:type="dxa"/>
            <w:vAlign w:val="bottom"/>
            <w:tcBorders>
              <w:top w:val="single" w:sz="8" w:color="auto"/>
            </w:tcBorders>
            <w:shd w:val="clear" w:color="auto" w:fill="DDDDDD"/>
          </w:tcPr>
          <w:p>
            <w:pPr>
              <w:spacing w:after="0"/>
              <w:rPr>
                <w:sz w:val="19"/>
                <w:szCs w:val="19"/>
                <w:color w:val="auto"/>
              </w:rPr>
            </w:pPr>
          </w:p>
        </w:tc>
        <w:tc>
          <w:tcPr>
            <w:tcW w:w="40" w:type="dxa"/>
            <w:vAlign w:val="bottom"/>
            <w:tcBorders>
              <w:top w:val="single" w:sz="8" w:color="DDDDDD"/>
            </w:tcBorders>
            <w:shd w:val="clear" w:color="auto" w:fill="DDDDDD"/>
          </w:tcPr>
          <w:p>
            <w:pPr>
              <w:spacing w:after="0"/>
              <w:rPr>
                <w:sz w:val="19"/>
                <w:szCs w:val="19"/>
                <w:color w:val="auto"/>
              </w:rPr>
            </w:pPr>
          </w:p>
        </w:tc>
        <w:tc>
          <w:tcPr>
            <w:tcW w:w="20" w:type="dxa"/>
            <w:vAlign w:val="bottom"/>
            <w:tcBorders>
              <w:top w:val="single" w:sz="8" w:color="DDDDDD"/>
            </w:tcBorders>
            <w:shd w:val="clear" w:color="auto" w:fill="DDDDDD"/>
          </w:tcPr>
          <w:p>
            <w:pPr>
              <w:spacing w:after="0"/>
              <w:rPr>
                <w:sz w:val="19"/>
                <w:szCs w:val="19"/>
                <w:color w:val="auto"/>
              </w:rPr>
            </w:pPr>
          </w:p>
        </w:tc>
        <w:tc>
          <w:tcPr>
            <w:tcW w:w="600" w:type="dxa"/>
            <w:vAlign w:val="bottom"/>
            <w:tcBorders>
              <w:top w:val="single" w:sz="8" w:color="auto"/>
            </w:tcBorders>
            <w:shd w:val="clear" w:color="auto" w:fill="DDDDDD"/>
          </w:tcPr>
          <w:p>
            <w:pPr>
              <w:spacing w:after="0"/>
              <w:rPr>
                <w:sz w:val="19"/>
                <w:szCs w:val="19"/>
                <w:color w:val="auto"/>
              </w:rPr>
            </w:pPr>
          </w:p>
        </w:tc>
        <w:tc>
          <w:tcPr>
            <w:tcW w:w="1100" w:type="dxa"/>
            <w:vAlign w:val="bottom"/>
            <w:tcBorders>
              <w:top w:val="single" w:sz="8" w:color="auto"/>
            </w:tcBorders>
            <w:shd w:val="clear" w:color="auto" w:fill="DDDDDD"/>
          </w:tcPr>
          <w:p>
            <w:pPr>
              <w:spacing w:after="0"/>
              <w:rPr>
                <w:sz w:val="19"/>
                <w:szCs w:val="19"/>
                <w:color w:val="auto"/>
              </w:rPr>
            </w:pPr>
          </w:p>
        </w:tc>
        <w:tc>
          <w:tcPr>
            <w:tcW w:w="0" w:type="dxa"/>
            <w:vAlign w:val="bottom"/>
          </w:tcPr>
          <w:p>
            <w:pPr>
              <w:spacing w:after="0"/>
              <w:rPr>
                <w:sz w:val="1"/>
                <w:szCs w:val="1"/>
                <w:color w:val="auto"/>
              </w:rPr>
            </w:pPr>
          </w:p>
        </w:tc>
      </w:tr>
      <w:tr>
        <w:trPr>
          <w:trHeight w:val="288"/>
        </w:trPr>
        <w:tc>
          <w:tcPr>
            <w:tcW w:w="6820" w:type="dxa"/>
            <w:vAlign w:val="bottom"/>
            <w:gridSpan w:val="2"/>
          </w:tcPr>
          <w:p>
            <w:pPr>
              <w:ind w:left="40"/>
              <w:spacing w:after="0"/>
              <w:rPr>
                <w:sz w:val="20"/>
                <w:szCs w:val="20"/>
                <w:color w:val="auto"/>
              </w:rPr>
            </w:pPr>
            <w:r>
              <w:rPr>
                <w:rFonts w:ascii="Times New Roman" w:cs="Times New Roman" w:eastAsia="Times New Roman" w:hAnsi="Times New Roman"/>
                <w:sz w:val="20"/>
                <w:szCs w:val="20"/>
                <w:color w:val="auto"/>
              </w:rPr>
              <w:t>Current liabilities</w:t>
            </w:r>
          </w:p>
        </w:tc>
        <w:tc>
          <w:tcPr>
            <w:tcW w:w="38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81"/>
        </w:trPr>
        <w:tc>
          <w:tcPr>
            <w:tcW w:w="6820" w:type="dxa"/>
            <w:vAlign w:val="bottom"/>
            <w:gridSpan w:val="2"/>
            <w:shd w:val="clear" w:color="auto" w:fill="DDDDDD"/>
          </w:tcPr>
          <w:p>
            <w:pPr>
              <w:ind w:left="280"/>
              <w:spacing w:after="0"/>
              <w:rPr>
                <w:sz w:val="20"/>
                <w:szCs w:val="20"/>
                <w:color w:val="auto"/>
              </w:rPr>
            </w:pPr>
            <w:r>
              <w:rPr>
                <w:rFonts w:ascii="Times New Roman" w:cs="Times New Roman" w:eastAsia="Times New Roman" w:hAnsi="Times New Roman"/>
                <w:sz w:val="20"/>
                <w:szCs w:val="20"/>
                <w:color w:val="auto"/>
              </w:rPr>
              <w:t>Accounts payable and accrued expenses</w:t>
            </w:r>
          </w:p>
        </w:tc>
        <w:tc>
          <w:tcPr>
            <w:tcW w:w="380" w:type="dxa"/>
            <w:vAlign w:val="bottom"/>
            <w:shd w:val="clear" w:color="auto" w:fill="DDDDDD"/>
          </w:tcPr>
          <w:p>
            <w:pPr>
              <w:jc w:val="right"/>
              <w:ind w:right="139"/>
              <w:spacing w:after="0"/>
              <w:rPr>
                <w:sz w:val="20"/>
                <w:szCs w:val="20"/>
                <w:color w:val="auto"/>
              </w:rPr>
            </w:pPr>
            <w:r>
              <w:rPr>
                <w:rFonts w:ascii="Times New Roman" w:cs="Times New Roman" w:eastAsia="Times New Roman" w:hAnsi="Times New Roman"/>
                <w:sz w:val="20"/>
                <w:szCs w:val="20"/>
                <w:color w:val="auto"/>
              </w:rPr>
              <w:t>$</w:t>
            </w:r>
          </w:p>
        </w:tc>
        <w:tc>
          <w:tcPr>
            <w:tcW w:w="1300" w:type="dxa"/>
            <w:vAlign w:val="bottom"/>
            <w:shd w:val="clear" w:color="auto" w:fill="DDDDDD"/>
          </w:tcPr>
          <w:p>
            <w:pPr>
              <w:jc w:val="right"/>
              <w:spacing w:after="0"/>
              <w:rPr>
                <w:sz w:val="20"/>
                <w:szCs w:val="20"/>
                <w:color w:val="auto"/>
              </w:rPr>
            </w:pPr>
            <w:r>
              <w:rPr>
                <w:rFonts w:ascii="Times New Roman" w:cs="Times New Roman" w:eastAsia="Times New Roman" w:hAnsi="Times New Roman"/>
                <w:sz w:val="20"/>
                <w:szCs w:val="20"/>
                <w:color w:val="auto"/>
              </w:rPr>
              <w:t>21,182</w:t>
            </w:r>
          </w:p>
        </w:tc>
        <w:tc>
          <w:tcPr>
            <w:tcW w:w="40" w:type="dxa"/>
            <w:vAlign w:val="bottom"/>
            <w:shd w:val="clear" w:color="auto" w:fill="DDDDDD"/>
          </w:tcPr>
          <w:p>
            <w:pPr>
              <w:spacing w:after="0"/>
              <w:rPr>
                <w:sz w:val="24"/>
                <w:szCs w:val="24"/>
                <w:color w:val="auto"/>
              </w:rPr>
            </w:pPr>
          </w:p>
        </w:tc>
        <w:tc>
          <w:tcPr>
            <w:tcW w:w="20" w:type="dxa"/>
            <w:vAlign w:val="bottom"/>
            <w:shd w:val="clear" w:color="auto" w:fill="DDDDDD"/>
          </w:tcPr>
          <w:p>
            <w:pPr>
              <w:spacing w:after="0"/>
              <w:rPr>
                <w:sz w:val="24"/>
                <w:szCs w:val="24"/>
                <w:color w:val="auto"/>
              </w:rPr>
            </w:pPr>
          </w:p>
        </w:tc>
        <w:tc>
          <w:tcPr>
            <w:tcW w:w="600" w:type="dxa"/>
            <w:vAlign w:val="bottom"/>
            <w:shd w:val="clear" w:color="auto" w:fill="DDDDDD"/>
          </w:tcPr>
          <w:p>
            <w:pPr>
              <w:jc w:val="right"/>
              <w:ind w:right="339"/>
              <w:spacing w:after="0"/>
              <w:rPr>
                <w:sz w:val="20"/>
                <w:szCs w:val="20"/>
                <w:color w:val="auto"/>
              </w:rPr>
            </w:pPr>
            <w:r>
              <w:rPr>
                <w:rFonts w:ascii="Times New Roman" w:cs="Times New Roman" w:eastAsia="Times New Roman" w:hAnsi="Times New Roman"/>
                <w:sz w:val="20"/>
                <w:szCs w:val="20"/>
                <w:color w:val="auto"/>
              </w:rPr>
              <w:t>$</w:t>
            </w:r>
          </w:p>
        </w:tc>
        <w:tc>
          <w:tcPr>
            <w:tcW w:w="1100" w:type="dxa"/>
            <w:vAlign w:val="bottom"/>
            <w:shd w:val="clear" w:color="auto" w:fill="DDDDDD"/>
          </w:tcPr>
          <w:p>
            <w:pPr>
              <w:jc w:val="right"/>
              <w:spacing w:after="0"/>
              <w:rPr>
                <w:sz w:val="20"/>
                <w:szCs w:val="20"/>
                <w:color w:val="auto"/>
              </w:rPr>
            </w:pPr>
            <w:r>
              <w:rPr>
                <w:rFonts w:ascii="Times New Roman" w:cs="Times New Roman" w:eastAsia="Times New Roman" w:hAnsi="Times New Roman"/>
                <w:sz w:val="20"/>
                <w:szCs w:val="20"/>
                <w:color w:val="auto"/>
              </w:rPr>
              <w:t>33,635</w:t>
            </w:r>
          </w:p>
        </w:tc>
        <w:tc>
          <w:tcPr>
            <w:tcW w:w="0" w:type="dxa"/>
            <w:vAlign w:val="bottom"/>
          </w:tcPr>
          <w:p>
            <w:pPr>
              <w:spacing w:after="0"/>
              <w:rPr>
                <w:sz w:val="1"/>
                <w:szCs w:val="1"/>
                <w:color w:val="auto"/>
              </w:rPr>
            </w:pPr>
          </w:p>
        </w:tc>
      </w:tr>
      <w:tr>
        <w:trPr>
          <w:trHeight w:val="288"/>
        </w:trPr>
        <w:tc>
          <w:tcPr>
            <w:tcW w:w="6820" w:type="dxa"/>
            <w:vAlign w:val="bottom"/>
            <w:gridSpan w:val="2"/>
          </w:tcPr>
          <w:p>
            <w:pPr>
              <w:ind w:left="280"/>
              <w:spacing w:after="0"/>
              <w:rPr>
                <w:sz w:val="20"/>
                <w:szCs w:val="20"/>
                <w:color w:val="auto"/>
              </w:rPr>
            </w:pPr>
            <w:r>
              <w:rPr>
                <w:rFonts w:ascii="Times New Roman" w:cs="Times New Roman" w:eastAsia="Times New Roman" w:hAnsi="Times New Roman"/>
                <w:sz w:val="20"/>
                <w:szCs w:val="20"/>
                <w:color w:val="auto"/>
              </w:rPr>
              <w:t>Deferred revenue</w:t>
            </w:r>
          </w:p>
        </w:tc>
        <w:tc>
          <w:tcPr>
            <w:tcW w:w="380" w:type="dxa"/>
            <w:vAlign w:val="bottom"/>
          </w:tcPr>
          <w:p>
            <w:pPr>
              <w:spacing w:after="0"/>
              <w:rPr>
                <w:sz w:val="24"/>
                <w:szCs w:val="24"/>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5,918</w:t>
            </w: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6,256</w:t>
            </w:r>
          </w:p>
        </w:tc>
        <w:tc>
          <w:tcPr>
            <w:tcW w:w="0" w:type="dxa"/>
            <w:vAlign w:val="bottom"/>
          </w:tcPr>
          <w:p>
            <w:pPr>
              <w:spacing w:after="0"/>
              <w:rPr>
                <w:sz w:val="1"/>
                <w:szCs w:val="1"/>
                <w:color w:val="auto"/>
              </w:rPr>
            </w:pPr>
          </w:p>
        </w:tc>
      </w:tr>
      <w:tr>
        <w:trPr>
          <w:trHeight w:val="281"/>
        </w:trPr>
        <w:tc>
          <w:tcPr>
            <w:tcW w:w="6820" w:type="dxa"/>
            <w:vAlign w:val="bottom"/>
            <w:gridSpan w:val="2"/>
            <w:shd w:val="clear" w:color="auto" w:fill="DDDDDD"/>
          </w:tcPr>
          <w:p>
            <w:pPr>
              <w:ind w:left="280"/>
              <w:spacing w:after="0"/>
              <w:rPr>
                <w:sz w:val="20"/>
                <w:szCs w:val="20"/>
                <w:color w:val="auto"/>
              </w:rPr>
            </w:pPr>
            <w:r>
              <w:rPr>
                <w:rFonts w:ascii="Times New Roman" w:cs="Times New Roman" w:eastAsia="Times New Roman" w:hAnsi="Times New Roman"/>
                <w:sz w:val="20"/>
                <w:szCs w:val="20"/>
                <w:color w:val="auto"/>
              </w:rPr>
              <w:t>Operating lease liabilities, current</w:t>
            </w:r>
          </w:p>
        </w:tc>
        <w:tc>
          <w:tcPr>
            <w:tcW w:w="380" w:type="dxa"/>
            <w:vAlign w:val="bottom"/>
            <w:shd w:val="clear" w:color="auto" w:fill="DDDDDD"/>
          </w:tcPr>
          <w:p>
            <w:pPr>
              <w:spacing w:after="0"/>
              <w:rPr>
                <w:sz w:val="24"/>
                <w:szCs w:val="24"/>
                <w:color w:val="auto"/>
              </w:rPr>
            </w:pPr>
          </w:p>
        </w:tc>
        <w:tc>
          <w:tcPr>
            <w:tcW w:w="1300" w:type="dxa"/>
            <w:vAlign w:val="bottom"/>
            <w:shd w:val="clear" w:color="auto" w:fill="DDDDDD"/>
          </w:tcPr>
          <w:p>
            <w:pPr>
              <w:jc w:val="right"/>
              <w:spacing w:after="0"/>
              <w:rPr>
                <w:sz w:val="20"/>
                <w:szCs w:val="20"/>
                <w:color w:val="auto"/>
              </w:rPr>
            </w:pPr>
            <w:r>
              <w:rPr>
                <w:rFonts w:ascii="Times New Roman" w:cs="Times New Roman" w:eastAsia="Times New Roman" w:hAnsi="Times New Roman"/>
                <w:sz w:val="20"/>
                <w:szCs w:val="20"/>
                <w:color w:val="auto"/>
              </w:rPr>
              <w:t>6,493</w:t>
            </w:r>
          </w:p>
        </w:tc>
        <w:tc>
          <w:tcPr>
            <w:tcW w:w="40" w:type="dxa"/>
            <w:vAlign w:val="bottom"/>
            <w:shd w:val="clear" w:color="auto" w:fill="DDDDDD"/>
          </w:tcPr>
          <w:p>
            <w:pPr>
              <w:spacing w:after="0"/>
              <w:rPr>
                <w:sz w:val="24"/>
                <w:szCs w:val="24"/>
                <w:color w:val="auto"/>
              </w:rPr>
            </w:pPr>
          </w:p>
        </w:tc>
        <w:tc>
          <w:tcPr>
            <w:tcW w:w="20" w:type="dxa"/>
            <w:vAlign w:val="bottom"/>
            <w:shd w:val="clear" w:color="auto" w:fill="DDDDDD"/>
          </w:tcPr>
          <w:p>
            <w:pPr>
              <w:spacing w:after="0"/>
              <w:rPr>
                <w:sz w:val="24"/>
                <w:szCs w:val="24"/>
                <w:color w:val="auto"/>
              </w:rPr>
            </w:pPr>
          </w:p>
        </w:tc>
        <w:tc>
          <w:tcPr>
            <w:tcW w:w="600" w:type="dxa"/>
            <w:vAlign w:val="bottom"/>
            <w:shd w:val="clear" w:color="auto" w:fill="DDDDDD"/>
          </w:tcPr>
          <w:p>
            <w:pPr>
              <w:spacing w:after="0"/>
              <w:rPr>
                <w:sz w:val="24"/>
                <w:szCs w:val="24"/>
                <w:color w:val="auto"/>
              </w:rPr>
            </w:pPr>
          </w:p>
        </w:tc>
        <w:tc>
          <w:tcPr>
            <w:tcW w:w="1100" w:type="dxa"/>
            <w:vAlign w:val="bottom"/>
            <w:shd w:val="clear" w:color="auto" w:fill="DDDDDD"/>
          </w:tcPr>
          <w:p>
            <w:pPr>
              <w:jc w:val="right"/>
              <w:spacing w:after="0"/>
              <w:rPr>
                <w:sz w:val="20"/>
                <w:szCs w:val="20"/>
                <w:color w:val="auto"/>
              </w:rPr>
            </w:pPr>
            <w:r>
              <w:rPr>
                <w:rFonts w:ascii="Times New Roman" w:cs="Times New Roman" w:eastAsia="Times New Roman" w:hAnsi="Times New Roman"/>
                <w:sz w:val="20"/>
                <w:szCs w:val="20"/>
                <w:color w:val="auto"/>
              </w:rPr>
              <w:t>6,334</w:t>
            </w:r>
          </w:p>
        </w:tc>
        <w:tc>
          <w:tcPr>
            <w:tcW w:w="0" w:type="dxa"/>
            <w:vAlign w:val="bottom"/>
          </w:tcPr>
          <w:p>
            <w:pPr>
              <w:spacing w:after="0"/>
              <w:rPr>
                <w:sz w:val="1"/>
                <w:szCs w:val="1"/>
                <w:color w:val="auto"/>
              </w:rPr>
            </w:pPr>
          </w:p>
        </w:tc>
      </w:tr>
      <w:tr>
        <w:trPr>
          <w:trHeight w:val="288"/>
        </w:trPr>
        <w:tc>
          <w:tcPr>
            <w:tcW w:w="6820" w:type="dxa"/>
            <w:vAlign w:val="bottom"/>
            <w:gridSpan w:val="2"/>
          </w:tcPr>
          <w:p>
            <w:pPr>
              <w:ind w:left="280"/>
              <w:spacing w:after="0"/>
              <w:rPr>
                <w:sz w:val="20"/>
                <w:szCs w:val="20"/>
                <w:color w:val="auto"/>
              </w:rPr>
            </w:pPr>
            <w:r>
              <w:rPr>
                <w:rFonts w:ascii="Times New Roman" w:cs="Times New Roman" w:eastAsia="Times New Roman" w:hAnsi="Times New Roman"/>
                <w:sz w:val="20"/>
                <w:szCs w:val="20"/>
                <w:color w:val="auto"/>
              </w:rPr>
              <w:t>Tax receivable agreement liability, current</w:t>
            </w:r>
          </w:p>
        </w:tc>
        <w:tc>
          <w:tcPr>
            <w:tcW w:w="380" w:type="dxa"/>
            <w:vAlign w:val="bottom"/>
          </w:tcPr>
          <w:p>
            <w:pPr>
              <w:spacing w:after="0"/>
              <w:rPr>
                <w:sz w:val="24"/>
                <w:szCs w:val="24"/>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122</w:t>
            </w: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0" w:type="dxa"/>
            <w:vAlign w:val="bottom"/>
          </w:tcPr>
          <w:p>
            <w:pPr>
              <w:spacing w:after="0"/>
              <w:rPr>
                <w:sz w:val="1"/>
                <w:szCs w:val="1"/>
                <w:color w:val="auto"/>
              </w:rPr>
            </w:pPr>
          </w:p>
        </w:tc>
      </w:tr>
      <w:tr>
        <w:trPr>
          <w:trHeight w:val="288"/>
        </w:trPr>
        <w:tc>
          <w:tcPr>
            <w:tcW w:w="6800" w:type="dxa"/>
            <w:vAlign w:val="bottom"/>
            <w:shd w:val="clear" w:color="auto" w:fill="DDDDDD"/>
          </w:tcPr>
          <w:p>
            <w:pPr>
              <w:ind w:left="280"/>
              <w:spacing w:after="0"/>
              <w:rPr>
                <w:sz w:val="20"/>
                <w:szCs w:val="20"/>
                <w:color w:val="auto"/>
              </w:rPr>
            </w:pPr>
            <w:r>
              <w:rPr>
                <w:rFonts w:ascii="Times New Roman" w:cs="Times New Roman" w:eastAsia="Times New Roman" w:hAnsi="Times New Roman"/>
                <w:sz w:val="20"/>
                <w:szCs w:val="20"/>
                <w:color w:val="auto"/>
              </w:rPr>
              <w:t>Other current liabilities</w:t>
            </w:r>
          </w:p>
        </w:tc>
        <w:tc>
          <w:tcPr>
            <w:tcW w:w="20" w:type="dxa"/>
            <w:vAlign w:val="bottom"/>
            <w:shd w:val="clear" w:color="auto" w:fill="DDDDDD"/>
          </w:tcPr>
          <w:p>
            <w:pPr>
              <w:spacing w:after="0"/>
              <w:rPr>
                <w:sz w:val="24"/>
                <w:szCs w:val="24"/>
                <w:color w:val="auto"/>
              </w:rPr>
            </w:pPr>
          </w:p>
        </w:tc>
        <w:tc>
          <w:tcPr>
            <w:tcW w:w="380" w:type="dxa"/>
            <w:vAlign w:val="bottom"/>
            <w:tcBorders>
              <w:bottom w:val="single" w:sz="8" w:color="auto"/>
            </w:tcBorders>
            <w:shd w:val="clear" w:color="auto" w:fill="DDDDDD"/>
          </w:tcPr>
          <w:p>
            <w:pPr>
              <w:spacing w:after="0"/>
              <w:rPr>
                <w:sz w:val="24"/>
                <w:szCs w:val="24"/>
                <w:color w:val="auto"/>
              </w:rPr>
            </w:pPr>
          </w:p>
        </w:tc>
        <w:tc>
          <w:tcPr>
            <w:tcW w:w="1300" w:type="dxa"/>
            <w:vAlign w:val="bottom"/>
            <w:tcBorders>
              <w:bottom w:val="single" w:sz="8" w:color="auto"/>
            </w:tcBorders>
            <w:shd w:val="clear" w:color="auto" w:fill="DDDDDD"/>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40" w:type="dxa"/>
            <w:vAlign w:val="bottom"/>
            <w:shd w:val="clear" w:color="auto" w:fill="DDDDDD"/>
          </w:tcPr>
          <w:p>
            <w:pPr>
              <w:spacing w:after="0"/>
              <w:rPr>
                <w:sz w:val="24"/>
                <w:szCs w:val="24"/>
                <w:color w:val="auto"/>
              </w:rPr>
            </w:pPr>
          </w:p>
        </w:tc>
        <w:tc>
          <w:tcPr>
            <w:tcW w:w="20" w:type="dxa"/>
            <w:vAlign w:val="bottom"/>
            <w:shd w:val="clear" w:color="auto" w:fill="DDDDDD"/>
          </w:tcPr>
          <w:p>
            <w:pPr>
              <w:spacing w:after="0"/>
              <w:rPr>
                <w:sz w:val="24"/>
                <w:szCs w:val="24"/>
                <w:color w:val="auto"/>
              </w:rPr>
            </w:pPr>
          </w:p>
        </w:tc>
        <w:tc>
          <w:tcPr>
            <w:tcW w:w="600" w:type="dxa"/>
            <w:vAlign w:val="bottom"/>
            <w:tcBorders>
              <w:bottom w:val="single" w:sz="8" w:color="auto"/>
            </w:tcBorders>
            <w:shd w:val="clear" w:color="auto" w:fill="DDDDDD"/>
          </w:tcPr>
          <w:p>
            <w:pPr>
              <w:spacing w:after="0"/>
              <w:rPr>
                <w:sz w:val="24"/>
                <w:szCs w:val="24"/>
                <w:color w:val="auto"/>
              </w:rPr>
            </w:pPr>
          </w:p>
        </w:tc>
        <w:tc>
          <w:tcPr>
            <w:tcW w:w="1100" w:type="dxa"/>
            <w:vAlign w:val="bottom"/>
            <w:tcBorders>
              <w:bottom w:val="single" w:sz="8" w:color="auto"/>
            </w:tcBorders>
            <w:shd w:val="clear" w:color="auto" w:fill="DDDDDD"/>
          </w:tcPr>
          <w:p>
            <w:pPr>
              <w:jc w:val="right"/>
              <w:spacing w:after="0"/>
              <w:rPr>
                <w:sz w:val="20"/>
                <w:szCs w:val="20"/>
                <w:color w:val="auto"/>
              </w:rPr>
            </w:pPr>
            <w:r>
              <w:rPr>
                <w:rFonts w:ascii="Times New Roman" w:cs="Times New Roman" w:eastAsia="Times New Roman" w:hAnsi="Times New Roman"/>
                <w:sz w:val="20"/>
                <w:szCs w:val="20"/>
                <w:color w:val="auto"/>
              </w:rPr>
              <w:t>98</w:t>
            </w:r>
          </w:p>
        </w:tc>
        <w:tc>
          <w:tcPr>
            <w:tcW w:w="0" w:type="dxa"/>
            <w:vAlign w:val="bottom"/>
          </w:tcPr>
          <w:p>
            <w:pPr>
              <w:spacing w:after="0"/>
              <w:rPr>
                <w:sz w:val="1"/>
                <w:szCs w:val="1"/>
                <w:color w:val="auto"/>
              </w:rPr>
            </w:pPr>
          </w:p>
        </w:tc>
      </w:tr>
      <w:tr>
        <w:trPr>
          <w:trHeight w:val="261"/>
        </w:trPr>
        <w:tc>
          <w:tcPr>
            <w:tcW w:w="6820" w:type="dxa"/>
            <w:vAlign w:val="bottom"/>
            <w:gridSpan w:val="2"/>
          </w:tcPr>
          <w:p>
            <w:pPr>
              <w:ind w:left="400"/>
              <w:spacing w:after="0"/>
              <w:rPr>
                <w:sz w:val="20"/>
                <w:szCs w:val="20"/>
                <w:color w:val="auto"/>
              </w:rPr>
            </w:pPr>
            <w:r>
              <w:rPr>
                <w:rFonts w:ascii="Times New Roman" w:cs="Times New Roman" w:eastAsia="Times New Roman" w:hAnsi="Times New Roman"/>
                <w:sz w:val="20"/>
                <w:szCs w:val="20"/>
                <w:color w:val="auto"/>
              </w:rPr>
              <w:t>Total current liabilities</w:t>
            </w:r>
          </w:p>
        </w:tc>
        <w:tc>
          <w:tcPr>
            <w:tcW w:w="380" w:type="dxa"/>
            <w:vAlign w:val="bottom"/>
          </w:tcPr>
          <w:p>
            <w:pPr>
              <w:spacing w:after="0"/>
              <w:rPr>
                <w:sz w:val="22"/>
                <w:szCs w:val="22"/>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33,715</w:t>
            </w:r>
          </w:p>
        </w:tc>
        <w:tc>
          <w:tcPr>
            <w:tcW w:w="4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600" w:type="dxa"/>
            <w:vAlign w:val="bottom"/>
          </w:tcPr>
          <w:p>
            <w:pPr>
              <w:spacing w:after="0"/>
              <w:rPr>
                <w:sz w:val="22"/>
                <w:szCs w:val="22"/>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46,323</w:t>
            </w:r>
          </w:p>
        </w:tc>
        <w:tc>
          <w:tcPr>
            <w:tcW w:w="0" w:type="dxa"/>
            <w:vAlign w:val="bottom"/>
          </w:tcPr>
          <w:p>
            <w:pPr>
              <w:spacing w:after="0"/>
              <w:rPr>
                <w:sz w:val="1"/>
                <w:szCs w:val="1"/>
                <w:color w:val="auto"/>
              </w:rPr>
            </w:pPr>
          </w:p>
        </w:tc>
      </w:tr>
      <w:tr>
        <w:trPr>
          <w:trHeight w:val="288"/>
        </w:trPr>
        <w:tc>
          <w:tcPr>
            <w:tcW w:w="6800" w:type="dxa"/>
            <w:vAlign w:val="bottom"/>
            <w:shd w:val="clear" w:color="auto" w:fill="DDDDDD"/>
          </w:tcPr>
          <w:p>
            <w:pPr>
              <w:ind w:left="40"/>
              <w:spacing w:after="0"/>
              <w:rPr>
                <w:sz w:val="20"/>
                <w:szCs w:val="20"/>
                <w:color w:val="auto"/>
              </w:rPr>
            </w:pPr>
            <w:r>
              <w:rPr>
                <w:rFonts w:ascii="Times New Roman" w:cs="Times New Roman" w:eastAsia="Times New Roman" w:hAnsi="Times New Roman"/>
                <w:sz w:val="20"/>
                <w:szCs w:val="20"/>
                <w:color w:val="auto"/>
              </w:rPr>
              <w:t>Operating lease liabilities, non-current</w:t>
            </w:r>
          </w:p>
        </w:tc>
        <w:tc>
          <w:tcPr>
            <w:tcW w:w="20" w:type="dxa"/>
            <w:vAlign w:val="bottom"/>
            <w:shd w:val="clear" w:color="auto" w:fill="DDDDDD"/>
          </w:tcPr>
          <w:p>
            <w:pPr>
              <w:spacing w:after="0"/>
              <w:rPr>
                <w:sz w:val="24"/>
                <w:szCs w:val="24"/>
                <w:color w:val="auto"/>
              </w:rPr>
            </w:pPr>
          </w:p>
        </w:tc>
        <w:tc>
          <w:tcPr>
            <w:tcW w:w="380" w:type="dxa"/>
            <w:vAlign w:val="bottom"/>
            <w:shd w:val="clear" w:color="auto" w:fill="DDDDDD"/>
          </w:tcPr>
          <w:p>
            <w:pPr>
              <w:spacing w:after="0"/>
              <w:rPr>
                <w:sz w:val="24"/>
                <w:szCs w:val="24"/>
                <w:color w:val="auto"/>
              </w:rPr>
            </w:pPr>
          </w:p>
        </w:tc>
        <w:tc>
          <w:tcPr>
            <w:tcW w:w="1300" w:type="dxa"/>
            <w:vAlign w:val="bottom"/>
            <w:shd w:val="clear" w:color="auto" w:fill="DDDDDD"/>
          </w:tcPr>
          <w:p>
            <w:pPr>
              <w:jc w:val="right"/>
              <w:spacing w:after="0"/>
              <w:rPr>
                <w:sz w:val="20"/>
                <w:szCs w:val="20"/>
                <w:color w:val="auto"/>
              </w:rPr>
            </w:pPr>
            <w:r>
              <w:rPr>
                <w:rFonts w:ascii="Times New Roman" w:cs="Times New Roman" w:eastAsia="Times New Roman" w:hAnsi="Times New Roman"/>
                <w:sz w:val="20"/>
                <w:szCs w:val="20"/>
                <w:color w:val="auto"/>
              </w:rPr>
              <w:t>26,550</w:t>
            </w:r>
          </w:p>
        </w:tc>
        <w:tc>
          <w:tcPr>
            <w:tcW w:w="40" w:type="dxa"/>
            <w:vAlign w:val="bottom"/>
            <w:shd w:val="clear" w:color="auto" w:fill="DDDDDD"/>
          </w:tcPr>
          <w:p>
            <w:pPr>
              <w:spacing w:after="0"/>
              <w:rPr>
                <w:sz w:val="24"/>
                <w:szCs w:val="24"/>
                <w:color w:val="auto"/>
              </w:rPr>
            </w:pPr>
          </w:p>
        </w:tc>
        <w:tc>
          <w:tcPr>
            <w:tcW w:w="20" w:type="dxa"/>
            <w:vAlign w:val="bottom"/>
            <w:shd w:val="clear" w:color="auto" w:fill="DDDDDD"/>
          </w:tcPr>
          <w:p>
            <w:pPr>
              <w:spacing w:after="0"/>
              <w:rPr>
                <w:sz w:val="24"/>
                <w:szCs w:val="24"/>
                <w:color w:val="auto"/>
              </w:rPr>
            </w:pPr>
          </w:p>
        </w:tc>
        <w:tc>
          <w:tcPr>
            <w:tcW w:w="600" w:type="dxa"/>
            <w:vAlign w:val="bottom"/>
            <w:shd w:val="clear" w:color="auto" w:fill="DDDDDD"/>
          </w:tcPr>
          <w:p>
            <w:pPr>
              <w:spacing w:after="0"/>
              <w:rPr>
                <w:sz w:val="24"/>
                <w:szCs w:val="24"/>
                <w:color w:val="auto"/>
              </w:rPr>
            </w:pPr>
          </w:p>
        </w:tc>
        <w:tc>
          <w:tcPr>
            <w:tcW w:w="1100" w:type="dxa"/>
            <w:vAlign w:val="bottom"/>
            <w:shd w:val="clear" w:color="auto" w:fill="DDDDDD"/>
          </w:tcPr>
          <w:p>
            <w:pPr>
              <w:jc w:val="right"/>
              <w:spacing w:after="0"/>
              <w:rPr>
                <w:sz w:val="20"/>
                <w:szCs w:val="20"/>
                <w:color w:val="auto"/>
              </w:rPr>
            </w:pPr>
            <w:r>
              <w:rPr>
                <w:rFonts w:ascii="Times New Roman" w:cs="Times New Roman" w:eastAsia="Times New Roman" w:hAnsi="Times New Roman"/>
                <w:sz w:val="20"/>
                <w:szCs w:val="20"/>
                <w:color w:val="auto"/>
              </w:rPr>
              <w:t>33,043</w:t>
            </w:r>
          </w:p>
        </w:tc>
        <w:tc>
          <w:tcPr>
            <w:tcW w:w="0" w:type="dxa"/>
            <w:vAlign w:val="bottom"/>
          </w:tcPr>
          <w:p>
            <w:pPr>
              <w:spacing w:after="0"/>
              <w:rPr>
                <w:sz w:val="1"/>
                <w:szCs w:val="1"/>
                <w:color w:val="auto"/>
              </w:rPr>
            </w:pPr>
          </w:p>
        </w:tc>
      </w:tr>
      <w:tr>
        <w:trPr>
          <w:trHeight w:val="281"/>
        </w:trPr>
        <w:tc>
          <w:tcPr>
            <w:tcW w:w="6820" w:type="dxa"/>
            <w:vAlign w:val="bottom"/>
            <w:gridSpan w:val="2"/>
          </w:tcPr>
          <w:p>
            <w:pPr>
              <w:ind w:left="40"/>
              <w:spacing w:after="0"/>
              <w:rPr>
                <w:sz w:val="20"/>
                <w:szCs w:val="20"/>
                <w:color w:val="auto"/>
              </w:rPr>
            </w:pPr>
            <w:r>
              <w:rPr>
                <w:rFonts w:ascii="Times New Roman" w:cs="Times New Roman" w:eastAsia="Times New Roman" w:hAnsi="Times New Roman"/>
                <w:sz w:val="20"/>
                <w:szCs w:val="20"/>
                <w:color w:val="auto"/>
              </w:rPr>
              <w:t>Tax receivable agreement liability, non-current</w:t>
            </w:r>
          </w:p>
        </w:tc>
        <w:tc>
          <w:tcPr>
            <w:tcW w:w="380" w:type="dxa"/>
            <w:vAlign w:val="bottom"/>
          </w:tcPr>
          <w:p>
            <w:pPr>
              <w:spacing w:after="0"/>
              <w:rPr>
                <w:sz w:val="24"/>
                <w:szCs w:val="24"/>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1,634</w:t>
            </w: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500</w:t>
            </w:r>
          </w:p>
        </w:tc>
        <w:tc>
          <w:tcPr>
            <w:tcW w:w="0" w:type="dxa"/>
            <w:vAlign w:val="bottom"/>
          </w:tcPr>
          <w:p>
            <w:pPr>
              <w:spacing w:after="0"/>
              <w:rPr>
                <w:sz w:val="1"/>
                <w:szCs w:val="1"/>
                <w:color w:val="auto"/>
              </w:rPr>
            </w:pPr>
          </w:p>
        </w:tc>
      </w:tr>
      <w:tr>
        <w:trPr>
          <w:trHeight w:val="288"/>
        </w:trPr>
        <w:tc>
          <w:tcPr>
            <w:tcW w:w="6800" w:type="dxa"/>
            <w:vAlign w:val="bottom"/>
            <w:shd w:val="clear" w:color="auto" w:fill="DDDDDD"/>
          </w:tcPr>
          <w:p>
            <w:pPr>
              <w:ind w:left="40"/>
              <w:spacing w:after="0"/>
              <w:rPr>
                <w:sz w:val="20"/>
                <w:szCs w:val="20"/>
                <w:color w:val="auto"/>
              </w:rPr>
            </w:pPr>
            <w:r>
              <w:rPr>
                <w:rFonts w:ascii="Times New Roman" w:cs="Times New Roman" w:eastAsia="Times New Roman" w:hAnsi="Times New Roman"/>
                <w:sz w:val="20"/>
                <w:szCs w:val="20"/>
                <w:color w:val="auto"/>
              </w:rPr>
              <w:t>Warrant liability</w:t>
            </w:r>
          </w:p>
        </w:tc>
        <w:tc>
          <w:tcPr>
            <w:tcW w:w="20" w:type="dxa"/>
            <w:vAlign w:val="bottom"/>
            <w:shd w:val="clear" w:color="auto" w:fill="DDDDDD"/>
          </w:tcPr>
          <w:p>
            <w:pPr>
              <w:spacing w:after="0"/>
              <w:rPr>
                <w:sz w:val="24"/>
                <w:szCs w:val="24"/>
                <w:color w:val="auto"/>
              </w:rPr>
            </w:pPr>
          </w:p>
        </w:tc>
        <w:tc>
          <w:tcPr>
            <w:tcW w:w="380" w:type="dxa"/>
            <w:vAlign w:val="bottom"/>
            <w:shd w:val="clear" w:color="auto" w:fill="DDDDDD"/>
          </w:tcPr>
          <w:p>
            <w:pPr>
              <w:spacing w:after="0"/>
              <w:rPr>
                <w:sz w:val="24"/>
                <w:szCs w:val="24"/>
                <w:color w:val="auto"/>
              </w:rPr>
            </w:pPr>
          </w:p>
        </w:tc>
        <w:tc>
          <w:tcPr>
            <w:tcW w:w="1300" w:type="dxa"/>
            <w:vAlign w:val="bottom"/>
            <w:shd w:val="clear" w:color="auto" w:fill="DDDDDD"/>
          </w:tcPr>
          <w:p>
            <w:pPr>
              <w:jc w:val="right"/>
              <w:spacing w:after="0"/>
              <w:rPr>
                <w:sz w:val="20"/>
                <w:szCs w:val="20"/>
                <w:color w:val="auto"/>
              </w:rPr>
            </w:pPr>
            <w:r>
              <w:rPr>
                <w:rFonts w:ascii="Times New Roman" w:cs="Times New Roman" w:eastAsia="Times New Roman" w:hAnsi="Times New Roman"/>
                <w:sz w:val="20"/>
                <w:szCs w:val="20"/>
                <w:color w:val="auto"/>
              </w:rPr>
              <w:t>585</w:t>
            </w:r>
          </w:p>
        </w:tc>
        <w:tc>
          <w:tcPr>
            <w:tcW w:w="40" w:type="dxa"/>
            <w:vAlign w:val="bottom"/>
            <w:shd w:val="clear" w:color="auto" w:fill="DDDDDD"/>
          </w:tcPr>
          <w:p>
            <w:pPr>
              <w:spacing w:after="0"/>
              <w:rPr>
                <w:sz w:val="24"/>
                <w:szCs w:val="24"/>
                <w:color w:val="auto"/>
              </w:rPr>
            </w:pPr>
          </w:p>
        </w:tc>
        <w:tc>
          <w:tcPr>
            <w:tcW w:w="20" w:type="dxa"/>
            <w:vAlign w:val="bottom"/>
            <w:shd w:val="clear" w:color="auto" w:fill="DDDDDD"/>
          </w:tcPr>
          <w:p>
            <w:pPr>
              <w:spacing w:after="0"/>
              <w:rPr>
                <w:sz w:val="24"/>
                <w:szCs w:val="24"/>
                <w:color w:val="auto"/>
              </w:rPr>
            </w:pPr>
          </w:p>
        </w:tc>
        <w:tc>
          <w:tcPr>
            <w:tcW w:w="600" w:type="dxa"/>
            <w:vAlign w:val="bottom"/>
            <w:shd w:val="clear" w:color="auto" w:fill="DDDDDD"/>
          </w:tcPr>
          <w:p>
            <w:pPr>
              <w:spacing w:after="0"/>
              <w:rPr>
                <w:sz w:val="24"/>
                <w:szCs w:val="24"/>
                <w:color w:val="auto"/>
              </w:rPr>
            </w:pPr>
          </w:p>
        </w:tc>
        <w:tc>
          <w:tcPr>
            <w:tcW w:w="1100" w:type="dxa"/>
            <w:vAlign w:val="bottom"/>
            <w:shd w:val="clear" w:color="auto" w:fill="DDDDDD"/>
          </w:tcPr>
          <w:p>
            <w:pPr>
              <w:jc w:val="right"/>
              <w:spacing w:after="0"/>
              <w:rPr>
                <w:sz w:val="20"/>
                <w:szCs w:val="20"/>
                <w:color w:val="auto"/>
              </w:rPr>
            </w:pPr>
            <w:r>
              <w:rPr>
                <w:rFonts w:ascii="Times New Roman" w:cs="Times New Roman" w:eastAsia="Times New Roman" w:hAnsi="Times New Roman"/>
                <w:sz w:val="20"/>
                <w:szCs w:val="20"/>
                <w:color w:val="auto"/>
              </w:rPr>
              <w:t>2,090</w:t>
            </w:r>
          </w:p>
        </w:tc>
        <w:tc>
          <w:tcPr>
            <w:tcW w:w="0" w:type="dxa"/>
            <w:vAlign w:val="bottom"/>
          </w:tcPr>
          <w:p>
            <w:pPr>
              <w:spacing w:after="0"/>
              <w:rPr>
                <w:sz w:val="1"/>
                <w:szCs w:val="1"/>
                <w:color w:val="auto"/>
              </w:rPr>
            </w:pPr>
          </w:p>
        </w:tc>
      </w:tr>
      <w:tr>
        <w:trPr>
          <w:trHeight w:val="288"/>
        </w:trPr>
        <w:tc>
          <w:tcPr>
            <w:tcW w:w="6820" w:type="dxa"/>
            <w:vAlign w:val="bottom"/>
            <w:tcBorders>
              <w:bottom w:val="single" w:sz="8" w:color="DDDDDD"/>
            </w:tcBorders>
            <w:gridSpan w:val="2"/>
          </w:tcPr>
          <w:p>
            <w:pPr>
              <w:ind w:left="40"/>
              <w:spacing w:after="0"/>
              <w:rPr>
                <w:sz w:val="20"/>
                <w:szCs w:val="20"/>
                <w:color w:val="auto"/>
              </w:rPr>
            </w:pPr>
            <w:r>
              <w:rPr>
                <w:rFonts w:ascii="Times New Roman" w:cs="Times New Roman" w:eastAsia="Times New Roman" w:hAnsi="Times New Roman"/>
                <w:sz w:val="20"/>
                <w:szCs w:val="20"/>
                <w:color w:val="auto"/>
              </w:rPr>
              <w:t>Other long-term liabilities</w:t>
            </w:r>
          </w:p>
        </w:tc>
        <w:tc>
          <w:tcPr>
            <w:tcW w:w="380" w:type="dxa"/>
            <w:vAlign w:val="bottom"/>
            <w:tcBorders>
              <w:bottom w:val="single" w:sz="8" w:color="auto"/>
            </w:tcBorders>
          </w:tcPr>
          <w:p>
            <w:pPr>
              <w:spacing w:after="0"/>
              <w:rPr>
                <w:sz w:val="24"/>
                <w:szCs w:val="24"/>
                <w:color w:val="auto"/>
              </w:rPr>
            </w:pP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1,386</w:t>
            </w:r>
          </w:p>
        </w:tc>
        <w:tc>
          <w:tcPr>
            <w:tcW w:w="40" w:type="dxa"/>
            <w:vAlign w:val="bottom"/>
            <w:tcBorders>
              <w:bottom w:val="single" w:sz="8" w:color="DDDDDD"/>
            </w:tcBorders>
          </w:tcPr>
          <w:p>
            <w:pPr>
              <w:spacing w:after="0"/>
              <w:rPr>
                <w:sz w:val="24"/>
                <w:szCs w:val="24"/>
                <w:color w:val="auto"/>
              </w:rPr>
            </w:pPr>
          </w:p>
        </w:tc>
        <w:tc>
          <w:tcPr>
            <w:tcW w:w="20" w:type="dxa"/>
            <w:vAlign w:val="bottom"/>
            <w:tcBorders>
              <w:bottom w:val="single" w:sz="8" w:color="DDDDDD"/>
            </w:tcBorders>
          </w:tcPr>
          <w:p>
            <w:pPr>
              <w:spacing w:after="0"/>
              <w:rPr>
                <w:sz w:val="24"/>
                <w:szCs w:val="24"/>
                <w:color w:val="auto"/>
              </w:rPr>
            </w:pPr>
          </w:p>
        </w:tc>
        <w:tc>
          <w:tcPr>
            <w:tcW w:w="600" w:type="dxa"/>
            <w:vAlign w:val="bottom"/>
            <w:tcBorders>
              <w:bottom w:val="single" w:sz="8" w:color="auto"/>
            </w:tcBorders>
          </w:tcPr>
          <w:p>
            <w:pPr>
              <w:spacing w:after="0"/>
              <w:rPr>
                <w:sz w:val="24"/>
                <w:szCs w:val="24"/>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2,302</w:t>
            </w:r>
          </w:p>
        </w:tc>
        <w:tc>
          <w:tcPr>
            <w:tcW w:w="0" w:type="dxa"/>
            <w:vAlign w:val="bottom"/>
          </w:tcPr>
          <w:p>
            <w:pPr>
              <w:spacing w:after="0"/>
              <w:rPr>
                <w:sz w:val="1"/>
                <w:szCs w:val="1"/>
                <w:color w:val="auto"/>
              </w:rPr>
            </w:pPr>
          </w:p>
        </w:tc>
      </w:tr>
      <w:tr>
        <w:trPr>
          <w:trHeight w:val="261"/>
        </w:trPr>
        <w:tc>
          <w:tcPr>
            <w:tcW w:w="6820" w:type="dxa"/>
            <w:vAlign w:val="bottom"/>
            <w:gridSpan w:val="2"/>
            <w:shd w:val="clear" w:color="auto" w:fill="DDDDDD"/>
          </w:tcPr>
          <w:p>
            <w:pPr>
              <w:ind w:left="400"/>
              <w:spacing w:after="0"/>
              <w:rPr>
                <w:sz w:val="20"/>
                <w:szCs w:val="20"/>
                <w:color w:val="auto"/>
              </w:rPr>
            </w:pPr>
            <w:r>
              <w:rPr>
                <w:rFonts w:ascii="Times New Roman" w:cs="Times New Roman" w:eastAsia="Times New Roman" w:hAnsi="Times New Roman"/>
                <w:sz w:val="20"/>
                <w:szCs w:val="20"/>
                <w:color w:val="auto"/>
              </w:rPr>
              <w:t>Total liabilities</w:t>
            </w:r>
          </w:p>
        </w:tc>
        <w:tc>
          <w:tcPr>
            <w:tcW w:w="380" w:type="dxa"/>
            <w:vAlign w:val="bottom"/>
            <w:shd w:val="clear" w:color="auto" w:fill="DDDDDD"/>
          </w:tcPr>
          <w:p>
            <w:pPr>
              <w:spacing w:after="0"/>
              <w:rPr>
                <w:sz w:val="22"/>
                <w:szCs w:val="22"/>
                <w:color w:val="auto"/>
              </w:rPr>
            </w:pPr>
          </w:p>
        </w:tc>
        <w:tc>
          <w:tcPr>
            <w:tcW w:w="1300" w:type="dxa"/>
            <w:vAlign w:val="bottom"/>
            <w:shd w:val="clear" w:color="auto" w:fill="DDDDDD"/>
          </w:tcPr>
          <w:p>
            <w:pPr>
              <w:jc w:val="right"/>
              <w:spacing w:after="0"/>
              <w:rPr>
                <w:sz w:val="20"/>
                <w:szCs w:val="20"/>
                <w:color w:val="auto"/>
              </w:rPr>
            </w:pPr>
            <w:r>
              <w:rPr>
                <w:rFonts w:ascii="Times New Roman" w:cs="Times New Roman" w:eastAsia="Times New Roman" w:hAnsi="Times New Roman"/>
                <w:sz w:val="20"/>
                <w:szCs w:val="20"/>
                <w:color w:val="auto"/>
              </w:rPr>
              <w:t>63,870</w:t>
            </w:r>
          </w:p>
        </w:tc>
        <w:tc>
          <w:tcPr>
            <w:tcW w:w="40" w:type="dxa"/>
            <w:vAlign w:val="bottom"/>
            <w:shd w:val="clear" w:color="auto" w:fill="DDDDDD"/>
          </w:tcPr>
          <w:p>
            <w:pPr>
              <w:spacing w:after="0"/>
              <w:rPr>
                <w:sz w:val="22"/>
                <w:szCs w:val="22"/>
                <w:color w:val="auto"/>
              </w:rPr>
            </w:pPr>
          </w:p>
        </w:tc>
        <w:tc>
          <w:tcPr>
            <w:tcW w:w="20" w:type="dxa"/>
            <w:vAlign w:val="bottom"/>
            <w:shd w:val="clear" w:color="auto" w:fill="DDDDDD"/>
          </w:tcPr>
          <w:p>
            <w:pPr>
              <w:spacing w:after="0"/>
              <w:rPr>
                <w:sz w:val="22"/>
                <w:szCs w:val="22"/>
                <w:color w:val="auto"/>
              </w:rPr>
            </w:pPr>
          </w:p>
        </w:tc>
        <w:tc>
          <w:tcPr>
            <w:tcW w:w="600" w:type="dxa"/>
            <w:vAlign w:val="bottom"/>
            <w:shd w:val="clear" w:color="auto" w:fill="DDDDDD"/>
          </w:tcPr>
          <w:p>
            <w:pPr>
              <w:spacing w:after="0"/>
              <w:rPr>
                <w:sz w:val="22"/>
                <w:szCs w:val="22"/>
                <w:color w:val="auto"/>
              </w:rPr>
            </w:pPr>
          </w:p>
        </w:tc>
        <w:tc>
          <w:tcPr>
            <w:tcW w:w="1100" w:type="dxa"/>
            <w:vAlign w:val="bottom"/>
            <w:shd w:val="clear" w:color="auto" w:fill="DDDDDD"/>
          </w:tcPr>
          <w:p>
            <w:pPr>
              <w:jc w:val="right"/>
              <w:spacing w:after="0"/>
              <w:rPr>
                <w:sz w:val="20"/>
                <w:szCs w:val="20"/>
                <w:color w:val="auto"/>
              </w:rPr>
            </w:pPr>
            <w:r>
              <w:rPr>
                <w:rFonts w:ascii="Times New Roman" w:cs="Times New Roman" w:eastAsia="Times New Roman" w:hAnsi="Times New Roman"/>
                <w:sz w:val="20"/>
                <w:szCs w:val="20"/>
                <w:color w:val="auto"/>
              </w:rPr>
              <w:t>84,258</w:t>
            </w:r>
          </w:p>
        </w:tc>
        <w:tc>
          <w:tcPr>
            <w:tcW w:w="0" w:type="dxa"/>
            <w:vAlign w:val="bottom"/>
          </w:tcPr>
          <w:p>
            <w:pPr>
              <w:spacing w:after="0"/>
              <w:rPr>
                <w:sz w:val="1"/>
                <w:szCs w:val="1"/>
                <w:color w:val="auto"/>
              </w:rPr>
            </w:pPr>
          </w:p>
        </w:tc>
      </w:tr>
      <w:tr>
        <w:trPr>
          <w:trHeight w:val="288"/>
        </w:trPr>
        <w:tc>
          <w:tcPr>
            <w:tcW w:w="6820" w:type="dxa"/>
            <w:vAlign w:val="bottom"/>
            <w:gridSpan w:val="2"/>
          </w:tcPr>
          <w:p>
            <w:pPr>
              <w:ind w:left="40"/>
              <w:spacing w:after="0"/>
              <w:rPr>
                <w:sz w:val="20"/>
                <w:szCs w:val="20"/>
                <w:color w:val="auto"/>
              </w:rPr>
            </w:pPr>
            <w:r>
              <w:rPr>
                <w:rFonts w:ascii="Times New Roman" w:cs="Times New Roman" w:eastAsia="Times New Roman" w:hAnsi="Times New Roman"/>
                <w:sz w:val="20"/>
                <w:szCs w:val="20"/>
                <w:color w:val="auto"/>
              </w:rPr>
              <w:t>Commitments and contingencies (Note 5)</w:t>
            </w:r>
          </w:p>
        </w:tc>
        <w:tc>
          <w:tcPr>
            <w:tcW w:w="38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81"/>
        </w:trPr>
        <w:tc>
          <w:tcPr>
            <w:tcW w:w="6820" w:type="dxa"/>
            <w:vAlign w:val="bottom"/>
            <w:gridSpan w:val="2"/>
            <w:shd w:val="clear" w:color="auto" w:fill="DDDDDD"/>
          </w:tcPr>
          <w:p>
            <w:pPr>
              <w:ind w:left="40"/>
              <w:spacing w:after="0"/>
              <w:rPr>
                <w:sz w:val="20"/>
                <w:szCs w:val="20"/>
                <w:color w:val="auto"/>
              </w:rPr>
            </w:pPr>
            <w:r>
              <w:rPr>
                <w:rFonts w:ascii="Times New Roman" w:cs="Times New Roman" w:eastAsia="Times New Roman" w:hAnsi="Times New Roman"/>
                <w:sz w:val="20"/>
                <w:szCs w:val="20"/>
                <w:color w:val="auto"/>
              </w:rPr>
              <w:t>Stockholders’ equity</w:t>
            </w:r>
          </w:p>
        </w:tc>
        <w:tc>
          <w:tcPr>
            <w:tcW w:w="380" w:type="dxa"/>
            <w:vAlign w:val="bottom"/>
            <w:shd w:val="clear" w:color="auto" w:fill="DDDDDD"/>
          </w:tcPr>
          <w:p>
            <w:pPr>
              <w:spacing w:after="0"/>
              <w:rPr>
                <w:sz w:val="24"/>
                <w:szCs w:val="24"/>
                <w:color w:val="auto"/>
              </w:rPr>
            </w:pPr>
          </w:p>
        </w:tc>
        <w:tc>
          <w:tcPr>
            <w:tcW w:w="1300" w:type="dxa"/>
            <w:vAlign w:val="bottom"/>
            <w:shd w:val="clear" w:color="auto" w:fill="DDDDDD"/>
          </w:tcPr>
          <w:p>
            <w:pPr>
              <w:spacing w:after="0"/>
              <w:rPr>
                <w:sz w:val="24"/>
                <w:szCs w:val="24"/>
                <w:color w:val="auto"/>
              </w:rPr>
            </w:pPr>
          </w:p>
        </w:tc>
        <w:tc>
          <w:tcPr>
            <w:tcW w:w="40" w:type="dxa"/>
            <w:vAlign w:val="bottom"/>
            <w:shd w:val="clear" w:color="auto" w:fill="DDDDDD"/>
          </w:tcPr>
          <w:p>
            <w:pPr>
              <w:spacing w:after="0"/>
              <w:rPr>
                <w:sz w:val="24"/>
                <w:szCs w:val="24"/>
                <w:color w:val="auto"/>
              </w:rPr>
            </w:pPr>
          </w:p>
        </w:tc>
        <w:tc>
          <w:tcPr>
            <w:tcW w:w="20" w:type="dxa"/>
            <w:vAlign w:val="bottom"/>
            <w:shd w:val="clear" w:color="auto" w:fill="DDDDDD"/>
          </w:tcPr>
          <w:p>
            <w:pPr>
              <w:spacing w:after="0"/>
              <w:rPr>
                <w:sz w:val="24"/>
                <w:szCs w:val="24"/>
                <w:color w:val="auto"/>
              </w:rPr>
            </w:pPr>
          </w:p>
        </w:tc>
        <w:tc>
          <w:tcPr>
            <w:tcW w:w="600" w:type="dxa"/>
            <w:vAlign w:val="bottom"/>
            <w:shd w:val="clear" w:color="auto" w:fill="DDDDDD"/>
          </w:tcPr>
          <w:p>
            <w:pPr>
              <w:spacing w:after="0"/>
              <w:rPr>
                <w:sz w:val="24"/>
                <w:szCs w:val="24"/>
                <w:color w:val="auto"/>
              </w:rPr>
            </w:pPr>
          </w:p>
        </w:tc>
        <w:tc>
          <w:tcPr>
            <w:tcW w:w="1100" w:type="dxa"/>
            <w:vAlign w:val="bottom"/>
            <w:shd w:val="clear" w:color="auto" w:fill="DDDDDD"/>
          </w:tcPr>
          <w:p>
            <w:pPr>
              <w:spacing w:after="0"/>
              <w:rPr>
                <w:sz w:val="24"/>
                <w:szCs w:val="24"/>
                <w:color w:val="auto"/>
              </w:rPr>
            </w:pPr>
          </w:p>
        </w:tc>
        <w:tc>
          <w:tcPr>
            <w:tcW w:w="0" w:type="dxa"/>
            <w:vAlign w:val="bottom"/>
          </w:tcPr>
          <w:p>
            <w:pPr>
              <w:spacing w:after="0"/>
              <w:rPr>
                <w:sz w:val="1"/>
                <w:szCs w:val="1"/>
                <w:color w:val="auto"/>
              </w:rPr>
            </w:pPr>
          </w:p>
        </w:tc>
      </w:tr>
      <w:tr>
        <w:trPr>
          <w:trHeight w:val="266"/>
        </w:trPr>
        <w:tc>
          <w:tcPr>
            <w:tcW w:w="6820" w:type="dxa"/>
            <w:vAlign w:val="bottom"/>
            <w:gridSpan w:val="2"/>
          </w:tcPr>
          <w:p>
            <w:pPr>
              <w:ind w:left="220"/>
              <w:spacing w:after="0"/>
              <w:rPr>
                <w:sz w:val="20"/>
                <w:szCs w:val="20"/>
                <w:color w:val="auto"/>
              </w:rPr>
            </w:pPr>
            <w:r>
              <w:rPr>
                <w:rFonts w:ascii="Times New Roman" w:cs="Times New Roman" w:eastAsia="Times New Roman" w:hAnsi="Times New Roman"/>
                <w:sz w:val="20"/>
                <w:szCs w:val="20"/>
                <w:color w:val="auto"/>
              </w:rPr>
              <w:t>Preferred Stock - $0.0001 par value; 75,000,000 shares authorized; no shares</w:t>
            </w:r>
          </w:p>
        </w:tc>
        <w:tc>
          <w:tcPr>
            <w:tcW w:w="380" w:type="dxa"/>
            <w:vAlign w:val="bottom"/>
          </w:tcPr>
          <w:p>
            <w:pPr>
              <w:spacing w:after="0"/>
              <w:rPr>
                <w:sz w:val="23"/>
                <w:szCs w:val="23"/>
                <w:color w:val="auto"/>
              </w:rPr>
            </w:pPr>
          </w:p>
        </w:tc>
        <w:tc>
          <w:tcPr>
            <w:tcW w:w="1300" w:type="dxa"/>
            <w:vAlign w:val="bottom"/>
            <w:vMerge w:val="restart"/>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4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600" w:type="dxa"/>
            <w:vAlign w:val="bottom"/>
          </w:tcPr>
          <w:p>
            <w:pPr>
              <w:spacing w:after="0"/>
              <w:rPr>
                <w:sz w:val="23"/>
                <w:szCs w:val="23"/>
                <w:color w:val="auto"/>
              </w:rPr>
            </w:pPr>
          </w:p>
        </w:tc>
        <w:tc>
          <w:tcPr>
            <w:tcW w:w="1100" w:type="dxa"/>
            <w:vAlign w:val="bottom"/>
            <w:vMerge w:val="restart"/>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0" w:type="dxa"/>
            <w:vAlign w:val="bottom"/>
          </w:tcPr>
          <w:p>
            <w:pPr>
              <w:spacing w:after="0"/>
              <w:rPr>
                <w:sz w:val="1"/>
                <w:szCs w:val="1"/>
                <w:color w:val="auto"/>
              </w:rPr>
            </w:pPr>
          </w:p>
        </w:tc>
      </w:tr>
      <w:tr>
        <w:trPr>
          <w:trHeight w:val="202"/>
        </w:trPr>
        <w:tc>
          <w:tcPr>
            <w:tcW w:w="6820" w:type="dxa"/>
            <w:vAlign w:val="bottom"/>
            <w:gridSpan w:val="2"/>
          </w:tcPr>
          <w:p>
            <w:pPr>
              <w:ind w:left="400"/>
              <w:spacing w:after="0" w:line="183" w:lineRule="exact"/>
              <w:rPr>
                <w:sz w:val="20"/>
                <w:szCs w:val="20"/>
                <w:color w:val="auto"/>
              </w:rPr>
            </w:pPr>
            <w:r>
              <w:rPr>
                <w:rFonts w:ascii="Times New Roman" w:cs="Times New Roman" w:eastAsia="Times New Roman" w:hAnsi="Times New Roman"/>
                <w:sz w:val="20"/>
                <w:szCs w:val="20"/>
                <w:color w:val="auto"/>
              </w:rPr>
              <w:t>issued and outstanding at December 31, 2023 and December 31, 2022</w:t>
            </w:r>
          </w:p>
        </w:tc>
        <w:tc>
          <w:tcPr>
            <w:tcW w:w="380" w:type="dxa"/>
            <w:vAlign w:val="bottom"/>
          </w:tcPr>
          <w:p>
            <w:pPr>
              <w:spacing w:after="0"/>
              <w:rPr>
                <w:sz w:val="17"/>
                <w:szCs w:val="17"/>
                <w:color w:val="auto"/>
              </w:rPr>
            </w:pPr>
          </w:p>
        </w:tc>
        <w:tc>
          <w:tcPr>
            <w:tcW w:w="1300" w:type="dxa"/>
            <w:vAlign w:val="bottom"/>
            <w:vMerge w:val="continue"/>
          </w:tcPr>
          <w:p>
            <w:pPr>
              <w:spacing w:after="0"/>
              <w:rPr>
                <w:sz w:val="17"/>
                <w:szCs w:val="17"/>
                <w:color w:val="auto"/>
              </w:rPr>
            </w:pPr>
          </w:p>
        </w:tc>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110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58"/>
        </w:trPr>
        <w:tc>
          <w:tcPr>
            <w:tcW w:w="6820" w:type="dxa"/>
            <w:vAlign w:val="bottom"/>
            <w:gridSpan w:val="2"/>
            <w:shd w:val="clear" w:color="auto" w:fill="DDDDDD"/>
          </w:tcPr>
          <w:p>
            <w:pPr>
              <w:ind w:left="220"/>
              <w:spacing w:after="0"/>
              <w:rPr>
                <w:sz w:val="20"/>
                <w:szCs w:val="20"/>
                <w:color w:val="auto"/>
              </w:rPr>
            </w:pPr>
            <w:r>
              <w:rPr>
                <w:rFonts w:ascii="Times New Roman" w:cs="Times New Roman" w:eastAsia="Times New Roman" w:hAnsi="Times New Roman"/>
                <w:sz w:val="20"/>
                <w:szCs w:val="20"/>
                <w:color w:val="auto"/>
              </w:rPr>
              <w:t>Class A Common Stock - $0.0001 par value; 1,500,000,000 shares authorized;</w:t>
            </w:r>
          </w:p>
        </w:tc>
        <w:tc>
          <w:tcPr>
            <w:tcW w:w="380" w:type="dxa"/>
            <w:vAlign w:val="bottom"/>
            <w:shd w:val="clear" w:color="auto" w:fill="DDDDDD"/>
          </w:tcPr>
          <w:p>
            <w:pPr>
              <w:spacing w:after="0"/>
              <w:rPr>
                <w:sz w:val="22"/>
                <w:szCs w:val="22"/>
                <w:color w:val="auto"/>
              </w:rPr>
            </w:pPr>
          </w:p>
        </w:tc>
        <w:tc>
          <w:tcPr>
            <w:tcW w:w="1300" w:type="dxa"/>
            <w:vAlign w:val="bottom"/>
            <w:shd w:val="clear" w:color="auto" w:fill="DDDDDD"/>
          </w:tcPr>
          <w:p>
            <w:pPr>
              <w:spacing w:after="0"/>
              <w:rPr>
                <w:sz w:val="22"/>
                <w:szCs w:val="22"/>
                <w:color w:val="auto"/>
              </w:rPr>
            </w:pPr>
          </w:p>
        </w:tc>
        <w:tc>
          <w:tcPr>
            <w:tcW w:w="40" w:type="dxa"/>
            <w:vAlign w:val="bottom"/>
            <w:shd w:val="clear" w:color="auto" w:fill="DDDDDD"/>
          </w:tcPr>
          <w:p>
            <w:pPr>
              <w:spacing w:after="0"/>
              <w:rPr>
                <w:sz w:val="22"/>
                <w:szCs w:val="22"/>
                <w:color w:val="auto"/>
              </w:rPr>
            </w:pPr>
          </w:p>
        </w:tc>
        <w:tc>
          <w:tcPr>
            <w:tcW w:w="20" w:type="dxa"/>
            <w:vAlign w:val="bottom"/>
            <w:shd w:val="clear" w:color="auto" w:fill="DDDDDD"/>
          </w:tcPr>
          <w:p>
            <w:pPr>
              <w:spacing w:after="0"/>
              <w:rPr>
                <w:sz w:val="22"/>
                <w:szCs w:val="22"/>
                <w:color w:val="auto"/>
              </w:rPr>
            </w:pPr>
          </w:p>
        </w:tc>
        <w:tc>
          <w:tcPr>
            <w:tcW w:w="600" w:type="dxa"/>
            <w:vAlign w:val="bottom"/>
            <w:shd w:val="clear" w:color="auto" w:fill="DDDDDD"/>
          </w:tcPr>
          <w:p>
            <w:pPr>
              <w:spacing w:after="0"/>
              <w:rPr>
                <w:sz w:val="22"/>
                <w:szCs w:val="22"/>
                <w:color w:val="auto"/>
              </w:rPr>
            </w:pPr>
          </w:p>
        </w:tc>
        <w:tc>
          <w:tcPr>
            <w:tcW w:w="1100" w:type="dxa"/>
            <w:vAlign w:val="bottom"/>
            <w:shd w:val="clear" w:color="auto" w:fill="DDDDDD"/>
          </w:tcPr>
          <w:p>
            <w:pPr>
              <w:spacing w:after="0"/>
              <w:rPr>
                <w:sz w:val="22"/>
                <w:szCs w:val="22"/>
                <w:color w:val="auto"/>
              </w:rPr>
            </w:pPr>
          </w:p>
        </w:tc>
        <w:tc>
          <w:tcPr>
            <w:tcW w:w="0" w:type="dxa"/>
            <w:vAlign w:val="bottom"/>
          </w:tcPr>
          <w:p>
            <w:pPr>
              <w:spacing w:after="0"/>
              <w:rPr>
                <w:sz w:val="1"/>
                <w:szCs w:val="1"/>
                <w:color w:val="auto"/>
              </w:rPr>
            </w:pPr>
          </w:p>
        </w:tc>
      </w:tr>
      <w:tr>
        <w:trPr>
          <w:trHeight w:val="230"/>
        </w:trPr>
        <w:tc>
          <w:tcPr>
            <w:tcW w:w="6820" w:type="dxa"/>
            <w:vAlign w:val="bottom"/>
            <w:gridSpan w:val="2"/>
            <w:shd w:val="clear" w:color="auto" w:fill="DDDDDD"/>
          </w:tcPr>
          <w:p>
            <w:pPr>
              <w:ind w:left="400"/>
              <w:spacing w:after="0"/>
              <w:rPr>
                <w:sz w:val="20"/>
                <w:szCs w:val="20"/>
                <w:color w:val="auto"/>
              </w:rPr>
            </w:pPr>
            <w:r>
              <w:rPr>
                <w:rFonts w:ascii="Times New Roman" w:cs="Times New Roman" w:eastAsia="Times New Roman" w:hAnsi="Times New Roman"/>
                <w:sz w:val="20"/>
                <w:szCs w:val="20"/>
                <w:color w:val="auto"/>
              </w:rPr>
              <w:t>94,383,053 shares issued and outstanding at December 31, 2023 and</w:t>
            </w:r>
          </w:p>
        </w:tc>
        <w:tc>
          <w:tcPr>
            <w:tcW w:w="380" w:type="dxa"/>
            <w:vAlign w:val="bottom"/>
            <w:shd w:val="clear" w:color="auto" w:fill="DDDDDD"/>
          </w:tcPr>
          <w:p>
            <w:pPr>
              <w:spacing w:after="0"/>
              <w:rPr>
                <w:sz w:val="20"/>
                <w:szCs w:val="20"/>
                <w:color w:val="auto"/>
              </w:rPr>
            </w:pPr>
          </w:p>
        </w:tc>
        <w:tc>
          <w:tcPr>
            <w:tcW w:w="1300" w:type="dxa"/>
            <w:vAlign w:val="bottom"/>
            <w:vMerge w:val="restart"/>
            <w:shd w:val="clear" w:color="auto" w:fill="DDDDDD"/>
          </w:tcPr>
          <w:p>
            <w:pPr>
              <w:jc w:val="right"/>
              <w:spacing w:after="0"/>
              <w:rPr>
                <w:sz w:val="20"/>
                <w:szCs w:val="20"/>
                <w:color w:val="auto"/>
              </w:rPr>
            </w:pPr>
            <w:r>
              <w:rPr>
                <w:rFonts w:ascii="Times New Roman" w:cs="Times New Roman" w:eastAsia="Times New Roman" w:hAnsi="Times New Roman"/>
                <w:sz w:val="20"/>
                <w:szCs w:val="20"/>
                <w:color w:val="auto"/>
              </w:rPr>
              <w:t>9</w:t>
            </w:r>
          </w:p>
        </w:tc>
        <w:tc>
          <w:tcPr>
            <w:tcW w:w="40" w:type="dxa"/>
            <w:vAlign w:val="bottom"/>
            <w:shd w:val="clear" w:color="auto" w:fill="DDDDDD"/>
          </w:tcPr>
          <w:p>
            <w:pPr>
              <w:spacing w:after="0"/>
              <w:rPr>
                <w:sz w:val="20"/>
                <w:szCs w:val="20"/>
                <w:color w:val="auto"/>
              </w:rPr>
            </w:pPr>
          </w:p>
        </w:tc>
        <w:tc>
          <w:tcPr>
            <w:tcW w:w="20" w:type="dxa"/>
            <w:vAlign w:val="bottom"/>
            <w:shd w:val="clear" w:color="auto" w:fill="DDDDDD"/>
          </w:tcPr>
          <w:p>
            <w:pPr>
              <w:spacing w:after="0"/>
              <w:rPr>
                <w:sz w:val="20"/>
                <w:szCs w:val="20"/>
                <w:color w:val="auto"/>
              </w:rPr>
            </w:pPr>
          </w:p>
        </w:tc>
        <w:tc>
          <w:tcPr>
            <w:tcW w:w="600" w:type="dxa"/>
            <w:vAlign w:val="bottom"/>
            <w:shd w:val="clear" w:color="auto" w:fill="DDDDDD"/>
          </w:tcPr>
          <w:p>
            <w:pPr>
              <w:spacing w:after="0"/>
              <w:rPr>
                <w:sz w:val="20"/>
                <w:szCs w:val="20"/>
                <w:color w:val="auto"/>
              </w:rPr>
            </w:pPr>
          </w:p>
        </w:tc>
        <w:tc>
          <w:tcPr>
            <w:tcW w:w="1100" w:type="dxa"/>
            <w:vAlign w:val="bottom"/>
            <w:vMerge w:val="restart"/>
            <w:shd w:val="clear" w:color="auto" w:fill="DDDDDD"/>
          </w:tcPr>
          <w:p>
            <w:pPr>
              <w:jc w:val="right"/>
              <w:spacing w:after="0"/>
              <w:rPr>
                <w:sz w:val="20"/>
                <w:szCs w:val="20"/>
                <w:color w:val="auto"/>
              </w:rPr>
            </w:pPr>
            <w:r>
              <w:rPr>
                <w:rFonts w:ascii="Times New Roman" w:cs="Times New Roman" w:eastAsia="Times New Roman" w:hAnsi="Times New Roman"/>
                <w:sz w:val="20"/>
                <w:szCs w:val="20"/>
                <w:color w:val="auto"/>
              </w:rPr>
              <w:t>9</w:t>
            </w:r>
          </w:p>
        </w:tc>
        <w:tc>
          <w:tcPr>
            <w:tcW w:w="0" w:type="dxa"/>
            <w:vAlign w:val="bottom"/>
          </w:tcPr>
          <w:p>
            <w:pPr>
              <w:spacing w:after="0"/>
              <w:rPr>
                <w:sz w:val="1"/>
                <w:szCs w:val="1"/>
                <w:color w:val="auto"/>
              </w:rPr>
            </w:pPr>
          </w:p>
        </w:tc>
      </w:tr>
      <w:tr>
        <w:trPr>
          <w:trHeight w:val="188"/>
        </w:trPr>
        <w:tc>
          <w:tcPr>
            <w:tcW w:w="6820" w:type="dxa"/>
            <w:vAlign w:val="bottom"/>
            <w:gridSpan w:val="2"/>
            <w:shd w:val="clear" w:color="auto" w:fill="DDDDDD"/>
          </w:tcPr>
          <w:p>
            <w:pPr>
              <w:ind w:left="400"/>
              <w:spacing w:after="0" w:line="168" w:lineRule="exact"/>
              <w:rPr>
                <w:sz w:val="20"/>
                <w:szCs w:val="20"/>
                <w:color w:val="auto"/>
              </w:rPr>
            </w:pPr>
            <w:r>
              <w:rPr>
                <w:rFonts w:ascii="Times New Roman" w:cs="Times New Roman" w:eastAsia="Times New Roman" w:hAnsi="Times New Roman"/>
                <w:sz w:val="19"/>
                <w:szCs w:val="19"/>
                <w:color w:val="auto"/>
              </w:rPr>
              <w:t>92 062 468 shares issued and outstanding at December 31 2022</w:t>
            </w:r>
          </w:p>
        </w:tc>
        <w:tc>
          <w:tcPr>
            <w:tcW w:w="380" w:type="dxa"/>
            <w:vAlign w:val="bottom"/>
            <w:shd w:val="clear" w:color="auto" w:fill="DDDDDD"/>
          </w:tcPr>
          <w:p>
            <w:pPr>
              <w:spacing w:after="0"/>
              <w:rPr>
                <w:sz w:val="16"/>
                <w:szCs w:val="16"/>
                <w:color w:val="auto"/>
              </w:rPr>
            </w:pPr>
          </w:p>
        </w:tc>
        <w:tc>
          <w:tcPr>
            <w:tcW w:w="1300" w:type="dxa"/>
            <w:vAlign w:val="bottom"/>
            <w:vMerge w:val="continue"/>
            <w:shd w:val="clear" w:color="auto" w:fill="DDDDDD"/>
          </w:tcPr>
          <w:p>
            <w:pPr>
              <w:spacing w:after="0"/>
              <w:rPr>
                <w:sz w:val="16"/>
                <w:szCs w:val="16"/>
                <w:color w:val="auto"/>
              </w:rPr>
            </w:pPr>
          </w:p>
        </w:tc>
        <w:tc>
          <w:tcPr>
            <w:tcW w:w="40" w:type="dxa"/>
            <w:vAlign w:val="bottom"/>
            <w:shd w:val="clear" w:color="auto" w:fill="DDDDDD"/>
          </w:tcPr>
          <w:p>
            <w:pPr>
              <w:spacing w:after="0"/>
              <w:rPr>
                <w:sz w:val="16"/>
                <w:szCs w:val="16"/>
                <w:color w:val="auto"/>
              </w:rPr>
            </w:pPr>
          </w:p>
        </w:tc>
        <w:tc>
          <w:tcPr>
            <w:tcW w:w="20" w:type="dxa"/>
            <w:vAlign w:val="bottom"/>
            <w:shd w:val="clear" w:color="auto" w:fill="DDDDDD"/>
          </w:tcPr>
          <w:p>
            <w:pPr>
              <w:spacing w:after="0"/>
              <w:rPr>
                <w:sz w:val="16"/>
                <w:szCs w:val="16"/>
                <w:color w:val="auto"/>
              </w:rPr>
            </w:pPr>
          </w:p>
        </w:tc>
        <w:tc>
          <w:tcPr>
            <w:tcW w:w="600" w:type="dxa"/>
            <w:vAlign w:val="bottom"/>
            <w:shd w:val="clear" w:color="auto" w:fill="DDDDDD"/>
          </w:tcPr>
          <w:p>
            <w:pPr>
              <w:spacing w:after="0"/>
              <w:rPr>
                <w:sz w:val="16"/>
                <w:szCs w:val="16"/>
                <w:color w:val="auto"/>
              </w:rPr>
            </w:pPr>
          </w:p>
        </w:tc>
        <w:tc>
          <w:tcPr>
            <w:tcW w:w="1100" w:type="dxa"/>
            <w:vAlign w:val="bottom"/>
            <w:vMerge w:val="continue"/>
            <w:shd w:val="clear" w:color="auto" w:fill="DDDDDD"/>
          </w:tcPr>
          <w:p>
            <w:pPr>
              <w:spacing w:after="0"/>
              <w:rPr>
                <w:sz w:val="16"/>
                <w:szCs w:val="16"/>
                <w:color w:val="auto"/>
              </w:rPr>
            </w:pPr>
          </w:p>
        </w:tc>
        <w:tc>
          <w:tcPr>
            <w:tcW w:w="0" w:type="dxa"/>
            <w:vAlign w:val="bottom"/>
          </w:tcPr>
          <w:p>
            <w:pPr>
              <w:spacing w:after="0"/>
              <w:rPr>
                <w:sz w:val="1"/>
                <w:szCs w:val="1"/>
                <w:color w:val="auto"/>
              </w:rPr>
            </w:pPr>
          </w:p>
        </w:tc>
      </w:tr>
      <w:tr>
        <w:trPr>
          <w:trHeight w:val="258"/>
        </w:trPr>
        <w:tc>
          <w:tcPr>
            <w:tcW w:w="6820" w:type="dxa"/>
            <w:vAlign w:val="bottom"/>
            <w:gridSpan w:val="2"/>
          </w:tcPr>
          <w:p>
            <w:pPr>
              <w:ind w:left="220"/>
              <w:spacing w:after="0"/>
              <w:rPr>
                <w:sz w:val="20"/>
                <w:szCs w:val="20"/>
                <w:color w:val="auto"/>
              </w:rPr>
            </w:pPr>
            <w:r>
              <w:rPr>
                <w:rFonts w:ascii="Times New Roman" w:cs="Times New Roman" w:eastAsia="Times New Roman" w:hAnsi="Times New Roman"/>
                <w:sz w:val="20"/>
                <w:szCs w:val="20"/>
                <w:color w:val="auto"/>
              </w:rPr>
              <w:t>Class V Common Stock - $0.0001 par value; 500,000,000 shares authorized,</w:t>
            </w:r>
          </w:p>
        </w:tc>
        <w:tc>
          <w:tcPr>
            <w:tcW w:w="380" w:type="dxa"/>
            <w:vAlign w:val="bottom"/>
          </w:tcPr>
          <w:p>
            <w:pPr>
              <w:spacing w:after="0"/>
              <w:rPr>
                <w:sz w:val="22"/>
                <w:szCs w:val="22"/>
                <w:color w:val="auto"/>
              </w:rPr>
            </w:pPr>
          </w:p>
        </w:tc>
        <w:tc>
          <w:tcPr>
            <w:tcW w:w="130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600" w:type="dxa"/>
            <w:vAlign w:val="bottom"/>
          </w:tcPr>
          <w:p>
            <w:pPr>
              <w:spacing w:after="0"/>
              <w:rPr>
                <w:sz w:val="22"/>
                <w:szCs w:val="22"/>
                <w:color w:val="auto"/>
              </w:rPr>
            </w:pPr>
          </w:p>
        </w:tc>
        <w:tc>
          <w:tcPr>
            <w:tcW w:w="1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30"/>
        </w:trPr>
        <w:tc>
          <w:tcPr>
            <w:tcW w:w="6820" w:type="dxa"/>
            <w:vAlign w:val="bottom"/>
            <w:gridSpan w:val="2"/>
          </w:tcPr>
          <w:p>
            <w:pPr>
              <w:ind w:left="400"/>
              <w:spacing w:after="0"/>
              <w:rPr>
                <w:sz w:val="20"/>
                <w:szCs w:val="20"/>
                <w:color w:val="auto"/>
              </w:rPr>
            </w:pPr>
            <w:r>
              <w:rPr>
                <w:rFonts w:ascii="Times New Roman" w:cs="Times New Roman" w:eastAsia="Times New Roman" w:hAnsi="Times New Roman"/>
                <w:sz w:val="20"/>
                <w:szCs w:val="20"/>
                <w:color w:val="auto"/>
              </w:rPr>
              <w:t>55,486,361 shares issued and outstanding at December 31, 2023 and</w:t>
            </w:r>
          </w:p>
        </w:tc>
        <w:tc>
          <w:tcPr>
            <w:tcW w:w="380" w:type="dxa"/>
            <w:vAlign w:val="bottom"/>
          </w:tcPr>
          <w:p>
            <w:pPr>
              <w:spacing w:after="0"/>
              <w:rPr>
                <w:sz w:val="20"/>
                <w:szCs w:val="20"/>
                <w:color w:val="auto"/>
              </w:rPr>
            </w:pPr>
          </w:p>
        </w:tc>
        <w:tc>
          <w:tcPr>
            <w:tcW w:w="1300" w:type="dxa"/>
            <w:vAlign w:val="bottom"/>
            <w:vMerge w:val="restart"/>
          </w:tcPr>
          <w:p>
            <w:pPr>
              <w:jc w:val="right"/>
              <w:spacing w:after="0"/>
              <w:rPr>
                <w:sz w:val="20"/>
                <w:szCs w:val="20"/>
                <w:color w:val="auto"/>
              </w:rPr>
            </w:pPr>
            <w:r>
              <w:rPr>
                <w:rFonts w:ascii="Times New Roman" w:cs="Times New Roman" w:eastAsia="Times New Roman" w:hAnsi="Times New Roman"/>
                <w:sz w:val="20"/>
                <w:szCs w:val="20"/>
                <w:color w:val="auto"/>
              </w:rPr>
              <w:t>5</w:t>
            </w:r>
          </w:p>
        </w:tc>
        <w:tc>
          <w:tcPr>
            <w:tcW w:w="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1100" w:type="dxa"/>
            <w:vAlign w:val="bottom"/>
            <w:vMerge w:val="restart"/>
          </w:tcPr>
          <w:p>
            <w:pPr>
              <w:jc w:val="right"/>
              <w:spacing w:after="0"/>
              <w:rPr>
                <w:sz w:val="20"/>
                <w:szCs w:val="20"/>
                <w:color w:val="auto"/>
              </w:rPr>
            </w:pPr>
            <w:r>
              <w:rPr>
                <w:rFonts w:ascii="Times New Roman" w:cs="Times New Roman" w:eastAsia="Times New Roman" w:hAnsi="Times New Roman"/>
                <w:sz w:val="20"/>
                <w:szCs w:val="20"/>
                <w:color w:val="auto"/>
              </w:rPr>
              <w:t>5</w:t>
            </w:r>
          </w:p>
        </w:tc>
        <w:tc>
          <w:tcPr>
            <w:tcW w:w="0" w:type="dxa"/>
            <w:vAlign w:val="bottom"/>
          </w:tcPr>
          <w:p>
            <w:pPr>
              <w:spacing w:after="0"/>
              <w:rPr>
                <w:sz w:val="1"/>
                <w:szCs w:val="1"/>
                <w:color w:val="auto"/>
              </w:rPr>
            </w:pPr>
          </w:p>
        </w:tc>
      </w:tr>
      <w:tr>
        <w:trPr>
          <w:trHeight w:val="181"/>
        </w:trPr>
        <w:tc>
          <w:tcPr>
            <w:tcW w:w="6820" w:type="dxa"/>
            <w:vAlign w:val="bottom"/>
            <w:gridSpan w:val="2"/>
          </w:tcPr>
          <w:p>
            <w:pPr>
              <w:ind w:left="400"/>
              <w:spacing w:after="0" w:line="161" w:lineRule="exact"/>
              <w:rPr>
                <w:sz w:val="20"/>
                <w:szCs w:val="20"/>
                <w:color w:val="auto"/>
              </w:rPr>
            </w:pPr>
            <w:r>
              <w:rPr>
                <w:rFonts w:ascii="Times New Roman" w:cs="Times New Roman" w:eastAsia="Times New Roman" w:hAnsi="Times New Roman"/>
                <w:sz w:val="18"/>
                <w:szCs w:val="18"/>
                <w:color w:val="auto"/>
              </w:rPr>
              <w:t>December 31 2022</w:t>
            </w:r>
          </w:p>
        </w:tc>
        <w:tc>
          <w:tcPr>
            <w:tcW w:w="380" w:type="dxa"/>
            <w:vAlign w:val="bottom"/>
          </w:tcPr>
          <w:p>
            <w:pPr>
              <w:spacing w:after="0"/>
              <w:rPr>
                <w:sz w:val="15"/>
                <w:szCs w:val="15"/>
                <w:color w:val="auto"/>
              </w:rPr>
            </w:pPr>
          </w:p>
        </w:tc>
        <w:tc>
          <w:tcPr>
            <w:tcW w:w="1300" w:type="dxa"/>
            <w:vAlign w:val="bottom"/>
            <w:vMerge w:val="continue"/>
          </w:tcPr>
          <w:p>
            <w:pPr>
              <w:spacing w:after="0"/>
              <w:rPr>
                <w:sz w:val="15"/>
                <w:szCs w:val="15"/>
                <w:color w:val="auto"/>
              </w:rPr>
            </w:pPr>
          </w:p>
        </w:tc>
        <w:tc>
          <w:tcPr>
            <w:tcW w:w="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110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88"/>
        </w:trPr>
        <w:tc>
          <w:tcPr>
            <w:tcW w:w="6800" w:type="dxa"/>
            <w:vAlign w:val="bottom"/>
            <w:shd w:val="clear" w:color="auto" w:fill="DDDDDD"/>
          </w:tcPr>
          <w:p>
            <w:pPr>
              <w:ind w:left="280"/>
              <w:spacing w:after="0"/>
              <w:rPr>
                <w:sz w:val="20"/>
                <w:szCs w:val="20"/>
                <w:color w:val="auto"/>
              </w:rPr>
            </w:pPr>
            <w:r>
              <w:rPr>
                <w:rFonts w:ascii="Times New Roman" w:cs="Times New Roman" w:eastAsia="Times New Roman" w:hAnsi="Times New Roman"/>
                <w:sz w:val="20"/>
                <w:szCs w:val="20"/>
                <w:color w:val="auto"/>
              </w:rPr>
              <w:t>Additional paid-in capital</w:t>
            </w:r>
          </w:p>
        </w:tc>
        <w:tc>
          <w:tcPr>
            <w:tcW w:w="20" w:type="dxa"/>
            <w:vAlign w:val="bottom"/>
            <w:shd w:val="clear" w:color="auto" w:fill="DDDDDD"/>
          </w:tcPr>
          <w:p>
            <w:pPr>
              <w:spacing w:after="0"/>
              <w:rPr>
                <w:sz w:val="24"/>
                <w:szCs w:val="24"/>
                <w:color w:val="auto"/>
              </w:rPr>
            </w:pPr>
          </w:p>
        </w:tc>
        <w:tc>
          <w:tcPr>
            <w:tcW w:w="380" w:type="dxa"/>
            <w:vAlign w:val="bottom"/>
            <w:shd w:val="clear" w:color="auto" w:fill="DDDDDD"/>
          </w:tcPr>
          <w:p>
            <w:pPr>
              <w:spacing w:after="0"/>
              <w:rPr>
                <w:sz w:val="24"/>
                <w:szCs w:val="24"/>
                <w:color w:val="auto"/>
              </w:rPr>
            </w:pPr>
          </w:p>
        </w:tc>
        <w:tc>
          <w:tcPr>
            <w:tcW w:w="1300" w:type="dxa"/>
            <w:vAlign w:val="bottom"/>
            <w:shd w:val="clear" w:color="auto" w:fill="DDDDDD"/>
          </w:tcPr>
          <w:p>
            <w:pPr>
              <w:jc w:val="right"/>
              <w:spacing w:after="0"/>
              <w:rPr>
                <w:sz w:val="20"/>
                <w:szCs w:val="20"/>
                <w:color w:val="auto"/>
              </w:rPr>
            </w:pPr>
            <w:r>
              <w:rPr>
                <w:rFonts w:ascii="Times New Roman" w:cs="Times New Roman" w:eastAsia="Times New Roman" w:hAnsi="Times New Roman"/>
                <w:sz w:val="20"/>
                <w:szCs w:val="20"/>
                <w:color w:val="auto"/>
              </w:rPr>
              <w:t>80,884</w:t>
            </w:r>
          </w:p>
        </w:tc>
        <w:tc>
          <w:tcPr>
            <w:tcW w:w="40" w:type="dxa"/>
            <w:vAlign w:val="bottom"/>
            <w:shd w:val="clear" w:color="auto" w:fill="DDDDDD"/>
          </w:tcPr>
          <w:p>
            <w:pPr>
              <w:spacing w:after="0"/>
              <w:rPr>
                <w:sz w:val="24"/>
                <w:szCs w:val="24"/>
                <w:color w:val="auto"/>
              </w:rPr>
            </w:pPr>
          </w:p>
        </w:tc>
        <w:tc>
          <w:tcPr>
            <w:tcW w:w="20" w:type="dxa"/>
            <w:vAlign w:val="bottom"/>
            <w:shd w:val="clear" w:color="auto" w:fill="DDDDDD"/>
          </w:tcPr>
          <w:p>
            <w:pPr>
              <w:spacing w:after="0"/>
              <w:rPr>
                <w:sz w:val="24"/>
                <w:szCs w:val="24"/>
                <w:color w:val="auto"/>
              </w:rPr>
            </w:pPr>
          </w:p>
        </w:tc>
        <w:tc>
          <w:tcPr>
            <w:tcW w:w="600" w:type="dxa"/>
            <w:vAlign w:val="bottom"/>
            <w:shd w:val="clear" w:color="auto" w:fill="DDDDDD"/>
          </w:tcPr>
          <w:p>
            <w:pPr>
              <w:spacing w:after="0"/>
              <w:rPr>
                <w:sz w:val="24"/>
                <w:szCs w:val="24"/>
                <w:color w:val="auto"/>
              </w:rPr>
            </w:pPr>
          </w:p>
        </w:tc>
        <w:tc>
          <w:tcPr>
            <w:tcW w:w="1100" w:type="dxa"/>
            <w:vAlign w:val="bottom"/>
            <w:shd w:val="clear" w:color="auto" w:fill="DDDDDD"/>
          </w:tcPr>
          <w:p>
            <w:pPr>
              <w:jc w:val="right"/>
              <w:spacing w:after="0"/>
              <w:rPr>
                <w:sz w:val="20"/>
                <w:szCs w:val="20"/>
                <w:color w:val="auto"/>
              </w:rPr>
            </w:pPr>
            <w:r>
              <w:rPr>
                <w:rFonts w:ascii="Times New Roman" w:cs="Times New Roman" w:eastAsia="Times New Roman" w:hAnsi="Times New Roman"/>
                <w:sz w:val="20"/>
                <w:szCs w:val="20"/>
                <w:color w:val="auto"/>
              </w:rPr>
              <w:t>67,986</w:t>
            </w:r>
          </w:p>
        </w:tc>
        <w:tc>
          <w:tcPr>
            <w:tcW w:w="0" w:type="dxa"/>
            <w:vAlign w:val="bottom"/>
          </w:tcPr>
          <w:p>
            <w:pPr>
              <w:spacing w:after="0"/>
              <w:rPr>
                <w:sz w:val="1"/>
                <w:szCs w:val="1"/>
                <w:color w:val="auto"/>
              </w:rPr>
            </w:pPr>
          </w:p>
        </w:tc>
      </w:tr>
      <w:tr>
        <w:trPr>
          <w:trHeight w:val="288"/>
        </w:trPr>
        <w:tc>
          <w:tcPr>
            <w:tcW w:w="6820" w:type="dxa"/>
            <w:vAlign w:val="bottom"/>
            <w:tcBorders>
              <w:bottom w:val="single" w:sz="8" w:color="DDDDDD"/>
            </w:tcBorders>
            <w:gridSpan w:val="2"/>
          </w:tcPr>
          <w:p>
            <w:pPr>
              <w:ind w:left="280"/>
              <w:spacing w:after="0"/>
              <w:rPr>
                <w:sz w:val="20"/>
                <w:szCs w:val="20"/>
                <w:color w:val="auto"/>
              </w:rPr>
            </w:pPr>
            <w:r>
              <w:rPr>
                <w:rFonts w:ascii="Times New Roman" w:cs="Times New Roman" w:eastAsia="Times New Roman" w:hAnsi="Times New Roman"/>
                <w:sz w:val="20"/>
                <w:szCs w:val="20"/>
                <w:color w:val="auto"/>
              </w:rPr>
              <w:t>Accumulated deficit</w:t>
            </w:r>
          </w:p>
        </w:tc>
        <w:tc>
          <w:tcPr>
            <w:tcW w:w="380" w:type="dxa"/>
            <w:vAlign w:val="bottom"/>
            <w:tcBorders>
              <w:bottom w:val="single" w:sz="8" w:color="auto"/>
            </w:tcBorders>
          </w:tcPr>
          <w:p>
            <w:pPr>
              <w:spacing w:after="0"/>
              <w:rPr>
                <w:sz w:val="24"/>
                <w:szCs w:val="24"/>
                <w:color w:val="auto"/>
              </w:rPr>
            </w:pP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(64,518)</w:t>
            </w:r>
          </w:p>
        </w:tc>
        <w:tc>
          <w:tcPr>
            <w:tcW w:w="40" w:type="dxa"/>
            <w:vAlign w:val="bottom"/>
            <w:tcBorders>
              <w:bottom w:val="single" w:sz="8" w:color="DDDDDD"/>
            </w:tcBorders>
          </w:tcPr>
          <w:p>
            <w:pPr>
              <w:spacing w:after="0"/>
              <w:rPr>
                <w:sz w:val="24"/>
                <w:szCs w:val="24"/>
                <w:color w:val="auto"/>
              </w:rPr>
            </w:pPr>
          </w:p>
        </w:tc>
        <w:tc>
          <w:tcPr>
            <w:tcW w:w="20" w:type="dxa"/>
            <w:vAlign w:val="bottom"/>
            <w:tcBorders>
              <w:bottom w:val="single" w:sz="8" w:color="DDDDDD"/>
            </w:tcBorders>
          </w:tcPr>
          <w:p>
            <w:pPr>
              <w:spacing w:after="0"/>
              <w:rPr>
                <w:sz w:val="24"/>
                <w:szCs w:val="24"/>
                <w:color w:val="auto"/>
              </w:rPr>
            </w:pPr>
          </w:p>
        </w:tc>
        <w:tc>
          <w:tcPr>
            <w:tcW w:w="600" w:type="dxa"/>
            <w:vAlign w:val="bottom"/>
            <w:tcBorders>
              <w:bottom w:val="single" w:sz="8" w:color="auto"/>
            </w:tcBorders>
          </w:tcPr>
          <w:p>
            <w:pPr>
              <w:spacing w:after="0"/>
              <w:rPr>
                <w:sz w:val="24"/>
                <w:szCs w:val="24"/>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(54,620)</w:t>
            </w:r>
          </w:p>
        </w:tc>
        <w:tc>
          <w:tcPr>
            <w:tcW w:w="0" w:type="dxa"/>
            <w:vAlign w:val="bottom"/>
          </w:tcPr>
          <w:p>
            <w:pPr>
              <w:spacing w:after="0"/>
              <w:rPr>
                <w:sz w:val="1"/>
                <w:szCs w:val="1"/>
                <w:color w:val="auto"/>
              </w:rPr>
            </w:pPr>
          </w:p>
        </w:tc>
      </w:tr>
      <w:tr>
        <w:trPr>
          <w:trHeight w:val="261"/>
        </w:trPr>
        <w:tc>
          <w:tcPr>
            <w:tcW w:w="6820" w:type="dxa"/>
            <w:vAlign w:val="bottom"/>
            <w:gridSpan w:val="2"/>
            <w:shd w:val="clear" w:color="auto" w:fill="DDDDDD"/>
          </w:tcPr>
          <w:p>
            <w:pPr>
              <w:ind w:left="400"/>
              <w:spacing w:after="0"/>
              <w:rPr>
                <w:sz w:val="20"/>
                <w:szCs w:val="20"/>
                <w:color w:val="auto"/>
              </w:rPr>
            </w:pPr>
            <w:r>
              <w:rPr>
                <w:rFonts w:ascii="Times New Roman" w:cs="Times New Roman" w:eastAsia="Times New Roman" w:hAnsi="Times New Roman"/>
                <w:sz w:val="20"/>
                <w:szCs w:val="20"/>
                <w:color w:val="auto"/>
              </w:rPr>
              <w:t>Total WM Technology, Inc. stockholders’ equity</w:t>
            </w:r>
          </w:p>
        </w:tc>
        <w:tc>
          <w:tcPr>
            <w:tcW w:w="380" w:type="dxa"/>
            <w:vAlign w:val="bottom"/>
            <w:shd w:val="clear" w:color="auto" w:fill="DDDDDD"/>
          </w:tcPr>
          <w:p>
            <w:pPr>
              <w:spacing w:after="0"/>
              <w:rPr>
                <w:sz w:val="22"/>
                <w:szCs w:val="22"/>
                <w:color w:val="auto"/>
              </w:rPr>
            </w:pPr>
          </w:p>
        </w:tc>
        <w:tc>
          <w:tcPr>
            <w:tcW w:w="1300" w:type="dxa"/>
            <w:vAlign w:val="bottom"/>
            <w:shd w:val="clear" w:color="auto" w:fill="DDDDDD"/>
          </w:tcPr>
          <w:p>
            <w:pPr>
              <w:jc w:val="right"/>
              <w:spacing w:after="0"/>
              <w:rPr>
                <w:sz w:val="20"/>
                <w:szCs w:val="20"/>
                <w:color w:val="auto"/>
              </w:rPr>
            </w:pPr>
            <w:r>
              <w:rPr>
                <w:rFonts w:ascii="Times New Roman" w:cs="Times New Roman" w:eastAsia="Times New Roman" w:hAnsi="Times New Roman"/>
                <w:sz w:val="20"/>
                <w:szCs w:val="20"/>
                <w:color w:val="auto"/>
              </w:rPr>
              <w:t>16,380</w:t>
            </w:r>
          </w:p>
        </w:tc>
        <w:tc>
          <w:tcPr>
            <w:tcW w:w="40" w:type="dxa"/>
            <w:vAlign w:val="bottom"/>
            <w:shd w:val="clear" w:color="auto" w:fill="DDDDDD"/>
          </w:tcPr>
          <w:p>
            <w:pPr>
              <w:spacing w:after="0"/>
              <w:rPr>
                <w:sz w:val="22"/>
                <w:szCs w:val="22"/>
                <w:color w:val="auto"/>
              </w:rPr>
            </w:pPr>
          </w:p>
        </w:tc>
        <w:tc>
          <w:tcPr>
            <w:tcW w:w="20" w:type="dxa"/>
            <w:vAlign w:val="bottom"/>
            <w:shd w:val="clear" w:color="auto" w:fill="DDDDDD"/>
          </w:tcPr>
          <w:p>
            <w:pPr>
              <w:spacing w:after="0"/>
              <w:rPr>
                <w:sz w:val="22"/>
                <w:szCs w:val="22"/>
                <w:color w:val="auto"/>
              </w:rPr>
            </w:pPr>
          </w:p>
        </w:tc>
        <w:tc>
          <w:tcPr>
            <w:tcW w:w="600" w:type="dxa"/>
            <w:vAlign w:val="bottom"/>
            <w:shd w:val="clear" w:color="auto" w:fill="DDDDDD"/>
          </w:tcPr>
          <w:p>
            <w:pPr>
              <w:spacing w:after="0"/>
              <w:rPr>
                <w:sz w:val="22"/>
                <w:szCs w:val="22"/>
                <w:color w:val="auto"/>
              </w:rPr>
            </w:pPr>
          </w:p>
        </w:tc>
        <w:tc>
          <w:tcPr>
            <w:tcW w:w="1100" w:type="dxa"/>
            <w:vAlign w:val="bottom"/>
            <w:shd w:val="clear" w:color="auto" w:fill="DDDDDD"/>
          </w:tcPr>
          <w:p>
            <w:pPr>
              <w:jc w:val="right"/>
              <w:spacing w:after="0"/>
              <w:rPr>
                <w:sz w:val="20"/>
                <w:szCs w:val="20"/>
                <w:color w:val="auto"/>
              </w:rPr>
            </w:pPr>
            <w:r>
              <w:rPr>
                <w:rFonts w:ascii="Times New Roman" w:cs="Times New Roman" w:eastAsia="Times New Roman" w:hAnsi="Times New Roman"/>
                <w:sz w:val="20"/>
                <w:szCs w:val="20"/>
                <w:color w:val="auto"/>
              </w:rPr>
              <w:t>13,380</w:t>
            </w:r>
          </w:p>
        </w:tc>
        <w:tc>
          <w:tcPr>
            <w:tcW w:w="0" w:type="dxa"/>
            <w:vAlign w:val="bottom"/>
          </w:tcPr>
          <w:p>
            <w:pPr>
              <w:spacing w:after="0"/>
              <w:rPr>
                <w:sz w:val="1"/>
                <w:szCs w:val="1"/>
                <w:color w:val="auto"/>
              </w:rPr>
            </w:pPr>
          </w:p>
        </w:tc>
      </w:tr>
      <w:tr>
        <w:trPr>
          <w:trHeight w:val="288"/>
        </w:trPr>
        <w:tc>
          <w:tcPr>
            <w:tcW w:w="6820" w:type="dxa"/>
            <w:vAlign w:val="bottom"/>
            <w:tcBorders>
              <w:bottom w:val="single" w:sz="8" w:color="DDDDDD"/>
            </w:tcBorders>
            <w:gridSpan w:val="2"/>
          </w:tcPr>
          <w:p>
            <w:pPr>
              <w:ind w:left="280"/>
              <w:spacing w:after="0"/>
              <w:rPr>
                <w:sz w:val="20"/>
                <w:szCs w:val="20"/>
                <w:color w:val="auto"/>
              </w:rPr>
            </w:pPr>
            <w:r>
              <w:rPr>
                <w:rFonts w:ascii="Times New Roman" w:cs="Times New Roman" w:eastAsia="Times New Roman" w:hAnsi="Times New Roman"/>
                <w:sz w:val="20"/>
                <w:szCs w:val="20"/>
                <w:color w:val="auto"/>
              </w:rPr>
              <w:t>Noncontrolling interests</w:t>
            </w:r>
          </w:p>
        </w:tc>
        <w:tc>
          <w:tcPr>
            <w:tcW w:w="380" w:type="dxa"/>
            <w:vAlign w:val="bottom"/>
            <w:tcBorders>
              <w:bottom w:val="single" w:sz="8" w:color="auto"/>
            </w:tcBorders>
          </w:tcPr>
          <w:p>
            <w:pPr>
              <w:spacing w:after="0"/>
              <w:rPr>
                <w:sz w:val="24"/>
                <w:szCs w:val="24"/>
                <w:color w:val="auto"/>
              </w:rPr>
            </w:pP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86,771</w:t>
            </w:r>
          </w:p>
        </w:tc>
        <w:tc>
          <w:tcPr>
            <w:tcW w:w="40" w:type="dxa"/>
            <w:vAlign w:val="bottom"/>
            <w:tcBorders>
              <w:bottom w:val="single" w:sz="8" w:color="DDDDDD"/>
            </w:tcBorders>
          </w:tcPr>
          <w:p>
            <w:pPr>
              <w:spacing w:after="0"/>
              <w:rPr>
                <w:sz w:val="24"/>
                <w:szCs w:val="24"/>
                <w:color w:val="auto"/>
              </w:rPr>
            </w:pPr>
          </w:p>
        </w:tc>
        <w:tc>
          <w:tcPr>
            <w:tcW w:w="20" w:type="dxa"/>
            <w:vAlign w:val="bottom"/>
            <w:tcBorders>
              <w:bottom w:val="single" w:sz="8" w:color="DDDDDD"/>
            </w:tcBorders>
          </w:tcPr>
          <w:p>
            <w:pPr>
              <w:spacing w:after="0"/>
              <w:rPr>
                <w:sz w:val="24"/>
                <w:szCs w:val="24"/>
                <w:color w:val="auto"/>
              </w:rPr>
            </w:pPr>
          </w:p>
        </w:tc>
        <w:tc>
          <w:tcPr>
            <w:tcW w:w="600" w:type="dxa"/>
            <w:vAlign w:val="bottom"/>
            <w:tcBorders>
              <w:bottom w:val="single" w:sz="8" w:color="auto"/>
            </w:tcBorders>
          </w:tcPr>
          <w:p>
            <w:pPr>
              <w:spacing w:after="0"/>
              <w:rPr>
                <w:sz w:val="24"/>
                <w:szCs w:val="24"/>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101,397</w:t>
            </w:r>
          </w:p>
        </w:tc>
        <w:tc>
          <w:tcPr>
            <w:tcW w:w="0" w:type="dxa"/>
            <w:vAlign w:val="bottom"/>
          </w:tcPr>
          <w:p>
            <w:pPr>
              <w:spacing w:after="0"/>
              <w:rPr>
                <w:sz w:val="1"/>
                <w:szCs w:val="1"/>
                <w:color w:val="auto"/>
              </w:rPr>
            </w:pPr>
          </w:p>
        </w:tc>
      </w:tr>
      <w:tr>
        <w:trPr>
          <w:trHeight w:val="261"/>
        </w:trPr>
        <w:tc>
          <w:tcPr>
            <w:tcW w:w="6820" w:type="dxa"/>
            <w:vAlign w:val="bottom"/>
            <w:gridSpan w:val="2"/>
            <w:shd w:val="clear" w:color="auto" w:fill="DDDDDD"/>
          </w:tcPr>
          <w:p>
            <w:pPr>
              <w:ind w:left="400"/>
              <w:spacing w:after="0"/>
              <w:rPr>
                <w:sz w:val="20"/>
                <w:szCs w:val="20"/>
                <w:color w:val="auto"/>
              </w:rPr>
            </w:pPr>
            <w:r>
              <w:rPr>
                <w:rFonts w:ascii="Times New Roman" w:cs="Times New Roman" w:eastAsia="Times New Roman" w:hAnsi="Times New Roman"/>
                <w:sz w:val="20"/>
                <w:szCs w:val="20"/>
                <w:color w:val="auto"/>
              </w:rPr>
              <w:t>Total stockholders’ equity</w:t>
            </w:r>
          </w:p>
        </w:tc>
        <w:tc>
          <w:tcPr>
            <w:tcW w:w="380" w:type="dxa"/>
            <w:vAlign w:val="bottom"/>
            <w:tcBorders>
              <w:bottom w:val="single" w:sz="8" w:color="auto"/>
            </w:tcBorders>
            <w:shd w:val="clear" w:color="auto" w:fill="DDDDDD"/>
          </w:tcPr>
          <w:p>
            <w:pPr>
              <w:spacing w:after="0"/>
              <w:rPr>
                <w:sz w:val="22"/>
                <w:szCs w:val="22"/>
                <w:color w:val="auto"/>
              </w:rPr>
            </w:pPr>
          </w:p>
        </w:tc>
        <w:tc>
          <w:tcPr>
            <w:tcW w:w="1300" w:type="dxa"/>
            <w:vAlign w:val="bottom"/>
            <w:tcBorders>
              <w:bottom w:val="single" w:sz="8" w:color="auto"/>
            </w:tcBorders>
            <w:shd w:val="clear" w:color="auto" w:fill="DDDDDD"/>
          </w:tcPr>
          <w:p>
            <w:pPr>
              <w:jc w:val="right"/>
              <w:spacing w:after="0"/>
              <w:rPr>
                <w:sz w:val="20"/>
                <w:szCs w:val="20"/>
                <w:color w:val="auto"/>
              </w:rPr>
            </w:pPr>
            <w:r>
              <w:rPr>
                <w:rFonts w:ascii="Times New Roman" w:cs="Times New Roman" w:eastAsia="Times New Roman" w:hAnsi="Times New Roman"/>
                <w:sz w:val="20"/>
                <w:szCs w:val="20"/>
                <w:color w:val="auto"/>
              </w:rPr>
              <w:t>103,151</w:t>
            </w:r>
          </w:p>
        </w:tc>
        <w:tc>
          <w:tcPr>
            <w:tcW w:w="40" w:type="dxa"/>
            <w:vAlign w:val="bottom"/>
            <w:shd w:val="clear" w:color="auto" w:fill="DDDDDD"/>
          </w:tcPr>
          <w:p>
            <w:pPr>
              <w:spacing w:after="0"/>
              <w:rPr>
                <w:sz w:val="22"/>
                <w:szCs w:val="22"/>
                <w:color w:val="auto"/>
              </w:rPr>
            </w:pPr>
          </w:p>
        </w:tc>
        <w:tc>
          <w:tcPr>
            <w:tcW w:w="20" w:type="dxa"/>
            <w:vAlign w:val="bottom"/>
            <w:shd w:val="clear" w:color="auto" w:fill="DDDDDD"/>
          </w:tcPr>
          <w:p>
            <w:pPr>
              <w:spacing w:after="0"/>
              <w:rPr>
                <w:sz w:val="22"/>
                <w:szCs w:val="22"/>
                <w:color w:val="auto"/>
              </w:rPr>
            </w:pPr>
          </w:p>
        </w:tc>
        <w:tc>
          <w:tcPr>
            <w:tcW w:w="600" w:type="dxa"/>
            <w:vAlign w:val="bottom"/>
            <w:tcBorders>
              <w:bottom w:val="single" w:sz="8" w:color="auto"/>
            </w:tcBorders>
            <w:shd w:val="clear" w:color="auto" w:fill="DDDDDD"/>
          </w:tcPr>
          <w:p>
            <w:pPr>
              <w:spacing w:after="0"/>
              <w:rPr>
                <w:sz w:val="22"/>
                <w:szCs w:val="22"/>
                <w:color w:val="auto"/>
              </w:rPr>
            </w:pPr>
          </w:p>
        </w:tc>
        <w:tc>
          <w:tcPr>
            <w:tcW w:w="1100" w:type="dxa"/>
            <w:vAlign w:val="bottom"/>
            <w:tcBorders>
              <w:bottom w:val="single" w:sz="8" w:color="auto"/>
            </w:tcBorders>
            <w:shd w:val="clear" w:color="auto" w:fill="DDDDDD"/>
          </w:tcPr>
          <w:p>
            <w:pPr>
              <w:jc w:val="right"/>
              <w:spacing w:after="0"/>
              <w:rPr>
                <w:sz w:val="20"/>
                <w:szCs w:val="20"/>
                <w:color w:val="auto"/>
              </w:rPr>
            </w:pPr>
            <w:r>
              <w:rPr>
                <w:rFonts w:ascii="Times New Roman" w:cs="Times New Roman" w:eastAsia="Times New Roman" w:hAnsi="Times New Roman"/>
                <w:sz w:val="20"/>
                <w:szCs w:val="20"/>
                <w:color w:val="auto"/>
              </w:rPr>
              <w:t>114,777</w:t>
            </w:r>
          </w:p>
        </w:tc>
        <w:tc>
          <w:tcPr>
            <w:tcW w:w="0" w:type="dxa"/>
            <w:vAlign w:val="bottom"/>
          </w:tcPr>
          <w:p>
            <w:pPr>
              <w:spacing w:after="0"/>
              <w:rPr>
                <w:sz w:val="1"/>
                <w:szCs w:val="1"/>
                <w:color w:val="auto"/>
              </w:rPr>
            </w:pPr>
          </w:p>
        </w:tc>
      </w:tr>
      <w:tr>
        <w:trPr>
          <w:trHeight w:val="282"/>
        </w:trPr>
        <w:tc>
          <w:tcPr>
            <w:tcW w:w="6820" w:type="dxa"/>
            <w:vAlign w:val="bottom"/>
            <w:gridSpan w:val="2"/>
          </w:tcPr>
          <w:p>
            <w:pPr>
              <w:ind w:left="520"/>
              <w:spacing w:after="0"/>
              <w:rPr>
                <w:sz w:val="20"/>
                <w:szCs w:val="20"/>
                <w:color w:val="auto"/>
              </w:rPr>
            </w:pPr>
            <w:r>
              <w:rPr>
                <w:rFonts w:ascii="Times New Roman" w:cs="Times New Roman" w:eastAsia="Times New Roman" w:hAnsi="Times New Roman"/>
                <w:sz w:val="20"/>
                <w:szCs w:val="20"/>
                <w:color w:val="auto"/>
              </w:rPr>
              <w:t>Total liabilities and stockholders’ equity</w:t>
            </w:r>
          </w:p>
        </w:tc>
        <w:tc>
          <w:tcPr>
            <w:tcW w:w="380" w:type="dxa"/>
            <w:vAlign w:val="bottom"/>
          </w:tcPr>
          <w:p>
            <w:pPr>
              <w:jc w:val="right"/>
              <w:ind w:right="139"/>
              <w:spacing w:after="0"/>
              <w:rPr>
                <w:sz w:val="20"/>
                <w:szCs w:val="20"/>
                <w:color w:val="auto"/>
              </w:rPr>
            </w:pPr>
            <w:r>
              <w:rPr>
                <w:rFonts w:ascii="Times New Roman" w:cs="Times New Roman" w:eastAsia="Times New Roman" w:hAnsi="Times New Roman"/>
                <w:sz w:val="20"/>
                <w:szCs w:val="20"/>
                <w:color w:val="auto"/>
              </w:rPr>
              <w:t>$</w:t>
            </w:r>
          </w:p>
        </w:tc>
        <w:tc>
          <w:tcPr>
            <w:tcW w:w="13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167,021</w:t>
            </w:r>
          </w:p>
        </w:tc>
        <w:tc>
          <w:tcPr>
            <w:tcW w:w="660" w:type="dxa"/>
            <w:vAlign w:val="bottom"/>
            <w:gridSpan w:val="3"/>
          </w:tcPr>
          <w:p>
            <w:pPr>
              <w:jc w:val="right"/>
              <w:ind w:right="339"/>
              <w:spacing w:after="0"/>
              <w:rPr>
                <w:sz w:val="20"/>
                <w:szCs w:val="20"/>
                <w:color w:val="auto"/>
              </w:rPr>
            </w:pPr>
            <w:r>
              <w:rPr>
                <w:rFonts w:ascii="Times New Roman" w:cs="Times New Roman" w:eastAsia="Times New Roman" w:hAnsi="Times New Roman"/>
                <w:sz w:val="20"/>
                <w:szCs w:val="20"/>
                <w:color w:val="auto"/>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199,035</w:t>
            </w:r>
          </w:p>
        </w:tc>
        <w:tc>
          <w:tcPr>
            <w:tcW w:w="0" w:type="dxa"/>
            <w:vAlign w:val="bottom"/>
          </w:tcPr>
          <w:p>
            <w:pPr>
              <w:spacing w:after="0"/>
              <w:rPr>
                <w:sz w:val="1"/>
                <w:szCs w:val="1"/>
                <w:color w:val="auto"/>
              </w:rPr>
            </w:pPr>
          </w:p>
        </w:tc>
      </w:tr>
      <w:tr>
        <w:trPr>
          <w:trHeight w:val="20"/>
        </w:trPr>
        <w:tc>
          <w:tcPr>
            <w:tcW w:w="6800" w:type="dxa"/>
            <w:vAlign w:val="bottom"/>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130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4320540</wp:posOffset>
                </wp:positionH>
                <wp:positionV relativeFrom="paragraph">
                  <wp:posOffset>-5159375</wp:posOffset>
                </wp:positionV>
                <wp:extent cx="1074420" cy="0"/>
                <wp:wrapNone/>
                <wp:docPr id="46" name="Shape 46"/>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1074420" cy="4763"/>
                        </a:xfrm>
                        <a:prstGeom prst="line">
                          <a:avLst/>
                        </a:prstGeom>
                        <a:solidFill>
                          <a:srgbClr val="FFFFFF"/>
                        </a:solidFill>
                        <a:ln w="4572">
                          <a:solidFill>
                            <a:srgbClr val="FFFFFF"/>
                          </a:solidFill>
                          <a:miter lim="800000"/>
                          <a:headEnd/>
                          <a:tailEnd/>
                        </a:ln>
                      </wps:spPr>
                      <wps:bodyPr/>
                    </wps:wsp>
                  </a:graphicData>
                </a:graphic>
              </wp:anchor>
            </w:drawing>
          </mc:Choice>
          <mc:Fallback>
            <w:pict>
              <v:line id="Shape 46" o:spid="_x0000_s1071"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340.2pt,-406.2499pt" to="424.8pt,-406.2499pt" o:allowincell="f" strokecolor="#FFFFFF" strokeweight="0.36pt"/>
            </w:pict>
          </mc:Fallback>
        </mc:AlternateContent>
        <mc:AlternateContent>
          <mc:Choice Requires="wps">
            <w:drawing>
              <wp:anchor simplePos="0" relativeHeight="251657728" behindDoc="1" locked="0" layoutInCell="0" allowOverlap="1">
                <wp:simplePos x="0" y="0"/>
                <wp:positionH relativeFrom="column">
                  <wp:posOffset>5436235</wp:posOffset>
                </wp:positionH>
                <wp:positionV relativeFrom="paragraph">
                  <wp:posOffset>-5159375</wp:posOffset>
                </wp:positionV>
                <wp:extent cx="1074420" cy="0"/>
                <wp:wrapNone/>
                <wp:docPr id="47" name="Shape 47"/>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1074420" cy="4763"/>
                        </a:xfrm>
                        <a:prstGeom prst="line">
                          <a:avLst/>
                        </a:prstGeom>
                        <a:solidFill>
                          <a:srgbClr val="FFFFFF"/>
                        </a:solidFill>
                        <a:ln w="4572">
                          <a:solidFill>
                            <a:srgbClr val="FFFFFF"/>
                          </a:solidFill>
                          <a:miter lim="800000"/>
                          <a:headEnd/>
                          <a:tailEnd/>
                        </a:ln>
                      </wps:spPr>
                      <wps:bodyPr/>
                    </wps:wsp>
                  </a:graphicData>
                </a:graphic>
              </wp:anchor>
            </w:drawing>
          </mc:Choice>
          <mc:Fallback>
            <w:pict>
              <v:line id="Shape 47" o:spid="_x0000_s1072"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428.05pt,-406.2499pt" to="512.65pt,-406.2499pt" o:allowincell="f" strokecolor="#FFFFFF" strokeweight="0.36pt"/>
            </w:pict>
          </mc:Fallback>
        </mc:AlternateContent>
      </w:r>
    </w:p>
    <w:p>
      <w:pPr>
        <w:spacing w:after="0" w:line="80"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20"/>
          <w:szCs w:val="20"/>
          <w:color w:val="auto"/>
        </w:rPr>
        <w:t>The accompanying notes are an integral part of these consolidated financial statements.</w:t>
      </w:r>
    </w:p>
    <w:p>
      <w:pPr>
        <w:sectPr>
          <w:pgSz w:w="12240" w:h="15840" w:orient="portrait"/>
          <w:cols w:equalWidth="0" w:num="1">
            <w:col w:w="10260"/>
          </w:cols>
          <w:pgMar w:left="1000" w:top="882" w:right="980" w:bottom="222"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35"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20"/>
          <w:szCs w:val="20"/>
          <w:color w:val="auto"/>
        </w:rPr>
        <w:t>F-1</w:t>
      </w:r>
    </w:p>
    <w:p>
      <w:pPr>
        <w:sectPr>
          <w:pgSz w:w="12240" w:h="15840" w:orient="portrait"/>
          <w:cols w:equalWidth="0" w:num="1">
            <w:col w:w="10260"/>
          </w:cols>
          <w:pgMar w:left="1000" w:top="882" w:right="980" w:bottom="222" w:gutter="0" w:footer="0" w:header="0"/>
          <w:type w:val="continuous"/>
        </w:sectPr>
      </w:pPr>
    </w:p>
    <w:bookmarkStart w:id="121" w:name="page122"/>
    <w:bookmarkEnd w:id="121"/>
    <w:p>
      <w:pPr>
        <w:jc w:val="center"/>
        <w:ind w:right="20"/>
        <w:spacing w:after="0"/>
        <w:rPr>
          <w:sz w:val="20"/>
          <w:szCs w:val="20"/>
          <w:color w:val="auto"/>
        </w:rPr>
      </w:pPr>
      <w:r>
        <w:rPr>
          <w:rFonts w:ascii="Times New Roman" w:cs="Times New Roman" w:eastAsia="Times New Roman" w:hAnsi="Times New Roman"/>
          <w:sz w:val="20"/>
          <w:szCs w:val="20"/>
          <w:b w:val="1"/>
          <w:bCs w:val="1"/>
          <w:color w:val="auto"/>
        </w:rPr>
        <w:t>WM TECHNOLOGY, INC. AND SUBSIDIARIES</w:t>
      </w:r>
    </w:p>
    <w:p>
      <w:pPr>
        <w:spacing w:after="0" w:line="48"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20"/>
          <w:szCs w:val="20"/>
          <w:b w:val="1"/>
          <w:bCs w:val="1"/>
          <w:color w:val="auto"/>
        </w:rPr>
        <w:t>CONSOLIDATED STATEMENTS OF OPERATIONS</w:t>
      </w:r>
    </w:p>
    <w:p>
      <w:pPr>
        <w:spacing w:after="0" w:line="47"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20"/>
          <w:szCs w:val="20"/>
          <w:b w:val="1"/>
          <w:bCs w:val="1"/>
          <w:color w:val="auto"/>
        </w:rPr>
        <w:t>(In thousands, except for share data)</w:t>
      </w:r>
    </w:p>
    <w:p>
      <w:pPr>
        <w:spacing w:after="0" w:line="216" w:lineRule="exact"/>
        <w:rPr>
          <w:sz w:val="20"/>
          <w:szCs w:val="20"/>
          <w:color w:val="auto"/>
        </w:rPr>
      </w:pPr>
    </w:p>
    <w:tbl>
      <w:tblPr>
        <w:tblLayout w:type="fixed"/>
        <w:tblInd w:w="0" w:type="dxa"/>
        <w:tblCellMar>
          <w:top w:w="0" w:type="dxa"/>
          <w:left w:w="0" w:type="dxa"/>
          <w:bottom w:w="0" w:type="dxa"/>
          <w:right w:w="0" w:type="dxa"/>
        </w:tblCellMar>
      </w:tblPr>
      <w:tr>
        <w:trPr>
          <w:trHeight w:val="281"/>
        </w:trPr>
        <w:tc>
          <w:tcPr>
            <w:tcW w:w="5040" w:type="dxa"/>
            <w:vAlign w:val="bottom"/>
          </w:tcPr>
          <w:p>
            <w:pPr>
              <w:spacing w:after="0"/>
              <w:rPr>
                <w:sz w:val="24"/>
                <w:szCs w:val="24"/>
                <w:color w:val="auto"/>
              </w:rPr>
            </w:pPr>
          </w:p>
        </w:tc>
        <w:tc>
          <w:tcPr>
            <w:tcW w:w="420" w:type="dxa"/>
            <w:vAlign w:val="bottom"/>
            <w:tcBorders>
              <w:bottom w:val="single" w:sz="8" w:color="auto"/>
            </w:tcBorders>
          </w:tcPr>
          <w:p>
            <w:pPr>
              <w:spacing w:after="0"/>
              <w:rPr>
                <w:sz w:val="24"/>
                <w:szCs w:val="24"/>
                <w:color w:val="auto"/>
              </w:rPr>
            </w:pPr>
          </w:p>
        </w:tc>
        <w:tc>
          <w:tcPr>
            <w:tcW w:w="3540" w:type="dxa"/>
            <w:vAlign w:val="bottom"/>
            <w:tcBorders>
              <w:bottom w:val="single" w:sz="8" w:color="auto"/>
            </w:tcBorders>
            <w:gridSpan w:val="6"/>
          </w:tcPr>
          <w:p>
            <w:pPr>
              <w:jc w:val="right"/>
              <w:ind w:right="99"/>
              <w:spacing w:after="0"/>
              <w:rPr>
                <w:sz w:val="20"/>
                <w:szCs w:val="20"/>
                <w:color w:val="auto"/>
              </w:rPr>
            </w:pPr>
            <w:r>
              <w:rPr>
                <w:rFonts w:ascii="Times New Roman" w:cs="Times New Roman" w:eastAsia="Times New Roman" w:hAnsi="Times New Roman"/>
                <w:sz w:val="20"/>
                <w:szCs w:val="20"/>
                <w:b w:val="1"/>
                <w:bCs w:val="1"/>
                <w:color w:val="auto"/>
              </w:rPr>
              <w:t>Years Ended December 31,</w:t>
            </w:r>
          </w:p>
        </w:tc>
        <w:tc>
          <w:tcPr>
            <w:tcW w:w="126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5040" w:type="dxa"/>
            <w:vAlign w:val="bottom"/>
            <w:tcBorders>
              <w:bottom w:val="single" w:sz="8" w:color="DDDDDD"/>
            </w:tcBorders>
          </w:tcPr>
          <w:p>
            <w:pPr>
              <w:spacing w:after="0"/>
              <w:rPr>
                <w:sz w:val="24"/>
                <w:szCs w:val="24"/>
                <w:color w:val="auto"/>
              </w:rPr>
            </w:pPr>
          </w:p>
        </w:tc>
        <w:tc>
          <w:tcPr>
            <w:tcW w:w="420" w:type="dxa"/>
            <w:vAlign w:val="bottom"/>
            <w:tcBorders>
              <w:bottom w:val="single" w:sz="8" w:color="auto"/>
            </w:tcBorders>
          </w:tcPr>
          <w:p>
            <w:pPr>
              <w:spacing w:after="0"/>
              <w:rPr>
                <w:sz w:val="24"/>
                <w:szCs w:val="24"/>
                <w:color w:val="auto"/>
              </w:rPr>
            </w:pPr>
          </w:p>
        </w:tc>
        <w:tc>
          <w:tcPr>
            <w:tcW w:w="1280" w:type="dxa"/>
            <w:vAlign w:val="bottom"/>
            <w:tcBorders>
              <w:bottom w:val="single" w:sz="8" w:color="auto"/>
            </w:tcBorders>
          </w:tcPr>
          <w:p>
            <w:pPr>
              <w:jc w:val="right"/>
              <w:ind w:right="559"/>
              <w:spacing w:after="0"/>
              <w:rPr>
                <w:sz w:val="20"/>
                <w:szCs w:val="20"/>
                <w:color w:val="auto"/>
              </w:rPr>
            </w:pPr>
            <w:r>
              <w:rPr>
                <w:rFonts w:ascii="Times New Roman" w:cs="Times New Roman" w:eastAsia="Times New Roman" w:hAnsi="Times New Roman"/>
                <w:sz w:val="20"/>
                <w:szCs w:val="20"/>
                <w:b w:val="1"/>
                <w:bCs w:val="1"/>
                <w:color w:val="auto"/>
              </w:rPr>
              <w:t>2023</w:t>
            </w:r>
          </w:p>
        </w:tc>
        <w:tc>
          <w:tcPr>
            <w:tcW w:w="80" w:type="dxa"/>
            <w:vAlign w:val="bottom"/>
            <w:tcBorders>
              <w:bottom w:val="single" w:sz="8" w:color="DDDDDD"/>
            </w:tcBorders>
          </w:tcPr>
          <w:p>
            <w:pPr>
              <w:spacing w:after="0"/>
              <w:rPr>
                <w:sz w:val="24"/>
                <w:szCs w:val="24"/>
                <w:color w:val="auto"/>
              </w:rPr>
            </w:pPr>
          </w:p>
        </w:tc>
        <w:tc>
          <w:tcPr>
            <w:tcW w:w="400" w:type="dxa"/>
            <w:vAlign w:val="bottom"/>
            <w:tcBorders>
              <w:bottom w:val="single" w:sz="8" w:color="auto"/>
            </w:tcBorders>
          </w:tcPr>
          <w:p>
            <w:pPr>
              <w:spacing w:after="0"/>
              <w:rPr>
                <w:sz w:val="24"/>
                <w:szCs w:val="24"/>
                <w:color w:val="auto"/>
              </w:rPr>
            </w:pPr>
          </w:p>
        </w:tc>
        <w:tc>
          <w:tcPr>
            <w:tcW w:w="1280" w:type="dxa"/>
            <w:vAlign w:val="bottom"/>
            <w:tcBorders>
              <w:bottom w:val="single" w:sz="8" w:color="auto"/>
            </w:tcBorders>
          </w:tcPr>
          <w:p>
            <w:pPr>
              <w:jc w:val="right"/>
              <w:ind w:right="539"/>
              <w:spacing w:after="0"/>
              <w:rPr>
                <w:sz w:val="20"/>
                <w:szCs w:val="20"/>
                <w:color w:val="auto"/>
              </w:rPr>
            </w:pPr>
            <w:r>
              <w:rPr>
                <w:rFonts w:ascii="Times New Roman" w:cs="Times New Roman" w:eastAsia="Times New Roman" w:hAnsi="Times New Roman"/>
                <w:sz w:val="20"/>
                <w:szCs w:val="20"/>
                <w:b w:val="1"/>
                <w:bCs w:val="1"/>
                <w:color w:val="auto"/>
              </w:rPr>
              <w:t>2022</w:t>
            </w:r>
          </w:p>
        </w:tc>
        <w:tc>
          <w:tcPr>
            <w:tcW w:w="60" w:type="dxa"/>
            <w:vAlign w:val="bottom"/>
          </w:tcPr>
          <w:p>
            <w:pPr>
              <w:spacing w:after="0"/>
              <w:rPr>
                <w:sz w:val="24"/>
                <w:szCs w:val="24"/>
                <w:color w:val="auto"/>
              </w:rPr>
            </w:pPr>
          </w:p>
        </w:tc>
        <w:tc>
          <w:tcPr>
            <w:tcW w:w="440" w:type="dxa"/>
            <w:vAlign w:val="bottom"/>
            <w:tcBorders>
              <w:bottom w:val="single" w:sz="8" w:color="auto"/>
            </w:tcBorders>
          </w:tcPr>
          <w:p>
            <w:pPr>
              <w:spacing w:after="0"/>
              <w:rPr>
                <w:sz w:val="24"/>
                <w:szCs w:val="24"/>
                <w:color w:val="auto"/>
              </w:rPr>
            </w:pPr>
          </w:p>
        </w:tc>
        <w:tc>
          <w:tcPr>
            <w:tcW w:w="1260" w:type="dxa"/>
            <w:vAlign w:val="bottom"/>
            <w:tcBorders>
              <w:bottom w:val="single" w:sz="8" w:color="auto"/>
            </w:tcBorders>
          </w:tcPr>
          <w:p>
            <w:pPr>
              <w:jc w:val="right"/>
              <w:ind w:right="559"/>
              <w:spacing w:after="0"/>
              <w:rPr>
                <w:sz w:val="20"/>
                <w:szCs w:val="20"/>
                <w:color w:val="auto"/>
              </w:rPr>
            </w:pPr>
            <w:r>
              <w:rPr>
                <w:rFonts w:ascii="Times New Roman" w:cs="Times New Roman" w:eastAsia="Times New Roman" w:hAnsi="Times New Roman"/>
                <w:sz w:val="20"/>
                <w:szCs w:val="20"/>
                <w:b w:val="1"/>
                <w:bCs w:val="1"/>
                <w:color w:val="auto"/>
              </w:rPr>
              <w:t>2021</w:t>
            </w:r>
          </w:p>
        </w:tc>
        <w:tc>
          <w:tcPr>
            <w:tcW w:w="0" w:type="dxa"/>
            <w:vAlign w:val="bottom"/>
          </w:tcPr>
          <w:p>
            <w:pPr>
              <w:spacing w:after="0"/>
              <w:rPr>
                <w:sz w:val="1"/>
                <w:szCs w:val="1"/>
                <w:color w:val="auto"/>
              </w:rPr>
            </w:pPr>
          </w:p>
        </w:tc>
      </w:tr>
      <w:tr>
        <w:trPr>
          <w:trHeight w:val="264"/>
        </w:trPr>
        <w:tc>
          <w:tcPr>
            <w:tcW w:w="5040" w:type="dxa"/>
            <w:vAlign w:val="bottom"/>
            <w:shd w:val="clear" w:color="auto" w:fill="DDDDDD"/>
          </w:tcPr>
          <w:p>
            <w:pPr>
              <w:ind w:left="40"/>
              <w:spacing w:after="0"/>
              <w:rPr>
                <w:sz w:val="20"/>
                <w:szCs w:val="20"/>
                <w:color w:val="auto"/>
              </w:rPr>
            </w:pPr>
            <w:r>
              <w:rPr>
                <w:rFonts w:ascii="Times New Roman" w:cs="Times New Roman" w:eastAsia="Times New Roman" w:hAnsi="Times New Roman"/>
                <w:sz w:val="20"/>
                <w:szCs w:val="20"/>
                <w:color w:val="auto"/>
              </w:rPr>
              <w:t>Net revenues</w:t>
            </w:r>
          </w:p>
        </w:tc>
        <w:tc>
          <w:tcPr>
            <w:tcW w:w="420" w:type="dxa"/>
            <w:vAlign w:val="bottom"/>
            <w:shd w:val="clear" w:color="auto" w:fill="DDDDDD"/>
          </w:tcPr>
          <w:p>
            <w:pPr>
              <w:jc w:val="right"/>
              <w:ind w:right="159"/>
              <w:spacing w:after="0"/>
              <w:rPr>
                <w:sz w:val="20"/>
                <w:szCs w:val="20"/>
                <w:color w:val="auto"/>
              </w:rPr>
            </w:pPr>
            <w:r>
              <w:rPr>
                <w:rFonts w:ascii="Times New Roman" w:cs="Times New Roman" w:eastAsia="Times New Roman" w:hAnsi="Times New Roman"/>
                <w:sz w:val="20"/>
                <w:szCs w:val="20"/>
                <w:color w:val="auto"/>
              </w:rPr>
              <w:t>$</w:t>
            </w:r>
          </w:p>
        </w:tc>
        <w:tc>
          <w:tcPr>
            <w:tcW w:w="1280" w:type="dxa"/>
            <w:vAlign w:val="bottom"/>
            <w:shd w:val="clear" w:color="auto" w:fill="DDDDDD"/>
          </w:tcPr>
          <w:p>
            <w:pPr>
              <w:jc w:val="right"/>
              <w:spacing w:after="0"/>
              <w:rPr>
                <w:sz w:val="20"/>
                <w:szCs w:val="20"/>
                <w:color w:val="auto"/>
              </w:rPr>
            </w:pPr>
            <w:r>
              <w:rPr>
                <w:rFonts w:ascii="Times New Roman" w:cs="Times New Roman" w:eastAsia="Times New Roman" w:hAnsi="Times New Roman"/>
                <w:sz w:val="20"/>
                <w:szCs w:val="20"/>
                <w:color w:val="auto"/>
              </w:rPr>
              <w:t>187,993</w:t>
            </w:r>
          </w:p>
        </w:tc>
        <w:tc>
          <w:tcPr>
            <w:tcW w:w="480" w:type="dxa"/>
            <w:vAlign w:val="bottom"/>
            <w:gridSpan w:val="2"/>
            <w:shd w:val="clear" w:color="auto" w:fill="DDDDDD"/>
          </w:tcPr>
          <w:p>
            <w:pPr>
              <w:jc w:val="right"/>
              <w:ind w:right="159"/>
              <w:spacing w:after="0"/>
              <w:rPr>
                <w:sz w:val="20"/>
                <w:szCs w:val="20"/>
                <w:color w:val="auto"/>
              </w:rPr>
            </w:pPr>
            <w:r>
              <w:rPr>
                <w:rFonts w:ascii="Times New Roman" w:cs="Times New Roman" w:eastAsia="Times New Roman" w:hAnsi="Times New Roman"/>
                <w:sz w:val="20"/>
                <w:szCs w:val="20"/>
                <w:color w:val="auto"/>
              </w:rPr>
              <w:t>$</w:t>
            </w:r>
          </w:p>
        </w:tc>
        <w:tc>
          <w:tcPr>
            <w:tcW w:w="1280" w:type="dxa"/>
            <w:vAlign w:val="bottom"/>
            <w:shd w:val="clear" w:color="auto" w:fill="DDDDDD"/>
          </w:tcPr>
          <w:p>
            <w:pPr>
              <w:jc w:val="right"/>
              <w:spacing w:after="0"/>
              <w:rPr>
                <w:sz w:val="20"/>
                <w:szCs w:val="20"/>
                <w:color w:val="auto"/>
              </w:rPr>
            </w:pPr>
            <w:r>
              <w:rPr>
                <w:rFonts w:ascii="Times New Roman" w:cs="Times New Roman" w:eastAsia="Times New Roman" w:hAnsi="Times New Roman"/>
                <w:sz w:val="20"/>
                <w:szCs w:val="20"/>
                <w:color w:val="auto"/>
              </w:rPr>
              <w:t>215,531</w:t>
            </w:r>
          </w:p>
        </w:tc>
        <w:tc>
          <w:tcPr>
            <w:tcW w:w="500" w:type="dxa"/>
            <w:vAlign w:val="bottom"/>
            <w:gridSpan w:val="2"/>
            <w:shd w:val="clear" w:color="auto" w:fill="DDDDDD"/>
          </w:tcPr>
          <w:p>
            <w:pPr>
              <w:jc w:val="right"/>
              <w:ind w:right="179"/>
              <w:spacing w:after="0"/>
              <w:rPr>
                <w:sz w:val="20"/>
                <w:szCs w:val="20"/>
                <w:color w:val="auto"/>
              </w:rPr>
            </w:pPr>
            <w:r>
              <w:rPr>
                <w:rFonts w:ascii="Times New Roman" w:cs="Times New Roman" w:eastAsia="Times New Roman" w:hAnsi="Times New Roman"/>
                <w:sz w:val="20"/>
                <w:szCs w:val="20"/>
                <w:color w:val="auto"/>
              </w:rPr>
              <w:t>$</w:t>
            </w:r>
          </w:p>
        </w:tc>
        <w:tc>
          <w:tcPr>
            <w:tcW w:w="1260" w:type="dxa"/>
            <w:vAlign w:val="bottom"/>
            <w:shd w:val="clear" w:color="auto" w:fill="DDDDDD"/>
          </w:tcPr>
          <w:p>
            <w:pPr>
              <w:jc w:val="right"/>
              <w:spacing w:after="0"/>
              <w:rPr>
                <w:sz w:val="20"/>
                <w:szCs w:val="20"/>
                <w:color w:val="auto"/>
              </w:rPr>
            </w:pPr>
            <w:r>
              <w:rPr>
                <w:rFonts w:ascii="Times New Roman" w:cs="Times New Roman" w:eastAsia="Times New Roman" w:hAnsi="Times New Roman"/>
                <w:sz w:val="20"/>
                <w:szCs w:val="20"/>
                <w:color w:val="auto"/>
              </w:rPr>
              <w:t>193,146</w:t>
            </w:r>
          </w:p>
        </w:tc>
        <w:tc>
          <w:tcPr>
            <w:tcW w:w="0" w:type="dxa"/>
            <w:vAlign w:val="bottom"/>
          </w:tcPr>
          <w:p>
            <w:pPr>
              <w:spacing w:after="0"/>
              <w:rPr>
                <w:sz w:val="1"/>
                <w:szCs w:val="1"/>
                <w:color w:val="auto"/>
              </w:rPr>
            </w:pPr>
          </w:p>
        </w:tc>
      </w:tr>
      <w:tr>
        <w:trPr>
          <w:trHeight w:val="288"/>
        </w:trPr>
        <w:tc>
          <w:tcPr>
            <w:tcW w:w="504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81"/>
        </w:trPr>
        <w:tc>
          <w:tcPr>
            <w:tcW w:w="5040" w:type="dxa"/>
            <w:vAlign w:val="bottom"/>
            <w:shd w:val="clear" w:color="auto" w:fill="DDDDDD"/>
          </w:tcPr>
          <w:p>
            <w:pPr>
              <w:ind w:left="40"/>
              <w:spacing w:after="0"/>
              <w:rPr>
                <w:sz w:val="20"/>
                <w:szCs w:val="20"/>
                <w:color w:val="auto"/>
              </w:rPr>
            </w:pPr>
            <w:r>
              <w:rPr>
                <w:rFonts w:ascii="Times New Roman" w:cs="Times New Roman" w:eastAsia="Times New Roman" w:hAnsi="Times New Roman"/>
                <w:sz w:val="20"/>
                <w:szCs w:val="20"/>
                <w:color w:val="auto"/>
              </w:rPr>
              <w:t>Costs and expenses:</w:t>
            </w:r>
          </w:p>
        </w:tc>
        <w:tc>
          <w:tcPr>
            <w:tcW w:w="420" w:type="dxa"/>
            <w:vAlign w:val="bottom"/>
            <w:shd w:val="clear" w:color="auto" w:fill="DDDDDD"/>
          </w:tcPr>
          <w:p>
            <w:pPr>
              <w:spacing w:after="0"/>
              <w:rPr>
                <w:sz w:val="24"/>
                <w:szCs w:val="24"/>
                <w:color w:val="auto"/>
              </w:rPr>
            </w:pPr>
          </w:p>
        </w:tc>
        <w:tc>
          <w:tcPr>
            <w:tcW w:w="1280" w:type="dxa"/>
            <w:vAlign w:val="bottom"/>
            <w:shd w:val="clear" w:color="auto" w:fill="DDDDDD"/>
          </w:tcPr>
          <w:p>
            <w:pPr>
              <w:spacing w:after="0"/>
              <w:rPr>
                <w:sz w:val="24"/>
                <w:szCs w:val="24"/>
                <w:color w:val="auto"/>
              </w:rPr>
            </w:pPr>
          </w:p>
        </w:tc>
        <w:tc>
          <w:tcPr>
            <w:tcW w:w="80" w:type="dxa"/>
            <w:vAlign w:val="bottom"/>
            <w:shd w:val="clear" w:color="auto" w:fill="DDDDDD"/>
          </w:tcPr>
          <w:p>
            <w:pPr>
              <w:spacing w:after="0"/>
              <w:rPr>
                <w:sz w:val="24"/>
                <w:szCs w:val="24"/>
                <w:color w:val="auto"/>
              </w:rPr>
            </w:pPr>
          </w:p>
        </w:tc>
        <w:tc>
          <w:tcPr>
            <w:tcW w:w="400" w:type="dxa"/>
            <w:vAlign w:val="bottom"/>
            <w:shd w:val="clear" w:color="auto" w:fill="DDDDDD"/>
          </w:tcPr>
          <w:p>
            <w:pPr>
              <w:spacing w:after="0"/>
              <w:rPr>
                <w:sz w:val="24"/>
                <w:szCs w:val="24"/>
                <w:color w:val="auto"/>
              </w:rPr>
            </w:pPr>
          </w:p>
        </w:tc>
        <w:tc>
          <w:tcPr>
            <w:tcW w:w="1280" w:type="dxa"/>
            <w:vAlign w:val="bottom"/>
            <w:shd w:val="clear" w:color="auto" w:fill="DDDDDD"/>
          </w:tcPr>
          <w:p>
            <w:pPr>
              <w:spacing w:after="0"/>
              <w:rPr>
                <w:sz w:val="24"/>
                <w:szCs w:val="24"/>
                <w:color w:val="auto"/>
              </w:rPr>
            </w:pPr>
          </w:p>
        </w:tc>
        <w:tc>
          <w:tcPr>
            <w:tcW w:w="60" w:type="dxa"/>
            <w:vAlign w:val="bottom"/>
            <w:shd w:val="clear" w:color="auto" w:fill="DDDDDD"/>
          </w:tcPr>
          <w:p>
            <w:pPr>
              <w:spacing w:after="0"/>
              <w:rPr>
                <w:sz w:val="24"/>
                <w:szCs w:val="24"/>
                <w:color w:val="auto"/>
              </w:rPr>
            </w:pPr>
          </w:p>
        </w:tc>
        <w:tc>
          <w:tcPr>
            <w:tcW w:w="440" w:type="dxa"/>
            <w:vAlign w:val="bottom"/>
            <w:shd w:val="clear" w:color="auto" w:fill="DDDDDD"/>
          </w:tcPr>
          <w:p>
            <w:pPr>
              <w:spacing w:after="0"/>
              <w:rPr>
                <w:sz w:val="24"/>
                <w:szCs w:val="24"/>
                <w:color w:val="auto"/>
              </w:rPr>
            </w:pPr>
          </w:p>
        </w:tc>
        <w:tc>
          <w:tcPr>
            <w:tcW w:w="1260" w:type="dxa"/>
            <w:vAlign w:val="bottom"/>
            <w:shd w:val="clear" w:color="auto" w:fill="DDDDDD"/>
          </w:tcPr>
          <w:p>
            <w:pPr>
              <w:spacing w:after="0"/>
              <w:rPr>
                <w:sz w:val="24"/>
                <w:szCs w:val="24"/>
                <w:color w:val="auto"/>
              </w:rPr>
            </w:pPr>
          </w:p>
        </w:tc>
        <w:tc>
          <w:tcPr>
            <w:tcW w:w="0" w:type="dxa"/>
            <w:vAlign w:val="bottom"/>
          </w:tcPr>
          <w:p>
            <w:pPr>
              <w:spacing w:after="0"/>
              <w:rPr>
                <w:sz w:val="1"/>
                <w:szCs w:val="1"/>
                <w:color w:val="auto"/>
              </w:rPr>
            </w:pPr>
          </w:p>
        </w:tc>
      </w:tr>
      <w:tr>
        <w:trPr>
          <w:trHeight w:val="266"/>
        </w:trPr>
        <w:tc>
          <w:tcPr>
            <w:tcW w:w="5040" w:type="dxa"/>
            <w:vAlign w:val="bottom"/>
          </w:tcPr>
          <w:p>
            <w:pPr>
              <w:ind w:left="160"/>
              <w:spacing w:after="0"/>
              <w:rPr>
                <w:sz w:val="20"/>
                <w:szCs w:val="20"/>
                <w:color w:val="auto"/>
              </w:rPr>
            </w:pPr>
            <w:r>
              <w:rPr>
                <w:rFonts w:ascii="Times New Roman" w:cs="Times New Roman" w:eastAsia="Times New Roman" w:hAnsi="Times New Roman"/>
                <w:sz w:val="20"/>
                <w:szCs w:val="20"/>
                <w:color w:val="auto"/>
              </w:rPr>
              <w:t>Cost of revenues (exclusive of depreciation and</w:t>
            </w:r>
          </w:p>
        </w:tc>
        <w:tc>
          <w:tcPr>
            <w:tcW w:w="420" w:type="dxa"/>
            <w:vAlign w:val="bottom"/>
          </w:tcPr>
          <w:p>
            <w:pPr>
              <w:spacing w:after="0"/>
              <w:rPr>
                <w:sz w:val="23"/>
                <w:szCs w:val="23"/>
                <w:color w:val="auto"/>
              </w:rPr>
            </w:pPr>
          </w:p>
        </w:tc>
        <w:tc>
          <w:tcPr>
            <w:tcW w:w="1280" w:type="dxa"/>
            <w:vAlign w:val="bottom"/>
            <w:vMerge w:val="restart"/>
          </w:tcPr>
          <w:p>
            <w:pPr>
              <w:jc w:val="right"/>
              <w:spacing w:after="0"/>
              <w:rPr>
                <w:sz w:val="20"/>
                <w:szCs w:val="20"/>
                <w:color w:val="auto"/>
              </w:rPr>
            </w:pPr>
            <w:r>
              <w:rPr>
                <w:rFonts w:ascii="Times New Roman" w:cs="Times New Roman" w:eastAsia="Times New Roman" w:hAnsi="Times New Roman"/>
                <w:sz w:val="20"/>
                <w:szCs w:val="20"/>
                <w:color w:val="auto"/>
              </w:rPr>
              <w:t>12,527</w:t>
            </w:r>
          </w:p>
        </w:tc>
        <w:tc>
          <w:tcPr>
            <w:tcW w:w="80" w:type="dxa"/>
            <w:vAlign w:val="bottom"/>
          </w:tcPr>
          <w:p>
            <w:pPr>
              <w:spacing w:after="0"/>
              <w:rPr>
                <w:sz w:val="23"/>
                <w:szCs w:val="23"/>
                <w:color w:val="auto"/>
              </w:rPr>
            </w:pPr>
          </w:p>
        </w:tc>
        <w:tc>
          <w:tcPr>
            <w:tcW w:w="400" w:type="dxa"/>
            <w:vAlign w:val="bottom"/>
          </w:tcPr>
          <w:p>
            <w:pPr>
              <w:spacing w:after="0"/>
              <w:rPr>
                <w:sz w:val="23"/>
                <w:szCs w:val="23"/>
                <w:color w:val="auto"/>
              </w:rPr>
            </w:pPr>
          </w:p>
        </w:tc>
        <w:tc>
          <w:tcPr>
            <w:tcW w:w="1280" w:type="dxa"/>
            <w:vAlign w:val="bottom"/>
            <w:vMerge w:val="restart"/>
          </w:tcPr>
          <w:p>
            <w:pPr>
              <w:jc w:val="right"/>
              <w:spacing w:after="0"/>
              <w:rPr>
                <w:sz w:val="20"/>
                <w:szCs w:val="20"/>
                <w:color w:val="auto"/>
              </w:rPr>
            </w:pPr>
            <w:r>
              <w:rPr>
                <w:rFonts w:ascii="Times New Roman" w:cs="Times New Roman" w:eastAsia="Times New Roman" w:hAnsi="Times New Roman"/>
                <w:sz w:val="20"/>
                <w:szCs w:val="20"/>
                <w:color w:val="auto"/>
              </w:rPr>
              <w:t>15,407</w:t>
            </w:r>
          </w:p>
        </w:tc>
        <w:tc>
          <w:tcPr>
            <w:tcW w:w="60" w:type="dxa"/>
            <w:vAlign w:val="bottom"/>
          </w:tcPr>
          <w:p>
            <w:pPr>
              <w:spacing w:after="0"/>
              <w:rPr>
                <w:sz w:val="23"/>
                <w:szCs w:val="23"/>
                <w:color w:val="auto"/>
              </w:rPr>
            </w:pPr>
          </w:p>
        </w:tc>
        <w:tc>
          <w:tcPr>
            <w:tcW w:w="440" w:type="dxa"/>
            <w:vAlign w:val="bottom"/>
          </w:tcPr>
          <w:p>
            <w:pPr>
              <w:spacing w:after="0"/>
              <w:rPr>
                <w:sz w:val="23"/>
                <w:szCs w:val="23"/>
                <w:color w:val="auto"/>
              </w:rPr>
            </w:pPr>
          </w:p>
        </w:tc>
        <w:tc>
          <w:tcPr>
            <w:tcW w:w="1260" w:type="dxa"/>
            <w:vAlign w:val="bottom"/>
            <w:vMerge w:val="restart"/>
          </w:tcPr>
          <w:p>
            <w:pPr>
              <w:jc w:val="right"/>
              <w:spacing w:after="0"/>
              <w:rPr>
                <w:sz w:val="20"/>
                <w:szCs w:val="20"/>
                <w:color w:val="auto"/>
              </w:rPr>
            </w:pPr>
            <w:r>
              <w:rPr>
                <w:rFonts w:ascii="Times New Roman" w:cs="Times New Roman" w:eastAsia="Times New Roman" w:hAnsi="Times New Roman"/>
                <w:sz w:val="20"/>
                <w:szCs w:val="20"/>
                <w:color w:val="auto"/>
              </w:rPr>
              <w:t>7,938</w:t>
            </w:r>
          </w:p>
        </w:tc>
        <w:tc>
          <w:tcPr>
            <w:tcW w:w="0" w:type="dxa"/>
            <w:vAlign w:val="bottom"/>
          </w:tcPr>
          <w:p>
            <w:pPr>
              <w:spacing w:after="0"/>
              <w:rPr>
                <w:sz w:val="1"/>
                <w:szCs w:val="1"/>
                <w:color w:val="auto"/>
              </w:rPr>
            </w:pPr>
          </w:p>
        </w:tc>
      </w:tr>
      <w:tr>
        <w:trPr>
          <w:trHeight w:val="202"/>
        </w:trPr>
        <w:tc>
          <w:tcPr>
            <w:tcW w:w="5040" w:type="dxa"/>
            <w:vAlign w:val="bottom"/>
          </w:tcPr>
          <w:p>
            <w:pPr>
              <w:ind w:left="160"/>
              <w:spacing w:after="0" w:line="183" w:lineRule="exact"/>
              <w:rPr>
                <w:sz w:val="20"/>
                <w:szCs w:val="20"/>
                <w:color w:val="auto"/>
              </w:rPr>
            </w:pPr>
            <w:r>
              <w:rPr>
                <w:rFonts w:ascii="Times New Roman" w:cs="Times New Roman" w:eastAsia="Times New Roman" w:hAnsi="Times New Roman"/>
                <w:sz w:val="20"/>
                <w:szCs w:val="20"/>
                <w:color w:val="auto"/>
              </w:rPr>
              <w:t>amortization shown separately below)</w:t>
            </w:r>
          </w:p>
        </w:tc>
        <w:tc>
          <w:tcPr>
            <w:tcW w:w="420" w:type="dxa"/>
            <w:vAlign w:val="bottom"/>
          </w:tcPr>
          <w:p>
            <w:pPr>
              <w:spacing w:after="0"/>
              <w:rPr>
                <w:sz w:val="17"/>
                <w:szCs w:val="17"/>
                <w:color w:val="auto"/>
              </w:rPr>
            </w:pPr>
          </w:p>
        </w:tc>
        <w:tc>
          <w:tcPr>
            <w:tcW w:w="1280" w:type="dxa"/>
            <w:vAlign w:val="bottom"/>
            <w:vMerge w:val="continue"/>
          </w:tcPr>
          <w:p>
            <w:pPr>
              <w:spacing w:after="0"/>
              <w:rPr>
                <w:sz w:val="17"/>
                <w:szCs w:val="17"/>
                <w:color w:val="auto"/>
              </w:rPr>
            </w:pPr>
          </w:p>
        </w:tc>
        <w:tc>
          <w:tcPr>
            <w:tcW w:w="8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280" w:type="dxa"/>
            <w:vAlign w:val="bottom"/>
            <w:vMerge w:val="continue"/>
          </w:tcPr>
          <w:p>
            <w:pPr>
              <w:spacing w:after="0"/>
              <w:rPr>
                <w:sz w:val="17"/>
                <w:szCs w:val="17"/>
                <w:color w:val="auto"/>
              </w:rPr>
            </w:pPr>
          </w:p>
        </w:tc>
        <w:tc>
          <w:tcPr>
            <w:tcW w:w="6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126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81"/>
        </w:trPr>
        <w:tc>
          <w:tcPr>
            <w:tcW w:w="5040" w:type="dxa"/>
            <w:vAlign w:val="bottom"/>
            <w:shd w:val="clear" w:color="auto" w:fill="DDDDDD"/>
          </w:tcPr>
          <w:p>
            <w:pPr>
              <w:ind w:left="160"/>
              <w:spacing w:after="0"/>
              <w:rPr>
                <w:sz w:val="20"/>
                <w:szCs w:val="20"/>
                <w:color w:val="auto"/>
              </w:rPr>
            </w:pPr>
            <w:r>
              <w:rPr>
                <w:rFonts w:ascii="Times New Roman" w:cs="Times New Roman" w:eastAsia="Times New Roman" w:hAnsi="Times New Roman"/>
                <w:sz w:val="20"/>
                <w:szCs w:val="20"/>
                <w:color w:val="auto"/>
              </w:rPr>
              <w:t>Sales and marketing</w:t>
            </w:r>
          </w:p>
        </w:tc>
        <w:tc>
          <w:tcPr>
            <w:tcW w:w="420" w:type="dxa"/>
            <w:vAlign w:val="bottom"/>
            <w:shd w:val="clear" w:color="auto" w:fill="DDDDDD"/>
          </w:tcPr>
          <w:p>
            <w:pPr>
              <w:spacing w:after="0"/>
              <w:rPr>
                <w:sz w:val="24"/>
                <w:szCs w:val="24"/>
                <w:color w:val="auto"/>
              </w:rPr>
            </w:pPr>
          </w:p>
        </w:tc>
        <w:tc>
          <w:tcPr>
            <w:tcW w:w="1280" w:type="dxa"/>
            <w:vAlign w:val="bottom"/>
            <w:shd w:val="clear" w:color="auto" w:fill="DDDDDD"/>
          </w:tcPr>
          <w:p>
            <w:pPr>
              <w:jc w:val="right"/>
              <w:spacing w:after="0"/>
              <w:rPr>
                <w:sz w:val="20"/>
                <w:szCs w:val="20"/>
                <w:color w:val="auto"/>
              </w:rPr>
            </w:pPr>
            <w:r>
              <w:rPr>
                <w:rFonts w:ascii="Times New Roman" w:cs="Times New Roman" w:eastAsia="Times New Roman" w:hAnsi="Times New Roman"/>
                <w:sz w:val="20"/>
                <w:szCs w:val="20"/>
                <w:color w:val="auto"/>
              </w:rPr>
              <w:t>47,073</w:t>
            </w:r>
          </w:p>
        </w:tc>
        <w:tc>
          <w:tcPr>
            <w:tcW w:w="80" w:type="dxa"/>
            <w:vAlign w:val="bottom"/>
            <w:shd w:val="clear" w:color="auto" w:fill="DDDDDD"/>
          </w:tcPr>
          <w:p>
            <w:pPr>
              <w:spacing w:after="0"/>
              <w:rPr>
                <w:sz w:val="24"/>
                <w:szCs w:val="24"/>
                <w:color w:val="auto"/>
              </w:rPr>
            </w:pPr>
          </w:p>
        </w:tc>
        <w:tc>
          <w:tcPr>
            <w:tcW w:w="400" w:type="dxa"/>
            <w:vAlign w:val="bottom"/>
            <w:shd w:val="clear" w:color="auto" w:fill="DDDDDD"/>
          </w:tcPr>
          <w:p>
            <w:pPr>
              <w:spacing w:after="0"/>
              <w:rPr>
                <w:sz w:val="24"/>
                <w:szCs w:val="24"/>
                <w:color w:val="auto"/>
              </w:rPr>
            </w:pPr>
          </w:p>
        </w:tc>
        <w:tc>
          <w:tcPr>
            <w:tcW w:w="1280" w:type="dxa"/>
            <w:vAlign w:val="bottom"/>
            <w:shd w:val="clear" w:color="auto" w:fill="DDDDDD"/>
          </w:tcPr>
          <w:p>
            <w:pPr>
              <w:jc w:val="right"/>
              <w:spacing w:after="0"/>
              <w:rPr>
                <w:sz w:val="20"/>
                <w:szCs w:val="20"/>
                <w:color w:val="auto"/>
              </w:rPr>
            </w:pPr>
            <w:r>
              <w:rPr>
                <w:rFonts w:ascii="Times New Roman" w:cs="Times New Roman" w:eastAsia="Times New Roman" w:hAnsi="Times New Roman"/>
                <w:sz w:val="20"/>
                <w:szCs w:val="20"/>
                <w:color w:val="auto"/>
              </w:rPr>
              <w:t>82,624</w:t>
            </w:r>
          </w:p>
        </w:tc>
        <w:tc>
          <w:tcPr>
            <w:tcW w:w="60" w:type="dxa"/>
            <w:vAlign w:val="bottom"/>
            <w:shd w:val="clear" w:color="auto" w:fill="DDDDDD"/>
          </w:tcPr>
          <w:p>
            <w:pPr>
              <w:spacing w:after="0"/>
              <w:rPr>
                <w:sz w:val="24"/>
                <w:szCs w:val="24"/>
                <w:color w:val="auto"/>
              </w:rPr>
            </w:pPr>
          </w:p>
        </w:tc>
        <w:tc>
          <w:tcPr>
            <w:tcW w:w="440" w:type="dxa"/>
            <w:vAlign w:val="bottom"/>
            <w:shd w:val="clear" w:color="auto" w:fill="DDDDDD"/>
          </w:tcPr>
          <w:p>
            <w:pPr>
              <w:spacing w:after="0"/>
              <w:rPr>
                <w:sz w:val="24"/>
                <w:szCs w:val="24"/>
                <w:color w:val="auto"/>
              </w:rPr>
            </w:pPr>
          </w:p>
        </w:tc>
        <w:tc>
          <w:tcPr>
            <w:tcW w:w="1260" w:type="dxa"/>
            <w:vAlign w:val="bottom"/>
            <w:shd w:val="clear" w:color="auto" w:fill="DDDDDD"/>
          </w:tcPr>
          <w:p>
            <w:pPr>
              <w:jc w:val="right"/>
              <w:spacing w:after="0"/>
              <w:rPr>
                <w:sz w:val="20"/>
                <w:szCs w:val="20"/>
                <w:color w:val="auto"/>
              </w:rPr>
            </w:pPr>
            <w:r>
              <w:rPr>
                <w:rFonts w:ascii="Times New Roman" w:cs="Times New Roman" w:eastAsia="Times New Roman" w:hAnsi="Times New Roman"/>
                <w:sz w:val="20"/>
                <w:szCs w:val="20"/>
                <w:color w:val="auto"/>
              </w:rPr>
              <w:t>56,119</w:t>
            </w:r>
          </w:p>
        </w:tc>
        <w:tc>
          <w:tcPr>
            <w:tcW w:w="0" w:type="dxa"/>
            <w:vAlign w:val="bottom"/>
          </w:tcPr>
          <w:p>
            <w:pPr>
              <w:spacing w:after="0"/>
              <w:rPr>
                <w:sz w:val="1"/>
                <w:szCs w:val="1"/>
                <w:color w:val="auto"/>
              </w:rPr>
            </w:pPr>
          </w:p>
        </w:tc>
      </w:tr>
      <w:tr>
        <w:trPr>
          <w:trHeight w:val="288"/>
        </w:trPr>
        <w:tc>
          <w:tcPr>
            <w:tcW w:w="5040" w:type="dxa"/>
            <w:vAlign w:val="bottom"/>
          </w:tcPr>
          <w:p>
            <w:pPr>
              <w:ind w:left="160"/>
              <w:spacing w:after="0"/>
              <w:rPr>
                <w:sz w:val="20"/>
                <w:szCs w:val="20"/>
                <w:color w:val="auto"/>
              </w:rPr>
            </w:pPr>
            <w:r>
              <w:rPr>
                <w:rFonts w:ascii="Times New Roman" w:cs="Times New Roman" w:eastAsia="Times New Roman" w:hAnsi="Times New Roman"/>
                <w:sz w:val="20"/>
                <w:szCs w:val="20"/>
                <w:color w:val="auto"/>
              </w:rPr>
              <w:t>Product development</w:t>
            </w:r>
          </w:p>
        </w:tc>
        <w:tc>
          <w:tcPr>
            <w:tcW w:w="420" w:type="dxa"/>
            <w:vAlign w:val="bottom"/>
          </w:tcPr>
          <w:p>
            <w:pPr>
              <w:spacing w:after="0"/>
              <w:rPr>
                <w:sz w:val="24"/>
                <w:szCs w:val="24"/>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36,001</w:t>
            </w:r>
          </w:p>
        </w:tc>
        <w:tc>
          <w:tcPr>
            <w:tcW w:w="8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50,520</w:t>
            </w:r>
          </w:p>
        </w:tc>
        <w:tc>
          <w:tcPr>
            <w:tcW w:w="6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35,395</w:t>
            </w:r>
          </w:p>
        </w:tc>
        <w:tc>
          <w:tcPr>
            <w:tcW w:w="0" w:type="dxa"/>
            <w:vAlign w:val="bottom"/>
          </w:tcPr>
          <w:p>
            <w:pPr>
              <w:spacing w:after="0"/>
              <w:rPr>
                <w:sz w:val="1"/>
                <w:szCs w:val="1"/>
                <w:color w:val="auto"/>
              </w:rPr>
            </w:pPr>
          </w:p>
        </w:tc>
      </w:tr>
      <w:tr>
        <w:trPr>
          <w:trHeight w:val="288"/>
        </w:trPr>
        <w:tc>
          <w:tcPr>
            <w:tcW w:w="5040" w:type="dxa"/>
            <w:vAlign w:val="bottom"/>
            <w:shd w:val="clear" w:color="auto" w:fill="DDDDDD"/>
          </w:tcPr>
          <w:p>
            <w:pPr>
              <w:ind w:left="160"/>
              <w:spacing w:after="0"/>
              <w:rPr>
                <w:sz w:val="20"/>
                <w:szCs w:val="20"/>
                <w:color w:val="auto"/>
              </w:rPr>
            </w:pPr>
            <w:r>
              <w:rPr>
                <w:rFonts w:ascii="Times New Roman" w:cs="Times New Roman" w:eastAsia="Times New Roman" w:hAnsi="Times New Roman"/>
                <w:sz w:val="20"/>
                <w:szCs w:val="20"/>
                <w:color w:val="auto"/>
              </w:rPr>
              <w:t>General and administrative</w:t>
            </w:r>
          </w:p>
        </w:tc>
        <w:tc>
          <w:tcPr>
            <w:tcW w:w="420" w:type="dxa"/>
            <w:vAlign w:val="bottom"/>
            <w:shd w:val="clear" w:color="auto" w:fill="DDDDDD"/>
          </w:tcPr>
          <w:p>
            <w:pPr>
              <w:spacing w:after="0"/>
              <w:rPr>
                <w:sz w:val="24"/>
                <w:szCs w:val="24"/>
                <w:color w:val="auto"/>
              </w:rPr>
            </w:pPr>
          </w:p>
        </w:tc>
        <w:tc>
          <w:tcPr>
            <w:tcW w:w="1280" w:type="dxa"/>
            <w:vAlign w:val="bottom"/>
            <w:shd w:val="clear" w:color="auto" w:fill="DDDDDD"/>
          </w:tcPr>
          <w:p>
            <w:pPr>
              <w:jc w:val="right"/>
              <w:spacing w:after="0"/>
              <w:rPr>
                <w:sz w:val="20"/>
                <w:szCs w:val="20"/>
                <w:color w:val="auto"/>
              </w:rPr>
            </w:pPr>
            <w:r>
              <w:rPr>
                <w:rFonts w:ascii="Times New Roman" w:cs="Times New Roman" w:eastAsia="Times New Roman" w:hAnsi="Times New Roman"/>
                <w:sz w:val="20"/>
                <w:szCs w:val="20"/>
                <w:color w:val="auto"/>
              </w:rPr>
              <w:t>74,313</w:t>
            </w:r>
          </w:p>
        </w:tc>
        <w:tc>
          <w:tcPr>
            <w:tcW w:w="80" w:type="dxa"/>
            <w:vAlign w:val="bottom"/>
            <w:shd w:val="clear" w:color="auto" w:fill="DDDDDD"/>
          </w:tcPr>
          <w:p>
            <w:pPr>
              <w:spacing w:after="0"/>
              <w:rPr>
                <w:sz w:val="24"/>
                <w:szCs w:val="24"/>
                <w:color w:val="auto"/>
              </w:rPr>
            </w:pPr>
          </w:p>
        </w:tc>
        <w:tc>
          <w:tcPr>
            <w:tcW w:w="400" w:type="dxa"/>
            <w:vAlign w:val="bottom"/>
            <w:shd w:val="clear" w:color="auto" w:fill="DDDDDD"/>
          </w:tcPr>
          <w:p>
            <w:pPr>
              <w:spacing w:after="0"/>
              <w:rPr>
                <w:sz w:val="24"/>
                <w:szCs w:val="24"/>
                <w:color w:val="auto"/>
              </w:rPr>
            </w:pPr>
          </w:p>
        </w:tc>
        <w:tc>
          <w:tcPr>
            <w:tcW w:w="1280" w:type="dxa"/>
            <w:vAlign w:val="bottom"/>
            <w:shd w:val="clear" w:color="auto" w:fill="DDDDDD"/>
          </w:tcPr>
          <w:p>
            <w:pPr>
              <w:jc w:val="right"/>
              <w:spacing w:after="0"/>
              <w:rPr>
                <w:sz w:val="20"/>
                <w:szCs w:val="20"/>
                <w:color w:val="auto"/>
              </w:rPr>
            </w:pPr>
            <w:r>
              <w:rPr>
                <w:rFonts w:ascii="Times New Roman" w:cs="Times New Roman" w:eastAsia="Times New Roman" w:hAnsi="Times New Roman"/>
                <w:sz w:val="20"/>
                <w:szCs w:val="20"/>
                <w:color w:val="auto"/>
              </w:rPr>
              <w:t>120,787</w:t>
            </w:r>
          </w:p>
        </w:tc>
        <w:tc>
          <w:tcPr>
            <w:tcW w:w="60" w:type="dxa"/>
            <w:vAlign w:val="bottom"/>
            <w:shd w:val="clear" w:color="auto" w:fill="DDDDDD"/>
          </w:tcPr>
          <w:p>
            <w:pPr>
              <w:spacing w:after="0"/>
              <w:rPr>
                <w:sz w:val="24"/>
                <w:szCs w:val="24"/>
                <w:color w:val="auto"/>
              </w:rPr>
            </w:pPr>
          </w:p>
        </w:tc>
        <w:tc>
          <w:tcPr>
            <w:tcW w:w="440" w:type="dxa"/>
            <w:vAlign w:val="bottom"/>
            <w:shd w:val="clear" w:color="auto" w:fill="DDDDDD"/>
          </w:tcPr>
          <w:p>
            <w:pPr>
              <w:spacing w:after="0"/>
              <w:rPr>
                <w:sz w:val="24"/>
                <w:szCs w:val="24"/>
                <w:color w:val="auto"/>
              </w:rPr>
            </w:pPr>
          </w:p>
        </w:tc>
        <w:tc>
          <w:tcPr>
            <w:tcW w:w="1260" w:type="dxa"/>
            <w:vAlign w:val="bottom"/>
            <w:shd w:val="clear" w:color="auto" w:fill="DDDDDD"/>
          </w:tcPr>
          <w:p>
            <w:pPr>
              <w:jc w:val="right"/>
              <w:spacing w:after="0"/>
              <w:rPr>
                <w:sz w:val="20"/>
                <w:szCs w:val="20"/>
                <w:color w:val="auto"/>
              </w:rPr>
            </w:pPr>
            <w:r>
              <w:rPr>
                <w:rFonts w:ascii="Times New Roman" w:cs="Times New Roman" w:eastAsia="Times New Roman" w:hAnsi="Times New Roman"/>
                <w:sz w:val="20"/>
                <w:szCs w:val="20"/>
                <w:color w:val="auto"/>
              </w:rPr>
              <w:t>95,075</w:t>
            </w:r>
          </w:p>
        </w:tc>
        <w:tc>
          <w:tcPr>
            <w:tcW w:w="0" w:type="dxa"/>
            <w:vAlign w:val="bottom"/>
          </w:tcPr>
          <w:p>
            <w:pPr>
              <w:spacing w:after="0"/>
              <w:rPr>
                <w:sz w:val="1"/>
                <w:szCs w:val="1"/>
                <w:color w:val="auto"/>
              </w:rPr>
            </w:pPr>
          </w:p>
        </w:tc>
      </w:tr>
      <w:tr>
        <w:trPr>
          <w:trHeight w:val="281"/>
        </w:trPr>
        <w:tc>
          <w:tcPr>
            <w:tcW w:w="5040" w:type="dxa"/>
            <w:vAlign w:val="bottom"/>
          </w:tcPr>
          <w:p>
            <w:pPr>
              <w:ind w:left="160"/>
              <w:spacing w:after="0"/>
              <w:rPr>
                <w:sz w:val="20"/>
                <w:szCs w:val="20"/>
                <w:color w:val="auto"/>
              </w:rPr>
            </w:pPr>
            <w:r>
              <w:rPr>
                <w:rFonts w:ascii="Times New Roman" w:cs="Times New Roman" w:eastAsia="Times New Roman" w:hAnsi="Times New Roman"/>
                <w:sz w:val="20"/>
                <w:szCs w:val="20"/>
                <w:color w:val="auto"/>
              </w:rPr>
              <w:t>Depreciation and amortization</w:t>
            </w:r>
          </w:p>
        </w:tc>
        <w:tc>
          <w:tcPr>
            <w:tcW w:w="420" w:type="dxa"/>
            <w:vAlign w:val="bottom"/>
          </w:tcPr>
          <w:p>
            <w:pPr>
              <w:spacing w:after="0"/>
              <w:rPr>
                <w:sz w:val="24"/>
                <w:szCs w:val="24"/>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12,133</w:t>
            </w:r>
          </w:p>
        </w:tc>
        <w:tc>
          <w:tcPr>
            <w:tcW w:w="8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11,498</w:t>
            </w:r>
          </w:p>
        </w:tc>
        <w:tc>
          <w:tcPr>
            <w:tcW w:w="6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4,425</w:t>
            </w:r>
          </w:p>
        </w:tc>
        <w:tc>
          <w:tcPr>
            <w:tcW w:w="0" w:type="dxa"/>
            <w:vAlign w:val="bottom"/>
          </w:tcPr>
          <w:p>
            <w:pPr>
              <w:spacing w:after="0"/>
              <w:rPr>
                <w:sz w:val="1"/>
                <w:szCs w:val="1"/>
                <w:color w:val="auto"/>
              </w:rPr>
            </w:pPr>
          </w:p>
        </w:tc>
      </w:tr>
      <w:tr>
        <w:trPr>
          <w:trHeight w:val="308"/>
        </w:trPr>
        <w:tc>
          <w:tcPr>
            <w:tcW w:w="5040" w:type="dxa"/>
            <w:vAlign w:val="bottom"/>
            <w:shd w:val="clear" w:color="auto" w:fill="DDDDDD"/>
          </w:tcPr>
          <w:p>
            <w:pPr>
              <w:ind w:left="160"/>
              <w:spacing w:after="0"/>
              <w:rPr>
                <w:sz w:val="20"/>
                <w:szCs w:val="20"/>
                <w:color w:val="auto"/>
              </w:rPr>
            </w:pPr>
            <w:r>
              <w:rPr>
                <w:rFonts w:ascii="Times New Roman" w:cs="Times New Roman" w:eastAsia="Times New Roman" w:hAnsi="Times New Roman"/>
                <w:sz w:val="20"/>
                <w:szCs w:val="20"/>
                <w:color w:val="auto"/>
              </w:rPr>
              <w:t>Asset impairment charges</w:t>
            </w:r>
          </w:p>
        </w:tc>
        <w:tc>
          <w:tcPr>
            <w:tcW w:w="420" w:type="dxa"/>
            <w:vAlign w:val="bottom"/>
            <w:tcBorders>
              <w:bottom w:val="single" w:sz="8" w:color="auto"/>
            </w:tcBorders>
            <w:shd w:val="clear" w:color="auto" w:fill="DDDDDD"/>
          </w:tcPr>
          <w:p>
            <w:pPr>
              <w:spacing w:after="0"/>
              <w:rPr>
                <w:sz w:val="24"/>
                <w:szCs w:val="24"/>
                <w:color w:val="auto"/>
              </w:rPr>
            </w:pPr>
          </w:p>
        </w:tc>
        <w:tc>
          <w:tcPr>
            <w:tcW w:w="1280" w:type="dxa"/>
            <w:vAlign w:val="bottom"/>
            <w:tcBorders>
              <w:bottom w:val="single" w:sz="8" w:color="auto"/>
            </w:tcBorders>
            <w:shd w:val="clear" w:color="auto" w:fill="DDDDDD"/>
          </w:tcPr>
          <w:p>
            <w:pPr>
              <w:jc w:val="right"/>
              <w:spacing w:after="0"/>
              <w:rPr>
                <w:sz w:val="20"/>
                <w:szCs w:val="20"/>
                <w:color w:val="auto"/>
              </w:rPr>
            </w:pPr>
            <w:r>
              <w:rPr>
                <w:rFonts w:ascii="Times New Roman" w:cs="Times New Roman" w:eastAsia="Times New Roman" w:hAnsi="Times New Roman"/>
                <w:sz w:val="20"/>
                <w:szCs w:val="20"/>
                <w:color w:val="auto"/>
              </w:rPr>
              <w:t>24,403</w:t>
            </w:r>
          </w:p>
        </w:tc>
        <w:tc>
          <w:tcPr>
            <w:tcW w:w="80" w:type="dxa"/>
            <w:vAlign w:val="bottom"/>
            <w:shd w:val="clear" w:color="auto" w:fill="DDDDDD"/>
          </w:tcPr>
          <w:p>
            <w:pPr>
              <w:spacing w:after="0"/>
              <w:rPr>
                <w:sz w:val="24"/>
                <w:szCs w:val="24"/>
                <w:color w:val="auto"/>
              </w:rPr>
            </w:pPr>
          </w:p>
        </w:tc>
        <w:tc>
          <w:tcPr>
            <w:tcW w:w="400" w:type="dxa"/>
            <w:vAlign w:val="bottom"/>
            <w:tcBorders>
              <w:bottom w:val="single" w:sz="8" w:color="auto"/>
            </w:tcBorders>
            <w:shd w:val="clear" w:color="auto" w:fill="DDDDDD"/>
          </w:tcPr>
          <w:p>
            <w:pPr>
              <w:spacing w:after="0"/>
              <w:rPr>
                <w:sz w:val="24"/>
                <w:szCs w:val="24"/>
                <w:color w:val="auto"/>
              </w:rPr>
            </w:pPr>
          </w:p>
        </w:tc>
        <w:tc>
          <w:tcPr>
            <w:tcW w:w="1280" w:type="dxa"/>
            <w:vAlign w:val="bottom"/>
            <w:tcBorders>
              <w:bottom w:val="single" w:sz="8" w:color="auto"/>
            </w:tcBorders>
            <w:shd w:val="clear" w:color="auto" w:fill="DDDDDD"/>
          </w:tcPr>
          <w:p>
            <w:pPr>
              <w:jc w:val="right"/>
              <w:spacing w:after="0"/>
              <w:rPr>
                <w:sz w:val="20"/>
                <w:szCs w:val="20"/>
                <w:color w:val="auto"/>
              </w:rPr>
            </w:pPr>
            <w:r>
              <w:rPr>
                <w:rFonts w:ascii="Times New Roman" w:cs="Times New Roman" w:eastAsia="Times New Roman" w:hAnsi="Times New Roman"/>
                <w:sz w:val="20"/>
                <w:szCs w:val="20"/>
                <w:color w:val="auto"/>
              </w:rPr>
              <w:t>4,317</w:t>
            </w:r>
          </w:p>
        </w:tc>
        <w:tc>
          <w:tcPr>
            <w:tcW w:w="60" w:type="dxa"/>
            <w:vAlign w:val="bottom"/>
            <w:shd w:val="clear" w:color="auto" w:fill="DDDDDD"/>
          </w:tcPr>
          <w:p>
            <w:pPr>
              <w:spacing w:after="0"/>
              <w:rPr>
                <w:sz w:val="24"/>
                <w:szCs w:val="24"/>
                <w:color w:val="auto"/>
              </w:rPr>
            </w:pPr>
          </w:p>
        </w:tc>
        <w:tc>
          <w:tcPr>
            <w:tcW w:w="440" w:type="dxa"/>
            <w:vAlign w:val="bottom"/>
            <w:tcBorders>
              <w:bottom w:val="single" w:sz="8" w:color="auto"/>
            </w:tcBorders>
            <w:shd w:val="clear" w:color="auto" w:fill="DDDDDD"/>
          </w:tcPr>
          <w:p>
            <w:pPr>
              <w:spacing w:after="0"/>
              <w:rPr>
                <w:sz w:val="24"/>
                <w:szCs w:val="24"/>
                <w:color w:val="auto"/>
              </w:rPr>
            </w:pPr>
          </w:p>
        </w:tc>
        <w:tc>
          <w:tcPr>
            <w:tcW w:w="1260" w:type="dxa"/>
            <w:vAlign w:val="bottom"/>
            <w:tcBorders>
              <w:bottom w:val="single" w:sz="8" w:color="auto"/>
            </w:tcBorders>
            <w:shd w:val="clear" w:color="auto" w:fill="DDDDDD"/>
          </w:tcPr>
          <w:p>
            <w:pPr>
              <w:jc w:val="right"/>
              <w:spacing w:after="0"/>
              <w:rPr>
                <w:sz w:val="20"/>
                <w:szCs w:val="20"/>
                <w:color w:val="auto"/>
              </w:rPr>
            </w:pPr>
            <w:r>
              <w:rPr>
                <w:rFonts w:ascii="Times New Roman" w:cs="Times New Roman" w:eastAsia="Times New Roman" w:hAnsi="Times New Roman"/>
                <w:sz w:val="20"/>
                <w:szCs w:val="20"/>
                <w:color w:val="auto"/>
              </w:rPr>
              <w:t>2,372</w:t>
            </w:r>
          </w:p>
        </w:tc>
        <w:tc>
          <w:tcPr>
            <w:tcW w:w="0" w:type="dxa"/>
            <w:vAlign w:val="bottom"/>
          </w:tcPr>
          <w:p>
            <w:pPr>
              <w:spacing w:after="0"/>
              <w:rPr>
                <w:sz w:val="1"/>
                <w:szCs w:val="1"/>
                <w:color w:val="auto"/>
              </w:rPr>
            </w:pPr>
          </w:p>
        </w:tc>
      </w:tr>
      <w:tr>
        <w:trPr>
          <w:trHeight w:val="241"/>
        </w:trPr>
        <w:tc>
          <w:tcPr>
            <w:tcW w:w="5040" w:type="dxa"/>
            <w:vAlign w:val="bottom"/>
            <w:tcBorders>
              <w:bottom w:val="single" w:sz="8" w:color="DDDDDD"/>
            </w:tcBorders>
          </w:tcPr>
          <w:p>
            <w:pPr>
              <w:ind w:left="400"/>
              <w:spacing w:after="0"/>
              <w:rPr>
                <w:sz w:val="20"/>
                <w:szCs w:val="20"/>
                <w:color w:val="auto"/>
              </w:rPr>
            </w:pPr>
            <w:r>
              <w:rPr>
                <w:rFonts w:ascii="Times New Roman" w:cs="Times New Roman" w:eastAsia="Times New Roman" w:hAnsi="Times New Roman"/>
                <w:sz w:val="20"/>
                <w:szCs w:val="20"/>
                <w:color w:val="auto"/>
              </w:rPr>
              <w:t>Total costs and expenses</w:t>
            </w:r>
          </w:p>
        </w:tc>
        <w:tc>
          <w:tcPr>
            <w:tcW w:w="420" w:type="dxa"/>
            <w:vAlign w:val="bottom"/>
            <w:tcBorders>
              <w:bottom w:val="single" w:sz="8" w:color="auto"/>
            </w:tcBorders>
          </w:tcPr>
          <w:p>
            <w:pPr>
              <w:spacing w:after="0"/>
              <w:rPr>
                <w:sz w:val="20"/>
                <w:szCs w:val="20"/>
                <w:color w:val="auto"/>
              </w:rPr>
            </w:pP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206,450</w:t>
            </w:r>
          </w:p>
        </w:tc>
        <w:tc>
          <w:tcPr>
            <w:tcW w:w="80" w:type="dxa"/>
            <w:vAlign w:val="bottom"/>
            <w:tcBorders>
              <w:bottom w:val="single" w:sz="8" w:color="DDDDDD"/>
            </w:tcBorders>
          </w:tcPr>
          <w:p>
            <w:pPr>
              <w:spacing w:after="0"/>
              <w:rPr>
                <w:sz w:val="20"/>
                <w:szCs w:val="20"/>
                <w:color w:val="auto"/>
              </w:rPr>
            </w:pPr>
          </w:p>
        </w:tc>
        <w:tc>
          <w:tcPr>
            <w:tcW w:w="400" w:type="dxa"/>
            <w:vAlign w:val="bottom"/>
            <w:tcBorders>
              <w:bottom w:val="single" w:sz="8" w:color="auto"/>
            </w:tcBorders>
          </w:tcPr>
          <w:p>
            <w:pPr>
              <w:spacing w:after="0"/>
              <w:rPr>
                <w:sz w:val="20"/>
                <w:szCs w:val="20"/>
                <w:color w:val="auto"/>
              </w:rPr>
            </w:pP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285,153</w:t>
            </w:r>
          </w:p>
        </w:tc>
        <w:tc>
          <w:tcPr>
            <w:tcW w:w="60" w:type="dxa"/>
            <w:vAlign w:val="bottom"/>
          </w:tcPr>
          <w:p>
            <w:pPr>
              <w:spacing w:after="0"/>
              <w:rPr>
                <w:sz w:val="20"/>
                <w:szCs w:val="20"/>
                <w:color w:val="auto"/>
              </w:rPr>
            </w:pPr>
          </w:p>
        </w:tc>
        <w:tc>
          <w:tcPr>
            <w:tcW w:w="440" w:type="dxa"/>
            <w:vAlign w:val="bottom"/>
            <w:tcBorders>
              <w:bottom w:val="single" w:sz="8" w:color="auto"/>
            </w:tcBorders>
          </w:tcPr>
          <w:p>
            <w:pPr>
              <w:spacing w:after="0"/>
              <w:rPr>
                <w:sz w:val="20"/>
                <w:szCs w:val="20"/>
                <w:color w:val="auto"/>
              </w:rPr>
            </w:pP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201,324</w:t>
            </w:r>
          </w:p>
        </w:tc>
        <w:tc>
          <w:tcPr>
            <w:tcW w:w="0" w:type="dxa"/>
            <w:vAlign w:val="bottom"/>
          </w:tcPr>
          <w:p>
            <w:pPr>
              <w:spacing w:after="0"/>
              <w:rPr>
                <w:sz w:val="1"/>
                <w:szCs w:val="1"/>
                <w:color w:val="auto"/>
              </w:rPr>
            </w:pPr>
          </w:p>
        </w:tc>
      </w:tr>
      <w:tr>
        <w:trPr>
          <w:trHeight w:val="268"/>
        </w:trPr>
        <w:tc>
          <w:tcPr>
            <w:tcW w:w="5040" w:type="dxa"/>
            <w:vAlign w:val="bottom"/>
            <w:shd w:val="clear" w:color="auto" w:fill="DDDDDD"/>
          </w:tcPr>
          <w:p>
            <w:pPr>
              <w:ind w:left="40"/>
              <w:spacing w:after="0"/>
              <w:rPr>
                <w:sz w:val="20"/>
                <w:szCs w:val="20"/>
                <w:color w:val="auto"/>
              </w:rPr>
            </w:pPr>
            <w:r>
              <w:rPr>
                <w:rFonts w:ascii="Times New Roman" w:cs="Times New Roman" w:eastAsia="Times New Roman" w:hAnsi="Times New Roman"/>
                <w:sz w:val="20"/>
                <w:szCs w:val="20"/>
                <w:color w:val="auto"/>
              </w:rPr>
              <w:t>Operating loss</w:t>
            </w:r>
          </w:p>
        </w:tc>
        <w:tc>
          <w:tcPr>
            <w:tcW w:w="420" w:type="dxa"/>
            <w:vAlign w:val="bottom"/>
            <w:shd w:val="clear" w:color="auto" w:fill="DDDDDD"/>
          </w:tcPr>
          <w:p>
            <w:pPr>
              <w:spacing w:after="0"/>
              <w:rPr>
                <w:sz w:val="23"/>
                <w:szCs w:val="23"/>
                <w:color w:val="auto"/>
              </w:rPr>
            </w:pPr>
          </w:p>
        </w:tc>
        <w:tc>
          <w:tcPr>
            <w:tcW w:w="1280" w:type="dxa"/>
            <w:vAlign w:val="bottom"/>
            <w:shd w:val="clear" w:color="auto" w:fill="DDDDDD"/>
          </w:tcPr>
          <w:p>
            <w:pPr>
              <w:jc w:val="right"/>
              <w:spacing w:after="0"/>
              <w:rPr>
                <w:sz w:val="20"/>
                <w:szCs w:val="20"/>
                <w:color w:val="auto"/>
              </w:rPr>
            </w:pPr>
            <w:r>
              <w:rPr>
                <w:rFonts w:ascii="Times New Roman" w:cs="Times New Roman" w:eastAsia="Times New Roman" w:hAnsi="Times New Roman"/>
                <w:sz w:val="20"/>
                <w:szCs w:val="20"/>
                <w:color w:val="auto"/>
              </w:rPr>
              <w:t>(18,457)</w:t>
            </w:r>
          </w:p>
        </w:tc>
        <w:tc>
          <w:tcPr>
            <w:tcW w:w="80" w:type="dxa"/>
            <w:vAlign w:val="bottom"/>
            <w:shd w:val="clear" w:color="auto" w:fill="DDDDDD"/>
          </w:tcPr>
          <w:p>
            <w:pPr>
              <w:spacing w:after="0"/>
              <w:rPr>
                <w:sz w:val="23"/>
                <w:szCs w:val="23"/>
                <w:color w:val="auto"/>
              </w:rPr>
            </w:pPr>
          </w:p>
        </w:tc>
        <w:tc>
          <w:tcPr>
            <w:tcW w:w="400" w:type="dxa"/>
            <w:vAlign w:val="bottom"/>
            <w:shd w:val="clear" w:color="auto" w:fill="DDDDDD"/>
          </w:tcPr>
          <w:p>
            <w:pPr>
              <w:spacing w:after="0"/>
              <w:rPr>
                <w:sz w:val="23"/>
                <w:szCs w:val="23"/>
                <w:color w:val="auto"/>
              </w:rPr>
            </w:pPr>
          </w:p>
        </w:tc>
        <w:tc>
          <w:tcPr>
            <w:tcW w:w="1280" w:type="dxa"/>
            <w:vAlign w:val="bottom"/>
            <w:shd w:val="clear" w:color="auto" w:fill="DDDDDD"/>
          </w:tcPr>
          <w:p>
            <w:pPr>
              <w:jc w:val="right"/>
              <w:spacing w:after="0"/>
              <w:rPr>
                <w:sz w:val="20"/>
                <w:szCs w:val="20"/>
                <w:color w:val="auto"/>
              </w:rPr>
            </w:pPr>
            <w:r>
              <w:rPr>
                <w:rFonts w:ascii="Times New Roman" w:cs="Times New Roman" w:eastAsia="Times New Roman" w:hAnsi="Times New Roman"/>
                <w:sz w:val="20"/>
                <w:szCs w:val="20"/>
                <w:color w:val="auto"/>
              </w:rPr>
              <w:t>(69,622)</w:t>
            </w:r>
          </w:p>
        </w:tc>
        <w:tc>
          <w:tcPr>
            <w:tcW w:w="60" w:type="dxa"/>
            <w:vAlign w:val="bottom"/>
            <w:shd w:val="clear" w:color="auto" w:fill="DDDDDD"/>
          </w:tcPr>
          <w:p>
            <w:pPr>
              <w:spacing w:after="0"/>
              <w:rPr>
                <w:sz w:val="23"/>
                <w:szCs w:val="23"/>
                <w:color w:val="auto"/>
              </w:rPr>
            </w:pPr>
          </w:p>
        </w:tc>
        <w:tc>
          <w:tcPr>
            <w:tcW w:w="440" w:type="dxa"/>
            <w:vAlign w:val="bottom"/>
            <w:shd w:val="clear" w:color="auto" w:fill="DDDDDD"/>
          </w:tcPr>
          <w:p>
            <w:pPr>
              <w:spacing w:after="0"/>
              <w:rPr>
                <w:sz w:val="23"/>
                <w:szCs w:val="23"/>
                <w:color w:val="auto"/>
              </w:rPr>
            </w:pPr>
          </w:p>
        </w:tc>
        <w:tc>
          <w:tcPr>
            <w:tcW w:w="1260" w:type="dxa"/>
            <w:vAlign w:val="bottom"/>
            <w:shd w:val="clear" w:color="auto" w:fill="DDDDDD"/>
          </w:tcPr>
          <w:p>
            <w:pPr>
              <w:jc w:val="right"/>
              <w:spacing w:after="0"/>
              <w:rPr>
                <w:sz w:val="20"/>
                <w:szCs w:val="20"/>
                <w:color w:val="auto"/>
              </w:rPr>
            </w:pPr>
            <w:r>
              <w:rPr>
                <w:rFonts w:ascii="Times New Roman" w:cs="Times New Roman" w:eastAsia="Times New Roman" w:hAnsi="Times New Roman"/>
                <w:sz w:val="20"/>
                <w:szCs w:val="20"/>
                <w:color w:val="auto"/>
              </w:rPr>
              <w:t>(8,178)</w:t>
            </w:r>
          </w:p>
        </w:tc>
        <w:tc>
          <w:tcPr>
            <w:tcW w:w="0" w:type="dxa"/>
            <w:vAlign w:val="bottom"/>
          </w:tcPr>
          <w:p>
            <w:pPr>
              <w:spacing w:after="0"/>
              <w:rPr>
                <w:sz w:val="1"/>
                <w:szCs w:val="1"/>
                <w:color w:val="auto"/>
              </w:rPr>
            </w:pPr>
          </w:p>
        </w:tc>
      </w:tr>
      <w:tr>
        <w:trPr>
          <w:trHeight w:val="288"/>
        </w:trPr>
        <w:tc>
          <w:tcPr>
            <w:tcW w:w="5040" w:type="dxa"/>
            <w:vAlign w:val="bottom"/>
          </w:tcPr>
          <w:p>
            <w:pPr>
              <w:ind w:left="40"/>
              <w:spacing w:after="0"/>
              <w:rPr>
                <w:sz w:val="20"/>
                <w:szCs w:val="20"/>
                <w:color w:val="auto"/>
              </w:rPr>
            </w:pPr>
            <w:r>
              <w:rPr>
                <w:rFonts w:ascii="Times New Roman" w:cs="Times New Roman" w:eastAsia="Times New Roman" w:hAnsi="Times New Roman"/>
                <w:sz w:val="20"/>
                <w:szCs w:val="20"/>
                <w:color w:val="auto"/>
              </w:rPr>
              <w:t>Other income (expenses), net</w:t>
            </w:r>
          </w:p>
        </w:tc>
        <w:tc>
          <w:tcPr>
            <w:tcW w:w="42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81"/>
        </w:trPr>
        <w:tc>
          <w:tcPr>
            <w:tcW w:w="5040" w:type="dxa"/>
            <w:vAlign w:val="bottom"/>
            <w:shd w:val="clear" w:color="auto" w:fill="DDDDDD"/>
          </w:tcPr>
          <w:p>
            <w:pPr>
              <w:ind w:left="160"/>
              <w:spacing w:after="0"/>
              <w:rPr>
                <w:sz w:val="20"/>
                <w:szCs w:val="20"/>
                <w:color w:val="auto"/>
              </w:rPr>
            </w:pPr>
            <w:r>
              <w:rPr>
                <w:rFonts w:ascii="Times New Roman" w:cs="Times New Roman" w:eastAsia="Times New Roman" w:hAnsi="Times New Roman"/>
                <w:sz w:val="20"/>
                <w:szCs w:val="20"/>
                <w:color w:val="auto"/>
              </w:rPr>
              <w:t>Change in fair value of warrant liability</w:t>
            </w:r>
          </w:p>
        </w:tc>
        <w:tc>
          <w:tcPr>
            <w:tcW w:w="420" w:type="dxa"/>
            <w:vAlign w:val="bottom"/>
            <w:shd w:val="clear" w:color="auto" w:fill="DDDDDD"/>
          </w:tcPr>
          <w:p>
            <w:pPr>
              <w:spacing w:after="0"/>
              <w:rPr>
                <w:sz w:val="24"/>
                <w:szCs w:val="24"/>
                <w:color w:val="auto"/>
              </w:rPr>
            </w:pPr>
          </w:p>
        </w:tc>
        <w:tc>
          <w:tcPr>
            <w:tcW w:w="1280" w:type="dxa"/>
            <w:vAlign w:val="bottom"/>
            <w:shd w:val="clear" w:color="auto" w:fill="DDDDDD"/>
          </w:tcPr>
          <w:p>
            <w:pPr>
              <w:jc w:val="right"/>
              <w:spacing w:after="0"/>
              <w:rPr>
                <w:sz w:val="20"/>
                <w:szCs w:val="20"/>
                <w:color w:val="auto"/>
              </w:rPr>
            </w:pPr>
            <w:r>
              <w:rPr>
                <w:rFonts w:ascii="Times New Roman" w:cs="Times New Roman" w:eastAsia="Times New Roman" w:hAnsi="Times New Roman"/>
                <w:sz w:val="20"/>
                <w:szCs w:val="20"/>
                <w:color w:val="auto"/>
              </w:rPr>
              <w:t>1,505</w:t>
            </w:r>
          </w:p>
        </w:tc>
        <w:tc>
          <w:tcPr>
            <w:tcW w:w="80" w:type="dxa"/>
            <w:vAlign w:val="bottom"/>
            <w:shd w:val="clear" w:color="auto" w:fill="DDDDDD"/>
          </w:tcPr>
          <w:p>
            <w:pPr>
              <w:spacing w:after="0"/>
              <w:rPr>
                <w:sz w:val="24"/>
                <w:szCs w:val="24"/>
                <w:color w:val="auto"/>
              </w:rPr>
            </w:pPr>
          </w:p>
        </w:tc>
        <w:tc>
          <w:tcPr>
            <w:tcW w:w="400" w:type="dxa"/>
            <w:vAlign w:val="bottom"/>
            <w:shd w:val="clear" w:color="auto" w:fill="DDDDDD"/>
          </w:tcPr>
          <w:p>
            <w:pPr>
              <w:spacing w:after="0"/>
              <w:rPr>
                <w:sz w:val="24"/>
                <w:szCs w:val="24"/>
                <w:color w:val="auto"/>
              </w:rPr>
            </w:pPr>
          </w:p>
        </w:tc>
        <w:tc>
          <w:tcPr>
            <w:tcW w:w="1280" w:type="dxa"/>
            <w:vAlign w:val="bottom"/>
            <w:shd w:val="clear" w:color="auto" w:fill="DDDDDD"/>
          </w:tcPr>
          <w:p>
            <w:pPr>
              <w:jc w:val="right"/>
              <w:spacing w:after="0"/>
              <w:rPr>
                <w:sz w:val="20"/>
                <w:szCs w:val="20"/>
                <w:color w:val="auto"/>
              </w:rPr>
            </w:pPr>
            <w:r>
              <w:rPr>
                <w:rFonts w:ascii="Times New Roman" w:cs="Times New Roman" w:eastAsia="Times New Roman" w:hAnsi="Times New Roman"/>
                <w:sz w:val="20"/>
                <w:szCs w:val="20"/>
                <w:color w:val="auto"/>
              </w:rPr>
              <w:t>25,370</w:t>
            </w:r>
          </w:p>
        </w:tc>
        <w:tc>
          <w:tcPr>
            <w:tcW w:w="60" w:type="dxa"/>
            <w:vAlign w:val="bottom"/>
            <w:shd w:val="clear" w:color="auto" w:fill="DDDDDD"/>
          </w:tcPr>
          <w:p>
            <w:pPr>
              <w:spacing w:after="0"/>
              <w:rPr>
                <w:sz w:val="24"/>
                <w:szCs w:val="24"/>
                <w:color w:val="auto"/>
              </w:rPr>
            </w:pPr>
          </w:p>
        </w:tc>
        <w:tc>
          <w:tcPr>
            <w:tcW w:w="440" w:type="dxa"/>
            <w:vAlign w:val="bottom"/>
            <w:shd w:val="clear" w:color="auto" w:fill="DDDDDD"/>
          </w:tcPr>
          <w:p>
            <w:pPr>
              <w:spacing w:after="0"/>
              <w:rPr>
                <w:sz w:val="24"/>
                <w:szCs w:val="24"/>
                <w:color w:val="auto"/>
              </w:rPr>
            </w:pPr>
          </w:p>
        </w:tc>
        <w:tc>
          <w:tcPr>
            <w:tcW w:w="1260" w:type="dxa"/>
            <w:vAlign w:val="bottom"/>
            <w:shd w:val="clear" w:color="auto" w:fill="DDDDDD"/>
          </w:tcPr>
          <w:p>
            <w:pPr>
              <w:jc w:val="right"/>
              <w:spacing w:after="0"/>
              <w:rPr>
                <w:sz w:val="20"/>
                <w:szCs w:val="20"/>
                <w:color w:val="auto"/>
              </w:rPr>
            </w:pPr>
            <w:r>
              <w:rPr>
                <w:rFonts w:ascii="Times New Roman" w:cs="Times New Roman" w:eastAsia="Times New Roman" w:hAnsi="Times New Roman"/>
                <w:sz w:val="20"/>
                <w:szCs w:val="20"/>
                <w:color w:val="auto"/>
              </w:rPr>
              <w:t>166,518</w:t>
            </w:r>
          </w:p>
        </w:tc>
        <w:tc>
          <w:tcPr>
            <w:tcW w:w="0" w:type="dxa"/>
            <w:vAlign w:val="bottom"/>
          </w:tcPr>
          <w:p>
            <w:pPr>
              <w:spacing w:after="0"/>
              <w:rPr>
                <w:sz w:val="1"/>
                <w:szCs w:val="1"/>
                <w:color w:val="auto"/>
              </w:rPr>
            </w:pPr>
          </w:p>
        </w:tc>
      </w:tr>
      <w:tr>
        <w:trPr>
          <w:trHeight w:val="288"/>
        </w:trPr>
        <w:tc>
          <w:tcPr>
            <w:tcW w:w="5040" w:type="dxa"/>
            <w:vAlign w:val="bottom"/>
          </w:tcPr>
          <w:p>
            <w:pPr>
              <w:ind w:left="160"/>
              <w:spacing w:after="0"/>
              <w:rPr>
                <w:sz w:val="20"/>
                <w:szCs w:val="20"/>
                <w:color w:val="auto"/>
              </w:rPr>
            </w:pPr>
            <w:r>
              <w:rPr>
                <w:rFonts w:ascii="Times New Roman" w:cs="Times New Roman" w:eastAsia="Times New Roman" w:hAnsi="Times New Roman"/>
                <w:sz w:val="20"/>
                <w:szCs w:val="20"/>
                <w:color w:val="auto"/>
              </w:rPr>
              <w:t>Change in tax receivable agreement liability</w:t>
            </w:r>
          </w:p>
        </w:tc>
        <w:tc>
          <w:tcPr>
            <w:tcW w:w="420" w:type="dxa"/>
            <w:vAlign w:val="bottom"/>
          </w:tcPr>
          <w:p>
            <w:pPr>
              <w:spacing w:after="0"/>
              <w:rPr>
                <w:sz w:val="24"/>
                <w:szCs w:val="24"/>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(1,256)</w:t>
            </w:r>
          </w:p>
        </w:tc>
        <w:tc>
          <w:tcPr>
            <w:tcW w:w="8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142,352</w:t>
            </w:r>
          </w:p>
        </w:tc>
        <w:tc>
          <w:tcPr>
            <w:tcW w:w="6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0" w:type="dxa"/>
            <w:vAlign w:val="bottom"/>
          </w:tcPr>
          <w:p>
            <w:pPr>
              <w:spacing w:after="0"/>
              <w:rPr>
                <w:sz w:val="1"/>
                <w:szCs w:val="1"/>
                <w:color w:val="auto"/>
              </w:rPr>
            </w:pPr>
          </w:p>
        </w:tc>
      </w:tr>
      <w:tr>
        <w:trPr>
          <w:trHeight w:val="281"/>
        </w:trPr>
        <w:tc>
          <w:tcPr>
            <w:tcW w:w="5040" w:type="dxa"/>
            <w:vAlign w:val="bottom"/>
            <w:shd w:val="clear" w:color="auto" w:fill="DDDDDD"/>
          </w:tcPr>
          <w:p>
            <w:pPr>
              <w:ind w:left="160"/>
              <w:spacing w:after="0"/>
              <w:rPr>
                <w:sz w:val="20"/>
                <w:szCs w:val="20"/>
                <w:color w:val="auto"/>
              </w:rPr>
            </w:pPr>
            <w:r>
              <w:rPr>
                <w:rFonts w:ascii="Times New Roman" w:cs="Times New Roman" w:eastAsia="Times New Roman" w:hAnsi="Times New Roman"/>
                <w:sz w:val="20"/>
                <w:szCs w:val="20"/>
                <w:color w:val="auto"/>
              </w:rPr>
              <w:t>Other income (expense)</w:t>
            </w:r>
          </w:p>
        </w:tc>
        <w:tc>
          <w:tcPr>
            <w:tcW w:w="420" w:type="dxa"/>
            <w:vAlign w:val="bottom"/>
            <w:tcBorders>
              <w:bottom w:val="single" w:sz="8" w:color="auto"/>
            </w:tcBorders>
            <w:shd w:val="clear" w:color="auto" w:fill="DDDDDD"/>
          </w:tcPr>
          <w:p>
            <w:pPr>
              <w:spacing w:after="0"/>
              <w:rPr>
                <w:sz w:val="24"/>
                <w:szCs w:val="24"/>
                <w:color w:val="auto"/>
              </w:rPr>
            </w:pPr>
          </w:p>
        </w:tc>
        <w:tc>
          <w:tcPr>
            <w:tcW w:w="1280" w:type="dxa"/>
            <w:vAlign w:val="bottom"/>
            <w:tcBorders>
              <w:bottom w:val="single" w:sz="8" w:color="auto"/>
            </w:tcBorders>
            <w:shd w:val="clear" w:color="auto" w:fill="DDDDDD"/>
          </w:tcPr>
          <w:p>
            <w:pPr>
              <w:jc w:val="right"/>
              <w:spacing w:after="0"/>
              <w:rPr>
                <w:sz w:val="20"/>
                <w:szCs w:val="20"/>
                <w:color w:val="auto"/>
              </w:rPr>
            </w:pPr>
            <w:r>
              <w:rPr>
                <w:rFonts w:ascii="Times New Roman" w:cs="Times New Roman" w:eastAsia="Times New Roman" w:hAnsi="Times New Roman"/>
                <w:sz w:val="20"/>
                <w:szCs w:val="20"/>
                <w:color w:val="auto"/>
              </w:rPr>
              <w:t>2,574</w:t>
            </w:r>
          </w:p>
        </w:tc>
        <w:tc>
          <w:tcPr>
            <w:tcW w:w="80" w:type="dxa"/>
            <w:vAlign w:val="bottom"/>
            <w:shd w:val="clear" w:color="auto" w:fill="DDDDDD"/>
          </w:tcPr>
          <w:p>
            <w:pPr>
              <w:spacing w:after="0"/>
              <w:rPr>
                <w:sz w:val="24"/>
                <w:szCs w:val="24"/>
                <w:color w:val="auto"/>
              </w:rPr>
            </w:pPr>
          </w:p>
        </w:tc>
        <w:tc>
          <w:tcPr>
            <w:tcW w:w="400" w:type="dxa"/>
            <w:vAlign w:val="bottom"/>
            <w:tcBorders>
              <w:bottom w:val="single" w:sz="8" w:color="auto"/>
            </w:tcBorders>
            <w:shd w:val="clear" w:color="auto" w:fill="DDDDDD"/>
          </w:tcPr>
          <w:p>
            <w:pPr>
              <w:spacing w:after="0"/>
              <w:rPr>
                <w:sz w:val="24"/>
                <w:szCs w:val="24"/>
                <w:color w:val="auto"/>
              </w:rPr>
            </w:pPr>
          </w:p>
        </w:tc>
        <w:tc>
          <w:tcPr>
            <w:tcW w:w="1280" w:type="dxa"/>
            <w:vAlign w:val="bottom"/>
            <w:tcBorders>
              <w:bottom w:val="single" w:sz="8" w:color="auto"/>
            </w:tcBorders>
            <w:shd w:val="clear" w:color="auto" w:fill="DDDDDD"/>
          </w:tcPr>
          <w:p>
            <w:pPr>
              <w:jc w:val="right"/>
              <w:spacing w:after="0"/>
              <w:rPr>
                <w:sz w:val="20"/>
                <w:szCs w:val="20"/>
                <w:color w:val="auto"/>
              </w:rPr>
            </w:pPr>
            <w:r>
              <w:rPr>
                <w:rFonts w:ascii="Times New Roman" w:cs="Times New Roman" w:eastAsia="Times New Roman" w:hAnsi="Times New Roman"/>
                <w:sz w:val="20"/>
                <w:szCs w:val="20"/>
                <w:color w:val="auto"/>
              </w:rPr>
              <w:t>(1,674)</w:t>
            </w:r>
          </w:p>
        </w:tc>
        <w:tc>
          <w:tcPr>
            <w:tcW w:w="60" w:type="dxa"/>
            <w:vAlign w:val="bottom"/>
            <w:shd w:val="clear" w:color="auto" w:fill="DDDDDD"/>
          </w:tcPr>
          <w:p>
            <w:pPr>
              <w:spacing w:after="0"/>
              <w:rPr>
                <w:sz w:val="24"/>
                <w:szCs w:val="24"/>
                <w:color w:val="auto"/>
              </w:rPr>
            </w:pPr>
          </w:p>
        </w:tc>
        <w:tc>
          <w:tcPr>
            <w:tcW w:w="440" w:type="dxa"/>
            <w:vAlign w:val="bottom"/>
            <w:tcBorders>
              <w:bottom w:val="single" w:sz="8" w:color="auto"/>
            </w:tcBorders>
            <w:shd w:val="clear" w:color="auto" w:fill="DDDDDD"/>
          </w:tcPr>
          <w:p>
            <w:pPr>
              <w:spacing w:after="0"/>
              <w:rPr>
                <w:sz w:val="24"/>
                <w:szCs w:val="24"/>
                <w:color w:val="auto"/>
              </w:rPr>
            </w:pPr>
          </w:p>
        </w:tc>
        <w:tc>
          <w:tcPr>
            <w:tcW w:w="1260" w:type="dxa"/>
            <w:vAlign w:val="bottom"/>
            <w:tcBorders>
              <w:bottom w:val="single" w:sz="8" w:color="auto"/>
            </w:tcBorders>
            <w:shd w:val="clear" w:color="auto" w:fill="DDDDDD"/>
          </w:tcPr>
          <w:p>
            <w:pPr>
              <w:jc w:val="right"/>
              <w:spacing w:after="0"/>
              <w:rPr>
                <w:sz w:val="20"/>
                <w:szCs w:val="20"/>
                <w:color w:val="auto"/>
              </w:rPr>
            </w:pPr>
            <w:r>
              <w:rPr>
                <w:rFonts w:ascii="Times New Roman" w:cs="Times New Roman" w:eastAsia="Times New Roman" w:hAnsi="Times New Roman"/>
                <w:sz w:val="20"/>
                <w:szCs w:val="20"/>
                <w:color w:val="auto"/>
              </w:rPr>
              <w:t>(6,723)</w:t>
            </w:r>
          </w:p>
        </w:tc>
        <w:tc>
          <w:tcPr>
            <w:tcW w:w="0" w:type="dxa"/>
            <w:vAlign w:val="bottom"/>
          </w:tcPr>
          <w:p>
            <w:pPr>
              <w:spacing w:after="0"/>
              <w:rPr>
                <w:sz w:val="1"/>
                <w:szCs w:val="1"/>
                <w:color w:val="auto"/>
              </w:rPr>
            </w:pPr>
          </w:p>
        </w:tc>
      </w:tr>
      <w:tr>
        <w:trPr>
          <w:trHeight w:val="268"/>
        </w:trPr>
        <w:tc>
          <w:tcPr>
            <w:tcW w:w="5040" w:type="dxa"/>
            <w:vAlign w:val="bottom"/>
          </w:tcPr>
          <w:p>
            <w:pPr>
              <w:ind w:left="280"/>
              <w:spacing w:after="0"/>
              <w:rPr>
                <w:sz w:val="20"/>
                <w:szCs w:val="20"/>
                <w:color w:val="auto"/>
              </w:rPr>
            </w:pPr>
            <w:r>
              <w:rPr>
                <w:rFonts w:ascii="Times New Roman" w:cs="Times New Roman" w:eastAsia="Times New Roman" w:hAnsi="Times New Roman"/>
                <w:sz w:val="20"/>
                <w:szCs w:val="20"/>
                <w:color w:val="auto"/>
              </w:rPr>
              <w:t>Income (loss) before income taxes</w:t>
            </w:r>
          </w:p>
        </w:tc>
        <w:tc>
          <w:tcPr>
            <w:tcW w:w="420" w:type="dxa"/>
            <w:vAlign w:val="bottom"/>
          </w:tcPr>
          <w:p>
            <w:pPr>
              <w:spacing w:after="0"/>
              <w:rPr>
                <w:sz w:val="23"/>
                <w:szCs w:val="23"/>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(15,634)</w:t>
            </w:r>
          </w:p>
        </w:tc>
        <w:tc>
          <w:tcPr>
            <w:tcW w:w="80" w:type="dxa"/>
            <w:vAlign w:val="bottom"/>
          </w:tcPr>
          <w:p>
            <w:pPr>
              <w:spacing w:after="0"/>
              <w:rPr>
                <w:sz w:val="23"/>
                <w:szCs w:val="23"/>
                <w:color w:val="auto"/>
              </w:rPr>
            </w:pPr>
          </w:p>
        </w:tc>
        <w:tc>
          <w:tcPr>
            <w:tcW w:w="400" w:type="dxa"/>
            <w:vAlign w:val="bottom"/>
          </w:tcPr>
          <w:p>
            <w:pPr>
              <w:spacing w:after="0"/>
              <w:rPr>
                <w:sz w:val="23"/>
                <w:szCs w:val="23"/>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96,426</w:t>
            </w:r>
          </w:p>
        </w:tc>
        <w:tc>
          <w:tcPr>
            <w:tcW w:w="60" w:type="dxa"/>
            <w:vAlign w:val="bottom"/>
          </w:tcPr>
          <w:p>
            <w:pPr>
              <w:spacing w:after="0"/>
              <w:rPr>
                <w:sz w:val="23"/>
                <w:szCs w:val="23"/>
                <w:color w:val="auto"/>
              </w:rPr>
            </w:pPr>
          </w:p>
        </w:tc>
        <w:tc>
          <w:tcPr>
            <w:tcW w:w="440" w:type="dxa"/>
            <w:vAlign w:val="bottom"/>
          </w:tcPr>
          <w:p>
            <w:pPr>
              <w:spacing w:after="0"/>
              <w:rPr>
                <w:sz w:val="23"/>
                <w:szCs w:val="23"/>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151,617</w:t>
            </w:r>
          </w:p>
        </w:tc>
        <w:tc>
          <w:tcPr>
            <w:tcW w:w="0" w:type="dxa"/>
            <w:vAlign w:val="bottom"/>
          </w:tcPr>
          <w:p>
            <w:pPr>
              <w:spacing w:after="0"/>
              <w:rPr>
                <w:sz w:val="1"/>
                <w:szCs w:val="1"/>
                <w:color w:val="auto"/>
              </w:rPr>
            </w:pPr>
          </w:p>
        </w:tc>
      </w:tr>
      <w:tr>
        <w:trPr>
          <w:trHeight w:val="281"/>
        </w:trPr>
        <w:tc>
          <w:tcPr>
            <w:tcW w:w="5040" w:type="dxa"/>
            <w:vAlign w:val="bottom"/>
            <w:shd w:val="clear" w:color="auto" w:fill="DDDDDD"/>
          </w:tcPr>
          <w:p>
            <w:pPr>
              <w:ind w:left="160"/>
              <w:spacing w:after="0"/>
              <w:rPr>
                <w:sz w:val="20"/>
                <w:szCs w:val="20"/>
                <w:color w:val="auto"/>
              </w:rPr>
            </w:pPr>
            <w:r>
              <w:rPr>
                <w:rFonts w:ascii="Times New Roman" w:cs="Times New Roman" w:eastAsia="Times New Roman" w:hAnsi="Times New Roman"/>
                <w:sz w:val="20"/>
                <w:szCs w:val="20"/>
                <w:color w:val="auto"/>
              </w:rPr>
              <w:t>Provision for (benefit from) income taxes</w:t>
            </w:r>
          </w:p>
        </w:tc>
        <w:tc>
          <w:tcPr>
            <w:tcW w:w="420" w:type="dxa"/>
            <w:vAlign w:val="bottom"/>
            <w:tcBorders>
              <w:bottom w:val="single" w:sz="8" w:color="auto"/>
            </w:tcBorders>
            <w:shd w:val="clear" w:color="auto" w:fill="DDDDDD"/>
          </w:tcPr>
          <w:p>
            <w:pPr>
              <w:spacing w:after="0"/>
              <w:rPr>
                <w:sz w:val="24"/>
                <w:szCs w:val="24"/>
                <w:color w:val="auto"/>
              </w:rPr>
            </w:pPr>
          </w:p>
        </w:tc>
        <w:tc>
          <w:tcPr>
            <w:tcW w:w="1280" w:type="dxa"/>
            <w:vAlign w:val="bottom"/>
            <w:tcBorders>
              <w:bottom w:val="single" w:sz="8" w:color="auto"/>
            </w:tcBorders>
            <w:shd w:val="clear" w:color="auto" w:fill="DDDDDD"/>
          </w:tcPr>
          <w:p>
            <w:pPr>
              <w:jc w:val="right"/>
              <w:spacing w:after="0"/>
              <w:rPr>
                <w:sz w:val="20"/>
                <w:szCs w:val="20"/>
                <w:color w:val="auto"/>
              </w:rPr>
            </w:pPr>
            <w:r>
              <w:rPr>
                <w:rFonts w:ascii="Times New Roman" w:cs="Times New Roman" w:eastAsia="Times New Roman" w:hAnsi="Times New Roman"/>
                <w:sz w:val="20"/>
                <w:szCs w:val="20"/>
                <w:color w:val="auto"/>
              </w:rPr>
              <w:t>93</w:t>
            </w:r>
          </w:p>
        </w:tc>
        <w:tc>
          <w:tcPr>
            <w:tcW w:w="80" w:type="dxa"/>
            <w:vAlign w:val="bottom"/>
            <w:shd w:val="clear" w:color="auto" w:fill="DDDDDD"/>
          </w:tcPr>
          <w:p>
            <w:pPr>
              <w:spacing w:after="0"/>
              <w:rPr>
                <w:sz w:val="24"/>
                <w:szCs w:val="24"/>
                <w:color w:val="auto"/>
              </w:rPr>
            </w:pPr>
          </w:p>
        </w:tc>
        <w:tc>
          <w:tcPr>
            <w:tcW w:w="400" w:type="dxa"/>
            <w:vAlign w:val="bottom"/>
            <w:tcBorders>
              <w:bottom w:val="single" w:sz="8" w:color="auto"/>
            </w:tcBorders>
            <w:shd w:val="clear" w:color="auto" w:fill="DDDDDD"/>
          </w:tcPr>
          <w:p>
            <w:pPr>
              <w:spacing w:after="0"/>
              <w:rPr>
                <w:sz w:val="24"/>
                <w:szCs w:val="24"/>
                <w:color w:val="auto"/>
              </w:rPr>
            </w:pPr>
          </w:p>
        </w:tc>
        <w:tc>
          <w:tcPr>
            <w:tcW w:w="1280" w:type="dxa"/>
            <w:vAlign w:val="bottom"/>
            <w:tcBorders>
              <w:bottom w:val="single" w:sz="8" w:color="auto"/>
            </w:tcBorders>
            <w:shd w:val="clear" w:color="auto" w:fill="DDDDDD"/>
          </w:tcPr>
          <w:p>
            <w:pPr>
              <w:jc w:val="right"/>
              <w:spacing w:after="0"/>
              <w:rPr>
                <w:sz w:val="20"/>
                <w:szCs w:val="20"/>
                <w:color w:val="auto"/>
              </w:rPr>
            </w:pPr>
            <w:r>
              <w:rPr>
                <w:rFonts w:ascii="Times New Roman" w:cs="Times New Roman" w:eastAsia="Times New Roman" w:hAnsi="Times New Roman"/>
                <w:sz w:val="20"/>
                <w:szCs w:val="20"/>
                <w:color w:val="auto"/>
              </w:rPr>
              <w:t>179,077</w:t>
            </w:r>
          </w:p>
        </w:tc>
        <w:tc>
          <w:tcPr>
            <w:tcW w:w="60" w:type="dxa"/>
            <w:vAlign w:val="bottom"/>
            <w:shd w:val="clear" w:color="auto" w:fill="DDDDDD"/>
          </w:tcPr>
          <w:p>
            <w:pPr>
              <w:spacing w:after="0"/>
              <w:rPr>
                <w:sz w:val="24"/>
                <w:szCs w:val="24"/>
                <w:color w:val="auto"/>
              </w:rPr>
            </w:pPr>
          </w:p>
        </w:tc>
        <w:tc>
          <w:tcPr>
            <w:tcW w:w="440" w:type="dxa"/>
            <w:vAlign w:val="bottom"/>
            <w:tcBorders>
              <w:bottom w:val="single" w:sz="8" w:color="auto"/>
            </w:tcBorders>
            <w:shd w:val="clear" w:color="auto" w:fill="DDDDDD"/>
          </w:tcPr>
          <w:p>
            <w:pPr>
              <w:spacing w:after="0"/>
              <w:rPr>
                <w:sz w:val="24"/>
                <w:szCs w:val="24"/>
                <w:color w:val="auto"/>
              </w:rPr>
            </w:pPr>
          </w:p>
        </w:tc>
        <w:tc>
          <w:tcPr>
            <w:tcW w:w="1260" w:type="dxa"/>
            <w:vAlign w:val="bottom"/>
            <w:tcBorders>
              <w:bottom w:val="single" w:sz="8" w:color="auto"/>
            </w:tcBorders>
            <w:shd w:val="clear" w:color="auto" w:fill="DDDDDD"/>
          </w:tcPr>
          <w:p>
            <w:pPr>
              <w:jc w:val="right"/>
              <w:spacing w:after="0"/>
              <w:rPr>
                <w:sz w:val="20"/>
                <w:szCs w:val="20"/>
                <w:color w:val="auto"/>
              </w:rPr>
            </w:pPr>
            <w:r>
              <w:rPr>
                <w:rFonts w:ascii="Times New Roman" w:cs="Times New Roman" w:eastAsia="Times New Roman" w:hAnsi="Times New Roman"/>
                <w:sz w:val="20"/>
                <w:szCs w:val="20"/>
                <w:color w:val="auto"/>
              </w:rPr>
              <w:t>(601)</w:t>
            </w:r>
          </w:p>
        </w:tc>
        <w:tc>
          <w:tcPr>
            <w:tcW w:w="0" w:type="dxa"/>
            <w:vAlign w:val="bottom"/>
          </w:tcPr>
          <w:p>
            <w:pPr>
              <w:spacing w:after="0"/>
              <w:rPr>
                <w:sz w:val="1"/>
                <w:szCs w:val="1"/>
                <w:color w:val="auto"/>
              </w:rPr>
            </w:pPr>
          </w:p>
        </w:tc>
      </w:tr>
      <w:tr>
        <w:trPr>
          <w:trHeight w:val="268"/>
        </w:trPr>
        <w:tc>
          <w:tcPr>
            <w:tcW w:w="5040" w:type="dxa"/>
            <w:vAlign w:val="bottom"/>
          </w:tcPr>
          <w:p>
            <w:pPr>
              <w:ind w:left="280"/>
              <w:spacing w:after="0"/>
              <w:rPr>
                <w:sz w:val="20"/>
                <w:szCs w:val="20"/>
                <w:color w:val="auto"/>
              </w:rPr>
            </w:pPr>
            <w:r>
              <w:rPr>
                <w:rFonts w:ascii="Times New Roman" w:cs="Times New Roman" w:eastAsia="Times New Roman" w:hAnsi="Times New Roman"/>
                <w:sz w:val="20"/>
                <w:szCs w:val="20"/>
                <w:color w:val="auto"/>
              </w:rPr>
              <w:t>Net income (loss)</w:t>
            </w:r>
          </w:p>
        </w:tc>
        <w:tc>
          <w:tcPr>
            <w:tcW w:w="420" w:type="dxa"/>
            <w:vAlign w:val="bottom"/>
          </w:tcPr>
          <w:p>
            <w:pPr>
              <w:spacing w:after="0"/>
              <w:rPr>
                <w:sz w:val="23"/>
                <w:szCs w:val="23"/>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(15,727)</w:t>
            </w:r>
          </w:p>
        </w:tc>
        <w:tc>
          <w:tcPr>
            <w:tcW w:w="80" w:type="dxa"/>
            <w:vAlign w:val="bottom"/>
          </w:tcPr>
          <w:p>
            <w:pPr>
              <w:spacing w:after="0"/>
              <w:rPr>
                <w:sz w:val="23"/>
                <w:szCs w:val="23"/>
                <w:color w:val="auto"/>
              </w:rPr>
            </w:pPr>
          </w:p>
        </w:tc>
        <w:tc>
          <w:tcPr>
            <w:tcW w:w="400" w:type="dxa"/>
            <w:vAlign w:val="bottom"/>
          </w:tcPr>
          <w:p>
            <w:pPr>
              <w:spacing w:after="0"/>
              <w:rPr>
                <w:sz w:val="23"/>
                <w:szCs w:val="23"/>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(82,651)</w:t>
            </w:r>
          </w:p>
        </w:tc>
        <w:tc>
          <w:tcPr>
            <w:tcW w:w="60" w:type="dxa"/>
            <w:vAlign w:val="bottom"/>
          </w:tcPr>
          <w:p>
            <w:pPr>
              <w:spacing w:after="0"/>
              <w:rPr>
                <w:sz w:val="23"/>
                <w:szCs w:val="23"/>
                <w:color w:val="auto"/>
              </w:rPr>
            </w:pPr>
          </w:p>
        </w:tc>
        <w:tc>
          <w:tcPr>
            <w:tcW w:w="440" w:type="dxa"/>
            <w:vAlign w:val="bottom"/>
          </w:tcPr>
          <w:p>
            <w:pPr>
              <w:spacing w:after="0"/>
              <w:rPr>
                <w:sz w:val="23"/>
                <w:szCs w:val="23"/>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152,218</w:t>
            </w:r>
          </w:p>
        </w:tc>
        <w:tc>
          <w:tcPr>
            <w:tcW w:w="0" w:type="dxa"/>
            <w:vAlign w:val="bottom"/>
          </w:tcPr>
          <w:p>
            <w:pPr>
              <w:spacing w:after="0"/>
              <w:rPr>
                <w:sz w:val="1"/>
                <w:szCs w:val="1"/>
                <w:color w:val="auto"/>
              </w:rPr>
            </w:pPr>
          </w:p>
        </w:tc>
      </w:tr>
      <w:tr>
        <w:trPr>
          <w:trHeight w:val="288"/>
        </w:trPr>
        <w:tc>
          <w:tcPr>
            <w:tcW w:w="5040" w:type="dxa"/>
            <w:vAlign w:val="bottom"/>
            <w:shd w:val="clear" w:color="auto" w:fill="DDDDDD"/>
          </w:tcPr>
          <w:p>
            <w:pPr>
              <w:ind w:left="280"/>
              <w:spacing w:after="0"/>
              <w:rPr>
                <w:sz w:val="20"/>
                <w:szCs w:val="20"/>
                <w:color w:val="auto"/>
              </w:rPr>
            </w:pPr>
            <w:r>
              <w:rPr>
                <w:rFonts w:ascii="Times New Roman" w:cs="Times New Roman" w:eastAsia="Times New Roman" w:hAnsi="Times New Roman"/>
                <w:sz w:val="20"/>
                <w:szCs w:val="20"/>
                <w:color w:val="auto"/>
              </w:rPr>
              <w:t>Net income (loss) attributable to noncontrolling interests</w:t>
            </w:r>
          </w:p>
        </w:tc>
        <w:tc>
          <w:tcPr>
            <w:tcW w:w="420" w:type="dxa"/>
            <w:vAlign w:val="bottom"/>
            <w:tcBorders>
              <w:bottom w:val="single" w:sz="8" w:color="auto"/>
            </w:tcBorders>
            <w:shd w:val="clear" w:color="auto" w:fill="DDDDDD"/>
          </w:tcPr>
          <w:p>
            <w:pPr>
              <w:spacing w:after="0"/>
              <w:rPr>
                <w:sz w:val="24"/>
                <w:szCs w:val="24"/>
                <w:color w:val="auto"/>
              </w:rPr>
            </w:pPr>
          </w:p>
        </w:tc>
        <w:tc>
          <w:tcPr>
            <w:tcW w:w="1280" w:type="dxa"/>
            <w:vAlign w:val="bottom"/>
            <w:tcBorders>
              <w:bottom w:val="single" w:sz="8" w:color="auto"/>
            </w:tcBorders>
            <w:shd w:val="clear" w:color="auto" w:fill="DDDDDD"/>
          </w:tcPr>
          <w:p>
            <w:pPr>
              <w:jc w:val="right"/>
              <w:spacing w:after="0"/>
              <w:rPr>
                <w:sz w:val="20"/>
                <w:szCs w:val="20"/>
                <w:color w:val="auto"/>
              </w:rPr>
            </w:pPr>
            <w:r>
              <w:rPr>
                <w:rFonts w:ascii="Times New Roman" w:cs="Times New Roman" w:eastAsia="Times New Roman" w:hAnsi="Times New Roman"/>
                <w:sz w:val="20"/>
                <w:szCs w:val="20"/>
                <w:color w:val="auto"/>
              </w:rPr>
              <w:t>(5,829)</w:t>
            </w:r>
          </w:p>
        </w:tc>
        <w:tc>
          <w:tcPr>
            <w:tcW w:w="80" w:type="dxa"/>
            <w:vAlign w:val="bottom"/>
            <w:shd w:val="clear" w:color="auto" w:fill="DDDDDD"/>
          </w:tcPr>
          <w:p>
            <w:pPr>
              <w:spacing w:after="0"/>
              <w:rPr>
                <w:sz w:val="24"/>
                <w:szCs w:val="24"/>
                <w:color w:val="auto"/>
              </w:rPr>
            </w:pPr>
          </w:p>
        </w:tc>
        <w:tc>
          <w:tcPr>
            <w:tcW w:w="400" w:type="dxa"/>
            <w:vAlign w:val="bottom"/>
            <w:tcBorders>
              <w:bottom w:val="single" w:sz="8" w:color="auto"/>
            </w:tcBorders>
            <w:shd w:val="clear" w:color="auto" w:fill="DDDDDD"/>
          </w:tcPr>
          <w:p>
            <w:pPr>
              <w:spacing w:after="0"/>
              <w:rPr>
                <w:sz w:val="24"/>
                <w:szCs w:val="24"/>
                <w:color w:val="auto"/>
              </w:rPr>
            </w:pPr>
          </w:p>
        </w:tc>
        <w:tc>
          <w:tcPr>
            <w:tcW w:w="1280" w:type="dxa"/>
            <w:vAlign w:val="bottom"/>
            <w:tcBorders>
              <w:bottom w:val="single" w:sz="8" w:color="auto"/>
            </w:tcBorders>
            <w:shd w:val="clear" w:color="auto" w:fill="DDDDDD"/>
          </w:tcPr>
          <w:p>
            <w:pPr>
              <w:jc w:val="right"/>
              <w:spacing w:after="0"/>
              <w:rPr>
                <w:sz w:val="20"/>
                <w:szCs w:val="20"/>
                <w:color w:val="auto"/>
              </w:rPr>
            </w:pPr>
            <w:r>
              <w:rPr>
                <w:rFonts w:ascii="Times New Roman" w:cs="Times New Roman" w:eastAsia="Times New Roman" w:hAnsi="Times New Roman"/>
                <w:sz w:val="20"/>
                <w:szCs w:val="20"/>
                <w:color w:val="auto"/>
              </w:rPr>
              <w:t>33,338</w:t>
            </w:r>
          </w:p>
        </w:tc>
        <w:tc>
          <w:tcPr>
            <w:tcW w:w="60" w:type="dxa"/>
            <w:vAlign w:val="bottom"/>
            <w:shd w:val="clear" w:color="auto" w:fill="DDDDDD"/>
          </w:tcPr>
          <w:p>
            <w:pPr>
              <w:spacing w:after="0"/>
              <w:rPr>
                <w:sz w:val="24"/>
                <w:szCs w:val="24"/>
                <w:color w:val="auto"/>
              </w:rPr>
            </w:pPr>
          </w:p>
        </w:tc>
        <w:tc>
          <w:tcPr>
            <w:tcW w:w="440" w:type="dxa"/>
            <w:vAlign w:val="bottom"/>
            <w:tcBorders>
              <w:bottom w:val="single" w:sz="8" w:color="auto"/>
            </w:tcBorders>
            <w:shd w:val="clear" w:color="auto" w:fill="DDDDDD"/>
          </w:tcPr>
          <w:p>
            <w:pPr>
              <w:spacing w:after="0"/>
              <w:rPr>
                <w:sz w:val="24"/>
                <w:szCs w:val="24"/>
                <w:color w:val="auto"/>
              </w:rPr>
            </w:pPr>
          </w:p>
        </w:tc>
        <w:tc>
          <w:tcPr>
            <w:tcW w:w="1260" w:type="dxa"/>
            <w:vAlign w:val="bottom"/>
            <w:tcBorders>
              <w:bottom w:val="single" w:sz="8" w:color="auto"/>
            </w:tcBorders>
            <w:shd w:val="clear" w:color="auto" w:fill="DDDDDD"/>
          </w:tcPr>
          <w:p>
            <w:pPr>
              <w:jc w:val="right"/>
              <w:spacing w:after="0"/>
              <w:rPr>
                <w:sz w:val="20"/>
                <w:szCs w:val="20"/>
                <w:color w:val="auto"/>
              </w:rPr>
            </w:pPr>
            <w:r>
              <w:rPr>
                <w:rFonts w:ascii="Times New Roman" w:cs="Times New Roman" w:eastAsia="Times New Roman" w:hAnsi="Times New Roman"/>
                <w:sz w:val="20"/>
                <w:szCs w:val="20"/>
                <w:color w:val="auto"/>
              </w:rPr>
              <w:t>91,835</w:t>
            </w:r>
          </w:p>
        </w:tc>
        <w:tc>
          <w:tcPr>
            <w:tcW w:w="0" w:type="dxa"/>
            <w:vAlign w:val="bottom"/>
          </w:tcPr>
          <w:p>
            <w:pPr>
              <w:spacing w:after="0"/>
              <w:rPr>
                <w:sz w:val="1"/>
                <w:szCs w:val="1"/>
                <w:color w:val="auto"/>
              </w:rPr>
            </w:pPr>
          </w:p>
        </w:tc>
      </w:tr>
      <w:tr>
        <w:trPr>
          <w:trHeight w:val="321"/>
        </w:trPr>
        <w:tc>
          <w:tcPr>
            <w:tcW w:w="5040" w:type="dxa"/>
            <w:vAlign w:val="bottom"/>
          </w:tcPr>
          <w:p>
            <w:pPr>
              <w:ind w:left="280"/>
              <w:spacing w:after="0"/>
              <w:rPr>
                <w:sz w:val="20"/>
                <w:szCs w:val="20"/>
                <w:color w:val="auto"/>
              </w:rPr>
            </w:pPr>
            <w:r>
              <w:rPr>
                <w:rFonts w:ascii="Times New Roman" w:cs="Times New Roman" w:eastAsia="Times New Roman" w:hAnsi="Times New Roman"/>
                <w:sz w:val="20"/>
                <w:szCs w:val="20"/>
                <w:color w:val="auto"/>
              </w:rPr>
              <w:t>Net income (loss) attributable to WM Technology, Inc.</w:t>
            </w:r>
          </w:p>
        </w:tc>
        <w:tc>
          <w:tcPr>
            <w:tcW w:w="420" w:type="dxa"/>
            <w:vAlign w:val="bottom"/>
          </w:tcPr>
          <w:p>
            <w:pPr>
              <w:jc w:val="right"/>
              <w:ind w:right="159"/>
              <w:spacing w:after="0"/>
              <w:rPr>
                <w:sz w:val="20"/>
                <w:szCs w:val="20"/>
                <w:color w:val="auto"/>
              </w:rPr>
            </w:pPr>
            <w:r>
              <w:rPr>
                <w:rFonts w:ascii="Times New Roman" w:cs="Times New Roman" w:eastAsia="Times New Roman" w:hAnsi="Times New Roman"/>
                <w:sz w:val="20"/>
                <w:szCs w:val="20"/>
                <w:color w:val="auto"/>
              </w:rPr>
              <w:t>$</w:t>
            </w:r>
          </w:p>
        </w:tc>
        <w:tc>
          <w:tcPr>
            <w:tcW w:w="12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(9,898)</w:t>
            </w:r>
          </w:p>
        </w:tc>
        <w:tc>
          <w:tcPr>
            <w:tcW w:w="480" w:type="dxa"/>
            <w:vAlign w:val="bottom"/>
            <w:gridSpan w:val="2"/>
          </w:tcPr>
          <w:p>
            <w:pPr>
              <w:jc w:val="right"/>
              <w:ind w:right="139"/>
              <w:spacing w:after="0"/>
              <w:rPr>
                <w:sz w:val="20"/>
                <w:szCs w:val="20"/>
                <w:color w:val="auto"/>
              </w:rPr>
            </w:pPr>
            <w:r>
              <w:rPr>
                <w:rFonts w:ascii="Times New Roman" w:cs="Times New Roman" w:eastAsia="Times New Roman" w:hAnsi="Times New Roman"/>
                <w:sz w:val="20"/>
                <w:szCs w:val="20"/>
                <w:color w:val="auto"/>
              </w:rPr>
              <w:t>$</w:t>
            </w:r>
          </w:p>
        </w:tc>
        <w:tc>
          <w:tcPr>
            <w:tcW w:w="12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(115,989)</w:t>
            </w:r>
          </w:p>
        </w:tc>
        <w:tc>
          <w:tcPr>
            <w:tcW w:w="500" w:type="dxa"/>
            <w:vAlign w:val="bottom"/>
            <w:gridSpan w:val="2"/>
          </w:tcPr>
          <w:p>
            <w:pPr>
              <w:jc w:val="right"/>
              <w:ind w:right="179"/>
              <w:spacing w:after="0"/>
              <w:rPr>
                <w:sz w:val="20"/>
                <w:szCs w:val="20"/>
                <w:color w:val="auto"/>
              </w:rPr>
            </w:pPr>
            <w:r>
              <w:rPr>
                <w:rFonts w:ascii="Times New Roman" w:cs="Times New Roman" w:eastAsia="Times New Roman" w:hAnsi="Times New Roman"/>
                <w:sz w:val="20"/>
                <w:szCs w:val="20"/>
                <w:color w:val="auto"/>
              </w:rPr>
              <w:t>$</w:t>
            </w:r>
          </w:p>
        </w:tc>
        <w:tc>
          <w:tcPr>
            <w:tcW w:w="12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60,383</w:t>
            </w:r>
          </w:p>
        </w:tc>
        <w:tc>
          <w:tcPr>
            <w:tcW w:w="0" w:type="dxa"/>
            <w:vAlign w:val="bottom"/>
          </w:tcPr>
          <w:p>
            <w:pPr>
              <w:spacing w:after="0"/>
              <w:rPr>
                <w:sz w:val="1"/>
                <w:szCs w:val="1"/>
                <w:color w:val="auto"/>
              </w:rPr>
            </w:pPr>
          </w:p>
        </w:tc>
      </w:tr>
      <w:tr>
        <w:trPr>
          <w:trHeight w:val="208"/>
        </w:trPr>
        <w:tc>
          <w:tcPr>
            <w:tcW w:w="5040" w:type="dxa"/>
            <w:vAlign w:val="bottom"/>
            <w:tcBorders>
              <w:top w:val="single" w:sz="8" w:color="DDDDDD"/>
            </w:tcBorders>
            <w:shd w:val="clear" w:color="auto" w:fill="DDDDDD"/>
          </w:tcPr>
          <w:p>
            <w:pPr>
              <w:spacing w:after="0"/>
              <w:rPr>
                <w:sz w:val="18"/>
                <w:szCs w:val="18"/>
                <w:color w:val="auto"/>
              </w:rPr>
            </w:pPr>
          </w:p>
        </w:tc>
        <w:tc>
          <w:tcPr>
            <w:tcW w:w="420" w:type="dxa"/>
            <w:vAlign w:val="bottom"/>
            <w:tcBorders>
              <w:top w:val="single" w:sz="8" w:color="auto"/>
            </w:tcBorders>
            <w:shd w:val="clear" w:color="auto" w:fill="DDDDDD"/>
          </w:tcPr>
          <w:p>
            <w:pPr>
              <w:spacing w:after="0"/>
              <w:rPr>
                <w:sz w:val="18"/>
                <w:szCs w:val="18"/>
                <w:color w:val="auto"/>
              </w:rPr>
            </w:pPr>
          </w:p>
        </w:tc>
        <w:tc>
          <w:tcPr>
            <w:tcW w:w="1280" w:type="dxa"/>
            <w:vAlign w:val="bottom"/>
            <w:tcBorders>
              <w:top w:val="single" w:sz="8" w:color="auto"/>
            </w:tcBorders>
            <w:shd w:val="clear" w:color="auto" w:fill="DDDDDD"/>
          </w:tcPr>
          <w:p>
            <w:pPr>
              <w:spacing w:after="0"/>
              <w:rPr>
                <w:sz w:val="18"/>
                <w:szCs w:val="18"/>
                <w:color w:val="auto"/>
              </w:rPr>
            </w:pPr>
          </w:p>
        </w:tc>
        <w:tc>
          <w:tcPr>
            <w:tcW w:w="80" w:type="dxa"/>
            <w:vAlign w:val="bottom"/>
            <w:tcBorders>
              <w:top w:val="single" w:sz="8" w:color="DDDDDD"/>
            </w:tcBorders>
            <w:shd w:val="clear" w:color="auto" w:fill="DDDDDD"/>
          </w:tcPr>
          <w:p>
            <w:pPr>
              <w:spacing w:after="0"/>
              <w:rPr>
                <w:sz w:val="18"/>
                <w:szCs w:val="18"/>
                <w:color w:val="auto"/>
              </w:rPr>
            </w:pPr>
          </w:p>
        </w:tc>
        <w:tc>
          <w:tcPr>
            <w:tcW w:w="400" w:type="dxa"/>
            <w:vAlign w:val="bottom"/>
            <w:tcBorders>
              <w:top w:val="single" w:sz="8" w:color="auto"/>
            </w:tcBorders>
            <w:shd w:val="clear" w:color="auto" w:fill="DDDDDD"/>
          </w:tcPr>
          <w:p>
            <w:pPr>
              <w:spacing w:after="0"/>
              <w:rPr>
                <w:sz w:val="18"/>
                <w:szCs w:val="18"/>
                <w:color w:val="auto"/>
              </w:rPr>
            </w:pPr>
          </w:p>
        </w:tc>
        <w:tc>
          <w:tcPr>
            <w:tcW w:w="1280" w:type="dxa"/>
            <w:vAlign w:val="bottom"/>
            <w:tcBorders>
              <w:top w:val="single" w:sz="8" w:color="auto"/>
            </w:tcBorders>
            <w:shd w:val="clear" w:color="auto" w:fill="DDDDDD"/>
          </w:tcPr>
          <w:p>
            <w:pPr>
              <w:spacing w:after="0"/>
              <w:rPr>
                <w:sz w:val="18"/>
                <w:szCs w:val="18"/>
                <w:color w:val="auto"/>
              </w:rPr>
            </w:pPr>
          </w:p>
        </w:tc>
        <w:tc>
          <w:tcPr>
            <w:tcW w:w="60" w:type="dxa"/>
            <w:vAlign w:val="bottom"/>
            <w:shd w:val="clear" w:color="auto" w:fill="DDDDDD"/>
          </w:tcPr>
          <w:p>
            <w:pPr>
              <w:spacing w:after="0"/>
              <w:rPr>
                <w:sz w:val="18"/>
                <w:szCs w:val="18"/>
                <w:color w:val="auto"/>
              </w:rPr>
            </w:pPr>
          </w:p>
        </w:tc>
        <w:tc>
          <w:tcPr>
            <w:tcW w:w="440" w:type="dxa"/>
            <w:vAlign w:val="bottom"/>
            <w:tcBorders>
              <w:top w:val="single" w:sz="8" w:color="auto"/>
            </w:tcBorders>
            <w:shd w:val="clear" w:color="auto" w:fill="DDDDDD"/>
          </w:tcPr>
          <w:p>
            <w:pPr>
              <w:spacing w:after="0"/>
              <w:rPr>
                <w:sz w:val="18"/>
                <w:szCs w:val="18"/>
                <w:color w:val="auto"/>
              </w:rPr>
            </w:pPr>
          </w:p>
        </w:tc>
        <w:tc>
          <w:tcPr>
            <w:tcW w:w="1260" w:type="dxa"/>
            <w:vAlign w:val="bottom"/>
            <w:tcBorders>
              <w:top w:val="single" w:sz="8" w:color="auto"/>
            </w:tcBorders>
            <w:shd w:val="clear" w:color="auto" w:fill="DDDDDD"/>
          </w:tcPr>
          <w:p>
            <w:pPr>
              <w:spacing w:after="0"/>
              <w:rPr>
                <w:sz w:val="18"/>
                <w:szCs w:val="18"/>
                <w:color w:val="auto"/>
              </w:rPr>
            </w:pPr>
          </w:p>
        </w:tc>
        <w:tc>
          <w:tcPr>
            <w:tcW w:w="0" w:type="dxa"/>
            <w:vAlign w:val="bottom"/>
          </w:tcPr>
          <w:p>
            <w:pPr>
              <w:spacing w:after="0"/>
              <w:rPr>
                <w:sz w:val="1"/>
                <w:szCs w:val="1"/>
                <w:color w:val="auto"/>
              </w:rPr>
            </w:pPr>
          </w:p>
        </w:tc>
      </w:tr>
      <w:tr>
        <w:trPr>
          <w:trHeight w:val="281"/>
        </w:trPr>
        <w:tc>
          <w:tcPr>
            <w:tcW w:w="5040" w:type="dxa"/>
            <w:vAlign w:val="bottom"/>
          </w:tcPr>
          <w:p>
            <w:pPr>
              <w:ind w:left="40"/>
              <w:spacing w:after="0"/>
              <w:rPr>
                <w:sz w:val="20"/>
                <w:szCs w:val="20"/>
                <w:color w:val="auto"/>
              </w:rPr>
            </w:pPr>
            <w:r>
              <w:rPr>
                <w:rFonts w:ascii="Times New Roman" w:cs="Times New Roman" w:eastAsia="Times New Roman" w:hAnsi="Times New Roman"/>
                <w:sz w:val="20"/>
                <w:szCs w:val="20"/>
                <w:color w:val="auto"/>
              </w:rPr>
              <w:t>Class A Common Stock:</w:t>
            </w:r>
          </w:p>
        </w:tc>
        <w:tc>
          <w:tcPr>
            <w:tcW w:w="42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88"/>
        </w:trPr>
        <w:tc>
          <w:tcPr>
            <w:tcW w:w="5040" w:type="dxa"/>
            <w:vAlign w:val="bottom"/>
            <w:shd w:val="clear" w:color="auto" w:fill="DDDDDD"/>
          </w:tcPr>
          <w:p>
            <w:pPr>
              <w:ind w:left="160"/>
              <w:spacing w:after="0"/>
              <w:rPr>
                <w:sz w:val="20"/>
                <w:szCs w:val="20"/>
                <w:color w:val="auto"/>
              </w:rPr>
            </w:pPr>
            <w:r>
              <w:rPr>
                <w:rFonts w:ascii="Times New Roman" w:cs="Times New Roman" w:eastAsia="Times New Roman" w:hAnsi="Times New Roman"/>
                <w:sz w:val="20"/>
                <w:szCs w:val="20"/>
                <w:color w:val="auto"/>
              </w:rPr>
              <w:t>Basic income (loss) per share</w:t>
            </w:r>
          </w:p>
        </w:tc>
        <w:tc>
          <w:tcPr>
            <w:tcW w:w="420" w:type="dxa"/>
            <w:vAlign w:val="bottom"/>
            <w:shd w:val="clear" w:color="auto" w:fill="DDDDDD"/>
          </w:tcPr>
          <w:p>
            <w:pPr>
              <w:jc w:val="right"/>
              <w:ind w:right="139"/>
              <w:spacing w:after="0"/>
              <w:rPr>
                <w:sz w:val="20"/>
                <w:szCs w:val="20"/>
                <w:color w:val="auto"/>
              </w:rPr>
            </w:pPr>
            <w:r>
              <w:rPr>
                <w:rFonts w:ascii="Times New Roman" w:cs="Times New Roman" w:eastAsia="Times New Roman" w:hAnsi="Times New Roman"/>
                <w:sz w:val="20"/>
                <w:szCs w:val="20"/>
                <w:color w:val="auto"/>
              </w:rPr>
              <w:t>$</w:t>
            </w:r>
          </w:p>
        </w:tc>
        <w:tc>
          <w:tcPr>
            <w:tcW w:w="1280" w:type="dxa"/>
            <w:vAlign w:val="bottom"/>
            <w:shd w:val="clear" w:color="auto" w:fill="DDDDDD"/>
          </w:tcPr>
          <w:p>
            <w:pPr>
              <w:jc w:val="right"/>
              <w:spacing w:after="0"/>
              <w:rPr>
                <w:sz w:val="20"/>
                <w:szCs w:val="20"/>
                <w:color w:val="auto"/>
              </w:rPr>
            </w:pPr>
            <w:r>
              <w:rPr>
                <w:rFonts w:ascii="Times New Roman" w:cs="Times New Roman" w:eastAsia="Times New Roman" w:hAnsi="Times New Roman"/>
                <w:sz w:val="20"/>
                <w:szCs w:val="20"/>
                <w:color w:val="auto"/>
              </w:rPr>
              <w:t>(0.11)</w:t>
            </w:r>
          </w:p>
        </w:tc>
        <w:tc>
          <w:tcPr>
            <w:tcW w:w="80" w:type="dxa"/>
            <w:vAlign w:val="bottom"/>
            <w:shd w:val="clear" w:color="auto" w:fill="DDDDDD"/>
          </w:tcPr>
          <w:p>
            <w:pPr>
              <w:spacing w:after="0"/>
              <w:rPr>
                <w:sz w:val="24"/>
                <w:szCs w:val="24"/>
                <w:color w:val="auto"/>
              </w:rPr>
            </w:pPr>
          </w:p>
        </w:tc>
        <w:tc>
          <w:tcPr>
            <w:tcW w:w="400" w:type="dxa"/>
            <w:vAlign w:val="bottom"/>
            <w:shd w:val="clear" w:color="auto" w:fill="DDDDDD"/>
          </w:tcPr>
          <w:p>
            <w:pPr>
              <w:jc w:val="right"/>
              <w:ind w:right="139"/>
              <w:spacing w:after="0"/>
              <w:rPr>
                <w:sz w:val="20"/>
                <w:szCs w:val="20"/>
                <w:color w:val="auto"/>
              </w:rPr>
            </w:pPr>
            <w:r>
              <w:rPr>
                <w:rFonts w:ascii="Times New Roman" w:cs="Times New Roman" w:eastAsia="Times New Roman" w:hAnsi="Times New Roman"/>
                <w:sz w:val="20"/>
                <w:szCs w:val="20"/>
                <w:color w:val="auto"/>
              </w:rPr>
              <w:t>$</w:t>
            </w:r>
          </w:p>
        </w:tc>
        <w:tc>
          <w:tcPr>
            <w:tcW w:w="1280" w:type="dxa"/>
            <w:vAlign w:val="bottom"/>
            <w:shd w:val="clear" w:color="auto" w:fill="DDDDDD"/>
          </w:tcPr>
          <w:p>
            <w:pPr>
              <w:jc w:val="right"/>
              <w:spacing w:after="0"/>
              <w:rPr>
                <w:sz w:val="20"/>
                <w:szCs w:val="20"/>
                <w:color w:val="auto"/>
              </w:rPr>
            </w:pPr>
            <w:r>
              <w:rPr>
                <w:rFonts w:ascii="Times New Roman" w:cs="Times New Roman" w:eastAsia="Times New Roman" w:hAnsi="Times New Roman"/>
                <w:sz w:val="20"/>
                <w:szCs w:val="20"/>
                <w:color w:val="auto"/>
              </w:rPr>
              <w:t>(1.36)</w:t>
            </w:r>
          </w:p>
        </w:tc>
        <w:tc>
          <w:tcPr>
            <w:tcW w:w="60" w:type="dxa"/>
            <w:vAlign w:val="bottom"/>
            <w:shd w:val="clear" w:color="auto" w:fill="DDDDDD"/>
          </w:tcPr>
          <w:p>
            <w:pPr>
              <w:spacing w:after="0"/>
              <w:rPr>
                <w:sz w:val="24"/>
                <w:szCs w:val="24"/>
                <w:color w:val="auto"/>
              </w:rPr>
            </w:pPr>
          </w:p>
        </w:tc>
        <w:tc>
          <w:tcPr>
            <w:tcW w:w="440" w:type="dxa"/>
            <w:vAlign w:val="bottom"/>
            <w:shd w:val="clear" w:color="auto" w:fill="DDDDDD"/>
          </w:tcPr>
          <w:p>
            <w:pPr>
              <w:jc w:val="right"/>
              <w:ind w:right="179"/>
              <w:spacing w:after="0"/>
              <w:rPr>
                <w:sz w:val="20"/>
                <w:szCs w:val="20"/>
                <w:color w:val="auto"/>
              </w:rPr>
            </w:pPr>
            <w:r>
              <w:rPr>
                <w:rFonts w:ascii="Times New Roman" w:cs="Times New Roman" w:eastAsia="Times New Roman" w:hAnsi="Times New Roman"/>
                <w:sz w:val="20"/>
                <w:szCs w:val="20"/>
                <w:color w:val="auto"/>
              </w:rPr>
              <w:t>$</w:t>
            </w:r>
          </w:p>
        </w:tc>
        <w:tc>
          <w:tcPr>
            <w:tcW w:w="1260" w:type="dxa"/>
            <w:vAlign w:val="bottom"/>
            <w:shd w:val="clear" w:color="auto" w:fill="DDDDDD"/>
          </w:tcPr>
          <w:p>
            <w:pPr>
              <w:jc w:val="right"/>
              <w:spacing w:after="0"/>
              <w:rPr>
                <w:sz w:val="20"/>
                <w:szCs w:val="20"/>
                <w:color w:val="auto"/>
              </w:rPr>
            </w:pPr>
            <w:r>
              <w:rPr>
                <w:rFonts w:ascii="Times New Roman" w:cs="Times New Roman" w:eastAsia="Times New Roman" w:hAnsi="Times New Roman"/>
                <w:sz w:val="20"/>
                <w:szCs w:val="20"/>
                <w:color w:val="auto"/>
              </w:rPr>
              <w:t>0.93</w:t>
            </w:r>
          </w:p>
        </w:tc>
        <w:tc>
          <w:tcPr>
            <w:tcW w:w="0" w:type="dxa"/>
            <w:vAlign w:val="bottom"/>
          </w:tcPr>
          <w:p>
            <w:pPr>
              <w:spacing w:after="0"/>
              <w:rPr>
                <w:sz w:val="1"/>
                <w:szCs w:val="1"/>
                <w:color w:val="auto"/>
              </w:rPr>
            </w:pPr>
          </w:p>
        </w:tc>
      </w:tr>
      <w:tr>
        <w:trPr>
          <w:trHeight w:val="288"/>
        </w:trPr>
        <w:tc>
          <w:tcPr>
            <w:tcW w:w="5040" w:type="dxa"/>
            <w:vAlign w:val="bottom"/>
          </w:tcPr>
          <w:p>
            <w:pPr>
              <w:ind w:left="160"/>
              <w:spacing w:after="0"/>
              <w:rPr>
                <w:sz w:val="20"/>
                <w:szCs w:val="20"/>
                <w:color w:val="auto"/>
              </w:rPr>
            </w:pPr>
            <w:r>
              <w:rPr>
                <w:rFonts w:ascii="Times New Roman" w:cs="Times New Roman" w:eastAsia="Times New Roman" w:hAnsi="Times New Roman"/>
                <w:sz w:val="20"/>
                <w:szCs w:val="20"/>
                <w:color w:val="auto"/>
              </w:rPr>
              <w:t>Diluted income (loss) per share</w:t>
            </w:r>
          </w:p>
        </w:tc>
        <w:tc>
          <w:tcPr>
            <w:tcW w:w="420" w:type="dxa"/>
            <w:vAlign w:val="bottom"/>
          </w:tcPr>
          <w:p>
            <w:pPr>
              <w:jc w:val="right"/>
              <w:ind w:right="139"/>
              <w:spacing w:after="0"/>
              <w:rPr>
                <w:sz w:val="20"/>
                <w:szCs w:val="20"/>
                <w:color w:val="auto"/>
              </w:rPr>
            </w:pPr>
            <w:r>
              <w:rPr>
                <w:rFonts w:ascii="Times New Roman" w:cs="Times New Roman" w:eastAsia="Times New Roman" w:hAnsi="Times New Roman"/>
                <w:sz w:val="20"/>
                <w:szCs w:val="20"/>
                <w:color w:val="auto"/>
              </w:rPr>
              <w:t>$</w:t>
            </w:r>
          </w:p>
        </w:tc>
        <w:tc>
          <w:tcPr>
            <w:tcW w:w="12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(0.11)</w:t>
            </w:r>
          </w:p>
        </w:tc>
        <w:tc>
          <w:tcPr>
            <w:tcW w:w="480" w:type="dxa"/>
            <w:vAlign w:val="bottom"/>
            <w:gridSpan w:val="2"/>
          </w:tcPr>
          <w:p>
            <w:pPr>
              <w:jc w:val="right"/>
              <w:ind w:right="139"/>
              <w:spacing w:after="0"/>
              <w:rPr>
                <w:sz w:val="20"/>
                <w:szCs w:val="20"/>
                <w:color w:val="auto"/>
              </w:rPr>
            </w:pPr>
            <w:r>
              <w:rPr>
                <w:rFonts w:ascii="Times New Roman" w:cs="Times New Roman" w:eastAsia="Times New Roman" w:hAnsi="Times New Roman"/>
                <w:sz w:val="20"/>
                <w:szCs w:val="20"/>
                <w:color w:val="auto"/>
              </w:rPr>
              <w:t>$</w:t>
            </w:r>
          </w:p>
        </w:tc>
        <w:tc>
          <w:tcPr>
            <w:tcW w:w="12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(1.36)</w:t>
            </w:r>
          </w:p>
        </w:tc>
        <w:tc>
          <w:tcPr>
            <w:tcW w:w="500" w:type="dxa"/>
            <w:vAlign w:val="bottom"/>
            <w:gridSpan w:val="2"/>
          </w:tcPr>
          <w:p>
            <w:pPr>
              <w:jc w:val="right"/>
              <w:ind w:right="159"/>
              <w:spacing w:after="0"/>
              <w:rPr>
                <w:sz w:val="20"/>
                <w:szCs w:val="20"/>
                <w:color w:val="auto"/>
              </w:rPr>
            </w:pPr>
            <w:r>
              <w:rPr>
                <w:rFonts w:ascii="Times New Roman" w:cs="Times New Roman" w:eastAsia="Times New Roman" w:hAnsi="Times New Roman"/>
                <w:sz w:val="20"/>
                <w:szCs w:val="20"/>
                <w:color w:val="auto"/>
              </w:rPr>
              <w:t>$</w:t>
            </w:r>
          </w:p>
        </w:tc>
        <w:tc>
          <w:tcPr>
            <w:tcW w:w="12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(0.18)</w:t>
            </w:r>
          </w:p>
        </w:tc>
        <w:tc>
          <w:tcPr>
            <w:tcW w:w="0" w:type="dxa"/>
            <w:vAlign w:val="bottom"/>
          </w:tcPr>
          <w:p>
            <w:pPr>
              <w:spacing w:after="0"/>
              <w:rPr>
                <w:sz w:val="1"/>
                <w:szCs w:val="1"/>
                <w:color w:val="auto"/>
              </w:rPr>
            </w:pPr>
          </w:p>
        </w:tc>
      </w:tr>
      <w:tr>
        <w:trPr>
          <w:trHeight w:val="281"/>
        </w:trPr>
        <w:tc>
          <w:tcPr>
            <w:tcW w:w="5040" w:type="dxa"/>
            <w:vAlign w:val="bottom"/>
            <w:shd w:val="clear" w:color="auto" w:fill="DDDDDD"/>
          </w:tcPr>
          <w:p>
            <w:pPr>
              <w:spacing w:after="0"/>
              <w:rPr>
                <w:sz w:val="24"/>
                <w:szCs w:val="24"/>
                <w:color w:val="auto"/>
              </w:rPr>
            </w:pPr>
          </w:p>
        </w:tc>
        <w:tc>
          <w:tcPr>
            <w:tcW w:w="420" w:type="dxa"/>
            <w:vAlign w:val="bottom"/>
            <w:shd w:val="clear" w:color="auto" w:fill="DDDDDD"/>
          </w:tcPr>
          <w:p>
            <w:pPr>
              <w:spacing w:after="0"/>
              <w:rPr>
                <w:sz w:val="24"/>
                <w:szCs w:val="24"/>
                <w:color w:val="auto"/>
              </w:rPr>
            </w:pPr>
          </w:p>
        </w:tc>
        <w:tc>
          <w:tcPr>
            <w:tcW w:w="1280" w:type="dxa"/>
            <w:vAlign w:val="bottom"/>
            <w:shd w:val="clear" w:color="auto" w:fill="DDDDDD"/>
          </w:tcPr>
          <w:p>
            <w:pPr>
              <w:spacing w:after="0"/>
              <w:rPr>
                <w:sz w:val="24"/>
                <w:szCs w:val="24"/>
                <w:color w:val="auto"/>
              </w:rPr>
            </w:pPr>
          </w:p>
        </w:tc>
        <w:tc>
          <w:tcPr>
            <w:tcW w:w="80" w:type="dxa"/>
            <w:vAlign w:val="bottom"/>
            <w:shd w:val="clear" w:color="auto" w:fill="DDDDDD"/>
          </w:tcPr>
          <w:p>
            <w:pPr>
              <w:spacing w:after="0"/>
              <w:rPr>
                <w:sz w:val="24"/>
                <w:szCs w:val="24"/>
                <w:color w:val="auto"/>
              </w:rPr>
            </w:pPr>
          </w:p>
        </w:tc>
        <w:tc>
          <w:tcPr>
            <w:tcW w:w="400" w:type="dxa"/>
            <w:vAlign w:val="bottom"/>
            <w:shd w:val="clear" w:color="auto" w:fill="DDDDDD"/>
          </w:tcPr>
          <w:p>
            <w:pPr>
              <w:spacing w:after="0"/>
              <w:rPr>
                <w:sz w:val="24"/>
                <w:szCs w:val="24"/>
                <w:color w:val="auto"/>
              </w:rPr>
            </w:pPr>
          </w:p>
        </w:tc>
        <w:tc>
          <w:tcPr>
            <w:tcW w:w="1280" w:type="dxa"/>
            <w:vAlign w:val="bottom"/>
            <w:shd w:val="clear" w:color="auto" w:fill="DDDDDD"/>
          </w:tcPr>
          <w:p>
            <w:pPr>
              <w:spacing w:after="0"/>
              <w:rPr>
                <w:sz w:val="24"/>
                <w:szCs w:val="24"/>
                <w:color w:val="auto"/>
              </w:rPr>
            </w:pPr>
          </w:p>
        </w:tc>
        <w:tc>
          <w:tcPr>
            <w:tcW w:w="60" w:type="dxa"/>
            <w:vAlign w:val="bottom"/>
            <w:shd w:val="clear" w:color="auto" w:fill="DDDDDD"/>
          </w:tcPr>
          <w:p>
            <w:pPr>
              <w:spacing w:after="0"/>
              <w:rPr>
                <w:sz w:val="24"/>
                <w:szCs w:val="24"/>
                <w:color w:val="auto"/>
              </w:rPr>
            </w:pPr>
          </w:p>
        </w:tc>
        <w:tc>
          <w:tcPr>
            <w:tcW w:w="440" w:type="dxa"/>
            <w:vAlign w:val="bottom"/>
            <w:shd w:val="clear" w:color="auto" w:fill="DDDDDD"/>
          </w:tcPr>
          <w:p>
            <w:pPr>
              <w:spacing w:after="0"/>
              <w:rPr>
                <w:sz w:val="24"/>
                <w:szCs w:val="24"/>
                <w:color w:val="auto"/>
              </w:rPr>
            </w:pPr>
          </w:p>
        </w:tc>
        <w:tc>
          <w:tcPr>
            <w:tcW w:w="1260" w:type="dxa"/>
            <w:vAlign w:val="bottom"/>
            <w:shd w:val="clear" w:color="auto" w:fill="DDDDDD"/>
          </w:tcPr>
          <w:p>
            <w:pPr>
              <w:spacing w:after="0"/>
              <w:rPr>
                <w:sz w:val="24"/>
                <w:szCs w:val="24"/>
                <w:color w:val="auto"/>
              </w:rPr>
            </w:pPr>
          </w:p>
        </w:tc>
        <w:tc>
          <w:tcPr>
            <w:tcW w:w="0" w:type="dxa"/>
            <w:vAlign w:val="bottom"/>
          </w:tcPr>
          <w:p>
            <w:pPr>
              <w:spacing w:after="0"/>
              <w:rPr>
                <w:sz w:val="1"/>
                <w:szCs w:val="1"/>
                <w:color w:val="auto"/>
              </w:rPr>
            </w:pPr>
          </w:p>
        </w:tc>
      </w:tr>
      <w:tr>
        <w:trPr>
          <w:trHeight w:val="288"/>
        </w:trPr>
        <w:tc>
          <w:tcPr>
            <w:tcW w:w="5040" w:type="dxa"/>
            <w:vAlign w:val="bottom"/>
          </w:tcPr>
          <w:p>
            <w:pPr>
              <w:ind w:left="40"/>
              <w:spacing w:after="0"/>
              <w:rPr>
                <w:sz w:val="20"/>
                <w:szCs w:val="20"/>
                <w:color w:val="auto"/>
              </w:rPr>
            </w:pPr>
            <w:r>
              <w:rPr>
                <w:rFonts w:ascii="Times New Roman" w:cs="Times New Roman" w:eastAsia="Times New Roman" w:hAnsi="Times New Roman"/>
                <w:sz w:val="20"/>
                <w:szCs w:val="20"/>
                <w:color w:val="auto"/>
              </w:rPr>
              <w:t>Class A Common Stock:</w:t>
            </w:r>
          </w:p>
        </w:tc>
        <w:tc>
          <w:tcPr>
            <w:tcW w:w="42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81"/>
        </w:trPr>
        <w:tc>
          <w:tcPr>
            <w:tcW w:w="5040" w:type="dxa"/>
            <w:vAlign w:val="bottom"/>
            <w:shd w:val="clear" w:color="auto" w:fill="DDDDDD"/>
          </w:tcPr>
          <w:p>
            <w:pPr>
              <w:ind w:left="160"/>
              <w:spacing w:after="0"/>
              <w:rPr>
                <w:sz w:val="20"/>
                <w:szCs w:val="20"/>
                <w:color w:val="auto"/>
              </w:rPr>
            </w:pPr>
            <w:r>
              <w:rPr>
                <w:rFonts w:ascii="Times New Roman" w:cs="Times New Roman" w:eastAsia="Times New Roman" w:hAnsi="Times New Roman"/>
                <w:sz w:val="20"/>
                <w:szCs w:val="20"/>
                <w:color w:val="auto"/>
              </w:rPr>
              <w:t>Weighted average basic shares outstanding</w:t>
            </w:r>
          </w:p>
        </w:tc>
        <w:tc>
          <w:tcPr>
            <w:tcW w:w="420" w:type="dxa"/>
            <w:vAlign w:val="bottom"/>
            <w:shd w:val="clear" w:color="auto" w:fill="DDDDDD"/>
          </w:tcPr>
          <w:p>
            <w:pPr>
              <w:spacing w:after="0"/>
              <w:rPr>
                <w:sz w:val="24"/>
                <w:szCs w:val="24"/>
                <w:color w:val="auto"/>
              </w:rPr>
            </w:pPr>
          </w:p>
        </w:tc>
        <w:tc>
          <w:tcPr>
            <w:tcW w:w="1280" w:type="dxa"/>
            <w:vAlign w:val="bottom"/>
            <w:shd w:val="clear" w:color="auto" w:fill="DDDDDD"/>
          </w:tcPr>
          <w:p>
            <w:pPr>
              <w:jc w:val="right"/>
              <w:spacing w:after="0"/>
              <w:rPr>
                <w:sz w:val="20"/>
                <w:szCs w:val="20"/>
                <w:color w:val="auto"/>
              </w:rPr>
            </w:pPr>
            <w:r>
              <w:rPr>
                <w:rFonts w:ascii="Times New Roman" w:cs="Times New Roman" w:eastAsia="Times New Roman" w:hAnsi="Times New Roman"/>
                <w:sz w:val="20"/>
                <w:szCs w:val="20"/>
                <w:color w:val="auto"/>
              </w:rPr>
              <w:t>93,244,911</w:t>
            </w:r>
          </w:p>
        </w:tc>
        <w:tc>
          <w:tcPr>
            <w:tcW w:w="80" w:type="dxa"/>
            <w:vAlign w:val="bottom"/>
            <w:shd w:val="clear" w:color="auto" w:fill="DDDDDD"/>
          </w:tcPr>
          <w:p>
            <w:pPr>
              <w:spacing w:after="0"/>
              <w:rPr>
                <w:sz w:val="24"/>
                <w:szCs w:val="24"/>
                <w:color w:val="auto"/>
              </w:rPr>
            </w:pPr>
          </w:p>
        </w:tc>
        <w:tc>
          <w:tcPr>
            <w:tcW w:w="400" w:type="dxa"/>
            <w:vAlign w:val="bottom"/>
            <w:shd w:val="clear" w:color="auto" w:fill="DDDDDD"/>
          </w:tcPr>
          <w:p>
            <w:pPr>
              <w:spacing w:after="0"/>
              <w:rPr>
                <w:sz w:val="24"/>
                <w:szCs w:val="24"/>
                <w:color w:val="auto"/>
              </w:rPr>
            </w:pPr>
          </w:p>
        </w:tc>
        <w:tc>
          <w:tcPr>
            <w:tcW w:w="1280" w:type="dxa"/>
            <w:vAlign w:val="bottom"/>
            <w:shd w:val="clear" w:color="auto" w:fill="DDDDDD"/>
          </w:tcPr>
          <w:p>
            <w:pPr>
              <w:jc w:val="right"/>
              <w:spacing w:after="0"/>
              <w:rPr>
                <w:sz w:val="20"/>
                <w:szCs w:val="20"/>
                <w:color w:val="auto"/>
              </w:rPr>
            </w:pPr>
            <w:r>
              <w:rPr>
                <w:rFonts w:ascii="Times New Roman" w:cs="Times New Roman" w:eastAsia="Times New Roman" w:hAnsi="Times New Roman"/>
                <w:sz w:val="20"/>
                <w:szCs w:val="20"/>
                <w:color w:val="auto"/>
              </w:rPr>
              <w:t>85,027,120</w:t>
            </w:r>
          </w:p>
        </w:tc>
        <w:tc>
          <w:tcPr>
            <w:tcW w:w="60" w:type="dxa"/>
            <w:vAlign w:val="bottom"/>
            <w:shd w:val="clear" w:color="auto" w:fill="DDDDDD"/>
          </w:tcPr>
          <w:p>
            <w:pPr>
              <w:spacing w:after="0"/>
              <w:rPr>
                <w:sz w:val="24"/>
                <w:szCs w:val="24"/>
                <w:color w:val="auto"/>
              </w:rPr>
            </w:pPr>
          </w:p>
        </w:tc>
        <w:tc>
          <w:tcPr>
            <w:tcW w:w="440" w:type="dxa"/>
            <w:vAlign w:val="bottom"/>
            <w:shd w:val="clear" w:color="auto" w:fill="DDDDDD"/>
          </w:tcPr>
          <w:p>
            <w:pPr>
              <w:spacing w:after="0"/>
              <w:rPr>
                <w:sz w:val="24"/>
                <w:szCs w:val="24"/>
                <w:color w:val="auto"/>
              </w:rPr>
            </w:pPr>
          </w:p>
        </w:tc>
        <w:tc>
          <w:tcPr>
            <w:tcW w:w="1260" w:type="dxa"/>
            <w:vAlign w:val="bottom"/>
            <w:shd w:val="clear" w:color="auto" w:fill="DDDDDD"/>
          </w:tcPr>
          <w:p>
            <w:pPr>
              <w:jc w:val="right"/>
              <w:spacing w:after="0"/>
              <w:rPr>
                <w:sz w:val="20"/>
                <w:szCs w:val="20"/>
                <w:color w:val="auto"/>
              </w:rPr>
            </w:pPr>
            <w:r>
              <w:rPr>
                <w:rFonts w:ascii="Times New Roman" w:cs="Times New Roman" w:eastAsia="Times New Roman" w:hAnsi="Times New Roman"/>
                <w:sz w:val="20"/>
                <w:szCs w:val="20"/>
                <w:color w:val="auto"/>
              </w:rPr>
              <w:t>65,013,517</w:t>
            </w:r>
          </w:p>
        </w:tc>
        <w:tc>
          <w:tcPr>
            <w:tcW w:w="0" w:type="dxa"/>
            <w:vAlign w:val="bottom"/>
          </w:tcPr>
          <w:p>
            <w:pPr>
              <w:spacing w:after="0"/>
              <w:rPr>
                <w:sz w:val="1"/>
                <w:szCs w:val="1"/>
                <w:color w:val="auto"/>
              </w:rPr>
            </w:pPr>
          </w:p>
        </w:tc>
      </w:tr>
      <w:tr>
        <w:trPr>
          <w:trHeight w:val="298"/>
        </w:trPr>
        <w:tc>
          <w:tcPr>
            <w:tcW w:w="5040" w:type="dxa"/>
            <w:vAlign w:val="bottom"/>
          </w:tcPr>
          <w:p>
            <w:pPr>
              <w:ind w:left="160"/>
              <w:spacing w:after="0"/>
              <w:rPr>
                <w:sz w:val="20"/>
                <w:szCs w:val="20"/>
                <w:color w:val="auto"/>
              </w:rPr>
            </w:pPr>
            <w:r>
              <w:rPr>
                <w:rFonts w:ascii="Times New Roman" w:cs="Times New Roman" w:eastAsia="Times New Roman" w:hAnsi="Times New Roman"/>
                <w:sz w:val="20"/>
                <w:szCs w:val="20"/>
                <w:color w:val="auto"/>
              </w:rPr>
              <w:t>Weighted average diluted shares outstanding</w:t>
            </w:r>
          </w:p>
        </w:tc>
        <w:tc>
          <w:tcPr>
            <w:tcW w:w="420" w:type="dxa"/>
            <w:vAlign w:val="bottom"/>
          </w:tcPr>
          <w:p>
            <w:pPr>
              <w:spacing w:after="0"/>
              <w:rPr>
                <w:sz w:val="24"/>
                <w:szCs w:val="24"/>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93,244,911</w:t>
            </w:r>
          </w:p>
        </w:tc>
        <w:tc>
          <w:tcPr>
            <w:tcW w:w="8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85,027,120</w:t>
            </w:r>
          </w:p>
        </w:tc>
        <w:tc>
          <w:tcPr>
            <w:tcW w:w="6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66,813,417</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5400040</wp:posOffset>
                </wp:positionH>
                <wp:positionV relativeFrom="paragraph">
                  <wp:posOffset>-5186045</wp:posOffset>
                </wp:positionV>
                <wp:extent cx="36195" cy="13970"/>
                <wp:wrapNone/>
                <wp:docPr id="48" name="Shape 48"/>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36195" cy="13970"/>
                        </a:xfrm>
                        <a:prstGeom prst="rect">
                          <a:avLst/>
                        </a:prstGeom>
                        <a:solidFill>
                          <a:srgbClr val="DDDDDD"/>
                        </a:solidFill>
                      </wps:spPr>
                      <wps:bodyPr/>
                    </wps:wsp>
                  </a:graphicData>
                </a:graphic>
              </wp:anchor>
            </w:drawing>
          </mc:Choice>
          <mc:Fallback>
            <w:pict>
              <v:rect id="Shape 48" o:spid="_x0000_s1073" style="position:absolute;margin-left:425.2pt;margin-top:-408.3499pt;width:2.85pt;height:1.1pt;z-index:-251657728;visibility:visible;mso-wrap-style:square;mso-width-percent:0;mso-height-percent:0;mso-wrap-distance-left:0pt;mso-wrap-distance-top:0;mso-wrap-distance-right:0pt;mso-wrap-distance-bottom:0;mso-position-horizontal:absolute;mso-position-horizontal-relative:text;mso-position-vertical:absolute;mso-position-vertical-relative:text;mso-width-percent:0;mso-height-percent:0;mso-width-relative:page;mso-height-relative:page;v-text-anchor:top" o:allowincell="f" fillcolor="#DDDDDD" stroked="f"/>
            </w:pict>
          </mc:Fallback>
        </mc:AlternateContent>
        <mc:AlternateContent>
          <mc:Choice Requires="wps">
            <w:drawing>
              <wp:anchor simplePos="0" relativeHeight="251657728" behindDoc="1" locked="0" layoutInCell="0" allowOverlap="1">
                <wp:simplePos x="0" y="0"/>
                <wp:positionH relativeFrom="column">
                  <wp:posOffset>4325620</wp:posOffset>
                </wp:positionH>
                <wp:positionV relativeFrom="paragraph">
                  <wp:posOffset>-3432810</wp:posOffset>
                </wp:positionV>
                <wp:extent cx="1074420" cy="0"/>
                <wp:wrapNone/>
                <wp:docPr id="49" name="Shape 49"/>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1074420" cy="4763"/>
                        </a:xfrm>
                        <a:prstGeom prst="line">
                          <a:avLst/>
                        </a:prstGeom>
                        <a:solidFill>
                          <a:srgbClr val="FFFFFF"/>
                        </a:solidFill>
                        <a:ln w="4572">
                          <a:solidFill>
                            <a:srgbClr val="FFFFFF"/>
                          </a:solidFill>
                          <a:miter lim="800000"/>
                          <a:headEnd/>
                          <a:tailEnd/>
                        </a:ln>
                      </wps:spPr>
                      <wps:bodyPr/>
                    </wps:wsp>
                  </a:graphicData>
                </a:graphic>
              </wp:anchor>
            </w:drawing>
          </mc:Choice>
          <mc:Fallback>
            <w:pict>
              <v:line id="Shape 49" o:spid="_x0000_s1074"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340.6pt,-270.2999pt" to="425.2pt,-270.2999pt" o:allowincell="f" strokecolor="#FFFFFF" strokeweight="0.36pt"/>
            </w:pict>
          </mc:Fallback>
        </mc:AlternateContent>
        <mc:AlternateContent>
          <mc:Choice Requires="wps">
            <w:drawing>
              <wp:anchor simplePos="0" relativeHeight="251657728" behindDoc="1" locked="0" layoutInCell="0" allowOverlap="1">
                <wp:simplePos x="0" y="0"/>
                <wp:positionH relativeFrom="column">
                  <wp:posOffset>5436235</wp:posOffset>
                </wp:positionH>
                <wp:positionV relativeFrom="paragraph">
                  <wp:posOffset>-3432810</wp:posOffset>
                </wp:positionV>
                <wp:extent cx="1074420" cy="0"/>
                <wp:wrapNone/>
                <wp:docPr id="50" name="Shape 50"/>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1074420" cy="4763"/>
                        </a:xfrm>
                        <a:prstGeom prst="line">
                          <a:avLst/>
                        </a:prstGeom>
                        <a:solidFill>
                          <a:srgbClr val="FFFFFF"/>
                        </a:solidFill>
                        <a:ln w="4572">
                          <a:solidFill>
                            <a:srgbClr val="FFFFFF"/>
                          </a:solidFill>
                          <a:miter lim="800000"/>
                          <a:headEnd/>
                          <a:tailEnd/>
                        </a:ln>
                      </wps:spPr>
                      <wps:bodyPr/>
                    </wps:wsp>
                  </a:graphicData>
                </a:graphic>
              </wp:anchor>
            </w:drawing>
          </mc:Choice>
          <mc:Fallback>
            <w:pict>
              <v:line id="Shape 50" o:spid="_x0000_s1075"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428.05pt,-270.2999pt" to="512.65pt,-270.2999pt" o:allowincell="f" strokecolor="#FFFFFF" strokeweight="0.36pt"/>
            </w:pict>
          </mc:Fallback>
        </mc:AlternateContent>
        <mc:AlternateContent>
          <mc:Choice Requires="wps">
            <w:drawing>
              <wp:anchor simplePos="0" relativeHeight="251657728" behindDoc="1" locked="0" layoutInCell="0" allowOverlap="1">
                <wp:simplePos x="0" y="0"/>
                <wp:positionH relativeFrom="column">
                  <wp:posOffset>5400040</wp:posOffset>
                </wp:positionH>
                <wp:positionV relativeFrom="paragraph">
                  <wp:posOffset>-3265805</wp:posOffset>
                </wp:positionV>
                <wp:extent cx="36195" cy="13970"/>
                <wp:wrapNone/>
                <wp:docPr id="51" name="Shape 51"/>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36195" cy="13970"/>
                        </a:xfrm>
                        <a:prstGeom prst="rect">
                          <a:avLst/>
                        </a:prstGeom>
                        <a:solidFill>
                          <a:srgbClr val="DDDDDD"/>
                        </a:solidFill>
                      </wps:spPr>
                      <wps:bodyPr/>
                    </wps:wsp>
                  </a:graphicData>
                </a:graphic>
              </wp:anchor>
            </w:drawing>
          </mc:Choice>
          <mc:Fallback>
            <w:pict>
              <v:rect id="Shape 51" o:spid="_x0000_s1076" style="position:absolute;margin-left:425.2pt;margin-top:-257.1499pt;width:2.85pt;height:1.1pt;z-index:-251657728;visibility:visible;mso-wrap-style:square;mso-width-percent:0;mso-height-percent:0;mso-wrap-distance-left:0pt;mso-wrap-distance-top:0;mso-wrap-distance-right:0pt;mso-wrap-distance-bottom:0;mso-position-horizontal:absolute;mso-position-horizontal-relative:text;mso-position-vertical:absolute;mso-position-vertical-relative:text;mso-width-percent:0;mso-height-percent:0;mso-width-relative:page;mso-height-relative:page;v-text-anchor:top" o:allowincell="f" fillcolor="#DDDDDD" stroked="f"/>
            </w:pict>
          </mc:Fallback>
        </mc:AlternateContent>
        <mc:AlternateContent>
          <mc:Choice Requires="wps">
            <w:drawing>
              <wp:anchor simplePos="0" relativeHeight="251657728" behindDoc="1" locked="0" layoutInCell="0" allowOverlap="1">
                <wp:simplePos x="0" y="0"/>
                <wp:positionH relativeFrom="column">
                  <wp:posOffset>3200400</wp:posOffset>
                </wp:positionH>
                <wp:positionV relativeFrom="paragraph">
                  <wp:posOffset>-2348865</wp:posOffset>
                </wp:positionV>
                <wp:extent cx="1074420" cy="0"/>
                <wp:wrapNone/>
                <wp:docPr id="52" name="Shape 52"/>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1074420" cy="4763"/>
                        </a:xfrm>
                        <a:prstGeom prst="line">
                          <a:avLst/>
                        </a:prstGeom>
                        <a:solidFill>
                          <a:srgbClr val="FFFFFF"/>
                        </a:solidFill>
                        <a:ln w="4572">
                          <a:solidFill>
                            <a:srgbClr val="FFFFFF"/>
                          </a:solidFill>
                          <a:miter lim="800000"/>
                          <a:headEnd/>
                          <a:tailEnd/>
                        </a:ln>
                      </wps:spPr>
                      <wps:bodyPr/>
                    </wps:wsp>
                  </a:graphicData>
                </a:graphic>
              </wp:anchor>
            </w:drawing>
          </mc:Choice>
          <mc:Fallback>
            <w:pict>
              <v:line id="Shape 52" o:spid="_x0000_s1077"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252pt,-184.9499pt" to="336.6pt,-184.9499pt" o:allowincell="f" strokecolor="#FFFFFF" strokeweight="0.36pt"/>
            </w:pict>
          </mc:Fallback>
        </mc:AlternateContent>
        <mc:AlternateContent>
          <mc:Choice Requires="wps">
            <w:drawing>
              <wp:anchor simplePos="0" relativeHeight="251657728" behindDoc="1" locked="0" layoutInCell="0" allowOverlap="1">
                <wp:simplePos x="0" y="0"/>
                <wp:positionH relativeFrom="column">
                  <wp:posOffset>4325620</wp:posOffset>
                </wp:positionH>
                <wp:positionV relativeFrom="paragraph">
                  <wp:posOffset>-2348865</wp:posOffset>
                </wp:positionV>
                <wp:extent cx="1074420" cy="0"/>
                <wp:wrapNone/>
                <wp:docPr id="53" name="Shape 53"/>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1074420" cy="4763"/>
                        </a:xfrm>
                        <a:prstGeom prst="line">
                          <a:avLst/>
                        </a:prstGeom>
                        <a:solidFill>
                          <a:srgbClr val="FFFFFF"/>
                        </a:solidFill>
                        <a:ln w="4572">
                          <a:solidFill>
                            <a:srgbClr val="FFFFFF"/>
                          </a:solidFill>
                          <a:miter lim="800000"/>
                          <a:headEnd/>
                          <a:tailEnd/>
                        </a:ln>
                      </wps:spPr>
                      <wps:bodyPr/>
                    </wps:wsp>
                  </a:graphicData>
                </a:graphic>
              </wp:anchor>
            </w:drawing>
          </mc:Choice>
          <mc:Fallback>
            <w:pict>
              <v:line id="Shape 53" o:spid="_x0000_s1078"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340.6pt,-184.9499pt" to="425.2pt,-184.9499pt" o:allowincell="f" strokecolor="#FFFFFF" strokeweight="0.36pt"/>
            </w:pict>
          </mc:Fallback>
        </mc:AlternateContent>
        <mc:AlternateContent>
          <mc:Choice Requires="wps">
            <w:drawing>
              <wp:anchor simplePos="0" relativeHeight="251657728" behindDoc="1" locked="0" layoutInCell="0" allowOverlap="1">
                <wp:simplePos x="0" y="0"/>
                <wp:positionH relativeFrom="column">
                  <wp:posOffset>5436235</wp:posOffset>
                </wp:positionH>
                <wp:positionV relativeFrom="paragraph">
                  <wp:posOffset>-2348865</wp:posOffset>
                </wp:positionV>
                <wp:extent cx="1074420" cy="0"/>
                <wp:wrapNone/>
                <wp:docPr id="54" name="Shape 54"/>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1074420" cy="4763"/>
                        </a:xfrm>
                        <a:prstGeom prst="line">
                          <a:avLst/>
                        </a:prstGeom>
                        <a:solidFill>
                          <a:srgbClr val="FFFFFF"/>
                        </a:solidFill>
                        <a:ln w="4572">
                          <a:solidFill>
                            <a:srgbClr val="FFFFFF"/>
                          </a:solidFill>
                          <a:miter lim="800000"/>
                          <a:headEnd/>
                          <a:tailEnd/>
                        </a:ln>
                      </wps:spPr>
                      <wps:bodyPr/>
                    </wps:wsp>
                  </a:graphicData>
                </a:graphic>
              </wp:anchor>
            </w:drawing>
          </mc:Choice>
          <mc:Fallback>
            <w:pict>
              <v:line id="Shape 54" o:spid="_x0000_s1079"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428.05pt,-184.9499pt" to="512.65pt,-184.9499pt" o:allowincell="f" strokecolor="#FFFFFF" strokeweight="0.36pt"/>
            </w:pict>
          </mc:Fallback>
        </mc:AlternateContent>
        <mc:AlternateContent>
          <mc:Choice Requires="wps">
            <w:drawing>
              <wp:anchor simplePos="0" relativeHeight="251657728" behindDoc="1" locked="0" layoutInCell="0" allowOverlap="1">
                <wp:simplePos x="0" y="0"/>
                <wp:positionH relativeFrom="column">
                  <wp:posOffset>3200400</wp:posOffset>
                </wp:positionH>
                <wp:positionV relativeFrom="paragraph">
                  <wp:posOffset>-1987550</wp:posOffset>
                </wp:positionV>
                <wp:extent cx="1074420" cy="0"/>
                <wp:wrapNone/>
                <wp:docPr id="55" name="Shape 55"/>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1074420" cy="4763"/>
                        </a:xfrm>
                        <a:prstGeom prst="line">
                          <a:avLst/>
                        </a:prstGeom>
                        <a:solidFill>
                          <a:srgbClr val="FFFFFF"/>
                        </a:solidFill>
                        <a:ln w="4572">
                          <a:solidFill>
                            <a:srgbClr val="FFFFFF"/>
                          </a:solidFill>
                          <a:miter lim="800000"/>
                          <a:headEnd/>
                          <a:tailEnd/>
                        </a:ln>
                      </wps:spPr>
                      <wps:bodyPr/>
                    </wps:wsp>
                  </a:graphicData>
                </a:graphic>
              </wp:anchor>
            </w:drawing>
          </mc:Choice>
          <mc:Fallback>
            <w:pict>
              <v:line id="Shape 55" o:spid="_x0000_s1080"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252pt,-156.4999pt" to="336.6pt,-156.4999pt" o:allowincell="f" strokecolor="#FFFFFF" strokeweight="0.36pt"/>
            </w:pict>
          </mc:Fallback>
        </mc:AlternateContent>
        <mc:AlternateContent>
          <mc:Choice Requires="wps">
            <w:drawing>
              <wp:anchor simplePos="0" relativeHeight="251657728" behindDoc="1" locked="0" layoutInCell="0" allowOverlap="1">
                <wp:simplePos x="0" y="0"/>
                <wp:positionH relativeFrom="column">
                  <wp:posOffset>4325620</wp:posOffset>
                </wp:positionH>
                <wp:positionV relativeFrom="paragraph">
                  <wp:posOffset>-1987550</wp:posOffset>
                </wp:positionV>
                <wp:extent cx="1074420" cy="0"/>
                <wp:wrapNone/>
                <wp:docPr id="56" name="Shape 56"/>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1074420" cy="4763"/>
                        </a:xfrm>
                        <a:prstGeom prst="line">
                          <a:avLst/>
                        </a:prstGeom>
                        <a:solidFill>
                          <a:srgbClr val="FFFFFF"/>
                        </a:solidFill>
                        <a:ln w="4572">
                          <a:solidFill>
                            <a:srgbClr val="FFFFFF"/>
                          </a:solidFill>
                          <a:miter lim="800000"/>
                          <a:headEnd/>
                          <a:tailEnd/>
                        </a:ln>
                      </wps:spPr>
                      <wps:bodyPr/>
                    </wps:wsp>
                  </a:graphicData>
                </a:graphic>
              </wp:anchor>
            </w:drawing>
          </mc:Choice>
          <mc:Fallback>
            <w:pict>
              <v:line id="Shape 56" o:spid="_x0000_s1081"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340.6pt,-156.4999pt" to="425.2pt,-156.4999pt" o:allowincell="f" strokecolor="#FFFFFF" strokeweight="0.36pt"/>
            </w:pict>
          </mc:Fallback>
        </mc:AlternateContent>
        <mc:AlternateContent>
          <mc:Choice Requires="wps">
            <w:drawing>
              <wp:anchor simplePos="0" relativeHeight="251657728" behindDoc="1" locked="0" layoutInCell="0" allowOverlap="1">
                <wp:simplePos x="0" y="0"/>
                <wp:positionH relativeFrom="column">
                  <wp:posOffset>5436235</wp:posOffset>
                </wp:positionH>
                <wp:positionV relativeFrom="paragraph">
                  <wp:posOffset>-1987550</wp:posOffset>
                </wp:positionV>
                <wp:extent cx="1074420" cy="0"/>
                <wp:wrapNone/>
                <wp:docPr id="57" name="Shape 57"/>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1074420" cy="4763"/>
                        </a:xfrm>
                        <a:prstGeom prst="line">
                          <a:avLst/>
                        </a:prstGeom>
                        <a:solidFill>
                          <a:srgbClr val="FFFFFF"/>
                        </a:solidFill>
                        <a:ln w="4572">
                          <a:solidFill>
                            <a:srgbClr val="FFFFFF"/>
                          </a:solidFill>
                          <a:miter lim="800000"/>
                          <a:headEnd/>
                          <a:tailEnd/>
                        </a:ln>
                      </wps:spPr>
                      <wps:bodyPr/>
                    </wps:wsp>
                  </a:graphicData>
                </a:graphic>
              </wp:anchor>
            </w:drawing>
          </mc:Choice>
          <mc:Fallback>
            <w:pict>
              <v:line id="Shape 57" o:spid="_x0000_s1082"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428.05pt,-156.4999pt" to="512.65pt,-156.4999pt" o:allowincell="f" strokecolor="#FFFFFF" strokeweight="0.36pt"/>
            </w:pict>
          </mc:Fallback>
        </mc:AlternateContent>
        <mc:AlternateContent>
          <mc:Choice Requires="wps">
            <w:drawing>
              <wp:anchor simplePos="0" relativeHeight="251657728" behindDoc="1" locked="0" layoutInCell="0" allowOverlap="1">
                <wp:simplePos x="0" y="0"/>
                <wp:positionH relativeFrom="column">
                  <wp:posOffset>5400040</wp:posOffset>
                </wp:positionH>
                <wp:positionV relativeFrom="paragraph">
                  <wp:posOffset>-1455420</wp:posOffset>
                </wp:positionV>
                <wp:extent cx="36195" cy="36830"/>
                <wp:wrapNone/>
                <wp:docPr id="58" name="Shape 58"/>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36195" cy="36830"/>
                        </a:xfrm>
                        <a:prstGeom prst="rect">
                          <a:avLst/>
                        </a:prstGeom>
                        <a:solidFill>
                          <a:srgbClr val="DDDDDD"/>
                        </a:solidFill>
                      </wps:spPr>
                      <wps:bodyPr/>
                    </wps:wsp>
                  </a:graphicData>
                </a:graphic>
              </wp:anchor>
            </w:drawing>
          </mc:Choice>
          <mc:Fallback>
            <w:pict>
              <v:rect id="Shape 58" o:spid="_x0000_s1083" style="position:absolute;margin-left:425.2pt;margin-top:-114.5999pt;width:2.85pt;height:2.9pt;z-index:-251657728;visibility:visible;mso-wrap-style:square;mso-width-percent:0;mso-height-percent:0;mso-wrap-distance-left:0pt;mso-wrap-distance-top:0;mso-wrap-distance-right:0pt;mso-wrap-distance-bottom:0;mso-position-horizontal:absolute;mso-position-horizontal-relative:text;mso-position-vertical:absolute;mso-position-vertical-relative:text;mso-width-percent:0;mso-height-percent:0;mso-width-relative:page;mso-height-relative:page;v-text-anchor:top" o:allowincell="f" fillcolor="#DDDDDD" stroked="f"/>
            </w:pict>
          </mc:Fallback>
        </mc:AlternateContent>
      </w:r>
    </w:p>
    <w:p>
      <w:pPr>
        <w:spacing w:after="0" w:line="200" w:lineRule="exact"/>
        <w:rPr>
          <w:sz w:val="20"/>
          <w:szCs w:val="20"/>
          <w:color w:val="auto"/>
        </w:rPr>
      </w:pPr>
    </w:p>
    <w:p>
      <w:pPr>
        <w:spacing w:after="0" w:line="26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The accompanying notes are an integral part of these consolidated financial statements.</w:t>
      </w:r>
    </w:p>
    <w:p>
      <w:pPr>
        <w:sectPr>
          <w:pgSz w:w="12240" w:h="15840" w:orient="portrait"/>
          <w:cols w:equalWidth="0" w:num="1">
            <w:col w:w="10260"/>
          </w:cols>
          <w:pgMar w:left="1000" w:top="882" w:right="980" w:bottom="222"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6"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20"/>
          <w:szCs w:val="20"/>
          <w:color w:val="auto"/>
        </w:rPr>
        <w:t>F-2</w:t>
      </w:r>
    </w:p>
    <w:p>
      <w:pPr>
        <w:sectPr>
          <w:pgSz w:w="12240" w:h="15840" w:orient="portrait"/>
          <w:cols w:equalWidth="0" w:num="1">
            <w:col w:w="10260"/>
          </w:cols>
          <w:pgMar w:left="1000" w:top="882" w:right="980" w:bottom="222" w:gutter="0" w:footer="0" w:header="0"/>
          <w:type w:val="continuous"/>
        </w:sectPr>
      </w:pPr>
    </w:p>
    <w:bookmarkStart w:id="122" w:name="page123"/>
    <w:bookmarkEnd w:id="122"/>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5" w:lineRule="exact"/>
        <w:rPr>
          <w:sz w:val="20"/>
          <w:szCs w:val="20"/>
          <w:color w:val="auto"/>
        </w:rPr>
      </w:pPr>
    </w:p>
    <w:tbl>
      <w:tblPr>
        <w:tblLayout w:type="fixed"/>
        <w:tblInd w:w="0" w:type="dxa"/>
        <w:tblCellMar>
          <w:top w:w="0" w:type="dxa"/>
          <w:left w:w="0" w:type="dxa"/>
          <w:bottom w:w="0" w:type="dxa"/>
          <w:right w:w="0" w:type="dxa"/>
        </w:tblCellMar>
      </w:tblPr>
      <w:tr>
        <w:trPr>
          <w:trHeight w:val="280"/>
        </w:trPr>
        <w:tc>
          <w:tcPr>
            <w:tcW w:w="243" w:type="dxa"/>
            <w:vAlign w:val="bottom"/>
            <w:textDirection w:val="tbRl"/>
          </w:tcPr>
          <w:p>
            <w:pPr>
              <w:spacing w:after="0"/>
              <w:rPr>
                <w:sz w:val="20"/>
                <w:szCs w:val="20"/>
                <w:color w:val="auto"/>
              </w:rPr>
            </w:pPr>
            <w:r>
              <w:rPr>
                <w:rFonts w:ascii="Times New Roman" w:cs="Times New Roman" w:eastAsia="Times New Roman" w:hAnsi="Times New Roman"/>
                <w:sz w:val="20"/>
                <w:szCs w:val="20"/>
                <w:color w:val="auto"/>
              </w:rPr>
              <w:t>F-</w:t>
            </w:r>
            <w:r>
              <w:rPr>
                <w:rFonts w:ascii="PMingLiU" w:cs="PMingLiU" w:eastAsia="PMingLiU" w:hAnsi="PMingLiU"/>
                <w:sz w:val="20"/>
                <w:szCs w:val="20"/>
                <w:color w:val="auto"/>
              </w:rPr>
              <w:t/>
            </w:r>
          </w:p>
        </w:tc>
      </w:tr>
    </w:tbl>
    <w:p>
      <w:pPr>
        <w:spacing w:after="0" w:line="20" w:lineRule="exact"/>
        <w:rPr>
          <w:sz w:val="20"/>
          <w:szCs w:val="20"/>
          <w:color w:val="auto"/>
        </w:rPr>
      </w:pPr>
      <w:r>
        <w:rPr>
          <w:sz w:val="20"/>
          <w:szCs w:val="20"/>
          <w:color w:val="auto"/>
        </w:rPr>
        <w:br w:type="column"/>
      </w:r>
    </w:p>
    <w:p>
      <w:pPr>
        <w:jc w:val="center"/>
        <w:ind w:right="20"/>
        <w:spacing w:after="0"/>
        <w:rPr>
          <w:sz w:val="20"/>
          <w:szCs w:val="20"/>
          <w:color w:val="auto"/>
        </w:rPr>
      </w:pPr>
      <w:r>
        <w:rPr>
          <w:rFonts w:ascii="Times New Roman" w:cs="Times New Roman" w:eastAsia="Times New Roman" w:hAnsi="Times New Roman"/>
          <w:sz w:val="20"/>
          <w:szCs w:val="20"/>
          <w:b w:val="1"/>
          <w:bCs w:val="1"/>
          <w:color w:val="auto"/>
        </w:rPr>
        <w:t>WM TECHNOLOGY, INC. AND SUBSIDIARIES</w:t>
      </w:r>
    </w:p>
    <w:p>
      <w:pPr>
        <w:spacing w:after="0" w:line="48"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20"/>
          <w:szCs w:val="20"/>
          <w:b w:val="1"/>
          <w:bCs w:val="1"/>
          <w:color w:val="auto"/>
        </w:rPr>
        <w:t>CONSOLIDATED STATEMENTS OF EQUITY</w:t>
      </w:r>
    </w:p>
    <w:p>
      <w:pPr>
        <w:jc w:val="center"/>
        <w:spacing w:after="0"/>
        <w:rPr>
          <w:sz w:val="20"/>
          <w:szCs w:val="20"/>
          <w:color w:val="auto"/>
        </w:rPr>
      </w:pPr>
      <w:r>
        <w:rPr>
          <w:rFonts w:ascii="Times New Roman" w:cs="Times New Roman" w:eastAsia="Times New Roman" w:hAnsi="Times New Roman"/>
          <w:sz w:val="20"/>
          <w:szCs w:val="20"/>
          <w:b w:val="1"/>
          <w:bCs w:val="1"/>
          <w:color w:val="auto"/>
        </w:rPr>
        <w:t>(In thousands, except for share data)</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1685290</wp:posOffset>
                </wp:positionH>
                <wp:positionV relativeFrom="paragraph">
                  <wp:posOffset>116840</wp:posOffset>
                </wp:positionV>
                <wp:extent cx="7059295" cy="0"/>
                <wp:wrapNone/>
                <wp:docPr id="59" name="Shape 59"/>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7059295" cy="4763"/>
                        </a:xfrm>
                        <a:prstGeom prst="line">
                          <a:avLst/>
                        </a:prstGeom>
                        <a:solidFill>
                          <a:srgbClr val="FFFFFF"/>
                        </a:solidFill>
                        <a:ln w="9144">
                          <a:solidFill>
                            <a:srgbClr val="000000"/>
                          </a:solidFill>
                          <a:miter lim="800000"/>
                          <a:headEnd/>
                          <a:tailEnd/>
                        </a:ln>
                      </wps:spPr>
                      <wps:bodyPr/>
                    </wps:wsp>
                  </a:graphicData>
                </a:graphic>
              </wp:anchor>
            </w:drawing>
          </mc:Choice>
          <mc:Fallback>
            <w:pict>
              <v:line id="Shape 59" o:spid="_x0000_s1084"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132.7pt,9.2pt" to="688.55pt,9.2pt" o:allowincell="f" strokecolor="#000000" strokeweight="0.72pt"/>
            </w:pict>
          </mc:Fallback>
        </mc:AlternateContent>
      </w:r>
    </w:p>
    <w:p>
      <w:pPr>
        <w:spacing w:after="0" w:line="168" w:lineRule="exact"/>
        <w:rPr>
          <w:sz w:val="20"/>
          <w:szCs w:val="20"/>
          <w:color w:val="auto"/>
        </w:rPr>
      </w:pPr>
    </w:p>
    <w:tbl>
      <w:tblPr>
        <w:tblLayout w:type="fixed"/>
        <w:tblInd w:w="0" w:type="dxa"/>
        <w:tblCellMar>
          <w:top w:w="0" w:type="dxa"/>
          <w:left w:w="0" w:type="dxa"/>
          <w:bottom w:w="0" w:type="dxa"/>
          <w:right w:w="0" w:type="dxa"/>
        </w:tblCellMar>
      </w:tblPr>
      <w:tr>
        <w:trPr>
          <w:trHeight w:val="191"/>
        </w:trPr>
        <w:tc>
          <w:tcPr>
            <w:tcW w:w="40" w:type="dxa"/>
            <w:vAlign w:val="bottom"/>
          </w:tcPr>
          <w:p>
            <w:pPr>
              <w:spacing w:after="0"/>
              <w:rPr>
                <w:sz w:val="16"/>
                <w:szCs w:val="16"/>
                <w:color w:val="auto"/>
              </w:rPr>
            </w:pPr>
          </w:p>
        </w:tc>
        <w:tc>
          <w:tcPr>
            <w:tcW w:w="25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160" w:type="dxa"/>
            <w:vAlign w:val="bottom"/>
            <w:gridSpan w:val="3"/>
          </w:tcPr>
          <w:p>
            <w:pPr>
              <w:jc w:val="right"/>
              <w:ind w:right="481"/>
              <w:spacing w:after="0"/>
              <w:rPr>
                <w:sz w:val="20"/>
                <w:szCs w:val="20"/>
                <w:color w:val="auto"/>
              </w:rPr>
            </w:pPr>
            <w:r>
              <w:rPr>
                <w:rFonts w:ascii="Times New Roman" w:cs="Times New Roman" w:eastAsia="Times New Roman" w:hAnsi="Times New Roman"/>
                <w:sz w:val="16"/>
                <w:szCs w:val="16"/>
                <w:b w:val="1"/>
                <w:bCs w:val="1"/>
                <w:color w:val="auto"/>
              </w:rPr>
              <w:t>Common Stock</w:t>
            </w:r>
          </w:p>
        </w:tc>
        <w:tc>
          <w:tcPr>
            <w:tcW w:w="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20" w:type="dxa"/>
            <w:vAlign w:val="bottom"/>
            <w:gridSpan w:val="3"/>
          </w:tcPr>
          <w:p>
            <w:pPr>
              <w:jc w:val="right"/>
              <w:ind w:right="421"/>
              <w:spacing w:after="0"/>
              <w:rPr>
                <w:sz w:val="20"/>
                <w:szCs w:val="20"/>
                <w:color w:val="auto"/>
              </w:rPr>
            </w:pPr>
            <w:r>
              <w:rPr>
                <w:rFonts w:ascii="Times New Roman" w:cs="Times New Roman" w:eastAsia="Times New Roman" w:hAnsi="Times New Roman"/>
                <w:sz w:val="16"/>
                <w:szCs w:val="16"/>
                <w:b w:val="1"/>
                <w:bCs w:val="1"/>
                <w:color w:val="auto"/>
              </w:rPr>
              <w:t>Common Stock</w:t>
            </w:r>
          </w:p>
        </w:tc>
        <w:tc>
          <w:tcPr>
            <w:tcW w:w="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120" w:type="dxa"/>
            <w:vAlign w:val="bottom"/>
            <w:gridSpan w:val="2"/>
          </w:tcPr>
          <w:p>
            <w:pPr>
              <w:jc w:val="center"/>
              <w:spacing w:after="0"/>
              <w:rPr>
                <w:sz w:val="20"/>
                <w:szCs w:val="20"/>
                <w:color w:val="auto"/>
              </w:rPr>
            </w:pPr>
            <w:r>
              <w:rPr>
                <w:rFonts w:ascii="Times New Roman" w:cs="Times New Roman" w:eastAsia="Times New Roman" w:hAnsi="Times New Roman"/>
                <w:sz w:val="16"/>
                <w:szCs w:val="16"/>
                <w:b w:val="1"/>
                <w:bCs w:val="1"/>
                <w:color w:val="auto"/>
                <w:w w:val="99"/>
              </w:rPr>
              <w:t>(Accumulated</w:t>
            </w:r>
          </w:p>
        </w:tc>
        <w:tc>
          <w:tcPr>
            <w:tcW w:w="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140" w:type="dxa"/>
            <w:vAlign w:val="bottom"/>
          </w:tcPr>
          <w:p>
            <w:pPr>
              <w:jc w:val="center"/>
              <w:ind w:right="101"/>
              <w:spacing w:after="0"/>
              <w:rPr>
                <w:sz w:val="20"/>
                <w:szCs w:val="20"/>
                <w:color w:val="auto"/>
              </w:rPr>
            </w:pPr>
            <w:r>
              <w:rPr>
                <w:rFonts w:ascii="Times New Roman" w:cs="Times New Roman" w:eastAsia="Times New Roman" w:hAnsi="Times New Roman"/>
                <w:sz w:val="16"/>
                <w:szCs w:val="16"/>
                <w:b w:val="1"/>
                <w:bCs w:val="1"/>
                <w:color w:val="auto"/>
                <w:w w:val="94"/>
              </w:rPr>
              <w:t>Total WM</w:t>
            </w:r>
          </w:p>
        </w:tc>
        <w:tc>
          <w:tcPr>
            <w:tcW w:w="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40" w:type="dxa"/>
            <w:vAlign w:val="bottom"/>
          </w:tcPr>
          <w:p>
            <w:pPr>
              <w:spacing w:after="0"/>
              <w:rPr>
                <w:sz w:val="18"/>
                <w:szCs w:val="18"/>
                <w:color w:val="auto"/>
              </w:rPr>
            </w:pPr>
          </w:p>
        </w:tc>
        <w:tc>
          <w:tcPr>
            <w:tcW w:w="25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160" w:type="dxa"/>
            <w:vAlign w:val="bottom"/>
            <w:tcBorders>
              <w:bottom w:val="single" w:sz="8" w:color="auto"/>
            </w:tcBorders>
            <w:gridSpan w:val="3"/>
          </w:tcPr>
          <w:p>
            <w:pPr>
              <w:jc w:val="right"/>
              <w:ind w:right="761"/>
              <w:spacing w:after="0"/>
              <w:rPr>
                <w:sz w:val="20"/>
                <w:szCs w:val="20"/>
                <w:color w:val="auto"/>
              </w:rPr>
            </w:pPr>
            <w:r>
              <w:rPr>
                <w:rFonts w:ascii="Times New Roman" w:cs="Times New Roman" w:eastAsia="Times New Roman" w:hAnsi="Times New Roman"/>
                <w:sz w:val="16"/>
                <w:szCs w:val="16"/>
                <w:b w:val="1"/>
                <w:bCs w:val="1"/>
                <w:color w:val="auto"/>
              </w:rPr>
              <w:t>Class A</w:t>
            </w:r>
          </w:p>
        </w:tc>
        <w:tc>
          <w:tcPr>
            <w:tcW w:w="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20" w:type="dxa"/>
            <w:vAlign w:val="bottom"/>
            <w:tcBorders>
              <w:bottom w:val="single" w:sz="8" w:color="auto"/>
            </w:tcBorders>
            <w:gridSpan w:val="3"/>
          </w:tcPr>
          <w:p>
            <w:pPr>
              <w:jc w:val="right"/>
              <w:ind w:right="681"/>
              <w:spacing w:after="0"/>
              <w:rPr>
                <w:sz w:val="20"/>
                <w:szCs w:val="20"/>
                <w:color w:val="auto"/>
              </w:rPr>
            </w:pPr>
            <w:r>
              <w:rPr>
                <w:rFonts w:ascii="Times New Roman" w:cs="Times New Roman" w:eastAsia="Times New Roman" w:hAnsi="Times New Roman"/>
                <w:sz w:val="16"/>
                <w:szCs w:val="16"/>
                <w:b w:val="1"/>
                <w:bCs w:val="1"/>
                <w:color w:val="auto"/>
              </w:rPr>
              <w:t>Class V</w:t>
            </w:r>
          </w:p>
        </w:tc>
        <w:tc>
          <w:tcPr>
            <w:tcW w:w="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80" w:type="dxa"/>
            <w:vAlign w:val="bottom"/>
          </w:tcPr>
          <w:p>
            <w:pPr>
              <w:jc w:val="right"/>
              <w:ind w:right="61"/>
              <w:spacing w:after="0"/>
              <w:rPr>
                <w:sz w:val="20"/>
                <w:szCs w:val="20"/>
                <w:color w:val="auto"/>
              </w:rPr>
            </w:pPr>
            <w:r>
              <w:rPr>
                <w:rFonts w:ascii="Times New Roman" w:cs="Times New Roman" w:eastAsia="Times New Roman" w:hAnsi="Times New Roman"/>
                <w:sz w:val="16"/>
                <w:szCs w:val="16"/>
                <w:b w:val="1"/>
                <w:bCs w:val="1"/>
                <w:color w:val="auto"/>
                <w:w w:val="98"/>
              </w:rPr>
              <w:t>Additional</w:t>
            </w:r>
          </w:p>
        </w:tc>
        <w:tc>
          <w:tcPr>
            <w:tcW w:w="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00" w:type="dxa"/>
            <w:vAlign w:val="bottom"/>
          </w:tcPr>
          <w:p>
            <w:pPr>
              <w:jc w:val="center"/>
              <w:ind w:right="161"/>
              <w:spacing w:after="0"/>
              <w:rPr>
                <w:sz w:val="20"/>
                <w:szCs w:val="20"/>
                <w:color w:val="auto"/>
              </w:rPr>
            </w:pPr>
            <w:r>
              <w:rPr>
                <w:rFonts w:ascii="Times New Roman" w:cs="Times New Roman" w:eastAsia="Times New Roman" w:hAnsi="Times New Roman"/>
                <w:sz w:val="16"/>
                <w:szCs w:val="16"/>
                <w:b w:val="1"/>
                <w:bCs w:val="1"/>
                <w:color w:val="auto"/>
                <w:w w:val="98"/>
              </w:rPr>
              <w:t>Deficit)</w:t>
            </w:r>
          </w:p>
        </w:tc>
        <w:tc>
          <w:tcPr>
            <w:tcW w:w="60" w:type="dxa"/>
            <w:vAlign w:val="bottom"/>
          </w:tcPr>
          <w:p>
            <w:pPr>
              <w:spacing w:after="0"/>
              <w:rPr>
                <w:sz w:val="18"/>
                <w:szCs w:val="18"/>
                <w:color w:val="auto"/>
              </w:rPr>
            </w:pPr>
          </w:p>
        </w:tc>
        <w:tc>
          <w:tcPr>
            <w:tcW w:w="1300" w:type="dxa"/>
            <w:vAlign w:val="bottom"/>
            <w:gridSpan w:val="2"/>
          </w:tcPr>
          <w:p>
            <w:pPr>
              <w:jc w:val="center"/>
              <w:spacing w:after="0"/>
              <w:rPr>
                <w:sz w:val="20"/>
                <w:szCs w:val="20"/>
                <w:color w:val="auto"/>
              </w:rPr>
            </w:pPr>
            <w:r>
              <w:rPr>
                <w:rFonts w:ascii="Times New Roman" w:cs="Times New Roman" w:eastAsia="Times New Roman" w:hAnsi="Times New Roman"/>
                <w:sz w:val="16"/>
                <w:szCs w:val="16"/>
                <w:b w:val="1"/>
                <w:bCs w:val="1"/>
                <w:color w:val="auto"/>
                <w:w w:val="98"/>
              </w:rPr>
              <w:t>Technology, Inc.</w:t>
            </w:r>
          </w:p>
        </w:tc>
        <w:tc>
          <w:tcPr>
            <w:tcW w:w="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80" w:type="dxa"/>
            <w:vAlign w:val="bottom"/>
          </w:tcPr>
          <w:p>
            <w:pPr>
              <w:jc w:val="center"/>
              <w:ind w:right="61"/>
              <w:spacing w:after="0"/>
              <w:rPr>
                <w:sz w:val="20"/>
                <w:szCs w:val="20"/>
                <w:color w:val="auto"/>
              </w:rPr>
            </w:pPr>
            <w:r>
              <w:rPr>
                <w:rFonts w:ascii="Times New Roman" w:cs="Times New Roman" w:eastAsia="Times New Roman" w:hAnsi="Times New Roman"/>
                <w:sz w:val="16"/>
                <w:szCs w:val="16"/>
                <w:b w:val="1"/>
                <w:bCs w:val="1"/>
                <w:color w:val="auto"/>
              </w:rPr>
              <w:t>Non-</w:t>
            </w:r>
          </w:p>
        </w:tc>
        <w:tc>
          <w:tcPr>
            <w:tcW w:w="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31"/>
        </w:trPr>
        <w:tc>
          <w:tcPr>
            <w:tcW w:w="40" w:type="dxa"/>
            <w:vAlign w:val="bottom"/>
          </w:tcPr>
          <w:p>
            <w:pPr>
              <w:spacing w:after="0"/>
              <w:rPr>
                <w:sz w:val="11"/>
                <w:szCs w:val="11"/>
                <w:color w:val="auto"/>
              </w:rPr>
            </w:pPr>
          </w:p>
        </w:tc>
        <w:tc>
          <w:tcPr>
            <w:tcW w:w="25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40" w:type="dxa"/>
            <w:vAlign w:val="bottom"/>
            <w:vMerge w:val="restart"/>
          </w:tcPr>
          <w:p>
            <w:pPr>
              <w:jc w:val="right"/>
              <w:ind w:right="221"/>
              <w:spacing w:after="0"/>
              <w:rPr>
                <w:sz w:val="20"/>
                <w:szCs w:val="20"/>
                <w:color w:val="auto"/>
              </w:rPr>
            </w:pPr>
            <w:r>
              <w:rPr>
                <w:rFonts w:ascii="Times New Roman" w:cs="Times New Roman" w:eastAsia="Times New Roman" w:hAnsi="Times New Roman"/>
                <w:sz w:val="16"/>
                <w:szCs w:val="16"/>
                <w:b w:val="1"/>
                <w:bCs w:val="1"/>
                <w:color w:val="auto"/>
              </w:rPr>
              <w:t>Shares</w:t>
            </w:r>
          </w:p>
        </w:tc>
        <w:tc>
          <w:tcPr>
            <w:tcW w:w="180" w:type="dxa"/>
            <w:vAlign w:val="bottom"/>
          </w:tcPr>
          <w:p>
            <w:pPr>
              <w:spacing w:after="0"/>
              <w:rPr>
                <w:sz w:val="11"/>
                <w:szCs w:val="11"/>
                <w:color w:val="auto"/>
              </w:rPr>
            </w:pPr>
          </w:p>
        </w:tc>
        <w:tc>
          <w:tcPr>
            <w:tcW w:w="940" w:type="dxa"/>
            <w:vAlign w:val="bottom"/>
            <w:vMerge w:val="restart"/>
          </w:tcPr>
          <w:p>
            <w:pPr>
              <w:jc w:val="right"/>
              <w:ind w:right="161"/>
              <w:spacing w:after="0"/>
              <w:rPr>
                <w:sz w:val="20"/>
                <w:szCs w:val="20"/>
                <w:color w:val="auto"/>
              </w:rPr>
            </w:pPr>
            <w:r>
              <w:rPr>
                <w:rFonts w:ascii="Times New Roman" w:cs="Times New Roman" w:eastAsia="Times New Roman" w:hAnsi="Times New Roman"/>
                <w:sz w:val="16"/>
                <w:szCs w:val="16"/>
                <w:b w:val="1"/>
                <w:bCs w:val="1"/>
                <w:color w:val="auto"/>
                <w:w w:val="98"/>
              </w:rPr>
              <w:t>Par Value</w:t>
            </w:r>
          </w:p>
        </w:tc>
        <w:tc>
          <w:tcPr>
            <w:tcW w:w="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0" w:type="dxa"/>
            <w:vAlign w:val="bottom"/>
            <w:vMerge w:val="restart"/>
          </w:tcPr>
          <w:p>
            <w:pPr>
              <w:jc w:val="right"/>
              <w:ind w:right="221"/>
              <w:spacing w:after="0"/>
              <w:rPr>
                <w:sz w:val="20"/>
                <w:szCs w:val="20"/>
                <w:color w:val="auto"/>
              </w:rPr>
            </w:pPr>
            <w:r>
              <w:rPr>
                <w:rFonts w:ascii="Times New Roman" w:cs="Times New Roman" w:eastAsia="Times New Roman" w:hAnsi="Times New Roman"/>
                <w:sz w:val="16"/>
                <w:szCs w:val="16"/>
                <w:b w:val="1"/>
                <w:bCs w:val="1"/>
                <w:color w:val="auto"/>
              </w:rPr>
              <w:t>Shares</w:t>
            </w:r>
          </w:p>
        </w:tc>
        <w:tc>
          <w:tcPr>
            <w:tcW w:w="160" w:type="dxa"/>
            <w:vAlign w:val="bottom"/>
          </w:tcPr>
          <w:p>
            <w:pPr>
              <w:spacing w:after="0"/>
              <w:rPr>
                <w:sz w:val="11"/>
                <w:szCs w:val="11"/>
                <w:color w:val="auto"/>
              </w:rPr>
            </w:pPr>
          </w:p>
        </w:tc>
        <w:tc>
          <w:tcPr>
            <w:tcW w:w="860" w:type="dxa"/>
            <w:vAlign w:val="bottom"/>
            <w:vMerge w:val="restart"/>
          </w:tcPr>
          <w:p>
            <w:pPr>
              <w:jc w:val="right"/>
              <w:ind w:right="101"/>
              <w:spacing w:after="0"/>
              <w:rPr>
                <w:sz w:val="20"/>
                <w:szCs w:val="20"/>
                <w:color w:val="auto"/>
              </w:rPr>
            </w:pPr>
            <w:r>
              <w:rPr>
                <w:rFonts w:ascii="Times New Roman" w:cs="Times New Roman" w:eastAsia="Times New Roman" w:hAnsi="Times New Roman"/>
                <w:sz w:val="16"/>
                <w:szCs w:val="16"/>
                <w:b w:val="1"/>
                <w:bCs w:val="1"/>
                <w:color w:val="auto"/>
                <w:w w:val="95"/>
              </w:rPr>
              <w:t>Par Value</w:t>
            </w:r>
          </w:p>
        </w:tc>
        <w:tc>
          <w:tcPr>
            <w:tcW w:w="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80" w:type="dxa"/>
            <w:vAlign w:val="bottom"/>
          </w:tcPr>
          <w:p>
            <w:pPr>
              <w:jc w:val="right"/>
              <w:ind w:right="181"/>
              <w:spacing w:after="0" w:line="131" w:lineRule="exact"/>
              <w:rPr>
                <w:sz w:val="20"/>
                <w:szCs w:val="20"/>
                <w:color w:val="auto"/>
              </w:rPr>
            </w:pPr>
            <w:r>
              <w:rPr>
                <w:rFonts w:ascii="Times New Roman" w:cs="Times New Roman" w:eastAsia="Times New Roman" w:hAnsi="Times New Roman"/>
                <w:sz w:val="15"/>
                <w:szCs w:val="15"/>
                <w:b w:val="1"/>
                <w:bCs w:val="1"/>
                <w:color w:val="auto"/>
              </w:rPr>
              <w:t>Paid-in</w:t>
            </w:r>
          </w:p>
        </w:tc>
        <w:tc>
          <w:tcPr>
            <w:tcW w:w="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900" w:type="dxa"/>
            <w:vAlign w:val="bottom"/>
          </w:tcPr>
          <w:p>
            <w:pPr>
              <w:jc w:val="center"/>
              <w:ind w:right="141"/>
              <w:spacing w:after="0" w:line="131" w:lineRule="exact"/>
              <w:rPr>
                <w:sz w:val="20"/>
                <w:szCs w:val="20"/>
                <w:color w:val="auto"/>
              </w:rPr>
            </w:pPr>
            <w:r>
              <w:rPr>
                <w:rFonts w:ascii="Times New Roman" w:cs="Times New Roman" w:eastAsia="Times New Roman" w:hAnsi="Times New Roman"/>
                <w:sz w:val="15"/>
                <w:szCs w:val="15"/>
                <w:b w:val="1"/>
                <w:bCs w:val="1"/>
                <w:color w:val="auto"/>
              </w:rPr>
              <w:t>Retained</w:t>
            </w:r>
          </w:p>
        </w:tc>
        <w:tc>
          <w:tcPr>
            <w:tcW w:w="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140" w:type="dxa"/>
            <w:vAlign w:val="bottom"/>
          </w:tcPr>
          <w:p>
            <w:pPr>
              <w:jc w:val="center"/>
              <w:ind w:right="81"/>
              <w:spacing w:after="0" w:line="131" w:lineRule="exact"/>
              <w:rPr>
                <w:sz w:val="20"/>
                <w:szCs w:val="20"/>
                <w:color w:val="auto"/>
              </w:rPr>
            </w:pPr>
            <w:r>
              <w:rPr>
                <w:rFonts w:ascii="Times New Roman" w:cs="Times New Roman" w:eastAsia="Times New Roman" w:hAnsi="Times New Roman"/>
                <w:sz w:val="15"/>
                <w:szCs w:val="15"/>
                <w:b w:val="1"/>
                <w:bCs w:val="1"/>
                <w:color w:val="auto"/>
              </w:rPr>
              <w:t>Stockholders'</w:t>
            </w:r>
          </w:p>
        </w:tc>
        <w:tc>
          <w:tcPr>
            <w:tcW w:w="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80" w:type="dxa"/>
            <w:vAlign w:val="bottom"/>
          </w:tcPr>
          <w:p>
            <w:pPr>
              <w:jc w:val="center"/>
              <w:ind w:right="61"/>
              <w:spacing w:after="0" w:line="131" w:lineRule="exact"/>
              <w:rPr>
                <w:sz w:val="20"/>
                <w:szCs w:val="20"/>
                <w:color w:val="auto"/>
              </w:rPr>
            </w:pPr>
            <w:r>
              <w:rPr>
                <w:rFonts w:ascii="Times New Roman" w:cs="Times New Roman" w:eastAsia="Times New Roman" w:hAnsi="Times New Roman"/>
                <w:sz w:val="15"/>
                <w:szCs w:val="15"/>
                <w:b w:val="1"/>
                <w:bCs w:val="1"/>
                <w:color w:val="auto"/>
              </w:rPr>
              <w:t>controlling</w:t>
            </w:r>
          </w:p>
        </w:tc>
        <w:tc>
          <w:tcPr>
            <w:tcW w:w="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60" w:type="dxa"/>
            <w:vAlign w:val="bottom"/>
          </w:tcPr>
          <w:p>
            <w:pPr>
              <w:jc w:val="right"/>
              <w:ind w:right="81"/>
              <w:spacing w:after="0" w:line="131" w:lineRule="exact"/>
              <w:rPr>
                <w:sz w:val="20"/>
                <w:szCs w:val="20"/>
                <w:color w:val="auto"/>
              </w:rPr>
            </w:pPr>
            <w:r>
              <w:rPr>
                <w:rFonts w:ascii="Times New Roman" w:cs="Times New Roman" w:eastAsia="Times New Roman" w:hAnsi="Times New Roman"/>
                <w:sz w:val="15"/>
                <w:szCs w:val="15"/>
                <w:b w:val="1"/>
                <w:bCs w:val="1"/>
                <w:color w:val="auto"/>
              </w:rPr>
              <w:t>Members’</w:t>
            </w:r>
          </w:p>
        </w:tc>
        <w:tc>
          <w:tcPr>
            <w:tcW w:w="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0" w:type="dxa"/>
            <w:vAlign w:val="bottom"/>
            <w:gridSpan w:val="2"/>
            <w:vMerge w:val="restart"/>
          </w:tcPr>
          <w:p>
            <w:pPr>
              <w:ind w:left="80"/>
              <w:spacing w:after="0"/>
              <w:rPr>
                <w:sz w:val="20"/>
                <w:szCs w:val="20"/>
                <w:color w:val="auto"/>
              </w:rPr>
            </w:pPr>
            <w:r>
              <w:rPr>
                <w:rFonts w:ascii="Times New Roman" w:cs="Times New Roman" w:eastAsia="Times New Roman" w:hAnsi="Times New Roman"/>
                <w:sz w:val="16"/>
                <w:szCs w:val="16"/>
                <w:b w:val="1"/>
                <w:bCs w:val="1"/>
                <w:color w:val="auto"/>
              </w:rPr>
              <w:t>Total Equity</w:t>
            </w: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40"/>
        </w:trPr>
        <w:tc>
          <w:tcPr>
            <w:tcW w:w="40" w:type="dxa"/>
            <w:vAlign w:val="bottom"/>
            <w:tcBorders>
              <w:bottom w:val="single" w:sz="8" w:color="DDDDDD"/>
            </w:tcBorders>
          </w:tcPr>
          <w:p>
            <w:pPr>
              <w:spacing w:after="0"/>
              <w:rPr>
                <w:sz w:val="20"/>
                <w:szCs w:val="20"/>
                <w:color w:val="auto"/>
              </w:rPr>
            </w:pPr>
          </w:p>
        </w:tc>
        <w:tc>
          <w:tcPr>
            <w:tcW w:w="2560" w:type="dxa"/>
            <w:vAlign w:val="bottom"/>
            <w:tcBorders>
              <w:bottom w:val="single" w:sz="8" w:color="DDDDDD"/>
            </w:tcBorders>
          </w:tcPr>
          <w:p>
            <w:pPr>
              <w:spacing w:after="0"/>
              <w:rPr>
                <w:sz w:val="20"/>
                <w:szCs w:val="20"/>
                <w:color w:val="auto"/>
              </w:rPr>
            </w:pPr>
          </w:p>
        </w:tc>
        <w:tc>
          <w:tcPr>
            <w:tcW w:w="40" w:type="dxa"/>
            <w:vAlign w:val="bottom"/>
            <w:tcBorders>
              <w:bottom w:val="single" w:sz="8" w:color="DDDDDD"/>
            </w:tcBorders>
          </w:tcPr>
          <w:p>
            <w:pPr>
              <w:spacing w:after="0"/>
              <w:rPr>
                <w:sz w:val="20"/>
                <w:szCs w:val="20"/>
                <w:color w:val="auto"/>
              </w:rPr>
            </w:pPr>
          </w:p>
        </w:tc>
        <w:tc>
          <w:tcPr>
            <w:tcW w:w="20" w:type="dxa"/>
            <w:vAlign w:val="bottom"/>
            <w:tcBorders>
              <w:bottom w:val="single" w:sz="8" w:color="DDDDDD"/>
            </w:tcBorders>
          </w:tcPr>
          <w:p>
            <w:pPr>
              <w:spacing w:after="0"/>
              <w:rPr>
                <w:sz w:val="20"/>
                <w:szCs w:val="20"/>
                <w:color w:val="auto"/>
              </w:rPr>
            </w:pPr>
          </w:p>
        </w:tc>
        <w:tc>
          <w:tcPr>
            <w:tcW w:w="1040" w:type="dxa"/>
            <w:vAlign w:val="bottom"/>
            <w:tcBorders>
              <w:bottom w:val="single" w:sz="8" w:color="auto"/>
            </w:tcBorders>
            <w:vMerge w:val="continue"/>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940" w:type="dxa"/>
            <w:vAlign w:val="bottom"/>
            <w:tcBorders>
              <w:bottom w:val="single" w:sz="8" w:color="auto"/>
            </w:tcBorders>
            <w:vMerge w:val="continue"/>
          </w:tcPr>
          <w:p>
            <w:pPr>
              <w:spacing w:after="0"/>
              <w:rPr>
                <w:sz w:val="20"/>
                <w:szCs w:val="20"/>
                <w:color w:val="auto"/>
              </w:rPr>
            </w:pPr>
          </w:p>
        </w:tc>
        <w:tc>
          <w:tcPr>
            <w:tcW w:w="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0" w:type="dxa"/>
            <w:vAlign w:val="bottom"/>
            <w:tcBorders>
              <w:bottom w:val="single" w:sz="8" w:color="auto"/>
            </w:tcBorders>
            <w:vMerge w:val="continue"/>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860" w:type="dxa"/>
            <w:vAlign w:val="bottom"/>
            <w:tcBorders>
              <w:bottom w:val="single" w:sz="8" w:color="auto"/>
            </w:tcBorders>
            <w:vMerge w:val="continue"/>
          </w:tcPr>
          <w:p>
            <w:pPr>
              <w:spacing w:after="0"/>
              <w:rPr>
                <w:sz w:val="20"/>
                <w:szCs w:val="20"/>
                <w:color w:val="auto"/>
              </w:rPr>
            </w:pPr>
          </w:p>
        </w:tc>
        <w:tc>
          <w:tcPr>
            <w:tcW w:w="40" w:type="dxa"/>
            <w:vAlign w:val="bottom"/>
            <w:tcBorders>
              <w:bottom w:val="single" w:sz="8" w:color="DDDDDD"/>
            </w:tcBorders>
          </w:tcPr>
          <w:p>
            <w:pPr>
              <w:spacing w:after="0"/>
              <w:rPr>
                <w:sz w:val="20"/>
                <w:szCs w:val="20"/>
                <w:color w:val="auto"/>
              </w:rPr>
            </w:pPr>
          </w:p>
        </w:tc>
        <w:tc>
          <w:tcPr>
            <w:tcW w:w="20" w:type="dxa"/>
            <w:vAlign w:val="bottom"/>
            <w:tcBorders>
              <w:bottom w:val="single" w:sz="8" w:color="DDDDDD"/>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880" w:type="dxa"/>
            <w:vAlign w:val="bottom"/>
            <w:tcBorders>
              <w:bottom w:val="single" w:sz="8" w:color="auto"/>
            </w:tcBorders>
          </w:tcPr>
          <w:p>
            <w:pPr>
              <w:jc w:val="right"/>
              <w:ind w:right="181"/>
              <w:spacing w:after="0"/>
              <w:rPr>
                <w:sz w:val="20"/>
                <w:szCs w:val="20"/>
                <w:color w:val="auto"/>
              </w:rPr>
            </w:pPr>
            <w:r>
              <w:rPr>
                <w:rFonts w:ascii="Times New Roman" w:cs="Times New Roman" w:eastAsia="Times New Roman" w:hAnsi="Times New Roman"/>
                <w:sz w:val="16"/>
                <w:szCs w:val="16"/>
                <w:b w:val="1"/>
                <w:bCs w:val="1"/>
                <w:color w:val="auto"/>
              </w:rPr>
              <w:t>Capital</w:t>
            </w:r>
          </w:p>
        </w:tc>
        <w:tc>
          <w:tcPr>
            <w:tcW w:w="60" w:type="dxa"/>
            <w:vAlign w:val="bottom"/>
            <w:tcBorders>
              <w:bottom w:val="single" w:sz="8" w:color="DDDDDD"/>
            </w:tcBorders>
          </w:tcPr>
          <w:p>
            <w:pPr>
              <w:spacing w:after="0"/>
              <w:rPr>
                <w:sz w:val="20"/>
                <w:szCs w:val="20"/>
                <w:color w:val="auto"/>
              </w:rPr>
            </w:pPr>
          </w:p>
        </w:tc>
        <w:tc>
          <w:tcPr>
            <w:tcW w:w="20" w:type="dxa"/>
            <w:vAlign w:val="bottom"/>
            <w:tcBorders>
              <w:bottom w:val="single" w:sz="8" w:color="DDDDDD"/>
            </w:tcBorders>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jc w:val="center"/>
              <w:ind w:right="161"/>
              <w:spacing w:after="0"/>
              <w:rPr>
                <w:sz w:val="20"/>
                <w:szCs w:val="20"/>
                <w:color w:val="auto"/>
              </w:rPr>
            </w:pPr>
            <w:r>
              <w:rPr>
                <w:rFonts w:ascii="Times New Roman" w:cs="Times New Roman" w:eastAsia="Times New Roman" w:hAnsi="Times New Roman"/>
                <w:sz w:val="16"/>
                <w:szCs w:val="16"/>
                <w:b w:val="1"/>
                <w:bCs w:val="1"/>
                <w:color w:val="auto"/>
                <w:w w:val="99"/>
              </w:rPr>
              <w:t>Earnings</w:t>
            </w:r>
          </w:p>
        </w:tc>
        <w:tc>
          <w:tcPr>
            <w:tcW w:w="6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140" w:type="dxa"/>
            <w:vAlign w:val="bottom"/>
            <w:tcBorders>
              <w:bottom w:val="single" w:sz="8" w:color="auto"/>
            </w:tcBorders>
          </w:tcPr>
          <w:p>
            <w:pPr>
              <w:jc w:val="center"/>
              <w:ind w:right="101"/>
              <w:spacing w:after="0"/>
              <w:rPr>
                <w:sz w:val="20"/>
                <w:szCs w:val="20"/>
                <w:color w:val="auto"/>
              </w:rPr>
            </w:pPr>
            <w:r>
              <w:rPr>
                <w:rFonts w:ascii="Times New Roman" w:cs="Times New Roman" w:eastAsia="Times New Roman" w:hAnsi="Times New Roman"/>
                <w:sz w:val="16"/>
                <w:szCs w:val="16"/>
                <w:b w:val="1"/>
                <w:bCs w:val="1"/>
                <w:color w:val="auto"/>
                <w:w w:val="95"/>
              </w:rPr>
              <w:t>Equity</w:t>
            </w:r>
          </w:p>
        </w:tc>
        <w:tc>
          <w:tcPr>
            <w:tcW w:w="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880" w:type="dxa"/>
            <w:vAlign w:val="bottom"/>
            <w:tcBorders>
              <w:bottom w:val="single" w:sz="8" w:color="auto"/>
            </w:tcBorders>
          </w:tcPr>
          <w:p>
            <w:pPr>
              <w:jc w:val="center"/>
              <w:ind w:right="61"/>
              <w:spacing w:after="0"/>
              <w:rPr>
                <w:sz w:val="20"/>
                <w:szCs w:val="20"/>
                <w:color w:val="auto"/>
              </w:rPr>
            </w:pPr>
            <w:r>
              <w:rPr>
                <w:rFonts w:ascii="Times New Roman" w:cs="Times New Roman" w:eastAsia="Times New Roman" w:hAnsi="Times New Roman"/>
                <w:sz w:val="16"/>
                <w:szCs w:val="16"/>
                <w:b w:val="1"/>
                <w:bCs w:val="1"/>
                <w:color w:val="auto"/>
                <w:w w:val="97"/>
              </w:rPr>
              <w:t>Interests</w:t>
            </w:r>
          </w:p>
        </w:tc>
        <w:tc>
          <w:tcPr>
            <w:tcW w:w="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860" w:type="dxa"/>
            <w:vAlign w:val="bottom"/>
            <w:tcBorders>
              <w:bottom w:val="single" w:sz="8" w:color="auto"/>
            </w:tcBorders>
          </w:tcPr>
          <w:p>
            <w:pPr>
              <w:jc w:val="right"/>
              <w:ind w:right="201"/>
              <w:spacing w:after="0"/>
              <w:rPr>
                <w:sz w:val="20"/>
                <w:szCs w:val="20"/>
                <w:color w:val="auto"/>
              </w:rPr>
            </w:pPr>
            <w:r>
              <w:rPr>
                <w:rFonts w:ascii="Times New Roman" w:cs="Times New Roman" w:eastAsia="Times New Roman" w:hAnsi="Times New Roman"/>
                <w:sz w:val="16"/>
                <w:szCs w:val="16"/>
                <w:b w:val="1"/>
                <w:bCs w:val="1"/>
                <w:color w:val="auto"/>
              </w:rPr>
              <w:t>Equity</w:t>
            </w:r>
          </w:p>
        </w:tc>
        <w:tc>
          <w:tcPr>
            <w:tcW w:w="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0" w:type="dxa"/>
            <w:vAlign w:val="bottom"/>
            <w:tcBorders>
              <w:bottom w:val="single" w:sz="8" w:color="auto"/>
            </w:tcBorders>
            <w:gridSpan w:val="2"/>
            <w:vMerge w:val="continue"/>
          </w:tcPr>
          <w:p>
            <w:pPr>
              <w:spacing w:after="0"/>
              <w:rPr>
                <w:sz w:val="20"/>
                <w:szCs w:val="20"/>
                <w:color w:val="auto"/>
              </w:rPr>
            </w:pPr>
          </w:p>
        </w:tc>
        <w:tc>
          <w:tcPr>
            <w:tcW w:w="20" w:type="dxa"/>
            <w:vAlign w:val="bottom"/>
            <w:tcBorders>
              <w:bottom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01"/>
        </w:trPr>
        <w:tc>
          <w:tcPr>
            <w:tcW w:w="40" w:type="dxa"/>
            <w:vAlign w:val="bottom"/>
            <w:tcBorders>
              <w:top w:val="single" w:sz="8" w:color="DDDDDD"/>
            </w:tcBorders>
            <w:shd w:val="clear" w:color="auto" w:fill="DDDDDD"/>
          </w:tcPr>
          <w:p>
            <w:pPr>
              <w:spacing w:after="0"/>
              <w:rPr>
                <w:sz w:val="17"/>
                <w:szCs w:val="17"/>
                <w:color w:val="auto"/>
              </w:rPr>
            </w:pPr>
          </w:p>
        </w:tc>
        <w:tc>
          <w:tcPr>
            <w:tcW w:w="2620" w:type="dxa"/>
            <w:vAlign w:val="bottom"/>
            <w:tcBorders>
              <w:top w:val="single" w:sz="8" w:color="DDDDDD"/>
            </w:tcBorders>
            <w:gridSpan w:val="3"/>
            <w:shd w:val="clear" w:color="auto" w:fill="DDDDDD"/>
          </w:tcPr>
          <w:p>
            <w:pPr>
              <w:spacing w:after="0"/>
              <w:rPr>
                <w:sz w:val="20"/>
                <w:szCs w:val="20"/>
                <w:color w:val="auto"/>
              </w:rPr>
            </w:pPr>
            <w:r>
              <w:rPr>
                <w:rFonts w:ascii="Times New Roman" w:cs="Times New Roman" w:eastAsia="Times New Roman" w:hAnsi="Times New Roman"/>
                <w:sz w:val="16"/>
                <w:szCs w:val="16"/>
                <w:b w:val="1"/>
                <w:bCs w:val="1"/>
                <w:color w:val="auto"/>
              </w:rPr>
              <w:t>As of December 31, 2020</w:t>
            </w:r>
          </w:p>
        </w:tc>
        <w:tc>
          <w:tcPr>
            <w:tcW w:w="1040" w:type="dxa"/>
            <w:vAlign w:val="bottom"/>
            <w:tcBorders>
              <w:top w:val="single" w:sz="8" w:color="DDDDDD"/>
            </w:tcBorders>
            <w:shd w:val="clear" w:color="auto" w:fill="DDDDDD"/>
          </w:tcPr>
          <w:p>
            <w:pPr>
              <w:jc w:val="right"/>
              <w:spacing w:after="0"/>
              <w:rPr>
                <w:sz w:val="20"/>
                <w:szCs w:val="20"/>
                <w:color w:val="auto"/>
              </w:rPr>
            </w:pPr>
            <w:r>
              <w:rPr>
                <w:rFonts w:ascii="Times New Roman" w:cs="Times New Roman" w:eastAsia="Times New Roman" w:hAnsi="Times New Roman"/>
                <w:sz w:val="16"/>
                <w:szCs w:val="16"/>
                <w:b w:val="1"/>
                <w:bCs w:val="1"/>
                <w:color w:val="auto"/>
              </w:rPr>
              <w:t>—</w:t>
            </w:r>
          </w:p>
        </w:tc>
        <w:tc>
          <w:tcPr>
            <w:tcW w:w="180" w:type="dxa"/>
            <w:vAlign w:val="bottom"/>
            <w:tcBorders>
              <w:top w:val="single" w:sz="8" w:color="DDDDDD"/>
            </w:tcBorders>
            <w:shd w:val="clear" w:color="auto" w:fill="DDDDDD"/>
          </w:tcPr>
          <w:p>
            <w:pPr>
              <w:jc w:val="right"/>
              <w:spacing w:after="0"/>
              <w:rPr>
                <w:sz w:val="20"/>
                <w:szCs w:val="20"/>
                <w:color w:val="auto"/>
              </w:rPr>
            </w:pPr>
            <w:r>
              <w:rPr>
                <w:rFonts w:ascii="Times New Roman" w:cs="Times New Roman" w:eastAsia="Times New Roman" w:hAnsi="Times New Roman"/>
                <w:sz w:val="16"/>
                <w:szCs w:val="16"/>
                <w:b w:val="1"/>
                <w:bCs w:val="1"/>
                <w:color w:val="auto"/>
              </w:rPr>
              <w:t>$</w:t>
            </w:r>
          </w:p>
        </w:tc>
        <w:tc>
          <w:tcPr>
            <w:tcW w:w="940" w:type="dxa"/>
            <w:vAlign w:val="bottom"/>
            <w:tcBorders>
              <w:top w:val="single" w:sz="8" w:color="DDDDDD"/>
            </w:tcBorders>
            <w:shd w:val="clear" w:color="auto" w:fill="DDDDDD"/>
          </w:tcPr>
          <w:p>
            <w:pPr>
              <w:jc w:val="right"/>
              <w:ind w:right="1"/>
              <w:spacing w:after="0"/>
              <w:rPr>
                <w:sz w:val="20"/>
                <w:szCs w:val="20"/>
                <w:color w:val="auto"/>
              </w:rPr>
            </w:pPr>
            <w:r>
              <w:rPr>
                <w:rFonts w:ascii="Times New Roman" w:cs="Times New Roman" w:eastAsia="Times New Roman" w:hAnsi="Times New Roman"/>
                <w:sz w:val="16"/>
                <w:szCs w:val="16"/>
                <w:b w:val="1"/>
                <w:bCs w:val="1"/>
                <w:color w:val="auto"/>
              </w:rPr>
              <w:t>—</w:t>
            </w:r>
          </w:p>
        </w:tc>
        <w:tc>
          <w:tcPr>
            <w:tcW w:w="40" w:type="dxa"/>
            <w:vAlign w:val="bottom"/>
            <w:tcBorders>
              <w:top w:val="single" w:sz="8" w:color="DDDDDD"/>
            </w:tcBorders>
            <w:shd w:val="clear" w:color="auto" w:fill="DDDDDD"/>
          </w:tcPr>
          <w:p>
            <w:pPr>
              <w:spacing w:after="0"/>
              <w:rPr>
                <w:sz w:val="17"/>
                <w:szCs w:val="17"/>
                <w:color w:val="auto"/>
              </w:rPr>
            </w:pPr>
          </w:p>
        </w:tc>
        <w:tc>
          <w:tcPr>
            <w:tcW w:w="20" w:type="dxa"/>
            <w:vAlign w:val="bottom"/>
            <w:tcBorders>
              <w:top w:val="single" w:sz="8" w:color="DDDDDD"/>
            </w:tcBorders>
            <w:shd w:val="clear" w:color="auto" w:fill="DDDDDD"/>
          </w:tcPr>
          <w:p>
            <w:pPr>
              <w:spacing w:after="0"/>
              <w:rPr>
                <w:sz w:val="17"/>
                <w:szCs w:val="17"/>
                <w:color w:val="auto"/>
              </w:rPr>
            </w:pPr>
          </w:p>
        </w:tc>
        <w:tc>
          <w:tcPr>
            <w:tcW w:w="1000" w:type="dxa"/>
            <w:vAlign w:val="bottom"/>
            <w:tcBorders>
              <w:top w:val="single" w:sz="8" w:color="DDDDDD"/>
            </w:tcBorders>
            <w:shd w:val="clear" w:color="auto" w:fill="DDDDDD"/>
          </w:tcPr>
          <w:p>
            <w:pPr>
              <w:jc w:val="right"/>
              <w:spacing w:after="0"/>
              <w:rPr>
                <w:sz w:val="20"/>
                <w:szCs w:val="20"/>
                <w:color w:val="auto"/>
              </w:rPr>
            </w:pPr>
            <w:r>
              <w:rPr>
                <w:rFonts w:ascii="Times New Roman" w:cs="Times New Roman" w:eastAsia="Times New Roman" w:hAnsi="Times New Roman"/>
                <w:sz w:val="16"/>
                <w:szCs w:val="16"/>
                <w:b w:val="1"/>
                <w:bCs w:val="1"/>
                <w:color w:val="auto"/>
              </w:rPr>
              <w:t>—</w:t>
            </w:r>
          </w:p>
        </w:tc>
        <w:tc>
          <w:tcPr>
            <w:tcW w:w="160" w:type="dxa"/>
            <w:vAlign w:val="bottom"/>
            <w:tcBorders>
              <w:top w:val="single" w:sz="8" w:color="DDDDDD"/>
            </w:tcBorders>
            <w:shd w:val="clear" w:color="auto" w:fill="DDDDDD"/>
          </w:tcPr>
          <w:p>
            <w:pPr>
              <w:jc w:val="right"/>
              <w:spacing w:after="0"/>
              <w:rPr>
                <w:sz w:val="20"/>
                <w:szCs w:val="20"/>
                <w:color w:val="auto"/>
              </w:rPr>
            </w:pPr>
            <w:r>
              <w:rPr>
                <w:rFonts w:ascii="Times New Roman" w:cs="Times New Roman" w:eastAsia="Times New Roman" w:hAnsi="Times New Roman"/>
                <w:sz w:val="16"/>
                <w:szCs w:val="16"/>
                <w:b w:val="1"/>
                <w:bCs w:val="1"/>
                <w:color w:val="auto"/>
              </w:rPr>
              <w:t>$</w:t>
            </w:r>
          </w:p>
        </w:tc>
        <w:tc>
          <w:tcPr>
            <w:tcW w:w="860" w:type="dxa"/>
            <w:vAlign w:val="bottom"/>
            <w:tcBorders>
              <w:top w:val="single" w:sz="8" w:color="DDDDDD"/>
            </w:tcBorders>
            <w:shd w:val="clear" w:color="auto" w:fill="DDDDDD"/>
          </w:tcPr>
          <w:p>
            <w:pPr>
              <w:jc w:val="right"/>
              <w:spacing w:after="0"/>
              <w:rPr>
                <w:sz w:val="20"/>
                <w:szCs w:val="20"/>
                <w:color w:val="auto"/>
              </w:rPr>
            </w:pPr>
            <w:r>
              <w:rPr>
                <w:rFonts w:ascii="Times New Roman" w:cs="Times New Roman" w:eastAsia="Times New Roman" w:hAnsi="Times New Roman"/>
                <w:sz w:val="16"/>
                <w:szCs w:val="16"/>
                <w:b w:val="1"/>
                <w:bCs w:val="1"/>
                <w:color w:val="auto"/>
              </w:rPr>
              <w:t>—</w:t>
            </w:r>
          </w:p>
        </w:tc>
        <w:tc>
          <w:tcPr>
            <w:tcW w:w="40" w:type="dxa"/>
            <w:vAlign w:val="bottom"/>
            <w:tcBorders>
              <w:top w:val="single" w:sz="8" w:color="DDDDDD"/>
            </w:tcBorders>
            <w:shd w:val="clear" w:color="auto" w:fill="DDDDDD"/>
          </w:tcPr>
          <w:p>
            <w:pPr>
              <w:spacing w:after="0"/>
              <w:rPr>
                <w:sz w:val="17"/>
                <w:szCs w:val="17"/>
                <w:color w:val="auto"/>
              </w:rPr>
            </w:pPr>
          </w:p>
        </w:tc>
        <w:tc>
          <w:tcPr>
            <w:tcW w:w="20" w:type="dxa"/>
            <w:vAlign w:val="bottom"/>
            <w:tcBorders>
              <w:top w:val="single" w:sz="8" w:color="DDDDDD"/>
            </w:tcBorders>
            <w:shd w:val="clear" w:color="auto" w:fill="DDDDDD"/>
          </w:tcPr>
          <w:p>
            <w:pPr>
              <w:spacing w:after="0"/>
              <w:rPr>
                <w:sz w:val="17"/>
                <w:szCs w:val="17"/>
                <w:color w:val="auto"/>
              </w:rPr>
            </w:pPr>
          </w:p>
        </w:tc>
        <w:tc>
          <w:tcPr>
            <w:tcW w:w="140" w:type="dxa"/>
            <w:vAlign w:val="bottom"/>
            <w:tcBorders>
              <w:top w:val="single" w:sz="8" w:color="DDDDDD"/>
            </w:tcBorders>
            <w:shd w:val="clear" w:color="auto" w:fill="DDDDDD"/>
          </w:tcPr>
          <w:p>
            <w:pPr>
              <w:jc w:val="right"/>
              <w:spacing w:after="0"/>
              <w:rPr>
                <w:sz w:val="20"/>
                <w:szCs w:val="20"/>
                <w:color w:val="auto"/>
              </w:rPr>
            </w:pPr>
            <w:r>
              <w:rPr>
                <w:rFonts w:ascii="Times New Roman" w:cs="Times New Roman" w:eastAsia="Times New Roman" w:hAnsi="Times New Roman"/>
                <w:sz w:val="16"/>
                <w:szCs w:val="16"/>
                <w:b w:val="1"/>
                <w:bCs w:val="1"/>
                <w:color w:val="auto"/>
              </w:rPr>
              <w:t>$</w:t>
            </w:r>
          </w:p>
        </w:tc>
        <w:tc>
          <w:tcPr>
            <w:tcW w:w="880" w:type="dxa"/>
            <w:vAlign w:val="bottom"/>
            <w:tcBorders>
              <w:top w:val="single" w:sz="8" w:color="DDDDDD"/>
            </w:tcBorders>
            <w:shd w:val="clear" w:color="auto" w:fill="DDDDDD"/>
          </w:tcPr>
          <w:p>
            <w:pPr>
              <w:jc w:val="right"/>
              <w:spacing w:after="0"/>
              <w:rPr>
                <w:sz w:val="20"/>
                <w:szCs w:val="20"/>
                <w:color w:val="auto"/>
              </w:rPr>
            </w:pPr>
            <w:r>
              <w:rPr>
                <w:rFonts w:ascii="Times New Roman" w:cs="Times New Roman" w:eastAsia="Times New Roman" w:hAnsi="Times New Roman"/>
                <w:sz w:val="16"/>
                <w:szCs w:val="16"/>
                <w:b w:val="1"/>
                <w:bCs w:val="1"/>
                <w:color w:val="auto"/>
              </w:rPr>
              <w:t>—</w:t>
            </w:r>
          </w:p>
        </w:tc>
        <w:tc>
          <w:tcPr>
            <w:tcW w:w="60" w:type="dxa"/>
            <w:vAlign w:val="bottom"/>
            <w:tcBorders>
              <w:top w:val="single" w:sz="8" w:color="DDDDDD"/>
            </w:tcBorders>
            <w:shd w:val="clear" w:color="auto" w:fill="DDDDDD"/>
          </w:tcPr>
          <w:p>
            <w:pPr>
              <w:spacing w:after="0"/>
              <w:rPr>
                <w:sz w:val="17"/>
                <w:szCs w:val="17"/>
                <w:color w:val="auto"/>
              </w:rPr>
            </w:pPr>
          </w:p>
        </w:tc>
        <w:tc>
          <w:tcPr>
            <w:tcW w:w="20" w:type="dxa"/>
            <w:vAlign w:val="bottom"/>
            <w:tcBorders>
              <w:top w:val="single" w:sz="8" w:color="DDDDDD"/>
            </w:tcBorders>
            <w:shd w:val="clear" w:color="auto" w:fill="DDDDDD"/>
          </w:tcPr>
          <w:p>
            <w:pPr>
              <w:spacing w:after="0"/>
              <w:rPr>
                <w:sz w:val="17"/>
                <w:szCs w:val="17"/>
                <w:color w:val="auto"/>
              </w:rPr>
            </w:pPr>
          </w:p>
        </w:tc>
        <w:tc>
          <w:tcPr>
            <w:tcW w:w="220" w:type="dxa"/>
            <w:vAlign w:val="bottom"/>
            <w:tcBorders>
              <w:top w:val="single" w:sz="8" w:color="DDDDDD"/>
            </w:tcBorders>
            <w:shd w:val="clear" w:color="auto" w:fill="DDDDDD"/>
          </w:tcPr>
          <w:p>
            <w:pPr>
              <w:jc w:val="right"/>
              <w:spacing w:after="0"/>
              <w:rPr>
                <w:sz w:val="20"/>
                <w:szCs w:val="20"/>
                <w:color w:val="auto"/>
              </w:rPr>
            </w:pPr>
            <w:r>
              <w:rPr>
                <w:rFonts w:ascii="Times New Roman" w:cs="Times New Roman" w:eastAsia="Times New Roman" w:hAnsi="Times New Roman"/>
                <w:sz w:val="16"/>
                <w:szCs w:val="16"/>
                <w:b w:val="1"/>
                <w:bCs w:val="1"/>
                <w:color w:val="auto"/>
              </w:rPr>
              <w:t>$</w:t>
            </w:r>
          </w:p>
        </w:tc>
        <w:tc>
          <w:tcPr>
            <w:tcW w:w="900" w:type="dxa"/>
            <w:vAlign w:val="bottom"/>
            <w:tcBorders>
              <w:top w:val="single" w:sz="8" w:color="DDDDDD"/>
            </w:tcBorders>
            <w:shd w:val="clear" w:color="auto" w:fill="DDDDDD"/>
          </w:tcPr>
          <w:p>
            <w:pPr>
              <w:jc w:val="right"/>
              <w:spacing w:after="0"/>
              <w:rPr>
                <w:sz w:val="20"/>
                <w:szCs w:val="20"/>
                <w:color w:val="auto"/>
              </w:rPr>
            </w:pPr>
            <w:r>
              <w:rPr>
                <w:rFonts w:ascii="Times New Roman" w:cs="Times New Roman" w:eastAsia="Times New Roman" w:hAnsi="Times New Roman"/>
                <w:sz w:val="16"/>
                <w:szCs w:val="16"/>
                <w:b w:val="1"/>
                <w:bCs w:val="1"/>
                <w:color w:val="auto"/>
              </w:rPr>
              <w:t>—</w:t>
            </w:r>
          </w:p>
        </w:tc>
        <w:tc>
          <w:tcPr>
            <w:tcW w:w="60" w:type="dxa"/>
            <w:vAlign w:val="bottom"/>
            <w:tcBorders>
              <w:top w:val="single" w:sz="8" w:color="DDDDDD"/>
            </w:tcBorders>
            <w:shd w:val="clear" w:color="auto" w:fill="DDDDDD"/>
          </w:tcPr>
          <w:p>
            <w:pPr>
              <w:spacing w:after="0"/>
              <w:rPr>
                <w:sz w:val="17"/>
                <w:szCs w:val="17"/>
                <w:color w:val="auto"/>
              </w:rPr>
            </w:pPr>
          </w:p>
        </w:tc>
        <w:tc>
          <w:tcPr>
            <w:tcW w:w="160" w:type="dxa"/>
            <w:vAlign w:val="bottom"/>
            <w:tcBorders>
              <w:top w:val="single" w:sz="8" w:color="DDDDDD"/>
            </w:tcBorders>
            <w:shd w:val="clear" w:color="auto" w:fill="DDDDDD"/>
          </w:tcPr>
          <w:p>
            <w:pPr>
              <w:jc w:val="right"/>
              <w:spacing w:after="0"/>
              <w:rPr>
                <w:sz w:val="20"/>
                <w:szCs w:val="20"/>
                <w:color w:val="auto"/>
              </w:rPr>
            </w:pPr>
            <w:r>
              <w:rPr>
                <w:rFonts w:ascii="Times New Roman" w:cs="Times New Roman" w:eastAsia="Times New Roman" w:hAnsi="Times New Roman"/>
                <w:sz w:val="16"/>
                <w:szCs w:val="16"/>
                <w:b w:val="1"/>
                <w:bCs w:val="1"/>
                <w:color w:val="auto"/>
              </w:rPr>
              <w:t>$</w:t>
            </w:r>
          </w:p>
        </w:tc>
        <w:tc>
          <w:tcPr>
            <w:tcW w:w="1140" w:type="dxa"/>
            <w:vAlign w:val="bottom"/>
            <w:tcBorders>
              <w:top w:val="single" w:sz="8" w:color="DDDDDD"/>
            </w:tcBorders>
            <w:shd w:val="clear" w:color="auto" w:fill="DDDDDD"/>
          </w:tcPr>
          <w:p>
            <w:pPr>
              <w:jc w:val="right"/>
              <w:spacing w:after="0"/>
              <w:rPr>
                <w:sz w:val="20"/>
                <w:szCs w:val="20"/>
                <w:color w:val="auto"/>
              </w:rPr>
            </w:pPr>
            <w:r>
              <w:rPr>
                <w:rFonts w:ascii="Times New Roman" w:cs="Times New Roman" w:eastAsia="Times New Roman" w:hAnsi="Times New Roman"/>
                <w:sz w:val="16"/>
                <w:szCs w:val="16"/>
                <w:b w:val="1"/>
                <w:bCs w:val="1"/>
                <w:color w:val="auto"/>
              </w:rPr>
              <w:t>—</w:t>
            </w:r>
          </w:p>
        </w:tc>
        <w:tc>
          <w:tcPr>
            <w:tcW w:w="200" w:type="dxa"/>
            <w:vAlign w:val="bottom"/>
            <w:tcBorders>
              <w:top w:val="single" w:sz="8" w:color="DDDDDD"/>
            </w:tcBorders>
            <w:gridSpan w:val="3"/>
            <w:shd w:val="clear" w:color="auto" w:fill="DDDDDD"/>
          </w:tcPr>
          <w:p>
            <w:pPr>
              <w:jc w:val="right"/>
              <w:spacing w:after="0"/>
              <w:rPr>
                <w:sz w:val="20"/>
                <w:szCs w:val="20"/>
                <w:color w:val="auto"/>
              </w:rPr>
            </w:pPr>
            <w:r>
              <w:rPr>
                <w:rFonts w:ascii="Times New Roman" w:cs="Times New Roman" w:eastAsia="Times New Roman" w:hAnsi="Times New Roman"/>
                <w:sz w:val="16"/>
                <w:szCs w:val="16"/>
                <w:b w:val="1"/>
                <w:bCs w:val="1"/>
                <w:color w:val="auto"/>
              </w:rPr>
              <w:t>$</w:t>
            </w:r>
          </w:p>
        </w:tc>
        <w:tc>
          <w:tcPr>
            <w:tcW w:w="880" w:type="dxa"/>
            <w:vAlign w:val="bottom"/>
            <w:tcBorders>
              <w:top w:val="single" w:sz="8" w:color="DDDDDD"/>
            </w:tcBorders>
            <w:shd w:val="clear" w:color="auto" w:fill="DDDDDD"/>
          </w:tcPr>
          <w:p>
            <w:pPr>
              <w:jc w:val="right"/>
              <w:spacing w:after="0"/>
              <w:rPr>
                <w:sz w:val="20"/>
                <w:szCs w:val="20"/>
                <w:color w:val="auto"/>
              </w:rPr>
            </w:pPr>
            <w:r>
              <w:rPr>
                <w:rFonts w:ascii="Times New Roman" w:cs="Times New Roman" w:eastAsia="Times New Roman" w:hAnsi="Times New Roman"/>
                <w:sz w:val="16"/>
                <w:szCs w:val="16"/>
                <w:b w:val="1"/>
                <w:bCs w:val="1"/>
                <w:color w:val="auto"/>
              </w:rPr>
              <w:t>—</w:t>
            </w:r>
          </w:p>
        </w:tc>
        <w:tc>
          <w:tcPr>
            <w:tcW w:w="220" w:type="dxa"/>
            <w:vAlign w:val="bottom"/>
            <w:tcBorders>
              <w:top w:val="single" w:sz="8" w:color="DDDDDD"/>
            </w:tcBorders>
            <w:gridSpan w:val="3"/>
            <w:shd w:val="clear" w:color="auto" w:fill="DDDDDD"/>
          </w:tcPr>
          <w:p>
            <w:pPr>
              <w:jc w:val="right"/>
              <w:spacing w:after="0"/>
              <w:rPr>
                <w:sz w:val="20"/>
                <w:szCs w:val="20"/>
                <w:color w:val="auto"/>
              </w:rPr>
            </w:pPr>
            <w:r>
              <w:rPr>
                <w:rFonts w:ascii="Times New Roman" w:cs="Times New Roman" w:eastAsia="Times New Roman" w:hAnsi="Times New Roman"/>
                <w:sz w:val="16"/>
                <w:szCs w:val="16"/>
                <w:b w:val="1"/>
                <w:bCs w:val="1"/>
                <w:color w:val="auto"/>
              </w:rPr>
              <w:t>$</w:t>
            </w:r>
          </w:p>
        </w:tc>
        <w:tc>
          <w:tcPr>
            <w:tcW w:w="860" w:type="dxa"/>
            <w:vAlign w:val="bottom"/>
            <w:tcBorders>
              <w:top w:val="single" w:sz="8" w:color="DDDDDD"/>
            </w:tcBorders>
            <w:shd w:val="clear" w:color="auto" w:fill="DDDDDD"/>
          </w:tcPr>
          <w:p>
            <w:pPr>
              <w:jc w:val="right"/>
              <w:spacing w:after="0"/>
              <w:rPr>
                <w:sz w:val="20"/>
                <w:szCs w:val="20"/>
                <w:color w:val="auto"/>
              </w:rPr>
            </w:pPr>
            <w:r>
              <w:rPr>
                <w:rFonts w:ascii="Times New Roman" w:cs="Times New Roman" w:eastAsia="Times New Roman" w:hAnsi="Times New Roman"/>
                <w:sz w:val="16"/>
                <w:szCs w:val="16"/>
                <w:b w:val="1"/>
                <w:bCs w:val="1"/>
                <w:color w:val="auto"/>
              </w:rPr>
              <w:t>29,271</w:t>
            </w:r>
          </w:p>
        </w:tc>
        <w:tc>
          <w:tcPr>
            <w:tcW w:w="340" w:type="dxa"/>
            <w:vAlign w:val="bottom"/>
            <w:tcBorders>
              <w:top w:val="single" w:sz="8" w:color="DDDDDD"/>
            </w:tcBorders>
            <w:gridSpan w:val="3"/>
            <w:shd w:val="clear" w:color="auto" w:fill="DDDDDD"/>
          </w:tcPr>
          <w:p>
            <w:pPr>
              <w:ind w:left="120"/>
              <w:spacing w:after="0"/>
              <w:rPr>
                <w:sz w:val="20"/>
                <w:szCs w:val="20"/>
                <w:color w:val="auto"/>
              </w:rPr>
            </w:pPr>
            <w:r>
              <w:rPr>
                <w:rFonts w:ascii="Times New Roman" w:cs="Times New Roman" w:eastAsia="Times New Roman" w:hAnsi="Times New Roman"/>
                <w:sz w:val="16"/>
                <w:szCs w:val="16"/>
                <w:b w:val="1"/>
                <w:bCs w:val="1"/>
                <w:color w:val="auto"/>
              </w:rPr>
              <w:t>$</w:t>
            </w:r>
          </w:p>
        </w:tc>
        <w:tc>
          <w:tcPr>
            <w:tcW w:w="720" w:type="dxa"/>
            <w:vAlign w:val="bottom"/>
            <w:tcBorders>
              <w:top w:val="single" w:sz="8" w:color="DDDDDD"/>
            </w:tcBorders>
            <w:shd w:val="clear" w:color="auto" w:fill="DDDDDD"/>
          </w:tcPr>
          <w:p>
            <w:pPr>
              <w:jc w:val="right"/>
              <w:spacing w:after="0"/>
              <w:rPr>
                <w:sz w:val="20"/>
                <w:szCs w:val="20"/>
                <w:color w:val="auto"/>
              </w:rPr>
            </w:pPr>
            <w:r>
              <w:rPr>
                <w:rFonts w:ascii="Times New Roman" w:cs="Times New Roman" w:eastAsia="Times New Roman" w:hAnsi="Times New Roman"/>
                <w:sz w:val="16"/>
                <w:szCs w:val="16"/>
                <w:b w:val="1"/>
                <w:bCs w:val="1"/>
                <w:color w:val="auto"/>
              </w:rPr>
              <w:t>29,271</w:t>
            </w:r>
          </w:p>
        </w:tc>
        <w:tc>
          <w:tcPr>
            <w:tcW w:w="20" w:type="dxa"/>
            <w:vAlign w:val="bottom"/>
            <w:tcBorders>
              <w:top w:val="single" w:sz="8" w:color="DDDDDD"/>
            </w:tcBorders>
          </w:tcPr>
          <w:p>
            <w:pPr>
              <w:spacing w:after="0"/>
              <w:rPr>
                <w:sz w:val="17"/>
                <w:szCs w:val="17"/>
                <w:color w:val="auto"/>
              </w:rPr>
            </w:pPr>
          </w:p>
        </w:tc>
        <w:tc>
          <w:tcPr>
            <w:tcW w:w="0" w:type="dxa"/>
            <w:vAlign w:val="bottom"/>
          </w:tcPr>
          <w:p>
            <w:pPr>
              <w:spacing w:after="0"/>
              <w:rPr>
                <w:sz w:val="1"/>
                <w:szCs w:val="1"/>
                <w:color w:val="auto"/>
              </w:rPr>
            </w:pPr>
          </w:p>
        </w:tc>
      </w:tr>
      <w:tr>
        <w:trPr>
          <w:trHeight w:val="231"/>
        </w:trPr>
        <w:tc>
          <w:tcPr>
            <w:tcW w:w="40" w:type="dxa"/>
            <w:vAlign w:val="bottom"/>
          </w:tcPr>
          <w:p>
            <w:pPr>
              <w:spacing w:after="0"/>
              <w:rPr>
                <w:sz w:val="20"/>
                <w:szCs w:val="20"/>
                <w:color w:val="auto"/>
              </w:rPr>
            </w:pPr>
          </w:p>
        </w:tc>
        <w:tc>
          <w:tcPr>
            <w:tcW w:w="2620" w:type="dxa"/>
            <w:vAlign w:val="bottom"/>
            <w:gridSpan w:val="3"/>
          </w:tcPr>
          <w:p>
            <w:pPr>
              <w:ind w:left="140"/>
              <w:spacing w:after="0"/>
              <w:rPr>
                <w:sz w:val="20"/>
                <w:szCs w:val="20"/>
                <w:color w:val="auto"/>
              </w:rPr>
            </w:pPr>
            <w:r>
              <w:rPr>
                <w:rFonts w:ascii="Times New Roman" w:cs="Times New Roman" w:eastAsia="Times New Roman" w:hAnsi="Times New Roman"/>
                <w:sz w:val="16"/>
                <w:szCs w:val="16"/>
                <w:color w:val="auto"/>
              </w:rPr>
              <w:t>Stock-based compensation</w:t>
            </w:r>
          </w:p>
        </w:tc>
        <w:tc>
          <w:tcPr>
            <w:tcW w:w="10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tcPr>
          <w:p>
            <w:pPr>
              <w:spacing w:after="0"/>
              <w:rPr>
                <w:sz w:val="20"/>
                <w:szCs w:val="20"/>
                <w:color w:val="auto"/>
              </w:rPr>
            </w:pPr>
          </w:p>
        </w:tc>
        <w:tc>
          <w:tcPr>
            <w:tcW w:w="940" w:type="dxa"/>
            <w:vAlign w:val="bottom"/>
          </w:tcPr>
          <w:p>
            <w:pPr>
              <w:jc w:val="right"/>
              <w:ind w:right="1"/>
              <w:spacing w:after="0"/>
              <w:rPr>
                <w:sz w:val="20"/>
                <w:szCs w:val="20"/>
                <w:color w:val="auto"/>
              </w:rPr>
            </w:pPr>
            <w:r>
              <w:rPr>
                <w:rFonts w:ascii="Times New Roman" w:cs="Times New Roman" w:eastAsia="Times New Roman" w:hAnsi="Times New Roman"/>
                <w:sz w:val="16"/>
                <w:szCs w:val="16"/>
                <w:color w:val="auto"/>
              </w:rPr>
              <w:t>—</w:t>
            </w:r>
          </w:p>
        </w:tc>
        <w:tc>
          <w:tcPr>
            <w:tcW w:w="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tcPr>
          <w:p>
            <w:pPr>
              <w:spacing w:after="0"/>
              <w:rPr>
                <w:sz w:val="20"/>
                <w:szCs w:val="20"/>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9,570</w:t>
            </w:r>
          </w:p>
        </w:tc>
        <w:tc>
          <w:tcPr>
            <w:tcW w:w="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9,570</w:t>
            </w:r>
          </w:p>
        </w:tc>
        <w:tc>
          <w:tcPr>
            <w:tcW w:w="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20,853</w:t>
            </w:r>
          </w:p>
        </w:tc>
        <w:tc>
          <w:tcPr>
            <w:tcW w:w="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30,423</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2"/>
        </w:trPr>
        <w:tc>
          <w:tcPr>
            <w:tcW w:w="40" w:type="dxa"/>
            <w:vAlign w:val="bottom"/>
            <w:tcBorders>
              <w:bottom w:val="single" w:sz="8" w:color="DDDDDD"/>
            </w:tcBorders>
            <w:shd w:val="clear" w:color="auto" w:fill="DDDDDD"/>
          </w:tcPr>
          <w:p>
            <w:pPr>
              <w:spacing w:after="0"/>
              <w:rPr>
                <w:sz w:val="20"/>
                <w:szCs w:val="20"/>
                <w:color w:val="auto"/>
              </w:rPr>
            </w:pPr>
          </w:p>
        </w:tc>
        <w:tc>
          <w:tcPr>
            <w:tcW w:w="2620" w:type="dxa"/>
            <w:vAlign w:val="bottom"/>
            <w:tcBorders>
              <w:bottom w:val="single" w:sz="8" w:color="DDDDDD"/>
            </w:tcBorders>
            <w:gridSpan w:val="3"/>
            <w:shd w:val="clear" w:color="auto" w:fill="DDDDDD"/>
          </w:tcPr>
          <w:p>
            <w:pPr>
              <w:ind w:left="140"/>
              <w:spacing w:after="0"/>
              <w:rPr>
                <w:sz w:val="20"/>
                <w:szCs w:val="20"/>
                <w:color w:val="auto"/>
              </w:rPr>
            </w:pPr>
            <w:r>
              <w:rPr>
                <w:rFonts w:ascii="Times New Roman" w:cs="Times New Roman" w:eastAsia="Times New Roman" w:hAnsi="Times New Roman"/>
                <w:sz w:val="16"/>
                <w:szCs w:val="16"/>
                <w:color w:val="auto"/>
              </w:rPr>
              <w:t>Distributions</w:t>
            </w:r>
          </w:p>
        </w:tc>
        <w:tc>
          <w:tcPr>
            <w:tcW w:w="1040" w:type="dxa"/>
            <w:vAlign w:val="bottom"/>
            <w:tcBorders>
              <w:bottom w:val="single" w:sz="8" w:color="DDDDDD"/>
            </w:tcBorders>
            <w:shd w:val="clear" w:color="auto" w:fill="DDDDDD"/>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tcBorders>
              <w:bottom w:val="single" w:sz="8" w:color="DDDDDD"/>
            </w:tcBorders>
            <w:shd w:val="clear" w:color="auto" w:fill="DDDDDD"/>
          </w:tcPr>
          <w:p>
            <w:pPr>
              <w:spacing w:after="0"/>
              <w:rPr>
                <w:sz w:val="20"/>
                <w:szCs w:val="20"/>
                <w:color w:val="auto"/>
              </w:rPr>
            </w:pPr>
          </w:p>
        </w:tc>
        <w:tc>
          <w:tcPr>
            <w:tcW w:w="940" w:type="dxa"/>
            <w:vAlign w:val="bottom"/>
            <w:tcBorders>
              <w:bottom w:val="single" w:sz="8" w:color="DDDDDD"/>
            </w:tcBorders>
            <w:shd w:val="clear" w:color="auto" w:fill="DDDDDD"/>
          </w:tcPr>
          <w:p>
            <w:pPr>
              <w:jc w:val="right"/>
              <w:ind w:right="1"/>
              <w:spacing w:after="0"/>
              <w:rPr>
                <w:sz w:val="20"/>
                <w:szCs w:val="20"/>
                <w:color w:val="auto"/>
              </w:rPr>
            </w:pPr>
            <w:r>
              <w:rPr>
                <w:rFonts w:ascii="Times New Roman" w:cs="Times New Roman" w:eastAsia="Times New Roman" w:hAnsi="Times New Roman"/>
                <w:sz w:val="16"/>
                <w:szCs w:val="16"/>
                <w:color w:val="auto"/>
              </w:rPr>
              <w:t>—</w:t>
            </w:r>
          </w:p>
        </w:tc>
        <w:tc>
          <w:tcPr>
            <w:tcW w:w="40" w:type="dxa"/>
            <w:vAlign w:val="bottom"/>
            <w:tcBorders>
              <w:bottom w:val="single" w:sz="8" w:color="DDDDDD"/>
            </w:tcBorders>
            <w:shd w:val="clear" w:color="auto" w:fill="DDDDDD"/>
          </w:tcPr>
          <w:p>
            <w:pPr>
              <w:spacing w:after="0"/>
              <w:rPr>
                <w:sz w:val="20"/>
                <w:szCs w:val="20"/>
                <w:color w:val="auto"/>
              </w:rPr>
            </w:pPr>
          </w:p>
        </w:tc>
        <w:tc>
          <w:tcPr>
            <w:tcW w:w="20" w:type="dxa"/>
            <w:vAlign w:val="bottom"/>
            <w:tcBorders>
              <w:bottom w:val="single" w:sz="8" w:color="DDDDDD"/>
            </w:tcBorders>
            <w:shd w:val="clear" w:color="auto" w:fill="DDDDDD"/>
          </w:tcPr>
          <w:p>
            <w:pPr>
              <w:spacing w:after="0"/>
              <w:rPr>
                <w:sz w:val="20"/>
                <w:szCs w:val="20"/>
                <w:color w:val="auto"/>
              </w:rPr>
            </w:pPr>
          </w:p>
        </w:tc>
        <w:tc>
          <w:tcPr>
            <w:tcW w:w="1000" w:type="dxa"/>
            <w:vAlign w:val="bottom"/>
            <w:tcBorders>
              <w:bottom w:val="single" w:sz="8" w:color="DDDDDD"/>
            </w:tcBorders>
            <w:shd w:val="clear" w:color="auto" w:fill="DDDDDD"/>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tcBorders>
              <w:bottom w:val="single" w:sz="8" w:color="DDDDDD"/>
            </w:tcBorders>
            <w:shd w:val="clear" w:color="auto" w:fill="DDDDDD"/>
          </w:tcPr>
          <w:p>
            <w:pPr>
              <w:spacing w:after="0"/>
              <w:rPr>
                <w:sz w:val="20"/>
                <w:szCs w:val="20"/>
                <w:color w:val="auto"/>
              </w:rPr>
            </w:pPr>
          </w:p>
        </w:tc>
        <w:tc>
          <w:tcPr>
            <w:tcW w:w="860" w:type="dxa"/>
            <w:vAlign w:val="bottom"/>
            <w:tcBorders>
              <w:bottom w:val="single" w:sz="8" w:color="DDDDDD"/>
            </w:tcBorders>
            <w:shd w:val="clear" w:color="auto" w:fill="DDDDDD"/>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40" w:type="dxa"/>
            <w:vAlign w:val="bottom"/>
            <w:tcBorders>
              <w:bottom w:val="single" w:sz="8" w:color="DDDDDD"/>
            </w:tcBorders>
            <w:shd w:val="clear" w:color="auto" w:fill="DDDDDD"/>
          </w:tcPr>
          <w:p>
            <w:pPr>
              <w:spacing w:after="0"/>
              <w:rPr>
                <w:sz w:val="20"/>
                <w:szCs w:val="20"/>
                <w:color w:val="auto"/>
              </w:rPr>
            </w:pPr>
          </w:p>
        </w:tc>
        <w:tc>
          <w:tcPr>
            <w:tcW w:w="20" w:type="dxa"/>
            <w:vAlign w:val="bottom"/>
            <w:tcBorders>
              <w:bottom w:val="single" w:sz="8" w:color="DDDDDD"/>
            </w:tcBorders>
            <w:shd w:val="clear" w:color="auto" w:fill="DDDDDD"/>
          </w:tcPr>
          <w:p>
            <w:pPr>
              <w:spacing w:after="0"/>
              <w:rPr>
                <w:sz w:val="20"/>
                <w:szCs w:val="20"/>
                <w:color w:val="auto"/>
              </w:rPr>
            </w:pPr>
          </w:p>
        </w:tc>
        <w:tc>
          <w:tcPr>
            <w:tcW w:w="140" w:type="dxa"/>
            <w:vAlign w:val="bottom"/>
            <w:tcBorders>
              <w:bottom w:val="single" w:sz="8" w:color="DDDDDD"/>
            </w:tcBorders>
            <w:shd w:val="clear" w:color="auto" w:fill="DDDDDD"/>
          </w:tcPr>
          <w:p>
            <w:pPr>
              <w:spacing w:after="0"/>
              <w:rPr>
                <w:sz w:val="20"/>
                <w:szCs w:val="20"/>
                <w:color w:val="auto"/>
              </w:rPr>
            </w:pPr>
          </w:p>
        </w:tc>
        <w:tc>
          <w:tcPr>
            <w:tcW w:w="880" w:type="dxa"/>
            <w:vAlign w:val="bottom"/>
            <w:tcBorders>
              <w:bottom w:val="single" w:sz="8" w:color="DDDDDD"/>
            </w:tcBorders>
            <w:shd w:val="clear" w:color="auto" w:fill="DDDDDD"/>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60" w:type="dxa"/>
            <w:vAlign w:val="bottom"/>
            <w:tcBorders>
              <w:bottom w:val="single" w:sz="8" w:color="DDDDDD"/>
            </w:tcBorders>
            <w:shd w:val="clear" w:color="auto" w:fill="DDDDDD"/>
          </w:tcPr>
          <w:p>
            <w:pPr>
              <w:spacing w:after="0"/>
              <w:rPr>
                <w:sz w:val="20"/>
                <w:szCs w:val="20"/>
                <w:color w:val="auto"/>
              </w:rPr>
            </w:pPr>
          </w:p>
        </w:tc>
        <w:tc>
          <w:tcPr>
            <w:tcW w:w="20" w:type="dxa"/>
            <w:vAlign w:val="bottom"/>
            <w:tcBorders>
              <w:bottom w:val="single" w:sz="8" w:color="DDDDDD"/>
            </w:tcBorders>
            <w:shd w:val="clear" w:color="auto" w:fill="DDDDDD"/>
          </w:tcPr>
          <w:p>
            <w:pPr>
              <w:spacing w:after="0"/>
              <w:rPr>
                <w:sz w:val="20"/>
                <w:szCs w:val="20"/>
                <w:color w:val="auto"/>
              </w:rPr>
            </w:pPr>
          </w:p>
        </w:tc>
        <w:tc>
          <w:tcPr>
            <w:tcW w:w="220" w:type="dxa"/>
            <w:vAlign w:val="bottom"/>
            <w:tcBorders>
              <w:bottom w:val="single" w:sz="8" w:color="DDDDDD"/>
            </w:tcBorders>
            <w:shd w:val="clear" w:color="auto" w:fill="DDDDDD"/>
          </w:tcPr>
          <w:p>
            <w:pPr>
              <w:spacing w:after="0"/>
              <w:rPr>
                <w:sz w:val="20"/>
                <w:szCs w:val="20"/>
                <w:color w:val="auto"/>
              </w:rPr>
            </w:pPr>
          </w:p>
        </w:tc>
        <w:tc>
          <w:tcPr>
            <w:tcW w:w="900" w:type="dxa"/>
            <w:vAlign w:val="bottom"/>
            <w:tcBorders>
              <w:bottom w:val="single" w:sz="8" w:color="DDDDDD"/>
            </w:tcBorders>
            <w:shd w:val="clear" w:color="auto" w:fill="DDDDDD"/>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60" w:type="dxa"/>
            <w:vAlign w:val="bottom"/>
            <w:tcBorders>
              <w:bottom w:val="single" w:sz="8" w:color="DDDDDD"/>
            </w:tcBorders>
            <w:shd w:val="clear" w:color="auto" w:fill="DDDDDD"/>
          </w:tcPr>
          <w:p>
            <w:pPr>
              <w:spacing w:after="0"/>
              <w:rPr>
                <w:sz w:val="20"/>
                <w:szCs w:val="20"/>
                <w:color w:val="auto"/>
              </w:rPr>
            </w:pPr>
          </w:p>
        </w:tc>
        <w:tc>
          <w:tcPr>
            <w:tcW w:w="160" w:type="dxa"/>
            <w:vAlign w:val="bottom"/>
            <w:tcBorders>
              <w:bottom w:val="single" w:sz="8" w:color="DDDDDD"/>
            </w:tcBorders>
            <w:shd w:val="clear" w:color="auto" w:fill="DDDDDD"/>
          </w:tcPr>
          <w:p>
            <w:pPr>
              <w:spacing w:after="0"/>
              <w:rPr>
                <w:sz w:val="20"/>
                <w:szCs w:val="20"/>
                <w:color w:val="auto"/>
              </w:rPr>
            </w:pPr>
          </w:p>
        </w:tc>
        <w:tc>
          <w:tcPr>
            <w:tcW w:w="1140" w:type="dxa"/>
            <w:vAlign w:val="bottom"/>
            <w:tcBorders>
              <w:bottom w:val="single" w:sz="8" w:color="DDDDDD"/>
            </w:tcBorders>
            <w:shd w:val="clear" w:color="auto" w:fill="DDDDDD"/>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40" w:type="dxa"/>
            <w:vAlign w:val="bottom"/>
            <w:tcBorders>
              <w:bottom w:val="single" w:sz="8" w:color="DDDDDD"/>
            </w:tcBorders>
            <w:shd w:val="clear" w:color="auto" w:fill="DDDDDD"/>
          </w:tcPr>
          <w:p>
            <w:pPr>
              <w:spacing w:after="0"/>
              <w:rPr>
                <w:sz w:val="20"/>
                <w:szCs w:val="20"/>
                <w:color w:val="auto"/>
              </w:rPr>
            </w:pPr>
          </w:p>
        </w:tc>
        <w:tc>
          <w:tcPr>
            <w:tcW w:w="20" w:type="dxa"/>
            <w:vAlign w:val="bottom"/>
            <w:tcBorders>
              <w:bottom w:val="single" w:sz="8" w:color="DDDDDD"/>
            </w:tcBorders>
            <w:shd w:val="clear" w:color="auto" w:fill="DDDDDD"/>
          </w:tcPr>
          <w:p>
            <w:pPr>
              <w:spacing w:after="0"/>
              <w:rPr>
                <w:sz w:val="20"/>
                <w:szCs w:val="20"/>
                <w:color w:val="auto"/>
              </w:rPr>
            </w:pPr>
          </w:p>
        </w:tc>
        <w:tc>
          <w:tcPr>
            <w:tcW w:w="140" w:type="dxa"/>
            <w:vAlign w:val="bottom"/>
            <w:tcBorders>
              <w:bottom w:val="single" w:sz="8" w:color="DDDDDD"/>
            </w:tcBorders>
            <w:shd w:val="clear" w:color="auto" w:fill="DDDDDD"/>
          </w:tcPr>
          <w:p>
            <w:pPr>
              <w:spacing w:after="0"/>
              <w:rPr>
                <w:sz w:val="20"/>
                <w:szCs w:val="20"/>
                <w:color w:val="auto"/>
              </w:rPr>
            </w:pPr>
          </w:p>
        </w:tc>
        <w:tc>
          <w:tcPr>
            <w:tcW w:w="880" w:type="dxa"/>
            <w:vAlign w:val="bottom"/>
            <w:tcBorders>
              <w:bottom w:val="single" w:sz="8" w:color="DDDDDD"/>
            </w:tcBorders>
            <w:shd w:val="clear" w:color="auto" w:fill="DDDDDD"/>
          </w:tcPr>
          <w:p>
            <w:pPr>
              <w:jc w:val="right"/>
              <w:spacing w:after="0"/>
              <w:rPr>
                <w:sz w:val="20"/>
                <w:szCs w:val="20"/>
                <w:color w:val="auto"/>
              </w:rPr>
            </w:pPr>
            <w:r>
              <w:rPr>
                <w:rFonts w:ascii="Times New Roman" w:cs="Times New Roman" w:eastAsia="Times New Roman" w:hAnsi="Times New Roman"/>
                <w:sz w:val="16"/>
                <w:szCs w:val="16"/>
                <w:color w:val="auto"/>
              </w:rPr>
              <w:t>(888)</w:t>
            </w:r>
          </w:p>
        </w:tc>
        <w:tc>
          <w:tcPr>
            <w:tcW w:w="40" w:type="dxa"/>
            <w:vAlign w:val="bottom"/>
            <w:tcBorders>
              <w:bottom w:val="single" w:sz="8" w:color="DDDDDD"/>
            </w:tcBorders>
            <w:shd w:val="clear" w:color="auto" w:fill="DDDDDD"/>
          </w:tcPr>
          <w:p>
            <w:pPr>
              <w:spacing w:after="0"/>
              <w:rPr>
                <w:sz w:val="20"/>
                <w:szCs w:val="20"/>
                <w:color w:val="auto"/>
              </w:rPr>
            </w:pPr>
          </w:p>
        </w:tc>
        <w:tc>
          <w:tcPr>
            <w:tcW w:w="20" w:type="dxa"/>
            <w:vAlign w:val="bottom"/>
            <w:tcBorders>
              <w:bottom w:val="single" w:sz="8" w:color="DDDDDD"/>
            </w:tcBorders>
            <w:shd w:val="clear" w:color="auto" w:fill="DDDDDD"/>
          </w:tcPr>
          <w:p>
            <w:pPr>
              <w:spacing w:after="0"/>
              <w:rPr>
                <w:sz w:val="20"/>
                <w:szCs w:val="20"/>
                <w:color w:val="auto"/>
              </w:rPr>
            </w:pPr>
          </w:p>
        </w:tc>
        <w:tc>
          <w:tcPr>
            <w:tcW w:w="160" w:type="dxa"/>
            <w:vAlign w:val="bottom"/>
            <w:tcBorders>
              <w:bottom w:val="single" w:sz="8" w:color="DDDDDD"/>
            </w:tcBorders>
            <w:shd w:val="clear" w:color="auto" w:fill="DDDDDD"/>
          </w:tcPr>
          <w:p>
            <w:pPr>
              <w:spacing w:after="0"/>
              <w:rPr>
                <w:sz w:val="20"/>
                <w:szCs w:val="20"/>
                <w:color w:val="auto"/>
              </w:rPr>
            </w:pPr>
          </w:p>
        </w:tc>
        <w:tc>
          <w:tcPr>
            <w:tcW w:w="860" w:type="dxa"/>
            <w:vAlign w:val="bottom"/>
            <w:tcBorders>
              <w:bottom w:val="single" w:sz="8" w:color="DDDDDD"/>
            </w:tcBorders>
            <w:shd w:val="clear" w:color="auto" w:fill="DDDDDD"/>
          </w:tcPr>
          <w:p>
            <w:pPr>
              <w:jc w:val="right"/>
              <w:spacing w:after="0"/>
              <w:rPr>
                <w:sz w:val="20"/>
                <w:szCs w:val="20"/>
                <w:color w:val="auto"/>
              </w:rPr>
            </w:pPr>
            <w:r>
              <w:rPr>
                <w:rFonts w:ascii="Times New Roman" w:cs="Times New Roman" w:eastAsia="Times New Roman" w:hAnsi="Times New Roman"/>
                <w:sz w:val="16"/>
                <w:szCs w:val="16"/>
                <w:color w:val="auto"/>
              </w:rPr>
              <w:t>(18,110)</w:t>
            </w:r>
          </w:p>
        </w:tc>
        <w:tc>
          <w:tcPr>
            <w:tcW w:w="40" w:type="dxa"/>
            <w:vAlign w:val="bottom"/>
            <w:tcBorders>
              <w:bottom w:val="single" w:sz="8" w:color="DDDDDD"/>
            </w:tcBorders>
            <w:shd w:val="clear" w:color="auto" w:fill="DDDDDD"/>
          </w:tcPr>
          <w:p>
            <w:pPr>
              <w:spacing w:after="0"/>
              <w:rPr>
                <w:sz w:val="20"/>
                <w:szCs w:val="20"/>
                <w:color w:val="auto"/>
              </w:rPr>
            </w:pPr>
          </w:p>
        </w:tc>
        <w:tc>
          <w:tcPr>
            <w:tcW w:w="20" w:type="dxa"/>
            <w:vAlign w:val="bottom"/>
            <w:tcBorders>
              <w:bottom w:val="single" w:sz="8" w:color="DDDDDD"/>
            </w:tcBorders>
            <w:shd w:val="clear" w:color="auto" w:fill="DDDDDD"/>
          </w:tcPr>
          <w:p>
            <w:pPr>
              <w:spacing w:after="0"/>
              <w:rPr>
                <w:sz w:val="20"/>
                <w:szCs w:val="20"/>
                <w:color w:val="auto"/>
              </w:rPr>
            </w:pPr>
          </w:p>
        </w:tc>
        <w:tc>
          <w:tcPr>
            <w:tcW w:w="280" w:type="dxa"/>
            <w:vAlign w:val="bottom"/>
            <w:tcBorders>
              <w:bottom w:val="single" w:sz="8" w:color="DDDDDD"/>
            </w:tcBorders>
            <w:shd w:val="clear" w:color="auto" w:fill="DDDDDD"/>
          </w:tcPr>
          <w:p>
            <w:pPr>
              <w:spacing w:after="0"/>
              <w:rPr>
                <w:sz w:val="20"/>
                <w:szCs w:val="20"/>
                <w:color w:val="auto"/>
              </w:rPr>
            </w:pPr>
          </w:p>
        </w:tc>
        <w:tc>
          <w:tcPr>
            <w:tcW w:w="720" w:type="dxa"/>
            <w:vAlign w:val="bottom"/>
            <w:tcBorders>
              <w:bottom w:val="single" w:sz="8" w:color="DDDDDD"/>
            </w:tcBorders>
            <w:shd w:val="clear" w:color="auto" w:fill="DDDDDD"/>
          </w:tcPr>
          <w:p>
            <w:pPr>
              <w:jc w:val="right"/>
              <w:spacing w:after="0"/>
              <w:rPr>
                <w:sz w:val="20"/>
                <w:szCs w:val="20"/>
                <w:color w:val="auto"/>
              </w:rPr>
            </w:pPr>
            <w:r>
              <w:rPr>
                <w:rFonts w:ascii="Times New Roman" w:cs="Times New Roman" w:eastAsia="Times New Roman" w:hAnsi="Times New Roman"/>
                <w:sz w:val="16"/>
                <w:szCs w:val="16"/>
                <w:color w:val="auto"/>
              </w:rPr>
              <w:t>(18,998)</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1"/>
        </w:trPr>
        <w:tc>
          <w:tcPr>
            <w:tcW w:w="40" w:type="dxa"/>
            <w:vAlign w:val="bottom"/>
          </w:tcPr>
          <w:p>
            <w:pPr>
              <w:spacing w:after="0"/>
              <w:rPr>
                <w:sz w:val="20"/>
                <w:szCs w:val="20"/>
                <w:color w:val="auto"/>
              </w:rPr>
            </w:pPr>
          </w:p>
        </w:tc>
        <w:tc>
          <w:tcPr>
            <w:tcW w:w="2620" w:type="dxa"/>
            <w:vAlign w:val="bottom"/>
            <w:gridSpan w:val="3"/>
          </w:tcPr>
          <w:p>
            <w:pPr>
              <w:ind w:left="140"/>
              <w:spacing w:after="0"/>
              <w:rPr>
                <w:sz w:val="20"/>
                <w:szCs w:val="20"/>
                <w:color w:val="auto"/>
              </w:rPr>
            </w:pPr>
            <w:r>
              <w:rPr>
                <w:rFonts w:ascii="Times New Roman" w:cs="Times New Roman" w:eastAsia="Times New Roman" w:hAnsi="Times New Roman"/>
                <w:sz w:val="16"/>
                <w:szCs w:val="16"/>
                <w:color w:val="auto"/>
              </w:rPr>
              <w:t>Repurchase of Class B Units</w:t>
            </w:r>
          </w:p>
        </w:tc>
        <w:tc>
          <w:tcPr>
            <w:tcW w:w="10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tcPr>
          <w:p>
            <w:pPr>
              <w:spacing w:after="0"/>
              <w:rPr>
                <w:sz w:val="20"/>
                <w:szCs w:val="20"/>
                <w:color w:val="auto"/>
              </w:rPr>
            </w:pPr>
          </w:p>
        </w:tc>
        <w:tc>
          <w:tcPr>
            <w:tcW w:w="940" w:type="dxa"/>
            <w:vAlign w:val="bottom"/>
          </w:tcPr>
          <w:p>
            <w:pPr>
              <w:jc w:val="right"/>
              <w:ind w:right="1"/>
              <w:spacing w:after="0"/>
              <w:rPr>
                <w:sz w:val="20"/>
                <w:szCs w:val="20"/>
                <w:color w:val="auto"/>
              </w:rPr>
            </w:pPr>
            <w:r>
              <w:rPr>
                <w:rFonts w:ascii="Times New Roman" w:cs="Times New Roman" w:eastAsia="Times New Roman" w:hAnsi="Times New Roman"/>
                <w:sz w:val="16"/>
                <w:szCs w:val="16"/>
                <w:color w:val="auto"/>
              </w:rPr>
              <w:t>—</w:t>
            </w:r>
          </w:p>
        </w:tc>
        <w:tc>
          <w:tcPr>
            <w:tcW w:w="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tcPr>
          <w:p>
            <w:pPr>
              <w:spacing w:after="0"/>
              <w:rPr>
                <w:sz w:val="20"/>
                <w:szCs w:val="20"/>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(5,565)</w:t>
            </w:r>
          </w:p>
        </w:tc>
        <w:tc>
          <w:tcPr>
            <w:tcW w:w="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(5,565)</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9"/>
        </w:trPr>
        <w:tc>
          <w:tcPr>
            <w:tcW w:w="40" w:type="dxa"/>
            <w:vAlign w:val="bottom"/>
            <w:shd w:val="clear" w:color="auto" w:fill="DDDDDD"/>
          </w:tcPr>
          <w:p>
            <w:pPr>
              <w:spacing w:after="0"/>
              <w:rPr>
                <w:sz w:val="18"/>
                <w:szCs w:val="18"/>
                <w:color w:val="auto"/>
              </w:rPr>
            </w:pPr>
          </w:p>
        </w:tc>
        <w:tc>
          <w:tcPr>
            <w:tcW w:w="2620" w:type="dxa"/>
            <w:vAlign w:val="bottom"/>
            <w:gridSpan w:val="3"/>
            <w:shd w:val="clear" w:color="auto" w:fill="DDDDDD"/>
          </w:tcPr>
          <w:p>
            <w:pPr>
              <w:ind w:left="140"/>
              <w:spacing w:after="0"/>
              <w:rPr>
                <w:sz w:val="20"/>
                <w:szCs w:val="20"/>
                <w:color w:val="auto"/>
              </w:rPr>
            </w:pPr>
            <w:r>
              <w:rPr>
                <w:rFonts w:ascii="Times New Roman" w:cs="Times New Roman" w:eastAsia="Times New Roman" w:hAnsi="Times New Roman"/>
                <w:sz w:val="16"/>
                <w:szCs w:val="16"/>
                <w:color w:val="auto"/>
              </w:rPr>
              <w:t>Proceeds and shares issued in the</w:t>
            </w:r>
          </w:p>
        </w:tc>
        <w:tc>
          <w:tcPr>
            <w:tcW w:w="1040" w:type="dxa"/>
            <w:vAlign w:val="bottom"/>
            <w:vMerge w:val="restart"/>
            <w:shd w:val="clear" w:color="auto" w:fill="DDDDDD"/>
          </w:tcPr>
          <w:p>
            <w:pPr>
              <w:jc w:val="right"/>
              <w:spacing w:after="0"/>
              <w:rPr>
                <w:sz w:val="20"/>
                <w:szCs w:val="20"/>
                <w:color w:val="auto"/>
              </w:rPr>
            </w:pPr>
            <w:r>
              <w:rPr>
                <w:rFonts w:ascii="Times New Roman" w:cs="Times New Roman" w:eastAsia="Times New Roman" w:hAnsi="Times New Roman"/>
                <w:sz w:val="16"/>
                <w:szCs w:val="16"/>
                <w:color w:val="auto"/>
              </w:rPr>
              <w:t>63,738,563</w:t>
            </w:r>
          </w:p>
        </w:tc>
        <w:tc>
          <w:tcPr>
            <w:tcW w:w="180" w:type="dxa"/>
            <w:vAlign w:val="bottom"/>
            <w:shd w:val="clear" w:color="auto" w:fill="DDDDDD"/>
          </w:tcPr>
          <w:p>
            <w:pPr>
              <w:spacing w:after="0"/>
              <w:rPr>
                <w:sz w:val="18"/>
                <w:szCs w:val="18"/>
                <w:color w:val="auto"/>
              </w:rPr>
            </w:pPr>
          </w:p>
        </w:tc>
        <w:tc>
          <w:tcPr>
            <w:tcW w:w="940" w:type="dxa"/>
            <w:vAlign w:val="bottom"/>
            <w:vMerge w:val="restart"/>
            <w:shd w:val="clear" w:color="auto" w:fill="DDDDDD"/>
          </w:tcPr>
          <w:p>
            <w:pPr>
              <w:jc w:val="right"/>
              <w:ind w:right="1"/>
              <w:spacing w:after="0"/>
              <w:rPr>
                <w:sz w:val="20"/>
                <w:szCs w:val="20"/>
                <w:color w:val="auto"/>
              </w:rPr>
            </w:pPr>
            <w:r>
              <w:rPr>
                <w:rFonts w:ascii="Times New Roman" w:cs="Times New Roman" w:eastAsia="Times New Roman" w:hAnsi="Times New Roman"/>
                <w:sz w:val="16"/>
                <w:szCs w:val="16"/>
                <w:color w:val="auto"/>
              </w:rPr>
              <w:t>6</w:t>
            </w:r>
          </w:p>
        </w:tc>
        <w:tc>
          <w:tcPr>
            <w:tcW w:w="40" w:type="dxa"/>
            <w:vAlign w:val="bottom"/>
            <w:shd w:val="clear" w:color="auto" w:fill="DDDDDD"/>
          </w:tcPr>
          <w:p>
            <w:pPr>
              <w:spacing w:after="0"/>
              <w:rPr>
                <w:sz w:val="18"/>
                <w:szCs w:val="18"/>
                <w:color w:val="auto"/>
              </w:rPr>
            </w:pPr>
          </w:p>
        </w:tc>
        <w:tc>
          <w:tcPr>
            <w:tcW w:w="20" w:type="dxa"/>
            <w:vAlign w:val="bottom"/>
            <w:shd w:val="clear" w:color="auto" w:fill="DDDDDD"/>
          </w:tcPr>
          <w:p>
            <w:pPr>
              <w:spacing w:after="0"/>
              <w:rPr>
                <w:sz w:val="18"/>
                <w:szCs w:val="18"/>
                <w:color w:val="auto"/>
              </w:rPr>
            </w:pPr>
          </w:p>
        </w:tc>
        <w:tc>
          <w:tcPr>
            <w:tcW w:w="1000" w:type="dxa"/>
            <w:vAlign w:val="bottom"/>
            <w:vMerge w:val="restart"/>
            <w:shd w:val="clear" w:color="auto" w:fill="DDDDDD"/>
          </w:tcPr>
          <w:p>
            <w:pPr>
              <w:jc w:val="right"/>
              <w:spacing w:after="0"/>
              <w:rPr>
                <w:sz w:val="20"/>
                <w:szCs w:val="20"/>
                <w:color w:val="auto"/>
              </w:rPr>
            </w:pPr>
            <w:r>
              <w:rPr>
                <w:rFonts w:ascii="Times New Roman" w:cs="Times New Roman" w:eastAsia="Times New Roman" w:hAnsi="Times New Roman"/>
                <w:sz w:val="16"/>
                <w:szCs w:val="16"/>
                <w:color w:val="auto"/>
              </w:rPr>
              <w:t>65,502,347</w:t>
            </w:r>
          </w:p>
        </w:tc>
        <w:tc>
          <w:tcPr>
            <w:tcW w:w="160" w:type="dxa"/>
            <w:vAlign w:val="bottom"/>
            <w:shd w:val="clear" w:color="auto" w:fill="DDDDDD"/>
          </w:tcPr>
          <w:p>
            <w:pPr>
              <w:spacing w:after="0"/>
              <w:rPr>
                <w:sz w:val="18"/>
                <w:szCs w:val="18"/>
                <w:color w:val="auto"/>
              </w:rPr>
            </w:pPr>
          </w:p>
        </w:tc>
        <w:tc>
          <w:tcPr>
            <w:tcW w:w="860" w:type="dxa"/>
            <w:vAlign w:val="bottom"/>
            <w:vMerge w:val="restart"/>
            <w:shd w:val="clear" w:color="auto" w:fill="DDDDDD"/>
          </w:tcPr>
          <w:p>
            <w:pPr>
              <w:jc w:val="right"/>
              <w:spacing w:after="0"/>
              <w:rPr>
                <w:sz w:val="20"/>
                <w:szCs w:val="20"/>
                <w:color w:val="auto"/>
              </w:rPr>
            </w:pPr>
            <w:r>
              <w:rPr>
                <w:rFonts w:ascii="Times New Roman" w:cs="Times New Roman" w:eastAsia="Times New Roman" w:hAnsi="Times New Roman"/>
                <w:sz w:val="16"/>
                <w:szCs w:val="16"/>
                <w:color w:val="auto"/>
              </w:rPr>
              <w:t>7</w:t>
            </w:r>
          </w:p>
        </w:tc>
        <w:tc>
          <w:tcPr>
            <w:tcW w:w="40" w:type="dxa"/>
            <w:vAlign w:val="bottom"/>
            <w:shd w:val="clear" w:color="auto" w:fill="DDDDDD"/>
          </w:tcPr>
          <w:p>
            <w:pPr>
              <w:spacing w:after="0"/>
              <w:rPr>
                <w:sz w:val="18"/>
                <w:szCs w:val="18"/>
                <w:color w:val="auto"/>
              </w:rPr>
            </w:pPr>
          </w:p>
        </w:tc>
        <w:tc>
          <w:tcPr>
            <w:tcW w:w="20" w:type="dxa"/>
            <w:vAlign w:val="bottom"/>
            <w:shd w:val="clear" w:color="auto" w:fill="DDDDDD"/>
          </w:tcPr>
          <w:p>
            <w:pPr>
              <w:spacing w:after="0"/>
              <w:rPr>
                <w:sz w:val="18"/>
                <w:szCs w:val="18"/>
                <w:color w:val="auto"/>
              </w:rPr>
            </w:pPr>
          </w:p>
        </w:tc>
        <w:tc>
          <w:tcPr>
            <w:tcW w:w="140" w:type="dxa"/>
            <w:vAlign w:val="bottom"/>
            <w:shd w:val="clear" w:color="auto" w:fill="DDDDDD"/>
          </w:tcPr>
          <w:p>
            <w:pPr>
              <w:spacing w:after="0"/>
              <w:rPr>
                <w:sz w:val="18"/>
                <w:szCs w:val="18"/>
                <w:color w:val="auto"/>
              </w:rPr>
            </w:pPr>
          </w:p>
        </w:tc>
        <w:tc>
          <w:tcPr>
            <w:tcW w:w="880" w:type="dxa"/>
            <w:vAlign w:val="bottom"/>
            <w:vMerge w:val="restart"/>
            <w:shd w:val="clear" w:color="auto" w:fill="DDDDDD"/>
          </w:tcPr>
          <w:p>
            <w:pPr>
              <w:jc w:val="right"/>
              <w:spacing w:after="0"/>
              <w:rPr>
                <w:sz w:val="20"/>
                <w:szCs w:val="20"/>
                <w:color w:val="auto"/>
              </w:rPr>
            </w:pPr>
            <w:r>
              <w:rPr>
                <w:rFonts w:ascii="Times New Roman" w:cs="Times New Roman" w:eastAsia="Times New Roman" w:hAnsi="Times New Roman"/>
                <w:sz w:val="16"/>
                <w:szCs w:val="16"/>
                <w:color w:val="auto"/>
              </w:rPr>
              <w:t>(20,118)</w:t>
            </w:r>
          </w:p>
        </w:tc>
        <w:tc>
          <w:tcPr>
            <w:tcW w:w="60" w:type="dxa"/>
            <w:vAlign w:val="bottom"/>
            <w:shd w:val="clear" w:color="auto" w:fill="DDDDDD"/>
          </w:tcPr>
          <w:p>
            <w:pPr>
              <w:spacing w:after="0"/>
              <w:rPr>
                <w:sz w:val="18"/>
                <w:szCs w:val="18"/>
                <w:color w:val="auto"/>
              </w:rPr>
            </w:pPr>
          </w:p>
        </w:tc>
        <w:tc>
          <w:tcPr>
            <w:tcW w:w="20" w:type="dxa"/>
            <w:vAlign w:val="bottom"/>
            <w:shd w:val="clear" w:color="auto" w:fill="DDDDDD"/>
          </w:tcPr>
          <w:p>
            <w:pPr>
              <w:spacing w:after="0"/>
              <w:rPr>
                <w:sz w:val="18"/>
                <w:szCs w:val="18"/>
                <w:color w:val="auto"/>
              </w:rPr>
            </w:pPr>
          </w:p>
        </w:tc>
        <w:tc>
          <w:tcPr>
            <w:tcW w:w="220" w:type="dxa"/>
            <w:vAlign w:val="bottom"/>
            <w:shd w:val="clear" w:color="auto" w:fill="DDDDDD"/>
          </w:tcPr>
          <w:p>
            <w:pPr>
              <w:spacing w:after="0"/>
              <w:rPr>
                <w:sz w:val="18"/>
                <w:szCs w:val="18"/>
                <w:color w:val="auto"/>
              </w:rPr>
            </w:pPr>
          </w:p>
        </w:tc>
        <w:tc>
          <w:tcPr>
            <w:tcW w:w="900" w:type="dxa"/>
            <w:vAlign w:val="bottom"/>
            <w:vMerge w:val="restart"/>
            <w:shd w:val="clear" w:color="auto" w:fill="DDDDDD"/>
          </w:tcPr>
          <w:p>
            <w:pPr>
              <w:jc w:val="right"/>
              <w:spacing w:after="0"/>
              <w:rPr>
                <w:sz w:val="20"/>
                <w:szCs w:val="20"/>
                <w:color w:val="auto"/>
              </w:rPr>
            </w:pPr>
            <w:r>
              <w:rPr>
                <w:rFonts w:ascii="Times New Roman" w:cs="Times New Roman" w:eastAsia="Times New Roman" w:hAnsi="Times New Roman"/>
                <w:sz w:val="16"/>
                <w:szCs w:val="16"/>
                <w:color w:val="auto"/>
              </w:rPr>
              <w:t>986</w:t>
            </w:r>
          </w:p>
        </w:tc>
        <w:tc>
          <w:tcPr>
            <w:tcW w:w="60" w:type="dxa"/>
            <w:vAlign w:val="bottom"/>
            <w:shd w:val="clear" w:color="auto" w:fill="DDDDDD"/>
          </w:tcPr>
          <w:p>
            <w:pPr>
              <w:spacing w:after="0"/>
              <w:rPr>
                <w:sz w:val="18"/>
                <w:szCs w:val="18"/>
                <w:color w:val="auto"/>
              </w:rPr>
            </w:pPr>
          </w:p>
        </w:tc>
        <w:tc>
          <w:tcPr>
            <w:tcW w:w="160" w:type="dxa"/>
            <w:vAlign w:val="bottom"/>
            <w:shd w:val="clear" w:color="auto" w:fill="DDDDDD"/>
          </w:tcPr>
          <w:p>
            <w:pPr>
              <w:spacing w:after="0"/>
              <w:rPr>
                <w:sz w:val="18"/>
                <w:szCs w:val="18"/>
                <w:color w:val="auto"/>
              </w:rPr>
            </w:pPr>
          </w:p>
        </w:tc>
        <w:tc>
          <w:tcPr>
            <w:tcW w:w="1140" w:type="dxa"/>
            <w:vAlign w:val="bottom"/>
            <w:vMerge w:val="restart"/>
            <w:shd w:val="clear" w:color="auto" w:fill="DDDDDD"/>
          </w:tcPr>
          <w:p>
            <w:pPr>
              <w:jc w:val="right"/>
              <w:spacing w:after="0"/>
              <w:rPr>
                <w:sz w:val="20"/>
                <w:szCs w:val="20"/>
                <w:color w:val="auto"/>
              </w:rPr>
            </w:pPr>
            <w:r>
              <w:rPr>
                <w:rFonts w:ascii="Times New Roman" w:cs="Times New Roman" w:eastAsia="Times New Roman" w:hAnsi="Times New Roman"/>
                <w:sz w:val="16"/>
                <w:szCs w:val="16"/>
                <w:color w:val="auto"/>
              </w:rPr>
              <w:t>(19,119)</w:t>
            </w:r>
          </w:p>
        </w:tc>
        <w:tc>
          <w:tcPr>
            <w:tcW w:w="40" w:type="dxa"/>
            <w:vAlign w:val="bottom"/>
            <w:shd w:val="clear" w:color="auto" w:fill="DDDDDD"/>
          </w:tcPr>
          <w:p>
            <w:pPr>
              <w:spacing w:after="0"/>
              <w:rPr>
                <w:sz w:val="18"/>
                <w:szCs w:val="18"/>
                <w:color w:val="auto"/>
              </w:rPr>
            </w:pPr>
          </w:p>
        </w:tc>
        <w:tc>
          <w:tcPr>
            <w:tcW w:w="20" w:type="dxa"/>
            <w:vAlign w:val="bottom"/>
            <w:shd w:val="clear" w:color="auto" w:fill="DDDDDD"/>
          </w:tcPr>
          <w:p>
            <w:pPr>
              <w:spacing w:after="0"/>
              <w:rPr>
                <w:sz w:val="18"/>
                <w:szCs w:val="18"/>
                <w:color w:val="auto"/>
              </w:rPr>
            </w:pPr>
          </w:p>
        </w:tc>
        <w:tc>
          <w:tcPr>
            <w:tcW w:w="140" w:type="dxa"/>
            <w:vAlign w:val="bottom"/>
            <w:shd w:val="clear" w:color="auto" w:fill="DDDDDD"/>
          </w:tcPr>
          <w:p>
            <w:pPr>
              <w:spacing w:after="0"/>
              <w:rPr>
                <w:sz w:val="18"/>
                <w:szCs w:val="18"/>
                <w:color w:val="auto"/>
              </w:rPr>
            </w:pPr>
          </w:p>
        </w:tc>
        <w:tc>
          <w:tcPr>
            <w:tcW w:w="880" w:type="dxa"/>
            <w:vAlign w:val="bottom"/>
            <w:vMerge w:val="restart"/>
            <w:shd w:val="clear" w:color="auto" w:fill="DDDDDD"/>
          </w:tcPr>
          <w:p>
            <w:pPr>
              <w:jc w:val="right"/>
              <w:spacing w:after="0"/>
              <w:rPr>
                <w:sz w:val="20"/>
                <w:szCs w:val="20"/>
                <w:color w:val="auto"/>
              </w:rPr>
            </w:pPr>
            <w:r>
              <w:rPr>
                <w:rFonts w:ascii="Times New Roman" w:cs="Times New Roman" w:eastAsia="Times New Roman" w:hAnsi="Times New Roman"/>
                <w:sz w:val="16"/>
                <w:szCs w:val="16"/>
                <w:color w:val="auto"/>
              </w:rPr>
              <w:t>(44,928)</w:t>
            </w:r>
          </w:p>
        </w:tc>
        <w:tc>
          <w:tcPr>
            <w:tcW w:w="40" w:type="dxa"/>
            <w:vAlign w:val="bottom"/>
            <w:shd w:val="clear" w:color="auto" w:fill="DDDDDD"/>
          </w:tcPr>
          <w:p>
            <w:pPr>
              <w:spacing w:after="0"/>
              <w:rPr>
                <w:sz w:val="18"/>
                <w:szCs w:val="18"/>
                <w:color w:val="auto"/>
              </w:rPr>
            </w:pPr>
          </w:p>
        </w:tc>
        <w:tc>
          <w:tcPr>
            <w:tcW w:w="20" w:type="dxa"/>
            <w:vAlign w:val="bottom"/>
            <w:shd w:val="clear" w:color="auto" w:fill="DDDDDD"/>
          </w:tcPr>
          <w:p>
            <w:pPr>
              <w:spacing w:after="0"/>
              <w:rPr>
                <w:sz w:val="18"/>
                <w:szCs w:val="18"/>
                <w:color w:val="auto"/>
              </w:rPr>
            </w:pPr>
          </w:p>
        </w:tc>
        <w:tc>
          <w:tcPr>
            <w:tcW w:w="160" w:type="dxa"/>
            <w:vAlign w:val="bottom"/>
            <w:shd w:val="clear" w:color="auto" w:fill="DDDDDD"/>
          </w:tcPr>
          <w:p>
            <w:pPr>
              <w:spacing w:after="0"/>
              <w:rPr>
                <w:sz w:val="18"/>
                <w:szCs w:val="18"/>
                <w:color w:val="auto"/>
              </w:rPr>
            </w:pPr>
          </w:p>
        </w:tc>
        <w:tc>
          <w:tcPr>
            <w:tcW w:w="860" w:type="dxa"/>
            <w:vAlign w:val="bottom"/>
            <w:vMerge w:val="restart"/>
            <w:shd w:val="clear" w:color="auto" w:fill="DDDDDD"/>
          </w:tcPr>
          <w:p>
            <w:pPr>
              <w:jc w:val="right"/>
              <w:spacing w:after="0"/>
              <w:rPr>
                <w:sz w:val="20"/>
                <w:szCs w:val="20"/>
                <w:color w:val="auto"/>
              </w:rPr>
            </w:pPr>
            <w:r>
              <w:rPr>
                <w:rFonts w:ascii="Times New Roman" w:cs="Times New Roman" w:eastAsia="Times New Roman" w:hAnsi="Times New Roman"/>
                <w:sz w:val="16"/>
                <w:szCs w:val="16"/>
                <w:color w:val="auto"/>
              </w:rPr>
              <w:t>(20,674)</w:t>
            </w:r>
          </w:p>
        </w:tc>
        <w:tc>
          <w:tcPr>
            <w:tcW w:w="40" w:type="dxa"/>
            <w:vAlign w:val="bottom"/>
            <w:shd w:val="clear" w:color="auto" w:fill="DDDDDD"/>
          </w:tcPr>
          <w:p>
            <w:pPr>
              <w:spacing w:after="0"/>
              <w:rPr>
                <w:sz w:val="18"/>
                <w:szCs w:val="18"/>
                <w:color w:val="auto"/>
              </w:rPr>
            </w:pPr>
          </w:p>
        </w:tc>
        <w:tc>
          <w:tcPr>
            <w:tcW w:w="20" w:type="dxa"/>
            <w:vAlign w:val="bottom"/>
            <w:shd w:val="clear" w:color="auto" w:fill="DDDDDD"/>
          </w:tcPr>
          <w:p>
            <w:pPr>
              <w:spacing w:after="0"/>
              <w:rPr>
                <w:sz w:val="18"/>
                <w:szCs w:val="18"/>
                <w:color w:val="auto"/>
              </w:rPr>
            </w:pPr>
          </w:p>
        </w:tc>
        <w:tc>
          <w:tcPr>
            <w:tcW w:w="280" w:type="dxa"/>
            <w:vAlign w:val="bottom"/>
            <w:shd w:val="clear" w:color="auto" w:fill="DDDDDD"/>
          </w:tcPr>
          <w:p>
            <w:pPr>
              <w:spacing w:after="0"/>
              <w:rPr>
                <w:sz w:val="18"/>
                <w:szCs w:val="18"/>
                <w:color w:val="auto"/>
              </w:rPr>
            </w:pPr>
          </w:p>
        </w:tc>
        <w:tc>
          <w:tcPr>
            <w:tcW w:w="720" w:type="dxa"/>
            <w:vAlign w:val="bottom"/>
            <w:vMerge w:val="restart"/>
            <w:shd w:val="clear" w:color="auto" w:fill="DDDDDD"/>
          </w:tcPr>
          <w:p>
            <w:pPr>
              <w:jc w:val="right"/>
              <w:spacing w:after="0"/>
              <w:rPr>
                <w:sz w:val="20"/>
                <w:szCs w:val="20"/>
                <w:color w:val="auto"/>
              </w:rPr>
            </w:pPr>
            <w:r>
              <w:rPr>
                <w:rFonts w:ascii="Times New Roman" w:cs="Times New Roman" w:eastAsia="Times New Roman" w:hAnsi="Times New Roman"/>
                <w:sz w:val="16"/>
                <w:szCs w:val="16"/>
                <w:color w:val="auto"/>
              </w:rPr>
              <w:t>(84,721)</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40" w:type="dxa"/>
            <w:vAlign w:val="bottom"/>
            <w:shd w:val="clear" w:color="auto" w:fill="DDDDDD"/>
          </w:tcPr>
          <w:p>
            <w:pPr>
              <w:spacing w:after="0"/>
              <w:rPr>
                <w:sz w:val="17"/>
                <w:szCs w:val="17"/>
                <w:color w:val="auto"/>
              </w:rPr>
            </w:pPr>
          </w:p>
        </w:tc>
        <w:tc>
          <w:tcPr>
            <w:tcW w:w="2620" w:type="dxa"/>
            <w:vAlign w:val="bottom"/>
            <w:gridSpan w:val="3"/>
            <w:shd w:val="clear" w:color="auto" w:fill="DDDDDD"/>
          </w:tcPr>
          <w:p>
            <w:pPr>
              <w:ind w:left="140"/>
              <w:spacing w:after="0"/>
              <w:rPr>
                <w:sz w:val="20"/>
                <w:szCs w:val="20"/>
                <w:color w:val="auto"/>
              </w:rPr>
            </w:pPr>
            <w:r>
              <w:rPr>
                <w:rFonts w:ascii="Times New Roman" w:cs="Times New Roman" w:eastAsia="Times New Roman" w:hAnsi="Times New Roman"/>
                <w:sz w:val="16"/>
                <w:szCs w:val="16"/>
                <w:color w:val="auto"/>
              </w:rPr>
              <w:t>Business Combination</w:t>
            </w:r>
          </w:p>
        </w:tc>
        <w:tc>
          <w:tcPr>
            <w:tcW w:w="1040" w:type="dxa"/>
            <w:vAlign w:val="bottom"/>
            <w:vMerge w:val="continue"/>
            <w:shd w:val="clear" w:color="auto" w:fill="DDDDDD"/>
          </w:tcPr>
          <w:p>
            <w:pPr>
              <w:spacing w:after="0"/>
              <w:rPr>
                <w:sz w:val="17"/>
                <w:szCs w:val="17"/>
                <w:color w:val="auto"/>
              </w:rPr>
            </w:pPr>
          </w:p>
        </w:tc>
        <w:tc>
          <w:tcPr>
            <w:tcW w:w="180" w:type="dxa"/>
            <w:vAlign w:val="bottom"/>
            <w:shd w:val="clear" w:color="auto" w:fill="DDDDDD"/>
          </w:tcPr>
          <w:p>
            <w:pPr>
              <w:spacing w:after="0"/>
              <w:rPr>
                <w:sz w:val="17"/>
                <w:szCs w:val="17"/>
                <w:color w:val="auto"/>
              </w:rPr>
            </w:pPr>
          </w:p>
        </w:tc>
        <w:tc>
          <w:tcPr>
            <w:tcW w:w="940" w:type="dxa"/>
            <w:vAlign w:val="bottom"/>
            <w:vMerge w:val="continue"/>
            <w:shd w:val="clear" w:color="auto" w:fill="DDDDDD"/>
          </w:tcPr>
          <w:p>
            <w:pPr>
              <w:spacing w:after="0"/>
              <w:rPr>
                <w:sz w:val="17"/>
                <w:szCs w:val="17"/>
                <w:color w:val="auto"/>
              </w:rPr>
            </w:pPr>
          </w:p>
        </w:tc>
        <w:tc>
          <w:tcPr>
            <w:tcW w:w="40" w:type="dxa"/>
            <w:vAlign w:val="bottom"/>
            <w:shd w:val="clear" w:color="auto" w:fill="DDDDDD"/>
          </w:tcPr>
          <w:p>
            <w:pPr>
              <w:spacing w:after="0"/>
              <w:rPr>
                <w:sz w:val="17"/>
                <w:szCs w:val="17"/>
                <w:color w:val="auto"/>
              </w:rPr>
            </w:pPr>
          </w:p>
        </w:tc>
        <w:tc>
          <w:tcPr>
            <w:tcW w:w="20" w:type="dxa"/>
            <w:vAlign w:val="bottom"/>
            <w:shd w:val="clear" w:color="auto" w:fill="DDDDDD"/>
          </w:tcPr>
          <w:p>
            <w:pPr>
              <w:spacing w:after="0"/>
              <w:rPr>
                <w:sz w:val="17"/>
                <w:szCs w:val="17"/>
                <w:color w:val="auto"/>
              </w:rPr>
            </w:pPr>
          </w:p>
        </w:tc>
        <w:tc>
          <w:tcPr>
            <w:tcW w:w="1000" w:type="dxa"/>
            <w:vAlign w:val="bottom"/>
            <w:vMerge w:val="continue"/>
            <w:shd w:val="clear" w:color="auto" w:fill="DDDDDD"/>
          </w:tcPr>
          <w:p>
            <w:pPr>
              <w:spacing w:after="0"/>
              <w:rPr>
                <w:sz w:val="17"/>
                <w:szCs w:val="17"/>
                <w:color w:val="auto"/>
              </w:rPr>
            </w:pPr>
          </w:p>
        </w:tc>
        <w:tc>
          <w:tcPr>
            <w:tcW w:w="160" w:type="dxa"/>
            <w:vAlign w:val="bottom"/>
            <w:shd w:val="clear" w:color="auto" w:fill="DDDDDD"/>
          </w:tcPr>
          <w:p>
            <w:pPr>
              <w:spacing w:after="0"/>
              <w:rPr>
                <w:sz w:val="17"/>
                <w:szCs w:val="17"/>
                <w:color w:val="auto"/>
              </w:rPr>
            </w:pPr>
          </w:p>
        </w:tc>
        <w:tc>
          <w:tcPr>
            <w:tcW w:w="860" w:type="dxa"/>
            <w:vAlign w:val="bottom"/>
            <w:vMerge w:val="continue"/>
            <w:shd w:val="clear" w:color="auto" w:fill="DDDDDD"/>
          </w:tcPr>
          <w:p>
            <w:pPr>
              <w:spacing w:after="0"/>
              <w:rPr>
                <w:sz w:val="17"/>
                <w:szCs w:val="17"/>
                <w:color w:val="auto"/>
              </w:rPr>
            </w:pPr>
          </w:p>
        </w:tc>
        <w:tc>
          <w:tcPr>
            <w:tcW w:w="40" w:type="dxa"/>
            <w:vAlign w:val="bottom"/>
            <w:shd w:val="clear" w:color="auto" w:fill="DDDDDD"/>
          </w:tcPr>
          <w:p>
            <w:pPr>
              <w:spacing w:after="0"/>
              <w:rPr>
                <w:sz w:val="17"/>
                <w:szCs w:val="17"/>
                <w:color w:val="auto"/>
              </w:rPr>
            </w:pPr>
          </w:p>
        </w:tc>
        <w:tc>
          <w:tcPr>
            <w:tcW w:w="20" w:type="dxa"/>
            <w:vAlign w:val="bottom"/>
            <w:shd w:val="clear" w:color="auto" w:fill="DDDDDD"/>
          </w:tcPr>
          <w:p>
            <w:pPr>
              <w:spacing w:after="0"/>
              <w:rPr>
                <w:sz w:val="17"/>
                <w:szCs w:val="17"/>
                <w:color w:val="auto"/>
              </w:rPr>
            </w:pPr>
          </w:p>
        </w:tc>
        <w:tc>
          <w:tcPr>
            <w:tcW w:w="140" w:type="dxa"/>
            <w:vAlign w:val="bottom"/>
            <w:shd w:val="clear" w:color="auto" w:fill="DDDDDD"/>
          </w:tcPr>
          <w:p>
            <w:pPr>
              <w:spacing w:after="0"/>
              <w:rPr>
                <w:sz w:val="17"/>
                <w:szCs w:val="17"/>
                <w:color w:val="auto"/>
              </w:rPr>
            </w:pPr>
          </w:p>
        </w:tc>
        <w:tc>
          <w:tcPr>
            <w:tcW w:w="880" w:type="dxa"/>
            <w:vAlign w:val="bottom"/>
            <w:vMerge w:val="continue"/>
            <w:shd w:val="clear" w:color="auto" w:fill="DDDDDD"/>
          </w:tcPr>
          <w:p>
            <w:pPr>
              <w:spacing w:after="0"/>
              <w:rPr>
                <w:sz w:val="17"/>
                <w:szCs w:val="17"/>
                <w:color w:val="auto"/>
              </w:rPr>
            </w:pPr>
          </w:p>
        </w:tc>
        <w:tc>
          <w:tcPr>
            <w:tcW w:w="60" w:type="dxa"/>
            <w:vAlign w:val="bottom"/>
            <w:shd w:val="clear" w:color="auto" w:fill="DDDDDD"/>
          </w:tcPr>
          <w:p>
            <w:pPr>
              <w:spacing w:after="0"/>
              <w:rPr>
                <w:sz w:val="17"/>
                <w:szCs w:val="17"/>
                <w:color w:val="auto"/>
              </w:rPr>
            </w:pPr>
          </w:p>
        </w:tc>
        <w:tc>
          <w:tcPr>
            <w:tcW w:w="20" w:type="dxa"/>
            <w:vAlign w:val="bottom"/>
            <w:shd w:val="clear" w:color="auto" w:fill="DDDDDD"/>
          </w:tcPr>
          <w:p>
            <w:pPr>
              <w:spacing w:after="0"/>
              <w:rPr>
                <w:sz w:val="17"/>
                <w:szCs w:val="17"/>
                <w:color w:val="auto"/>
              </w:rPr>
            </w:pPr>
          </w:p>
        </w:tc>
        <w:tc>
          <w:tcPr>
            <w:tcW w:w="220" w:type="dxa"/>
            <w:vAlign w:val="bottom"/>
            <w:shd w:val="clear" w:color="auto" w:fill="DDDDDD"/>
          </w:tcPr>
          <w:p>
            <w:pPr>
              <w:spacing w:after="0"/>
              <w:rPr>
                <w:sz w:val="17"/>
                <w:szCs w:val="17"/>
                <w:color w:val="auto"/>
              </w:rPr>
            </w:pPr>
          </w:p>
        </w:tc>
        <w:tc>
          <w:tcPr>
            <w:tcW w:w="900" w:type="dxa"/>
            <w:vAlign w:val="bottom"/>
            <w:vMerge w:val="continue"/>
            <w:shd w:val="clear" w:color="auto" w:fill="DDDDDD"/>
          </w:tcPr>
          <w:p>
            <w:pPr>
              <w:spacing w:after="0"/>
              <w:rPr>
                <w:sz w:val="17"/>
                <w:szCs w:val="17"/>
                <w:color w:val="auto"/>
              </w:rPr>
            </w:pPr>
          </w:p>
        </w:tc>
        <w:tc>
          <w:tcPr>
            <w:tcW w:w="60" w:type="dxa"/>
            <w:vAlign w:val="bottom"/>
            <w:shd w:val="clear" w:color="auto" w:fill="DDDDDD"/>
          </w:tcPr>
          <w:p>
            <w:pPr>
              <w:spacing w:after="0"/>
              <w:rPr>
                <w:sz w:val="17"/>
                <w:szCs w:val="17"/>
                <w:color w:val="auto"/>
              </w:rPr>
            </w:pPr>
          </w:p>
        </w:tc>
        <w:tc>
          <w:tcPr>
            <w:tcW w:w="160" w:type="dxa"/>
            <w:vAlign w:val="bottom"/>
            <w:shd w:val="clear" w:color="auto" w:fill="DDDDDD"/>
          </w:tcPr>
          <w:p>
            <w:pPr>
              <w:spacing w:after="0"/>
              <w:rPr>
                <w:sz w:val="17"/>
                <w:szCs w:val="17"/>
                <w:color w:val="auto"/>
              </w:rPr>
            </w:pPr>
          </w:p>
        </w:tc>
        <w:tc>
          <w:tcPr>
            <w:tcW w:w="1140" w:type="dxa"/>
            <w:vAlign w:val="bottom"/>
            <w:vMerge w:val="continue"/>
            <w:shd w:val="clear" w:color="auto" w:fill="DDDDDD"/>
          </w:tcPr>
          <w:p>
            <w:pPr>
              <w:spacing w:after="0"/>
              <w:rPr>
                <w:sz w:val="17"/>
                <w:szCs w:val="17"/>
                <w:color w:val="auto"/>
              </w:rPr>
            </w:pPr>
          </w:p>
        </w:tc>
        <w:tc>
          <w:tcPr>
            <w:tcW w:w="40" w:type="dxa"/>
            <w:vAlign w:val="bottom"/>
            <w:shd w:val="clear" w:color="auto" w:fill="DDDDDD"/>
          </w:tcPr>
          <w:p>
            <w:pPr>
              <w:spacing w:after="0"/>
              <w:rPr>
                <w:sz w:val="17"/>
                <w:szCs w:val="17"/>
                <w:color w:val="auto"/>
              </w:rPr>
            </w:pPr>
          </w:p>
        </w:tc>
        <w:tc>
          <w:tcPr>
            <w:tcW w:w="20" w:type="dxa"/>
            <w:vAlign w:val="bottom"/>
            <w:shd w:val="clear" w:color="auto" w:fill="DDDDDD"/>
          </w:tcPr>
          <w:p>
            <w:pPr>
              <w:spacing w:after="0"/>
              <w:rPr>
                <w:sz w:val="17"/>
                <w:szCs w:val="17"/>
                <w:color w:val="auto"/>
              </w:rPr>
            </w:pPr>
          </w:p>
        </w:tc>
        <w:tc>
          <w:tcPr>
            <w:tcW w:w="140" w:type="dxa"/>
            <w:vAlign w:val="bottom"/>
            <w:shd w:val="clear" w:color="auto" w:fill="DDDDDD"/>
          </w:tcPr>
          <w:p>
            <w:pPr>
              <w:spacing w:after="0"/>
              <w:rPr>
                <w:sz w:val="17"/>
                <w:szCs w:val="17"/>
                <w:color w:val="auto"/>
              </w:rPr>
            </w:pPr>
          </w:p>
        </w:tc>
        <w:tc>
          <w:tcPr>
            <w:tcW w:w="880" w:type="dxa"/>
            <w:vAlign w:val="bottom"/>
            <w:vMerge w:val="continue"/>
            <w:shd w:val="clear" w:color="auto" w:fill="DDDDDD"/>
          </w:tcPr>
          <w:p>
            <w:pPr>
              <w:spacing w:after="0"/>
              <w:rPr>
                <w:sz w:val="17"/>
                <w:szCs w:val="17"/>
                <w:color w:val="auto"/>
              </w:rPr>
            </w:pPr>
          </w:p>
        </w:tc>
        <w:tc>
          <w:tcPr>
            <w:tcW w:w="40" w:type="dxa"/>
            <w:vAlign w:val="bottom"/>
            <w:shd w:val="clear" w:color="auto" w:fill="DDDDDD"/>
          </w:tcPr>
          <w:p>
            <w:pPr>
              <w:spacing w:after="0"/>
              <w:rPr>
                <w:sz w:val="17"/>
                <w:szCs w:val="17"/>
                <w:color w:val="auto"/>
              </w:rPr>
            </w:pPr>
          </w:p>
        </w:tc>
        <w:tc>
          <w:tcPr>
            <w:tcW w:w="20" w:type="dxa"/>
            <w:vAlign w:val="bottom"/>
            <w:shd w:val="clear" w:color="auto" w:fill="DDDDDD"/>
          </w:tcPr>
          <w:p>
            <w:pPr>
              <w:spacing w:after="0"/>
              <w:rPr>
                <w:sz w:val="17"/>
                <w:szCs w:val="17"/>
                <w:color w:val="auto"/>
              </w:rPr>
            </w:pPr>
          </w:p>
        </w:tc>
        <w:tc>
          <w:tcPr>
            <w:tcW w:w="160" w:type="dxa"/>
            <w:vAlign w:val="bottom"/>
            <w:shd w:val="clear" w:color="auto" w:fill="DDDDDD"/>
          </w:tcPr>
          <w:p>
            <w:pPr>
              <w:spacing w:after="0"/>
              <w:rPr>
                <w:sz w:val="17"/>
                <w:szCs w:val="17"/>
                <w:color w:val="auto"/>
              </w:rPr>
            </w:pPr>
          </w:p>
        </w:tc>
        <w:tc>
          <w:tcPr>
            <w:tcW w:w="860" w:type="dxa"/>
            <w:vAlign w:val="bottom"/>
            <w:vMerge w:val="continue"/>
            <w:shd w:val="clear" w:color="auto" w:fill="DDDDDD"/>
          </w:tcPr>
          <w:p>
            <w:pPr>
              <w:spacing w:after="0"/>
              <w:rPr>
                <w:sz w:val="17"/>
                <w:szCs w:val="17"/>
                <w:color w:val="auto"/>
              </w:rPr>
            </w:pPr>
          </w:p>
        </w:tc>
        <w:tc>
          <w:tcPr>
            <w:tcW w:w="40" w:type="dxa"/>
            <w:vAlign w:val="bottom"/>
            <w:shd w:val="clear" w:color="auto" w:fill="DDDDDD"/>
          </w:tcPr>
          <w:p>
            <w:pPr>
              <w:spacing w:after="0"/>
              <w:rPr>
                <w:sz w:val="17"/>
                <w:szCs w:val="17"/>
                <w:color w:val="auto"/>
              </w:rPr>
            </w:pPr>
          </w:p>
        </w:tc>
        <w:tc>
          <w:tcPr>
            <w:tcW w:w="20" w:type="dxa"/>
            <w:vAlign w:val="bottom"/>
            <w:shd w:val="clear" w:color="auto" w:fill="DDDDDD"/>
          </w:tcPr>
          <w:p>
            <w:pPr>
              <w:spacing w:after="0"/>
              <w:rPr>
                <w:sz w:val="17"/>
                <w:szCs w:val="17"/>
                <w:color w:val="auto"/>
              </w:rPr>
            </w:pPr>
          </w:p>
        </w:tc>
        <w:tc>
          <w:tcPr>
            <w:tcW w:w="280" w:type="dxa"/>
            <w:vAlign w:val="bottom"/>
            <w:shd w:val="clear" w:color="auto" w:fill="DDDDDD"/>
          </w:tcPr>
          <w:p>
            <w:pPr>
              <w:spacing w:after="0"/>
              <w:rPr>
                <w:sz w:val="17"/>
                <w:szCs w:val="17"/>
                <w:color w:val="auto"/>
              </w:rPr>
            </w:pPr>
          </w:p>
        </w:tc>
        <w:tc>
          <w:tcPr>
            <w:tcW w:w="720" w:type="dxa"/>
            <w:vAlign w:val="bottom"/>
            <w:vMerge w:val="continue"/>
            <w:shd w:val="clear" w:color="auto" w:fill="DDDDDD"/>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2"/>
        </w:trPr>
        <w:tc>
          <w:tcPr>
            <w:tcW w:w="40" w:type="dxa"/>
            <w:vAlign w:val="bottom"/>
          </w:tcPr>
          <w:p>
            <w:pPr>
              <w:spacing w:after="0"/>
              <w:rPr>
                <w:sz w:val="17"/>
                <w:szCs w:val="17"/>
                <w:color w:val="auto"/>
              </w:rPr>
            </w:pPr>
          </w:p>
        </w:tc>
        <w:tc>
          <w:tcPr>
            <w:tcW w:w="2620" w:type="dxa"/>
            <w:vAlign w:val="bottom"/>
            <w:gridSpan w:val="3"/>
          </w:tcPr>
          <w:p>
            <w:pPr>
              <w:ind w:left="140"/>
              <w:spacing w:after="0"/>
              <w:rPr>
                <w:sz w:val="20"/>
                <w:szCs w:val="20"/>
                <w:color w:val="auto"/>
              </w:rPr>
            </w:pPr>
            <w:r>
              <w:rPr>
                <w:rFonts w:ascii="Times New Roman" w:cs="Times New Roman" w:eastAsia="Times New Roman" w:hAnsi="Times New Roman"/>
                <w:sz w:val="16"/>
                <w:szCs w:val="16"/>
                <w:color w:val="auto"/>
              </w:rPr>
              <w:t>Issuance of common stock for</w:t>
            </w:r>
          </w:p>
        </w:tc>
        <w:tc>
          <w:tcPr>
            <w:tcW w:w="104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1,938,798</w:t>
            </w:r>
          </w:p>
        </w:tc>
        <w:tc>
          <w:tcPr>
            <w:tcW w:w="180" w:type="dxa"/>
            <w:vAlign w:val="bottom"/>
          </w:tcPr>
          <w:p>
            <w:pPr>
              <w:spacing w:after="0"/>
              <w:rPr>
                <w:sz w:val="17"/>
                <w:szCs w:val="17"/>
                <w:color w:val="auto"/>
              </w:rPr>
            </w:pPr>
          </w:p>
        </w:tc>
        <w:tc>
          <w:tcPr>
            <w:tcW w:w="940" w:type="dxa"/>
            <w:vAlign w:val="bottom"/>
            <w:vMerge w:val="restart"/>
          </w:tcPr>
          <w:p>
            <w:pPr>
              <w:jc w:val="right"/>
              <w:ind w:right="1"/>
              <w:spacing w:after="0"/>
              <w:rPr>
                <w:sz w:val="20"/>
                <w:szCs w:val="20"/>
                <w:color w:val="auto"/>
              </w:rPr>
            </w:pPr>
            <w:r>
              <w:rPr>
                <w:rFonts w:ascii="Times New Roman" w:cs="Times New Roman" w:eastAsia="Times New Roman" w:hAnsi="Times New Roman"/>
                <w:sz w:val="16"/>
                <w:szCs w:val="16"/>
                <w:color w:val="auto"/>
              </w:rPr>
              <w:t>1</w:t>
            </w:r>
          </w:p>
        </w:tc>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tcPr>
          <w:p>
            <w:pPr>
              <w:spacing w:after="0"/>
              <w:rPr>
                <w:sz w:val="17"/>
                <w:szCs w:val="17"/>
                <w:color w:val="auto"/>
              </w:rPr>
            </w:pPr>
          </w:p>
        </w:tc>
        <w:tc>
          <w:tcPr>
            <w:tcW w:w="86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8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12,721</w:t>
            </w:r>
          </w:p>
        </w:tc>
        <w:tc>
          <w:tcPr>
            <w:tcW w:w="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0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14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12,722</w:t>
            </w:r>
          </w:p>
        </w:tc>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8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16,590</w:t>
            </w:r>
          </w:p>
        </w:tc>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6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72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29,312</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2"/>
        </w:trPr>
        <w:tc>
          <w:tcPr>
            <w:tcW w:w="40" w:type="dxa"/>
            <w:vAlign w:val="bottom"/>
          </w:tcPr>
          <w:p>
            <w:pPr>
              <w:spacing w:after="0"/>
              <w:rPr>
                <w:sz w:val="17"/>
                <w:szCs w:val="17"/>
                <w:color w:val="auto"/>
              </w:rPr>
            </w:pPr>
          </w:p>
        </w:tc>
        <w:tc>
          <w:tcPr>
            <w:tcW w:w="2620" w:type="dxa"/>
            <w:vAlign w:val="bottom"/>
            <w:gridSpan w:val="3"/>
          </w:tcPr>
          <w:p>
            <w:pPr>
              <w:ind w:left="140"/>
              <w:spacing w:after="0"/>
              <w:rPr>
                <w:sz w:val="20"/>
                <w:szCs w:val="20"/>
                <w:color w:val="auto"/>
              </w:rPr>
            </w:pPr>
            <w:r>
              <w:rPr>
                <w:rFonts w:ascii="Times New Roman" w:cs="Times New Roman" w:eastAsia="Times New Roman" w:hAnsi="Times New Roman"/>
                <w:sz w:val="16"/>
                <w:szCs w:val="16"/>
                <w:color w:val="auto"/>
              </w:rPr>
              <w:t>acquisitions</w:t>
            </w:r>
          </w:p>
        </w:tc>
        <w:tc>
          <w:tcPr>
            <w:tcW w:w="1040" w:type="dxa"/>
            <w:vAlign w:val="bottom"/>
            <w:vMerge w:val="continue"/>
          </w:tcPr>
          <w:p>
            <w:pPr>
              <w:spacing w:after="0"/>
              <w:rPr>
                <w:sz w:val="17"/>
                <w:szCs w:val="17"/>
                <w:color w:val="auto"/>
              </w:rPr>
            </w:pPr>
          </w:p>
        </w:tc>
        <w:tc>
          <w:tcPr>
            <w:tcW w:w="180" w:type="dxa"/>
            <w:vAlign w:val="bottom"/>
          </w:tcPr>
          <w:p>
            <w:pPr>
              <w:spacing w:after="0"/>
              <w:rPr>
                <w:sz w:val="17"/>
                <w:szCs w:val="17"/>
                <w:color w:val="auto"/>
              </w:rPr>
            </w:pPr>
          </w:p>
        </w:tc>
        <w:tc>
          <w:tcPr>
            <w:tcW w:w="940" w:type="dxa"/>
            <w:vAlign w:val="bottom"/>
            <w:vMerge w:val="continue"/>
          </w:tcPr>
          <w:p>
            <w:pPr>
              <w:spacing w:after="0"/>
              <w:rPr>
                <w:sz w:val="17"/>
                <w:szCs w:val="17"/>
                <w:color w:val="auto"/>
              </w:rPr>
            </w:pPr>
          </w:p>
        </w:tc>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0" w:type="dxa"/>
            <w:vAlign w:val="bottom"/>
            <w:vMerge w:val="continue"/>
          </w:tcPr>
          <w:p>
            <w:pPr>
              <w:spacing w:after="0"/>
              <w:rPr>
                <w:sz w:val="17"/>
                <w:szCs w:val="17"/>
                <w:color w:val="auto"/>
              </w:rPr>
            </w:pPr>
          </w:p>
        </w:tc>
        <w:tc>
          <w:tcPr>
            <w:tcW w:w="160" w:type="dxa"/>
            <w:vAlign w:val="bottom"/>
          </w:tcPr>
          <w:p>
            <w:pPr>
              <w:spacing w:after="0"/>
              <w:rPr>
                <w:sz w:val="17"/>
                <w:szCs w:val="17"/>
                <w:color w:val="auto"/>
              </w:rPr>
            </w:pPr>
          </w:p>
        </w:tc>
        <w:tc>
          <w:tcPr>
            <w:tcW w:w="860" w:type="dxa"/>
            <w:vAlign w:val="bottom"/>
            <w:vMerge w:val="continue"/>
          </w:tcPr>
          <w:p>
            <w:pPr>
              <w:spacing w:after="0"/>
              <w:rPr>
                <w:sz w:val="17"/>
                <w:szCs w:val="17"/>
                <w:color w:val="auto"/>
              </w:rPr>
            </w:pPr>
          </w:p>
        </w:tc>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80" w:type="dxa"/>
            <w:vAlign w:val="bottom"/>
            <w:vMerge w:val="continue"/>
          </w:tcPr>
          <w:p>
            <w:pPr>
              <w:spacing w:after="0"/>
              <w:rPr>
                <w:sz w:val="17"/>
                <w:szCs w:val="17"/>
                <w:color w:val="auto"/>
              </w:rPr>
            </w:pPr>
          </w:p>
        </w:tc>
        <w:tc>
          <w:tcPr>
            <w:tcW w:w="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00" w:type="dxa"/>
            <w:vAlign w:val="bottom"/>
            <w:vMerge w:val="continue"/>
          </w:tcPr>
          <w:p>
            <w:pPr>
              <w:spacing w:after="0"/>
              <w:rPr>
                <w:sz w:val="17"/>
                <w:szCs w:val="17"/>
                <w:color w:val="auto"/>
              </w:rPr>
            </w:pPr>
          </w:p>
        </w:tc>
        <w:tc>
          <w:tcPr>
            <w:tcW w:w="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140" w:type="dxa"/>
            <w:vAlign w:val="bottom"/>
            <w:vMerge w:val="continue"/>
          </w:tcPr>
          <w:p>
            <w:pPr>
              <w:spacing w:after="0"/>
              <w:rPr>
                <w:sz w:val="17"/>
                <w:szCs w:val="17"/>
                <w:color w:val="auto"/>
              </w:rPr>
            </w:pPr>
          </w:p>
        </w:tc>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80" w:type="dxa"/>
            <w:vAlign w:val="bottom"/>
            <w:vMerge w:val="continue"/>
          </w:tcPr>
          <w:p>
            <w:pPr>
              <w:spacing w:after="0"/>
              <w:rPr>
                <w:sz w:val="17"/>
                <w:szCs w:val="17"/>
                <w:color w:val="auto"/>
              </w:rPr>
            </w:pPr>
          </w:p>
        </w:tc>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60" w:type="dxa"/>
            <w:vAlign w:val="bottom"/>
            <w:vMerge w:val="continue"/>
          </w:tcPr>
          <w:p>
            <w:pPr>
              <w:spacing w:after="0"/>
              <w:rPr>
                <w:sz w:val="17"/>
                <w:szCs w:val="17"/>
                <w:color w:val="auto"/>
              </w:rPr>
            </w:pPr>
          </w:p>
        </w:tc>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720" w:type="dxa"/>
            <w:vAlign w:val="bottom"/>
            <w:vMerge w:val="continue"/>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45"/>
        </w:trPr>
        <w:tc>
          <w:tcPr>
            <w:tcW w:w="40" w:type="dxa"/>
            <w:vAlign w:val="bottom"/>
            <w:tcBorders>
              <w:bottom w:val="single" w:sz="8" w:color="DDDDDD"/>
            </w:tcBorders>
            <w:shd w:val="clear" w:color="auto" w:fill="DDDDDD"/>
          </w:tcPr>
          <w:p>
            <w:pPr>
              <w:spacing w:after="0"/>
              <w:rPr>
                <w:sz w:val="21"/>
                <w:szCs w:val="21"/>
                <w:color w:val="auto"/>
              </w:rPr>
            </w:pPr>
          </w:p>
        </w:tc>
        <w:tc>
          <w:tcPr>
            <w:tcW w:w="2620" w:type="dxa"/>
            <w:vAlign w:val="bottom"/>
            <w:tcBorders>
              <w:bottom w:val="single" w:sz="8" w:color="DDDDDD"/>
            </w:tcBorders>
            <w:gridSpan w:val="3"/>
            <w:shd w:val="clear" w:color="auto" w:fill="DDDDDD"/>
          </w:tcPr>
          <w:p>
            <w:pPr>
              <w:ind w:left="140"/>
              <w:spacing w:after="0"/>
              <w:rPr>
                <w:sz w:val="20"/>
                <w:szCs w:val="20"/>
                <w:color w:val="auto"/>
              </w:rPr>
            </w:pPr>
            <w:r>
              <w:rPr>
                <w:rFonts w:ascii="Times New Roman" w:cs="Times New Roman" w:eastAsia="Times New Roman" w:hAnsi="Times New Roman"/>
                <w:sz w:val="16"/>
                <w:szCs w:val="16"/>
                <w:color w:val="auto"/>
              </w:rPr>
              <w:t>Net income</w:t>
            </w:r>
          </w:p>
        </w:tc>
        <w:tc>
          <w:tcPr>
            <w:tcW w:w="1040" w:type="dxa"/>
            <w:vAlign w:val="bottom"/>
            <w:tcBorders>
              <w:bottom w:val="single" w:sz="8" w:color="DDDDDD"/>
            </w:tcBorders>
            <w:shd w:val="clear" w:color="auto" w:fill="DDDDDD"/>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tcBorders>
              <w:bottom w:val="single" w:sz="8" w:color="DDDDDD"/>
            </w:tcBorders>
            <w:shd w:val="clear" w:color="auto" w:fill="DDDDDD"/>
          </w:tcPr>
          <w:p>
            <w:pPr>
              <w:spacing w:after="0"/>
              <w:rPr>
                <w:sz w:val="21"/>
                <w:szCs w:val="21"/>
                <w:color w:val="auto"/>
              </w:rPr>
            </w:pPr>
          </w:p>
        </w:tc>
        <w:tc>
          <w:tcPr>
            <w:tcW w:w="940" w:type="dxa"/>
            <w:vAlign w:val="bottom"/>
            <w:tcBorders>
              <w:bottom w:val="single" w:sz="8" w:color="DDDDDD"/>
            </w:tcBorders>
            <w:shd w:val="clear" w:color="auto" w:fill="DDDDDD"/>
          </w:tcPr>
          <w:p>
            <w:pPr>
              <w:jc w:val="right"/>
              <w:ind w:right="1"/>
              <w:spacing w:after="0"/>
              <w:rPr>
                <w:sz w:val="20"/>
                <w:szCs w:val="20"/>
                <w:color w:val="auto"/>
              </w:rPr>
            </w:pPr>
            <w:r>
              <w:rPr>
                <w:rFonts w:ascii="Times New Roman" w:cs="Times New Roman" w:eastAsia="Times New Roman" w:hAnsi="Times New Roman"/>
                <w:sz w:val="16"/>
                <w:szCs w:val="16"/>
                <w:color w:val="auto"/>
              </w:rPr>
              <w:t>—</w:t>
            </w:r>
          </w:p>
        </w:tc>
        <w:tc>
          <w:tcPr>
            <w:tcW w:w="40" w:type="dxa"/>
            <w:vAlign w:val="bottom"/>
            <w:tcBorders>
              <w:bottom w:val="single" w:sz="8" w:color="DDDDDD"/>
            </w:tcBorders>
            <w:shd w:val="clear" w:color="auto" w:fill="DDDDDD"/>
          </w:tcPr>
          <w:p>
            <w:pPr>
              <w:spacing w:after="0"/>
              <w:rPr>
                <w:sz w:val="21"/>
                <w:szCs w:val="21"/>
                <w:color w:val="auto"/>
              </w:rPr>
            </w:pPr>
          </w:p>
        </w:tc>
        <w:tc>
          <w:tcPr>
            <w:tcW w:w="20" w:type="dxa"/>
            <w:vAlign w:val="bottom"/>
            <w:tcBorders>
              <w:bottom w:val="single" w:sz="8" w:color="DDDDDD"/>
            </w:tcBorders>
            <w:shd w:val="clear" w:color="auto" w:fill="DDDDDD"/>
          </w:tcPr>
          <w:p>
            <w:pPr>
              <w:spacing w:after="0"/>
              <w:rPr>
                <w:sz w:val="21"/>
                <w:szCs w:val="21"/>
                <w:color w:val="auto"/>
              </w:rPr>
            </w:pPr>
          </w:p>
        </w:tc>
        <w:tc>
          <w:tcPr>
            <w:tcW w:w="1000" w:type="dxa"/>
            <w:vAlign w:val="bottom"/>
            <w:tcBorders>
              <w:bottom w:val="single" w:sz="8" w:color="DDDDDD"/>
            </w:tcBorders>
            <w:shd w:val="clear" w:color="auto" w:fill="DDDDDD"/>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tcBorders>
              <w:bottom w:val="single" w:sz="8" w:color="DDDDDD"/>
            </w:tcBorders>
            <w:shd w:val="clear" w:color="auto" w:fill="DDDDDD"/>
          </w:tcPr>
          <w:p>
            <w:pPr>
              <w:spacing w:after="0"/>
              <w:rPr>
                <w:sz w:val="21"/>
                <w:szCs w:val="21"/>
                <w:color w:val="auto"/>
              </w:rPr>
            </w:pPr>
          </w:p>
        </w:tc>
        <w:tc>
          <w:tcPr>
            <w:tcW w:w="860" w:type="dxa"/>
            <w:vAlign w:val="bottom"/>
            <w:tcBorders>
              <w:bottom w:val="single" w:sz="8" w:color="DDDDDD"/>
            </w:tcBorders>
            <w:shd w:val="clear" w:color="auto" w:fill="DDDDDD"/>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40" w:type="dxa"/>
            <w:vAlign w:val="bottom"/>
            <w:tcBorders>
              <w:bottom w:val="single" w:sz="8" w:color="DDDDDD"/>
            </w:tcBorders>
            <w:shd w:val="clear" w:color="auto" w:fill="DDDDDD"/>
          </w:tcPr>
          <w:p>
            <w:pPr>
              <w:spacing w:after="0"/>
              <w:rPr>
                <w:sz w:val="21"/>
                <w:szCs w:val="21"/>
                <w:color w:val="auto"/>
              </w:rPr>
            </w:pPr>
          </w:p>
        </w:tc>
        <w:tc>
          <w:tcPr>
            <w:tcW w:w="20" w:type="dxa"/>
            <w:vAlign w:val="bottom"/>
            <w:tcBorders>
              <w:bottom w:val="single" w:sz="8" w:color="DDDDDD"/>
            </w:tcBorders>
            <w:shd w:val="clear" w:color="auto" w:fill="DDDDDD"/>
          </w:tcPr>
          <w:p>
            <w:pPr>
              <w:spacing w:after="0"/>
              <w:rPr>
                <w:sz w:val="21"/>
                <w:szCs w:val="21"/>
                <w:color w:val="auto"/>
              </w:rPr>
            </w:pPr>
          </w:p>
        </w:tc>
        <w:tc>
          <w:tcPr>
            <w:tcW w:w="140" w:type="dxa"/>
            <w:vAlign w:val="bottom"/>
            <w:tcBorders>
              <w:bottom w:val="single" w:sz="8" w:color="DDDDDD"/>
            </w:tcBorders>
            <w:shd w:val="clear" w:color="auto" w:fill="DDDDDD"/>
          </w:tcPr>
          <w:p>
            <w:pPr>
              <w:spacing w:after="0"/>
              <w:rPr>
                <w:sz w:val="21"/>
                <w:szCs w:val="21"/>
                <w:color w:val="auto"/>
              </w:rPr>
            </w:pPr>
          </w:p>
        </w:tc>
        <w:tc>
          <w:tcPr>
            <w:tcW w:w="880" w:type="dxa"/>
            <w:vAlign w:val="bottom"/>
            <w:tcBorders>
              <w:bottom w:val="single" w:sz="8" w:color="DDDDDD"/>
            </w:tcBorders>
            <w:shd w:val="clear" w:color="auto" w:fill="DDDDDD"/>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60" w:type="dxa"/>
            <w:vAlign w:val="bottom"/>
            <w:tcBorders>
              <w:bottom w:val="single" w:sz="8" w:color="DDDDDD"/>
            </w:tcBorders>
            <w:shd w:val="clear" w:color="auto" w:fill="DDDDDD"/>
          </w:tcPr>
          <w:p>
            <w:pPr>
              <w:spacing w:after="0"/>
              <w:rPr>
                <w:sz w:val="21"/>
                <w:szCs w:val="21"/>
                <w:color w:val="auto"/>
              </w:rPr>
            </w:pPr>
          </w:p>
        </w:tc>
        <w:tc>
          <w:tcPr>
            <w:tcW w:w="20" w:type="dxa"/>
            <w:vAlign w:val="bottom"/>
            <w:tcBorders>
              <w:bottom w:val="single" w:sz="8" w:color="DDDDDD"/>
            </w:tcBorders>
            <w:shd w:val="clear" w:color="auto" w:fill="DDDDDD"/>
          </w:tcPr>
          <w:p>
            <w:pPr>
              <w:spacing w:after="0"/>
              <w:rPr>
                <w:sz w:val="21"/>
                <w:szCs w:val="21"/>
                <w:color w:val="auto"/>
              </w:rPr>
            </w:pPr>
          </w:p>
        </w:tc>
        <w:tc>
          <w:tcPr>
            <w:tcW w:w="220" w:type="dxa"/>
            <w:vAlign w:val="bottom"/>
            <w:tcBorders>
              <w:bottom w:val="single" w:sz="8" w:color="DDDDDD"/>
            </w:tcBorders>
            <w:shd w:val="clear" w:color="auto" w:fill="DDDDDD"/>
          </w:tcPr>
          <w:p>
            <w:pPr>
              <w:spacing w:after="0"/>
              <w:rPr>
                <w:sz w:val="21"/>
                <w:szCs w:val="21"/>
                <w:color w:val="auto"/>
              </w:rPr>
            </w:pPr>
          </w:p>
        </w:tc>
        <w:tc>
          <w:tcPr>
            <w:tcW w:w="900" w:type="dxa"/>
            <w:vAlign w:val="bottom"/>
            <w:tcBorders>
              <w:bottom w:val="single" w:sz="8" w:color="DDDDDD"/>
            </w:tcBorders>
            <w:shd w:val="clear" w:color="auto" w:fill="DDDDDD"/>
          </w:tcPr>
          <w:p>
            <w:pPr>
              <w:jc w:val="right"/>
              <w:spacing w:after="0"/>
              <w:rPr>
                <w:sz w:val="20"/>
                <w:szCs w:val="20"/>
                <w:color w:val="auto"/>
              </w:rPr>
            </w:pPr>
            <w:r>
              <w:rPr>
                <w:rFonts w:ascii="Times New Roman" w:cs="Times New Roman" w:eastAsia="Times New Roman" w:hAnsi="Times New Roman"/>
                <w:sz w:val="16"/>
                <w:szCs w:val="16"/>
                <w:color w:val="auto"/>
              </w:rPr>
              <w:t>60,383</w:t>
            </w:r>
          </w:p>
        </w:tc>
        <w:tc>
          <w:tcPr>
            <w:tcW w:w="60" w:type="dxa"/>
            <w:vAlign w:val="bottom"/>
            <w:tcBorders>
              <w:bottom w:val="single" w:sz="8" w:color="DDDDDD"/>
            </w:tcBorders>
            <w:shd w:val="clear" w:color="auto" w:fill="DDDDDD"/>
          </w:tcPr>
          <w:p>
            <w:pPr>
              <w:spacing w:after="0"/>
              <w:rPr>
                <w:sz w:val="21"/>
                <w:szCs w:val="21"/>
                <w:color w:val="auto"/>
              </w:rPr>
            </w:pPr>
          </w:p>
        </w:tc>
        <w:tc>
          <w:tcPr>
            <w:tcW w:w="160" w:type="dxa"/>
            <w:vAlign w:val="bottom"/>
            <w:tcBorders>
              <w:bottom w:val="single" w:sz="8" w:color="DDDDDD"/>
            </w:tcBorders>
            <w:shd w:val="clear" w:color="auto" w:fill="DDDDDD"/>
          </w:tcPr>
          <w:p>
            <w:pPr>
              <w:spacing w:after="0"/>
              <w:rPr>
                <w:sz w:val="21"/>
                <w:szCs w:val="21"/>
                <w:color w:val="auto"/>
              </w:rPr>
            </w:pPr>
          </w:p>
        </w:tc>
        <w:tc>
          <w:tcPr>
            <w:tcW w:w="1140" w:type="dxa"/>
            <w:vAlign w:val="bottom"/>
            <w:tcBorders>
              <w:bottom w:val="single" w:sz="8" w:color="DDDDDD"/>
            </w:tcBorders>
            <w:shd w:val="clear" w:color="auto" w:fill="DDDDDD"/>
          </w:tcPr>
          <w:p>
            <w:pPr>
              <w:jc w:val="right"/>
              <w:spacing w:after="0"/>
              <w:rPr>
                <w:sz w:val="20"/>
                <w:szCs w:val="20"/>
                <w:color w:val="auto"/>
              </w:rPr>
            </w:pPr>
            <w:r>
              <w:rPr>
                <w:rFonts w:ascii="Times New Roman" w:cs="Times New Roman" w:eastAsia="Times New Roman" w:hAnsi="Times New Roman"/>
                <w:sz w:val="16"/>
                <w:szCs w:val="16"/>
                <w:color w:val="auto"/>
              </w:rPr>
              <w:t>60,383</w:t>
            </w:r>
          </w:p>
        </w:tc>
        <w:tc>
          <w:tcPr>
            <w:tcW w:w="40" w:type="dxa"/>
            <w:vAlign w:val="bottom"/>
            <w:tcBorders>
              <w:bottom w:val="single" w:sz="8" w:color="DDDDDD"/>
            </w:tcBorders>
            <w:shd w:val="clear" w:color="auto" w:fill="DDDDDD"/>
          </w:tcPr>
          <w:p>
            <w:pPr>
              <w:spacing w:after="0"/>
              <w:rPr>
                <w:sz w:val="21"/>
                <w:szCs w:val="21"/>
                <w:color w:val="auto"/>
              </w:rPr>
            </w:pPr>
          </w:p>
        </w:tc>
        <w:tc>
          <w:tcPr>
            <w:tcW w:w="20" w:type="dxa"/>
            <w:vAlign w:val="bottom"/>
            <w:tcBorders>
              <w:bottom w:val="single" w:sz="8" w:color="DDDDDD"/>
            </w:tcBorders>
            <w:shd w:val="clear" w:color="auto" w:fill="DDDDDD"/>
          </w:tcPr>
          <w:p>
            <w:pPr>
              <w:spacing w:after="0"/>
              <w:rPr>
                <w:sz w:val="21"/>
                <w:szCs w:val="21"/>
                <w:color w:val="auto"/>
              </w:rPr>
            </w:pPr>
          </w:p>
        </w:tc>
        <w:tc>
          <w:tcPr>
            <w:tcW w:w="140" w:type="dxa"/>
            <w:vAlign w:val="bottom"/>
            <w:tcBorders>
              <w:bottom w:val="single" w:sz="8" w:color="DDDDDD"/>
            </w:tcBorders>
            <w:shd w:val="clear" w:color="auto" w:fill="DDDDDD"/>
          </w:tcPr>
          <w:p>
            <w:pPr>
              <w:spacing w:after="0"/>
              <w:rPr>
                <w:sz w:val="21"/>
                <w:szCs w:val="21"/>
                <w:color w:val="auto"/>
              </w:rPr>
            </w:pPr>
          </w:p>
        </w:tc>
        <w:tc>
          <w:tcPr>
            <w:tcW w:w="880" w:type="dxa"/>
            <w:vAlign w:val="bottom"/>
            <w:tcBorders>
              <w:bottom w:val="single" w:sz="8" w:color="DDDDDD"/>
            </w:tcBorders>
            <w:shd w:val="clear" w:color="auto" w:fill="DDDDDD"/>
          </w:tcPr>
          <w:p>
            <w:pPr>
              <w:jc w:val="right"/>
              <w:spacing w:after="0"/>
              <w:rPr>
                <w:sz w:val="20"/>
                <w:szCs w:val="20"/>
                <w:color w:val="auto"/>
              </w:rPr>
            </w:pPr>
            <w:r>
              <w:rPr>
                <w:rFonts w:ascii="Times New Roman" w:cs="Times New Roman" w:eastAsia="Times New Roman" w:hAnsi="Times New Roman"/>
                <w:sz w:val="16"/>
                <w:szCs w:val="16"/>
                <w:color w:val="auto"/>
              </w:rPr>
              <w:t>76,757</w:t>
            </w:r>
          </w:p>
        </w:tc>
        <w:tc>
          <w:tcPr>
            <w:tcW w:w="40" w:type="dxa"/>
            <w:vAlign w:val="bottom"/>
            <w:tcBorders>
              <w:bottom w:val="single" w:sz="8" w:color="DDDDDD"/>
            </w:tcBorders>
            <w:shd w:val="clear" w:color="auto" w:fill="DDDDDD"/>
          </w:tcPr>
          <w:p>
            <w:pPr>
              <w:spacing w:after="0"/>
              <w:rPr>
                <w:sz w:val="21"/>
                <w:szCs w:val="21"/>
                <w:color w:val="auto"/>
              </w:rPr>
            </w:pPr>
          </w:p>
        </w:tc>
        <w:tc>
          <w:tcPr>
            <w:tcW w:w="20" w:type="dxa"/>
            <w:vAlign w:val="bottom"/>
            <w:tcBorders>
              <w:bottom w:val="single" w:sz="8" w:color="DDDDDD"/>
            </w:tcBorders>
            <w:shd w:val="clear" w:color="auto" w:fill="DDDDDD"/>
          </w:tcPr>
          <w:p>
            <w:pPr>
              <w:spacing w:after="0"/>
              <w:rPr>
                <w:sz w:val="21"/>
                <w:szCs w:val="21"/>
                <w:color w:val="auto"/>
              </w:rPr>
            </w:pPr>
          </w:p>
        </w:tc>
        <w:tc>
          <w:tcPr>
            <w:tcW w:w="160" w:type="dxa"/>
            <w:vAlign w:val="bottom"/>
            <w:tcBorders>
              <w:bottom w:val="single" w:sz="8" w:color="DDDDDD"/>
            </w:tcBorders>
            <w:shd w:val="clear" w:color="auto" w:fill="DDDDDD"/>
          </w:tcPr>
          <w:p>
            <w:pPr>
              <w:spacing w:after="0"/>
              <w:rPr>
                <w:sz w:val="21"/>
                <w:szCs w:val="21"/>
                <w:color w:val="auto"/>
              </w:rPr>
            </w:pPr>
          </w:p>
        </w:tc>
        <w:tc>
          <w:tcPr>
            <w:tcW w:w="860" w:type="dxa"/>
            <w:vAlign w:val="bottom"/>
            <w:tcBorders>
              <w:bottom w:val="single" w:sz="8" w:color="DDDDDD"/>
            </w:tcBorders>
            <w:shd w:val="clear" w:color="auto" w:fill="DDDDDD"/>
          </w:tcPr>
          <w:p>
            <w:pPr>
              <w:jc w:val="right"/>
              <w:spacing w:after="0"/>
              <w:rPr>
                <w:sz w:val="20"/>
                <w:szCs w:val="20"/>
                <w:color w:val="auto"/>
              </w:rPr>
            </w:pPr>
            <w:r>
              <w:rPr>
                <w:rFonts w:ascii="Times New Roman" w:cs="Times New Roman" w:eastAsia="Times New Roman" w:hAnsi="Times New Roman"/>
                <w:sz w:val="16"/>
                <w:szCs w:val="16"/>
                <w:color w:val="auto"/>
              </w:rPr>
              <w:t>15,078</w:t>
            </w:r>
          </w:p>
        </w:tc>
        <w:tc>
          <w:tcPr>
            <w:tcW w:w="40" w:type="dxa"/>
            <w:vAlign w:val="bottom"/>
            <w:tcBorders>
              <w:bottom w:val="single" w:sz="8" w:color="DDDDDD"/>
            </w:tcBorders>
            <w:shd w:val="clear" w:color="auto" w:fill="DDDDDD"/>
          </w:tcPr>
          <w:p>
            <w:pPr>
              <w:spacing w:after="0"/>
              <w:rPr>
                <w:sz w:val="21"/>
                <w:szCs w:val="21"/>
                <w:color w:val="auto"/>
              </w:rPr>
            </w:pPr>
          </w:p>
        </w:tc>
        <w:tc>
          <w:tcPr>
            <w:tcW w:w="20" w:type="dxa"/>
            <w:vAlign w:val="bottom"/>
            <w:tcBorders>
              <w:bottom w:val="single" w:sz="8" w:color="DDDDDD"/>
            </w:tcBorders>
            <w:shd w:val="clear" w:color="auto" w:fill="DDDDDD"/>
          </w:tcPr>
          <w:p>
            <w:pPr>
              <w:spacing w:after="0"/>
              <w:rPr>
                <w:sz w:val="21"/>
                <w:szCs w:val="21"/>
                <w:color w:val="auto"/>
              </w:rPr>
            </w:pPr>
          </w:p>
        </w:tc>
        <w:tc>
          <w:tcPr>
            <w:tcW w:w="280" w:type="dxa"/>
            <w:vAlign w:val="bottom"/>
            <w:tcBorders>
              <w:bottom w:val="single" w:sz="8" w:color="DDDDDD"/>
            </w:tcBorders>
            <w:shd w:val="clear" w:color="auto" w:fill="DDDDDD"/>
          </w:tcPr>
          <w:p>
            <w:pPr>
              <w:spacing w:after="0"/>
              <w:rPr>
                <w:sz w:val="21"/>
                <w:szCs w:val="21"/>
                <w:color w:val="auto"/>
              </w:rPr>
            </w:pPr>
          </w:p>
        </w:tc>
        <w:tc>
          <w:tcPr>
            <w:tcW w:w="720" w:type="dxa"/>
            <w:vAlign w:val="bottom"/>
            <w:tcBorders>
              <w:bottom w:val="single" w:sz="8" w:color="DDDDDD"/>
            </w:tcBorders>
            <w:shd w:val="clear" w:color="auto" w:fill="DDDDDD"/>
          </w:tcPr>
          <w:p>
            <w:pPr>
              <w:jc w:val="right"/>
              <w:spacing w:after="0"/>
              <w:rPr>
                <w:sz w:val="20"/>
                <w:szCs w:val="20"/>
                <w:color w:val="auto"/>
              </w:rPr>
            </w:pPr>
            <w:r>
              <w:rPr>
                <w:rFonts w:ascii="Times New Roman" w:cs="Times New Roman" w:eastAsia="Times New Roman" w:hAnsi="Times New Roman"/>
                <w:sz w:val="16"/>
                <w:szCs w:val="16"/>
                <w:color w:val="auto"/>
              </w:rPr>
              <w:t>152,218</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15"/>
        </w:trPr>
        <w:tc>
          <w:tcPr>
            <w:tcW w:w="40" w:type="dxa"/>
            <w:vAlign w:val="bottom"/>
          </w:tcPr>
          <w:p>
            <w:pPr>
              <w:spacing w:after="0"/>
              <w:rPr>
                <w:sz w:val="18"/>
                <w:szCs w:val="18"/>
                <w:color w:val="auto"/>
              </w:rPr>
            </w:pPr>
          </w:p>
        </w:tc>
        <w:tc>
          <w:tcPr>
            <w:tcW w:w="2620" w:type="dxa"/>
            <w:vAlign w:val="bottom"/>
            <w:gridSpan w:val="3"/>
          </w:tcPr>
          <w:p>
            <w:pPr>
              <w:spacing w:after="0"/>
              <w:rPr>
                <w:sz w:val="20"/>
                <w:szCs w:val="20"/>
                <w:color w:val="auto"/>
              </w:rPr>
            </w:pPr>
            <w:r>
              <w:rPr>
                <w:rFonts w:ascii="Times New Roman" w:cs="Times New Roman" w:eastAsia="Times New Roman" w:hAnsi="Times New Roman"/>
                <w:sz w:val="16"/>
                <w:szCs w:val="16"/>
                <w:b w:val="1"/>
                <w:bCs w:val="1"/>
                <w:color w:val="auto"/>
              </w:rPr>
              <w:t>As of December 31, 2021</w:t>
            </w:r>
          </w:p>
        </w:tc>
        <w:tc>
          <w:tcPr>
            <w:tcW w:w="10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65,677,361</w:t>
            </w:r>
          </w:p>
        </w:tc>
        <w:tc>
          <w:tcPr>
            <w:tcW w:w="1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w:t>
            </w:r>
          </w:p>
        </w:tc>
        <w:tc>
          <w:tcPr>
            <w:tcW w:w="940" w:type="dxa"/>
            <w:vAlign w:val="bottom"/>
            <w:tcBorders>
              <w:top w:val="single" w:sz="8" w:color="auto"/>
            </w:tcBorders>
          </w:tcPr>
          <w:p>
            <w:pPr>
              <w:jc w:val="right"/>
              <w:ind w:right="1"/>
              <w:spacing w:after="0"/>
              <w:rPr>
                <w:sz w:val="20"/>
                <w:szCs w:val="20"/>
                <w:color w:val="auto"/>
              </w:rPr>
            </w:pPr>
            <w:r>
              <w:rPr>
                <w:rFonts w:ascii="Times New Roman" w:cs="Times New Roman" w:eastAsia="Times New Roman" w:hAnsi="Times New Roman"/>
                <w:sz w:val="16"/>
                <w:szCs w:val="16"/>
                <w:b w:val="1"/>
                <w:bCs w:val="1"/>
                <w:color w:val="auto"/>
              </w:rPr>
              <w:t>7</w:t>
            </w:r>
          </w:p>
        </w:tc>
        <w:tc>
          <w:tcPr>
            <w:tcW w:w="60" w:type="dxa"/>
            <w:vAlign w:val="bottom"/>
            <w:gridSpan w:val="2"/>
          </w:tcPr>
          <w:p>
            <w:pPr>
              <w:spacing w:after="0"/>
              <w:rPr>
                <w:sz w:val="18"/>
                <w:szCs w:val="18"/>
                <w:color w:val="auto"/>
              </w:rPr>
            </w:pPr>
          </w:p>
        </w:tc>
        <w:tc>
          <w:tcPr>
            <w:tcW w:w="10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65,502,347</w:t>
            </w:r>
          </w:p>
        </w:tc>
        <w:tc>
          <w:tcPr>
            <w:tcW w:w="1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w:t>
            </w:r>
          </w:p>
        </w:tc>
        <w:tc>
          <w:tcPr>
            <w:tcW w:w="8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7</w:t>
            </w:r>
          </w:p>
        </w:tc>
        <w:tc>
          <w:tcPr>
            <w:tcW w:w="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w:t>
            </w:r>
          </w:p>
        </w:tc>
        <w:tc>
          <w:tcPr>
            <w:tcW w:w="8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2,173</w:t>
            </w:r>
          </w:p>
        </w:tc>
        <w:tc>
          <w:tcPr>
            <w:tcW w:w="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w:t>
            </w:r>
          </w:p>
        </w:tc>
        <w:tc>
          <w:tcPr>
            <w:tcW w:w="9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61,369</w:t>
            </w:r>
          </w:p>
        </w:tc>
        <w:tc>
          <w:tcPr>
            <w:tcW w:w="60" w:type="dxa"/>
            <w:vAlign w:val="bottom"/>
          </w:tcPr>
          <w:p>
            <w:pPr>
              <w:spacing w:after="0"/>
              <w:rPr>
                <w:sz w:val="18"/>
                <w:szCs w:val="18"/>
                <w:color w:val="auto"/>
              </w:rPr>
            </w:pPr>
          </w:p>
        </w:tc>
        <w:tc>
          <w:tcPr>
            <w:tcW w:w="1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w:t>
            </w:r>
          </w:p>
        </w:tc>
        <w:tc>
          <w:tcPr>
            <w:tcW w:w="11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63,556</w:t>
            </w:r>
          </w:p>
        </w:tc>
        <w:tc>
          <w:tcPr>
            <w:tcW w:w="60" w:type="dxa"/>
            <w:vAlign w:val="bottom"/>
            <w:gridSpan w:val="2"/>
          </w:tcPr>
          <w:p>
            <w:pPr>
              <w:spacing w:after="0"/>
              <w:rPr>
                <w:sz w:val="18"/>
                <w:szCs w:val="18"/>
                <w:color w:val="auto"/>
              </w:rPr>
            </w:pPr>
          </w:p>
        </w:tc>
        <w:tc>
          <w:tcPr>
            <w:tcW w:w="1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w:t>
            </w:r>
          </w:p>
        </w:tc>
        <w:tc>
          <w:tcPr>
            <w:tcW w:w="8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68,384</w:t>
            </w:r>
          </w:p>
        </w:tc>
        <w:tc>
          <w:tcPr>
            <w:tcW w:w="60" w:type="dxa"/>
            <w:vAlign w:val="bottom"/>
            <w:gridSpan w:val="2"/>
          </w:tcPr>
          <w:p>
            <w:pPr>
              <w:spacing w:after="0"/>
              <w:rPr>
                <w:sz w:val="18"/>
                <w:szCs w:val="18"/>
                <w:color w:val="auto"/>
              </w:rPr>
            </w:pPr>
          </w:p>
        </w:tc>
        <w:tc>
          <w:tcPr>
            <w:tcW w:w="1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w:t>
            </w:r>
          </w:p>
        </w:tc>
        <w:tc>
          <w:tcPr>
            <w:tcW w:w="8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w:t>
            </w:r>
          </w:p>
        </w:tc>
        <w:tc>
          <w:tcPr>
            <w:tcW w:w="60" w:type="dxa"/>
            <w:vAlign w:val="bottom"/>
            <w:gridSpan w:val="2"/>
          </w:tcPr>
          <w:p>
            <w:pPr>
              <w:spacing w:after="0"/>
              <w:rPr>
                <w:sz w:val="18"/>
                <w:szCs w:val="18"/>
                <w:color w:val="auto"/>
              </w:rPr>
            </w:pPr>
          </w:p>
        </w:tc>
        <w:tc>
          <w:tcPr>
            <w:tcW w:w="280" w:type="dxa"/>
            <w:vAlign w:val="bottom"/>
            <w:tcBorders>
              <w:top w:val="single" w:sz="8" w:color="auto"/>
            </w:tcBorders>
          </w:tcPr>
          <w:p>
            <w:pPr>
              <w:ind w:left="60"/>
              <w:spacing w:after="0"/>
              <w:rPr>
                <w:sz w:val="20"/>
                <w:szCs w:val="20"/>
                <w:color w:val="auto"/>
              </w:rPr>
            </w:pPr>
            <w:r>
              <w:rPr>
                <w:rFonts w:ascii="Times New Roman" w:cs="Times New Roman" w:eastAsia="Times New Roman" w:hAnsi="Times New Roman"/>
                <w:sz w:val="16"/>
                <w:szCs w:val="16"/>
                <w:b w:val="1"/>
                <w:bCs w:val="1"/>
                <w:color w:val="auto"/>
              </w:rPr>
              <w:t>$</w:t>
            </w:r>
          </w:p>
        </w:tc>
        <w:tc>
          <w:tcPr>
            <w:tcW w:w="7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131,940</w:t>
            </w:r>
          </w:p>
        </w:tc>
        <w:tc>
          <w:tcPr>
            <w:tcW w:w="20" w:type="dxa"/>
            <w:vAlign w:val="bottom"/>
            <w:tcBorders>
              <w:top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41"/>
        </w:trPr>
        <w:tc>
          <w:tcPr>
            <w:tcW w:w="40" w:type="dxa"/>
            <w:vAlign w:val="bottom"/>
            <w:shd w:val="clear" w:color="auto" w:fill="DDDDDD"/>
          </w:tcPr>
          <w:p>
            <w:pPr>
              <w:spacing w:after="0"/>
              <w:rPr>
                <w:sz w:val="20"/>
                <w:szCs w:val="20"/>
                <w:color w:val="auto"/>
              </w:rPr>
            </w:pPr>
          </w:p>
        </w:tc>
        <w:tc>
          <w:tcPr>
            <w:tcW w:w="2620" w:type="dxa"/>
            <w:vAlign w:val="bottom"/>
            <w:gridSpan w:val="3"/>
            <w:shd w:val="clear" w:color="auto" w:fill="DDDDDD"/>
          </w:tcPr>
          <w:p>
            <w:pPr>
              <w:ind w:left="140"/>
              <w:spacing w:after="0"/>
              <w:rPr>
                <w:sz w:val="20"/>
                <w:szCs w:val="20"/>
                <w:color w:val="auto"/>
              </w:rPr>
            </w:pPr>
            <w:r>
              <w:rPr>
                <w:rFonts w:ascii="Times New Roman" w:cs="Times New Roman" w:eastAsia="Times New Roman" w:hAnsi="Times New Roman"/>
                <w:sz w:val="16"/>
                <w:szCs w:val="16"/>
                <w:color w:val="auto"/>
              </w:rPr>
              <w:t>Stock-based compensation</w:t>
            </w:r>
          </w:p>
        </w:tc>
        <w:tc>
          <w:tcPr>
            <w:tcW w:w="1040" w:type="dxa"/>
            <w:vAlign w:val="bottom"/>
            <w:shd w:val="clear" w:color="auto" w:fill="DDDDDD"/>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shd w:val="clear" w:color="auto" w:fill="DDDDDD"/>
          </w:tcPr>
          <w:p>
            <w:pPr>
              <w:spacing w:after="0"/>
              <w:rPr>
                <w:sz w:val="20"/>
                <w:szCs w:val="20"/>
                <w:color w:val="auto"/>
              </w:rPr>
            </w:pPr>
          </w:p>
        </w:tc>
        <w:tc>
          <w:tcPr>
            <w:tcW w:w="940" w:type="dxa"/>
            <w:vAlign w:val="bottom"/>
            <w:shd w:val="clear" w:color="auto" w:fill="DDDDDD"/>
          </w:tcPr>
          <w:p>
            <w:pPr>
              <w:jc w:val="right"/>
              <w:ind w:right="1"/>
              <w:spacing w:after="0"/>
              <w:rPr>
                <w:sz w:val="20"/>
                <w:szCs w:val="20"/>
                <w:color w:val="auto"/>
              </w:rPr>
            </w:pPr>
            <w:r>
              <w:rPr>
                <w:rFonts w:ascii="Times New Roman" w:cs="Times New Roman" w:eastAsia="Times New Roman" w:hAnsi="Times New Roman"/>
                <w:sz w:val="16"/>
                <w:szCs w:val="16"/>
                <w:color w:val="auto"/>
              </w:rPr>
              <w:t>—</w:t>
            </w:r>
          </w:p>
        </w:tc>
        <w:tc>
          <w:tcPr>
            <w:tcW w:w="40" w:type="dxa"/>
            <w:vAlign w:val="bottom"/>
            <w:shd w:val="clear" w:color="auto" w:fill="DDDDDD"/>
          </w:tcPr>
          <w:p>
            <w:pPr>
              <w:spacing w:after="0"/>
              <w:rPr>
                <w:sz w:val="20"/>
                <w:szCs w:val="20"/>
                <w:color w:val="auto"/>
              </w:rPr>
            </w:pPr>
          </w:p>
        </w:tc>
        <w:tc>
          <w:tcPr>
            <w:tcW w:w="20" w:type="dxa"/>
            <w:vAlign w:val="bottom"/>
            <w:shd w:val="clear" w:color="auto" w:fill="DDDDDD"/>
          </w:tcPr>
          <w:p>
            <w:pPr>
              <w:spacing w:after="0"/>
              <w:rPr>
                <w:sz w:val="20"/>
                <w:szCs w:val="20"/>
                <w:color w:val="auto"/>
              </w:rPr>
            </w:pPr>
          </w:p>
        </w:tc>
        <w:tc>
          <w:tcPr>
            <w:tcW w:w="1000" w:type="dxa"/>
            <w:vAlign w:val="bottom"/>
            <w:shd w:val="clear" w:color="auto" w:fill="DDDDDD"/>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shd w:val="clear" w:color="auto" w:fill="DDDDDD"/>
          </w:tcPr>
          <w:p>
            <w:pPr>
              <w:spacing w:after="0"/>
              <w:rPr>
                <w:sz w:val="20"/>
                <w:szCs w:val="20"/>
                <w:color w:val="auto"/>
              </w:rPr>
            </w:pPr>
          </w:p>
        </w:tc>
        <w:tc>
          <w:tcPr>
            <w:tcW w:w="860" w:type="dxa"/>
            <w:vAlign w:val="bottom"/>
            <w:shd w:val="clear" w:color="auto" w:fill="DDDDDD"/>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40" w:type="dxa"/>
            <w:vAlign w:val="bottom"/>
            <w:shd w:val="clear" w:color="auto" w:fill="DDDDDD"/>
          </w:tcPr>
          <w:p>
            <w:pPr>
              <w:spacing w:after="0"/>
              <w:rPr>
                <w:sz w:val="20"/>
                <w:szCs w:val="20"/>
                <w:color w:val="auto"/>
              </w:rPr>
            </w:pPr>
          </w:p>
        </w:tc>
        <w:tc>
          <w:tcPr>
            <w:tcW w:w="20" w:type="dxa"/>
            <w:vAlign w:val="bottom"/>
            <w:shd w:val="clear" w:color="auto" w:fill="DDDDDD"/>
          </w:tcPr>
          <w:p>
            <w:pPr>
              <w:spacing w:after="0"/>
              <w:rPr>
                <w:sz w:val="20"/>
                <w:szCs w:val="20"/>
                <w:color w:val="auto"/>
              </w:rPr>
            </w:pPr>
          </w:p>
        </w:tc>
        <w:tc>
          <w:tcPr>
            <w:tcW w:w="140" w:type="dxa"/>
            <w:vAlign w:val="bottom"/>
            <w:shd w:val="clear" w:color="auto" w:fill="DDDDDD"/>
          </w:tcPr>
          <w:p>
            <w:pPr>
              <w:spacing w:after="0"/>
              <w:rPr>
                <w:sz w:val="20"/>
                <w:szCs w:val="20"/>
                <w:color w:val="auto"/>
              </w:rPr>
            </w:pPr>
          </w:p>
        </w:tc>
        <w:tc>
          <w:tcPr>
            <w:tcW w:w="880" w:type="dxa"/>
            <w:vAlign w:val="bottom"/>
            <w:shd w:val="clear" w:color="auto" w:fill="DDDDDD"/>
          </w:tcPr>
          <w:p>
            <w:pPr>
              <w:jc w:val="right"/>
              <w:spacing w:after="0"/>
              <w:rPr>
                <w:sz w:val="20"/>
                <w:szCs w:val="20"/>
                <w:color w:val="auto"/>
              </w:rPr>
            </w:pPr>
            <w:r>
              <w:rPr>
                <w:rFonts w:ascii="Times New Roman" w:cs="Times New Roman" w:eastAsia="Times New Roman" w:hAnsi="Times New Roman"/>
                <w:sz w:val="16"/>
                <w:szCs w:val="16"/>
                <w:color w:val="auto"/>
              </w:rPr>
              <w:t>22,862</w:t>
            </w:r>
          </w:p>
        </w:tc>
        <w:tc>
          <w:tcPr>
            <w:tcW w:w="60" w:type="dxa"/>
            <w:vAlign w:val="bottom"/>
            <w:shd w:val="clear" w:color="auto" w:fill="DDDDDD"/>
          </w:tcPr>
          <w:p>
            <w:pPr>
              <w:spacing w:after="0"/>
              <w:rPr>
                <w:sz w:val="20"/>
                <w:szCs w:val="20"/>
                <w:color w:val="auto"/>
              </w:rPr>
            </w:pPr>
          </w:p>
        </w:tc>
        <w:tc>
          <w:tcPr>
            <w:tcW w:w="20" w:type="dxa"/>
            <w:vAlign w:val="bottom"/>
            <w:shd w:val="clear" w:color="auto" w:fill="DDDDDD"/>
          </w:tcPr>
          <w:p>
            <w:pPr>
              <w:spacing w:after="0"/>
              <w:rPr>
                <w:sz w:val="20"/>
                <w:szCs w:val="20"/>
                <w:color w:val="auto"/>
              </w:rPr>
            </w:pPr>
          </w:p>
        </w:tc>
        <w:tc>
          <w:tcPr>
            <w:tcW w:w="220" w:type="dxa"/>
            <w:vAlign w:val="bottom"/>
            <w:shd w:val="clear" w:color="auto" w:fill="DDDDDD"/>
          </w:tcPr>
          <w:p>
            <w:pPr>
              <w:spacing w:after="0"/>
              <w:rPr>
                <w:sz w:val="20"/>
                <w:szCs w:val="20"/>
                <w:color w:val="auto"/>
              </w:rPr>
            </w:pPr>
          </w:p>
        </w:tc>
        <w:tc>
          <w:tcPr>
            <w:tcW w:w="900" w:type="dxa"/>
            <w:vAlign w:val="bottom"/>
            <w:shd w:val="clear" w:color="auto" w:fill="DDDDDD"/>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60" w:type="dxa"/>
            <w:vAlign w:val="bottom"/>
            <w:shd w:val="clear" w:color="auto" w:fill="DDDDDD"/>
          </w:tcPr>
          <w:p>
            <w:pPr>
              <w:spacing w:after="0"/>
              <w:rPr>
                <w:sz w:val="20"/>
                <w:szCs w:val="20"/>
                <w:color w:val="auto"/>
              </w:rPr>
            </w:pPr>
          </w:p>
        </w:tc>
        <w:tc>
          <w:tcPr>
            <w:tcW w:w="160" w:type="dxa"/>
            <w:vAlign w:val="bottom"/>
            <w:shd w:val="clear" w:color="auto" w:fill="DDDDDD"/>
          </w:tcPr>
          <w:p>
            <w:pPr>
              <w:spacing w:after="0"/>
              <w:rPr>
                <w:sz w:val="20"/>
                <w:szCs w:val="20"/>
                <w:color w:val="auto"/>
              </w:rPr>
            </w:pPr>
          </w:p>
        </w:tc>
        <w:tc>
          <w:tcPr>
            <w:tcW w:w="1140" w:type="dxa"/>
            <w:vAlign w:val="bottom"/>
            <w:shd w:val="clear" w:color="auto" w:fill="DDDDDD"/>
          </w:tcPr>
          <w:p>
            <w:pPr>
              <w:jc w:val="right"/>
              <w:spacing w:after="0"/>
              <w:rPr>
                <w:sz w:val="20"/>
                <w:szCs w:val="20"/>
                <w:color w:val="auto"/>
              </w:rPr>
            </w:pPr>
            <w:r>
              <w:rPr>
                <w:rFonts w:ascii="Times New Roman" w:cs="Times New Roman" w:eastAsia="Times New Roman" w:hAnsi="Times New Roman"/>
                <w:sz w:val="16"/>
                <w:szCs w:val="16"/>
                <w:color w:val="auto"/>
              </w:rPr>
              <w:t>22,862</w:t>
            </w:r>
          </w:p>
        </w:tc>
        <w:tc>
          <w:tcPr>
            <w:tcW w:w="40" w:type="dxa"/>
            <w:vAlign w:val="bottom"/>
            <w:shd w:val="clear" w:color="auto" w:fill="DDDDDD"/>
          </w:tcPr>
          <w:p>
            <w:pPr>
              <w:spacing w:after="0"/>
              <w:rPr>
                <w:sz w:val="20"/>
                <w:szCs w:val="20"/>
                <w:color w:val="auto"/>
              </w:rPr>
            </w:pPr>
          </w:p>
        </w:tc>
        <w:tc>
          <w:tcPr>
            <w:tcW w:w="20" w:type="dxa"/>
            <w:vAlign w:val="bottom"/>
            <w:shd w:val="clear" w:color="auto" w:fill="DDDDDD"/>
          </w:tcPr>
          <w:p>
            <w:pPr>
              <w:spacing w:after="0"/>
              <w:rPr>
                <w:sz w:val="20"/>
                <w:szCs w:val="20"/>
                <w:color w:val="auto"/>
              </w:rPr>
            </w:pPr>
          </w:p>
        </w:tc>
        <w:tc>
          <w:tcPr>
            <w:tcW w:w="140" w:type="dxa"/>
            <w:vAlign w:val="bottom"/>
            <w:shd w:val="clear" w:color="auto" w:fill="DDDDDD"/>
          </w:tcPr>
          <w:p>
            <w:pPr>
              <w:spacing w:after="0"/>
              <w:rPr>
                <w:sz w:val="20"/>
                <w:szCs w:val="20"/>
                <w:color w:val="auto"/>
              </w:rPr>
            </w:pPr>
          </w:p>
        </w:tc>
        <w:tc>
          <w:tcPr>
            <w:tcW w:w="880" w:type="dxa"/>
            <w:vAlign w:val="bottom"/>
            <w:shd w:val="clear" w:color="auto" w:fill="DDDDDD"/>
          </w:tcPr>
          <w:p>
            <w:pPr>
              <w:jc w:val="right"/>
              <w:spacing w:after="0"/>
              <w:rPr>
                <w:sz w:val="20"/>
                <w:szCs w:val="20"/>
                <w:color w:val="auto"/>
              </w:rPr>
            </w:pPr>
            <w:r>
              <w:rPr>
                <w:rFonts w:ascii="Times New Roman" w:cs="Times New Roman" w:eastAsia="Times New Roman" w:hAnsi="Times New Roman"/>
                <w:sz w:val="16"/>
                <w:szCs w:val="16"/>
                <w:color w:val="auto"/>
              </w:rPr>
              <w:t>2,298</w:t>
            </w:r>
          </w:p>
        </w:tc>
        <w:tc>
          <w:tcPr>
            <w:tcW w:w="40" w:type="dxa"/>
            <w:vAlign w:val="bottom"/>
            <w:shd w:val="clear" w:color="auto" w:fill="DDDDDD"/>
          </w:tcPr>
          <w:p>
            <w:pPr>
              <w:spacing w:after="0"/>
              <w:rPr>
                <w:sz w:val="20"/>
                <w:szCs w:val="20"/>
                <w:color w:val="auto"/>
              </w:rPr>
            </w:pPr>
          </w:p>
        </w:tc>
        <w:tc>
          <w:tcPr>
            <w:tcW w:w="20" w:type="dxa"/>
            <w:vAlign w:val="bottom"/>
            <w:shd w:val="clear" w:color="auto" w:fill="DDDDDD"/>
          </w:tcPr>
          <w:p>
            <w:pPr>
              <w:spacing w:after="0"/>
              <w:rPr>
                <w:sz w:val="20"/>
                <w:szCs w:val="20"/>
                <w:color w:val="auto"/>
              </w:rPr>
            </w:pPr>
          </w:p>
        </w:tc>
        <w:tc>
          <w:tcPr>
            <w:tcW w:w="160" w:type="dxa"/>
            <w:vAlign w:val="bottom"/>
            <w:shd w:val="clear" w:color="auto" w:fill="DDDDDD"/>
          </w:tcPr>
          <w:p>
            <w:pPr>
              <w:spacing w:after="0"/>
              <w:rPr>
                <w:sz w:val="20"/>
                <w:szCs w:val="20"/>
                <w:color w:val="auto"/>
              </w:rPr>
            </w:pPr>
          </w:p>
        </w:tc>
        <w:tc>
          <w:tcPr>
            <w:tcW w:w="860" w:type="dxa"/>
            <w:vAlign w:val="bottom"/>
            <w:shd w:val="clear" w:color="auto" w:fill="DDDDDD"/>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40" w:type="dxa"/>
            <w:vAlign w:val="bottom"/>
            <w:shd w:val="clear" w:color="auto" w:fill="DDDDDD"/>
          </w:tcPr>
          <w:p>
            <w:pPr>
              <w:spacing w:after="0"/>
              <w:rPr>
                <w:sz w:val="20"/>
                <w:szCs w:val="20"/>
                <w:color w:val="auto"/>
              </w:rPr>
            </w:pPr>
          </w:p>
        </w:tc>
        <w:tc>
          <w:tcPr>
            <w:tcW w:w="20" w:type="dxa"/>
            <w:vAlign w:val="bottom"/>
            <w:shd w:val="clear" w:color="auto" w:fill="DDDDDD"/>
          </w:tcPr>
          <w:p>
            <w:pPr>
              <w:spacing w:after="0"/>
              <w:rPr>
                <w:sz w:val="20"/>
                <w:szCs w:val="20"/>
                <w:color w:val="auto"/>
              </w:rPr>
            </w:pPr>
          </w:p>
        </w:tc>
        <w:tc>
          <w:tcPr>
            <w:tcW w:w="280" w:type="dxa"/>
            <w:vAlign w:val="bottom"/>
            <w:shd w:val="clear" w:color="auto" w:fill="DDDDDD"/>
          </w:tcPr>
          <w:p>
            <w:pPr>
              <w:spacing w:after="0"/>
              <w:rPr>
                <w:sz w:val="20"/>
                <w:szCs w:val="20"/>
                <w:color w:val="auto"/>
              </w:rPr>
            </w:pPr>
          </w:p>
        </w:tc>
        <w:tc>
          <w:tcPr>
            <w:tcW w:w="720" w:type="dxa"/>
            <w:vAlign w:val="bottom"/>
            <w:shd w:val="clear" w:color="auto" w:fill="DDDDDD"/>
          </w:tcPr>
          <w:p>
            <w:pPr>
              <w:jc w:val="right"/>
              <w:spacing w:after="0"/>
              <w:rPr>
                <w:sz w:val="20"/>
                <w:szCs w:val="20"/>
                <w:color w:val="auto"/>
              </w:rPr>
            </w:pPr>
            <w:r>
              <w:rPr>
                <w:rFonts w:ascii="Times New Roman" w:cs="Times New Roman" w:eastAsia="Times New Roman" w:hAnsi="Times New Roman"/>
                <w:sz w:val="16"/>
                <w:szCs w:val="16"/>
                <w:color w:val="auto"/>
              </w:rPr>
              <w:t>25,160</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4"/>
        </w:trPr>
        <w:tc>
          <w:tcPr>
            <w:tcW w:w="40" w:type="dxa"/>
            <w:vAlign w:val="bottom"/>
          </w:tcPr>
          <w:p>
            <w:pPr>
              <w:spacing w:after="0"/>
              <w:rPr>
                <w:sz w:val="19"/>
                <w:szCs w:val="19"/>
                <w:color w:val="auto"/>
              </w:rPr>
            </w:pPr>
          </w:p>
        </w:tc>
        <w:tc>
          <w:tcPr>
            <w:tcW w:w="2620" w:type="dxa"/>
            <w:vAlign w:val="bottom"/>
            <w:gridSpan w:val="3"/>
          </w:tcPr>
          <w:p>
            <w:pPr>
              <w:ind w:left="140"/>
              <w:spacing w:after="0"/>
              <w:rPr>
                <w:sz w:val="20"/>
                <w:szCs w:val="20"/>
                <w:color w:val="auto"/>
              </w:rPr>
            </w:pPr>
            <w:r>
              <w:rPr>
                <w:rFonts w:ascii="Times New Roman" w:cs="Times New Roman" w:eastAsia="Times New Roman" w:hAnsi="Times New Roman"/>
                <w:sz w:val="16"/>
                <w:szCs w:val="16"/>
                <w:color w:val="auto"/>
              </w:rPr>
              <w:t>Distributions</w:t>
            </w:r>
          </w:p>
        </w:tc>
        <w:tc>
          <w:tcPr>
            <w:tcW w:w="10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tcPr>
          <w:p>
            <w:pPr>
              <w:spacing w:after="0"/>
              <w:rPr>
                <w:sz w:val="19"/>
                <w:szCs w:val="19"/>
                <w:color w:val="auto"/>
              </w:rPr>
            </w:pPr>
          </w:p>
        </w:tc>
        <w:tc>
          <w:tcPr>
            <w:tcW w:w="940" w:type="dxa"/>
            <w:vAlign w:val="bottom"/>
          </w:tcPr>
          <w:p>
            <w:pPr>
              <w:jc w:val="right"/>
              <w:ind w:right="1"/>
              <w:spacing w:after="0"/>
              <w:rPr>
                <w:sz w:val="20"/>
                <w:szCs w:val="20"/>
                <w:color w:val="auto"/>
              </w:rPr>
            </w:pPr>
            <w:r>
              <w:rPr>
                <w:rFonts w:ascii="Times New Roman" w:cs="Times New Roman" w:eastAsia="Times New Roman" w:hAnsi="Times New Roman"/>
                <w:sz w:val="16"/>
                <w:szCs w:val="16"/>
                <w:color w:val="auto"/>
              </w:rPr>
              <w:t>—</w:t>
            </w:r>
          </w:p>
        </w:tc>
        <w:tc>
          <w:tcPr>
            <w:tcW w:w="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(2,448)</w:t>
            </w:r>
          </w:p>
        </w:tc>
        <w:tc>
          <w:tcPr>
            <w:tcW w:w="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(2,448)</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
        </w:trPr>
        <w:tc>
          <w:tcPr>
            <w:tcW w:w="40" w:type="dxa"/>
            <w:vAlign w:val="bottom"/>
          </w:tcPr>
          <w:p>
            <w:pPr>
              <w:spacing w:after="0" w:line="20" w:lineRule="exact"/>
              <w:rPr>
                <w:sz w:val="1"/>
                <w:szCs w:val="1"/>
                <w:color w:val="auto"/>
              </w:rPr>
            </w:pPr>
          </w:p>
        </w:tc>
        <w:tc>
          <w:tcPr>
            <w:tcW w:w="25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4"/>
        </w:trPr>
        <w:tc>
          <w:tcPr>
            <w:tcW w:w="40" w:type="dxa"/>
            <w:vAlign w:val="bottom"/>
            <w:shd w:val="clear" w:color="auto" w:fill="DDDDDD"/>
          </w:tcPr>
          <w:p>
            <w:pPr>
              <w:spacing w:after="0"/>
              <w:rPr>
                <w:sz w:val="19"/>
                <w:szCs w:val="19"/>
                <w:color w:val="auto"/>
              </w:rPr>
            </w:pPr>
          </w:p>
        </w:tc>
        <w:tc>
          <w:tcPr>
            <w:tcW w:w="2560" w:type="dxa"/>
            <w:vAlign w:val="bottom"/>
            <w:shd w:val="clear" w:color="auto" w:fill="DDDDDD"/>
          </w:tcPr>
          <w:p>
            <w:pPr>
              <w:ind w:left="140"/>
              <w:spacing w:after="0"/>
              <w:rPr>
                <w:sz w:val="20"/>
                <w:szCs w:val="20"/>
                <w:color w:val="auto"/>
              </w:rPr>
            </w:pPr>
            <w:r>
              <w:rPr>
                <w:rFonts w:ascii="Times New Roman" w:cs="Times New Roman" w:eastAsia="Times New Roman" w:hAnsi="Times New Roman"/>
                <w:sz w:val="16"/>
                <w:szCs w:val="16"/>
                <w:color w:val="auto"/>
              </w:rPr>
              <w:t>Issuance of common stock - vesting</w:t>
            </w:r>
          </w:p>
        </w:tc>
        <w:tc>
          <w:tcPr>
            <w:tcW w:w="40" w:type="dxa"/>
            <w:vAlign w:val="bottom"/>
            <w:shd w:val="clear" w:color="auto" w:fill="DDDDDD"/>
          </w:tcPr>
          <w:p>
            <w:pPr>
              <w:spacing w:after="0"/>
              <w:rPr>
                <w:sz w:val="19"/>
                <w:szCs w:val="19"/>
                <w:color w:val="auto"/>
              </w:rPr>
            </w:pPr>
          </w:p>
        </w:tc>
        <w:tc>
          <w:tcPr>
            <w:tcW w:w="20" w:type="dxa"/>
            <w:vAlign w:val="bottom"/>
            <w:shd w:val="clear" w:color="auto" w:fill="DDDDDD"/>
          </w:tcPr>
          <w:p>
            <w:pPr>
              <w:spacing w:after="0"/>
              <w:rPr>
                <w:sz w:val="19"/>
                <w:szCs w:val="19"/>
                <w:color w:val="auto"/>
              </w:rPr>
            </w:pPr>
          </w:p>
        </w:tc>
        <w:tc>
          <w:tcPr>
            <w:tcW w:w="1040" w:type="dxa"/>
            <w:vAlign w:val="bottom"/>
            <w:shd w:val="clear" w:color="auto" w:fill="DDDDDD"/>
          </w:tcPr>
          <w:p>
            <w:pPr>
              <w:spacing w:after="0"/>
              <w:rPr>
                <w:sz w:val="19"/>
                <w:szCs w:val="19"/>
                <w:color w:val="auto"/>
              </w:rPr>
            </w:pPr>
          </w:p>
        </w:tc>
        <w:tc>
          <w:tcPr>
            <w:tcW w:w="180" w:type="dxa"/>
            <w:vAlign w:val="bottom"/>
            <w:shd w:val="clear" w:color="auto" w:fill="DDDDDD"/>
          </w:tcPr>
          <w:p>
            <w:pPr>
              <w:spacing w:after="0"/>
              <w:rPr>
                <w:sz w:val="19"/>
                <w:szCs w:val="19"/>
                <w:color w:val="auto"/>
              </w:rPr>
            </w:pPr>
          </w:p>
        </w:tc>
        <w:tc>
          <w:tcPr>
            <w:tcW w:w="940" w:type="dxa"/>
            <w:vAlign w:val="bottom"/>
            <w:shd w:val="clear" w:color="auto" w:fill="DDDDDD"/>
          </w:tcPr>
          <w:p>
            <w:pPr>
              <w:spacing w:after="0"/>
              <w:rPr>
                <w:sz w:val="19"/>
                <w:szCs w:val="19"/>
                <w:color w:val="auto"/>
              </w:rPr>
            </w:pPr>
          </w:p>
        </w:tc>
        <w:tc>
          <w:tcPr>
            <w:tcW w:w="40" w:type="dxa"/>
            <w:vAlign w:val="bottom"/>
            <w:shd w:val="clear" w:color="auto" w:fill="DDDDDD"/>
          </w:tcPr>
          <w:p>
            <w:pPr>
              <w:spacing w:after="0"/>
              <w:rPr>
                <w:sz w:val="19"/>
                <w:szCs w:val="19"/>
                <w:color w:val="auto"/>
              </w:rPr>
            </w:pPr>
          </w:p>
        </w:tc>
        <w:tc>
          <w:tcPr>
            <w:tcW w:w="20" w:type="dxa"/>
            <w:vAlign w:val="bottom"/>
            <w:shd w:val="clear" w:color="auto" w:fill="DDDDDD"/>
          </w:tcPr>
          <w:p>
            <w:pPr>
              <w:spacing w:after="0"/>
              <w:rPr>
                <w:sz w:val="19"/>
                <w:szCs w:val="19"/>
                <w:color w:val="auto"/>
              </w:rPr>
            </w:pPr>
          </w:p>
        </w:tc>
        <w:tc>
          <w:tcPr>
            <w:tcW w:w="1000" w:type="dxa"/>
            <w:vAlign w:val="bottom"/>
            <w:shd w:val="clear" w:color="auto" w:fill="DDDDDD"/>
          </w:tcPr>
          <w:p>
            <w:pPr>
              <w:spacing w:after="0"/>
              <w:rPr>
                <w:sz w:val="19"/>
                <w:szCs w:val="19"/>
                <w:color w:val="auto"/>
              </w:rPr>
            </w:pPr>
          </w:p>
        </w:tc>
        <w:tc>
          <w:tcPr>
            <w:tcW w:w="160" w:type="dxa"/>
            <w:vAlign w:val="bottom"/>
            <w:shd w:val="clear" w:color="auto" w:fill="DDDDDD"/>
          </w:tcPr>
          <w:p>
            <w:pPr>
              <w:spacing w:after="0"/>
              <w:rPr>
                <w:sz w:val="19"/>
                <w:szCs w:val="19"/>
                <w:color w:val="auto"/>
              </w:rPr>
            </w:pPr>
          </w:p>
        </w:tc>
        <w:tc>
          <w:tcPr>
            <w:tcW w:w="860" w:type="dxa"/>
            <w:vAlign w:val="bottom"/>
            <w:shd w:val="clear" w:color="auto" w:fill="DDDDDD"/>
          </w:tcPr>
          <w:p>
            <w:pPr>
              <w:spacing w:after="0"/>
              <w:rPr>
                <w:sz w:val="19"/>
                <w:szCs w:val="19"/>
                <w:color w:val="auto"/>
              </w:rPr>
            </w:pPr>
          </w:p>
        </w:tc>
        <w:tc>
          <w:tcPr>
            <w:tcW w:w="40" w:type="dxa"/>
            <w:vAlign w:val="bottom"/>
            <w:shd w:val="clear" w:color="auto" w:fill="DDDDDD"/>
          </w:tcPr>
          <w:p>
            <w:pPr>
              <w:spacing w:after="0"/>
              <w:rPr>
                <w:sz w:val="19"/>
                <w:szCs w:val="19"/>
                <w:color w:val="auto"/>
              </w:rPr>
            </w:pPr>
          </w:p>
        </w:tc>
        <w:tc>
          <w:tcPr>
            <w:tcW w:w="20" w:type="dxa"/>
            <w:vAlign w:val="bottom"/>
            <w:shd w:val="clear" w:color="auto" w:fill="DDDDDD"/>
          </w:tcPr>
          <w:p>
            <w:pPr>
              <w:spacing w:after="0"/>
              <w:rPr>
                <w:sz w:val="19"/>
                <w:szCs w:val="19"/>
                <w:color w:val="auto"/>
              </w:rPr>
            </w:pPr>
          </w:p>
        </w:tc>
        <w:tc>
          <w:tcPr>
            <w:tcW w:w="140" w:type="dxa"/>
            <w:vAlign w:val="bottom"/>
            <w:shd w:val="clear" w:color="auto" w:fill="DDDDDD"/>
          </w:tcPr>
          <w:p>
            <w:pPr>
              <w:spacing w:after="0"/>
              <w:rPr>
                <w:sz w:val="19"/>
                <w:szCs w:val="19"/>
                <w:color w:val="auto"/>
              </w:rPr>
            </w:pPr>
          </w:p>
        </w:tc>
        <w:tc>
          <w:tcPr>
            <w:tcW w:w="880" w:type="dxa"/>
            <w:vAlign w:val="bottom"/>
            <w:shd w:val="clear" w:color="auto" w:fill="DDDDDD"/>
          </w:tcPr>
          <w:p>
            <w:pPr>
              <w:spacing w:after="0"/>
              <w:rPr>
                <w:sz w:val="19"/>
                <w:szCs w:val="19"/>
                <w:color w:val="auto"/>
              </w:rPr>
            </w:pPr>
          </w:p>
        </w:tc>
        <w:tc>
          <w:tcPr>
            <w:tcW w:w="60" w:type="dxa"/>
            <w:vAlign w:val="bottom"/>
            <w:shd w:val="clear" w:color="auto" w:fill="DDDDDD"/>
          </w:tcPr>
          <w:p>
            <w:pPr>
              <w:spacing w:after="0"/>
              <w:rPr>
                <w:sz w:val="19"/>
                <w:szCs w:val="19"/>
                <w:color w:val="auto"/>
              </w:rPr>
            </w:pPr>
          </w:p>
        </w:tc>
        <w:tc>
          <w:tcPr>
            <w:tcW w:w="20" w:type="dxa"/>
            <w:vAlign w:val="bottom"/>
            <w:shd w:val="clear" w:color="auto" w:fill="DDDDDD"/>
          </w:tcPr>
          <w:p>
            <w:pPr>
              <w:spacing w:after="0"/>
              <w:rPr>
                <w:sz w:val="19"/>
                <w:szCs w:val="19"/>
                <w:color w:val="auto"/>
              </w:rPr>
            </w:pPr>
          </w:p>
        </w:tc>
        <w:tc>
          <w:tcPr>
            <w:tcW w:w="220" w:type="dxa"/>
            <w:vAlign w:val="bottom"/>
            <w:shd w:val="clear" w:color="auto" w:fill="DDDDDD"/>
          </w:tcPr>
          <w:p>
            <w:pPr>
              <w:spacing w:after="0"/>
              <w:rPr>
                <w:sz w:val="19"/>
                <w:szCs w:val="19"/>
                <w:color w:val="auto"/>
              </w:rPr>
            </w:pPr>
          </w:p>
        </w:tc>
        <w:tc>
          <w:tcPr>
            <w:tcW w:w="900" w:type="dxa"/>
            <w:vAlign w:val="bottom"/>
            <w:shd w:val="clear" w:color="auto" w:fill="DDDDDD"/>
          </w:tcPr>
          <w:p>
            <w:pPr>
              <w:spacing w:after="0"/>
              <w:rPr>
                <w:sz w:val="19"/>
                <w:szCs w:val="19"/>
                <w:color w:val="auto"/>
              </w:rPr>
            </w:pPr>
          </w:p>
        </w:tc>
        <w:tc>
          <w:tcPr>
            <w:tcW w:w="60" w:type="dxa"/>
            <w:vAlign w:val="bottom"/>
            <w:shd w:val="clear" w:color="auto" w:fill="DDDDDD"/>
          </w:tcPr>
          <w:p>
            <w:pPr>
              <w:spacing w:after="0"/>
              <w:rPr>
                <w:sz w:val="19"/>
                <w:szCs w:val="19"/>
                <w:color w:val="auto"/>
              </w:rPr>
            </w:pPr>
          </w:p>
        </w:tc>
        <w:tc>
          <w:tcPr>
            <w:tcW w:w="160" w:type="dxa"/>
            <w:vAlign w:val="bottom"/>
            <w:shd w:val="clear" w:color="auto" w:fill="DDDDDD"/>
          </w:tcPr>
          <w:p>
            <w:pPr>
              <w:spacing w:after="0"/>
              <w:rPr>
                <w:sz w:val="19"/>
                <w:szCs w:val="19"/>
                <w:color w:val="auto"/>
              </w:rPr>
            </w:pPr>
          </w:p>
        </w:tc>
        <w:tc>
          <w:tcPr>
            <w:tcW w:w="1140" w:type="dxa"/>
            <w:vAlign w:val="bottom"/>
            <w:shd w:val="clear" w:color="auto" w:fill="DDDDDD"/>
          </w:tcPr>
          <w:p>
            <w:pPr>
              <w:spacing w:after="0"/>
              <w:rPr>
                <w:sz w:val="19"/>
                <w:szCs w:val="19"/>
                <w:color w:val="auto"/>
              </w:rPr>
            </w:pPr>
          </w:p>
        </w:tc>
        <w:tc>
          <w:tcPr>
            <w:tcW w:w="40" w:type="dxa"/>
            <w:vAlign w:val="bottom"/>
            <w:shd w:val="clear" w:color="auto" w:fill="DDDDDD"/>
          </w:tcPr>
          <w:p>
            <w:pPr>
              <w:spacing w:after="0"/>
              <w:rPr>
                <w:sz w:val="19"/>
                <w:szCs w:val="19"/>
                <w:color w:val="auto"/>
              </w:rPr>
            </w:pPr>
          </w:p>
        </w:tc>
        <w:tc>
          <w:tcPr>
            <w:tcW w:w="20" w:type="dxa"/>
            <w:vAlign w:val="bottom"/>
            <w:shd w:val="clear" w:color="auto" w:fill="DDDDDD"/>
          </w:tcPr>
          <w:p>
            <w:pPr>
              <w:spacing w:after="0"/>
              <w:rPr>
                <w:sz w:val="19"/>
                <w:szCs w:val="19"/>
                <w:color w:val="auto"/>
              </w:rPr>
            </w:pPr>
          </w:p>
        </w:tc>
        <w:tc>
          <w:tcPr>
            <w:tcW w:w="140" w:type="dxa"/>
            <w:vAlign w:val="bottom"/>
            <w:shd w:val="clear" w:color="auto" w:fill="DDDDDD"/>
          </w:tcPr>
          <w:p>
            <w:pPr>
              <w:spacing w:after="0"/>
              <w:rPr>
                <w:sz w:val="19"/>
                <w:szCs w:val="19"/>
                <w:color w:val="auto"/>
              </w:rPr>
            </w:pPr>
          </w:p>
        </w:tc>
        <w:tc>
          <w:tcPr>
            <w:tcW w:w="880" w:type="dxa"/>
            <w:vAlign w:val="bottom"/>
            <w:shd w:val="clear" w:color="auto" w:fill="DDDDDD"/>
          </w:tcPr>
          <w:p>
            <w:pPr>
              <w:spacing w:after="0"/>
              <w:rPr>
                <w:sz w:val="19"/>
                <w:szCs w:val="19"/>
                <w:color w:val="auto"/>
              </w:rPr>
            </w:pPr>
          </w:p>
        </w:tc>
        <w:tc>
          <w:tcPr>
            <w:tcW w:w="40" w:type="dxa"/>
            <w:vAlign w:val="bottom"/>
            <w:shd w:val="clear" w:color="auto" w:fill="DDDDDD"/>
          </w:tcPr>
          <w:p>
            <w:pPr>
              <w:spacing w:after="0"/>
              <w:rPr>
                <w:sz w:val="19"/>
                <w:szCs w:val="19"/>
                <w:color w:val="auto"/>
              </w:rPr>
            </w:pPr>
          </w:p>
        </w:tc>
        <w:tc>
          <w:tcPr>
            <w:tcW w:w="20" w:type="dxa"/>
            <w:vAlign w:val="bottom"/>
            <w:shd w:val="clear" w:color="auto" w:fill="DDDDDD"/>
          </w:tcPr>
          <w:p>
            <w:pPr>
              <w:spacing w:after="0"/>
              <w:rPr>
                <w:sz w:val="19"/>
                <w:szCs w:val="19"/>
                <w:color w:val="auto"/>
              </w:rPr>
            </w:pPr>
          </w:p>
        </w:tc>
        <w:tc>
          <w:tcPr>
            <w:tcW w:w="160" w:type="dxa"/>
            <w:vAlign w:val="bottom"/>
            <w:shd w:val="clear" w:color="auto" w:fill="DDDDDD"/>
          </w:tcPr>
          <w:p>
            <w:pPr>
              <w:spacing w:after="0"/>
              <w:rPr>
                <w:sz w:val="19"/>
                <w:szCs w:val="19"/>
                <w:color w:val="auto"/>
              </w:rPr>
            </w:pPr>
          </w:p>
        </w:tc>
        <w:tc>
          <w:tcPr>
            <w:tcW w:w="860" w:type="dxa"/>
            <w:vAlign w:val="bottom"/>
            <w:shd w:val="clear" w:color="auto" w:fill="DDDDDD"/>
          </w:tcPr>
          <w:p>
            <w:pPr>
              <w:spacing w:after="0"/>
              <w:rPr>
                <w:sz w:val="19"/>
                <w:szCs w:val="19"/>
                <w:color w:val="auto"/>
              </w:rPr>
            </w:pPr>
          </w:p>
        </w:tc>
        <w:tc>
          <w:tcPr>
            <w:tcW w:w="40" w:type="dxa"/>
            <w:vAlign w:val="bottom"/>
            <w:shd w:val="clear" w:color="auto" w:fill="DDDDDD"/>
          </w:tcPr>
          <w:p>
            <w:pPr>
              <w:spacing w:after="0"/>
              <w:rPr>
                <w:sz w:val="19"/>
                <w:szCs w:val="19"/>
                <w:color w:val="auto"/>
              </w:rPr>
            </w:pPr>
          </w:p>
        </w:tc>
        <w:tc>
          <w:tcPr>
            <w:tcW w:w="20" w:type="dxa"/>
            <w:vAlign w:val="bottom"/>
            <w:shd w:val="clear" w:color="auto" w:fill="DDDDDD"/>
          </w:tcPr>
          <w:p>
            <w:pPr>
              <w:spacing w:after="0"/>
              <w:rPr>
                <w:sz w:val="19"/>
                <w:szCs w:val="19"/>
                <w:color w:val="auto"/>
              </w:rPr>
            </w:pPr>
          </w:p>
        </w:tc>
        <w:tc>
          <w:tcPr>
            <w:tcW w:w="280" w:type="dxa"/>
            <w:vAlign w:val="bottom"/>
            <w:shd w:val="clear" w:color="auto" w:fill="DDDDDD"/>
          </w:tcPr>
          <w:p>
            <w:pPr>
              <w:spacing w:after="0"/>
              <w:rPr>
                <w:sz w:val="19"/>
                <w:szCs w:val="19"/>
                <w:color w:val="auto"/>
              </w:rPr>
            </w:pPr>
          </w:p>
        </w:tc>
        <w:tc>
          <w:tcPr>
            <w:tcW w:w="720" w:type="dxa"/>
            <w:vAlign w:val="bottom"/>
            <w:shd w:val="clear" w:color="auto" w:fill="DDDDDD"/>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58"/>
        </w:trPr>
        <w:tc>
          <w:tcPr>
            <w:tcW w:w="40" w:type="dxa"/>
            <w:vAlign w:val="bottom"/>
            <w:shd w:val="clear" w:color="auto" w:fill="DDDDDD"/>
          </w:tcPr>
          <w:p>
            <w:pPr>
              <w:spacing w:after="0"/>
              <w:rPr>
                <w:sz w:val="13"/>
                <w:szCs w:val="13"/>
                <w:color w:val="auto"/>
              </w:rPr>
            </w:pPr>
          </w:p>
        </w:tc>
        <w:tc>
          <w:tcPr>
            <w:tcW w:w="2560" w:type="dxa"/>
            <w:vAlign w:val="bottom"/>
            <w:shd w:val="clear" w:color="auto" w:fill="DDDDDD"/>
          </w:tcPr>
          <w:p>
            <w:pPr>
              <w:ind w:left="140"/>
              <w:spacing w:after="0" w:line="158" w:lineRule="exact"/>
              <w:rPr>
                <w:sz w:val="20"/>
                <w:szCs w:val="20"/>
                <w:color w:val="auto"/>
              </w:rPr>
            </w:pPr>
            <w:r>
              <w:rPr>
                <w:rFonts w:ascii="Times New Roman" w:cs="Times New Roman" w:eastAsia="Times New Roman" w:hAnsi="Times New Roman"/>
                <w:sz w:val="16"/>
                <w:szCs w:val="16"/>
                <w:color w:val="auto"/>
              </w:rPr>
              <w:t>of restricted stock units, net of shares</w:t>
            </w:r>
          </w:p>
        </w:tc>
        <w:tc>
          <w:tcPr>
            <w:tcW w:w="40" w:type="dxa"/>
            <w:vAlign w:val="bottom"/>
            <w:shd w:val="clear" w:color="auto" w:fill="DDDDDD"/>
          </w:tcPr>
          <w:p>
            <w:pPr>
              <w:spacing w:after="0"/>
              <w:rPr>
                <w:sz w:val="13"/>
                <w:szCs w:val="13"/>
                <w:color w:val="auto"/>
              </w:rPr>
            </w:pPr>
          </w:p>
        </w:tc>
        <w:tc>
          <w:tcPr>
            <w:tcW w:w="20" w:type="dxa"/>
            <w:vAlign w:val="bottom"/>
            <w:shd w:val="clear" w:color="auto" w:fill="DDDDDD"/>
          </w:tcPr>
          <w:p>
            <w:pPr>
              <w:spacing w:after="0"/>
              <w:rPr>
                <w:sz w:val="13"/>
                <w:szCs w:val="13"/>
                <w:color w:val="auto"/>
              </w:rPr>
            </w:pPr>
          </w:p>
        </w:tc>
        <w:tc>
          <w:tcPr>
            <w:tcW w:w="1040" w:type="dxa"/>
            <w:vAlign w:val="bottom"/>
            <w:vMerge w:val="restart"/>
            <w:shd w:val="clear" w:color="auto" w:fill="DDDDDD"/>
          </w:tcPr>
          <w:p>
            <w:pPr>
              <w:jc w:val="right"/>
              <w:spacing w:after="0"/>
              <w:rPr>
                <w:sz w:val="20"/>
                <w:szCs w:val="20"/>
                <w:color w:val="auto"/>
              </w:rPr>
            </w:pPr>
            <w:r>
              <w:rPr>
                <w:rFonts w:ascii="Times New Roman" w:cs="Times New Roman" w:eastAsia="Times New Roman" w:hAnsi="Times New Roman"/>
                <w:sz w:val="16"/>
                <w:szCs w:val="16"/>
                <w:color w:val="auto"/>
              </w:rPr>
              <w:t>3,447,946</w:t>
            </w:r>
          </w:p>
        </w:tc>
        <w:tc>
          <w:tcPr>
            <w:tcW w:w="180" w:type="dxa"/>
            <w:vAlign w:val="bottom"/>
            <w:shd w:val="clear" w:color="auto" w:fill="DDDDDD"/>
          </w:tcPr>
          <w:p>
            <w:pPr>
              <w:spacing w:after="0"/>
              <w:rPr>
                <w:sz w:val="13"/>
                <w:szCs w:val="13"/>
                <w:color w:val="auto"/>
              </w:rPr>
            </w:pPr>
          </w:p>
        </w:tc>
        <w:tc>
          <w:tcPr>
            <w:tcW w:w="940" w:type="dxa"/>
            <w:vAlign w:val="bottom"/>
            <w:vMerge w:val="restart"/>
            <w:shd w:val="clear" w:color="auto" w:fill="DDDDDD"/>
          </w:tcPr>
          <w:p>
            <w:pPr>
              <w:jc w:val="right"/>
              <w:ind w:right="1"/>
              <w:spacing w:after="0"/>
              <w:rPr>
                <w:sz w:val="20"/>
                <w:szCs w:val="20"/>
                <w:color w:val="auto"/>
              </w:rPr>
            </w:pPr>
            <w:r>
              <w:rPr>
                <w:rFonts w:ascii="Times New Roman" w:cs="Times New Roman" w:eastAsia="Times New Roman" w:hAnsi="Times New Roman"/>
                <w:sz w:val="16"/>
                <w:szCs w:val="16"/>
                <w:color w:val="auto"/>
              </w:rPr>
              <w:t>—</w:t>
            </w:r>
          </w:p>
        </w:tc>
        <w:tc>
          <w:tcPr>
            <w:tcW w:w="40" w:type="dxa"/>
            <w:vAlign w:val="bottom"/>
            <w:shd w:val="clear" w:color="auto" w:fill="DDDDDD"/>
          </w:tcPr>
          <w:p>
            <w:pPr>
              <w:spacing w:after="0"/>
              <w:rPr>
                <w:sz w:val="13"/>
                <w:szCs w:val="13"/>
                <w:color w:val="auto"/>
              </w:rPr>
            </w:pPr>
          </w:p>
        </w:tc>
        <w:tc>
          <w:tcPr>
            <w:tcW w:w="20" w:type="dxa"/>
            <w:vAlign w:val="bottom"/>
            <w:shd w:val="clear" w:color="auto" w:fill="DDDDDD"/>
          </w:tcPr>
          <w:p>
            <w:pPr>
              <w:spacing w:after="0"/>
              <w:rPr>
                <w:sz w:val="13"/>
                <w:szCs w:val="13"/>
                <w:color w:val="auto"/>
              </w:rPr>
            </w:pPr>
          </w:p>
        </w:tc>
        <w:tc>
          <w:tcPr>
            <w:tcW w:w="1000" w:type="dxa"/>
            <w:vAlign w:val="bottom"/>
            <w:vMerge w:val="restart"/>
            <w:shd w:val="clear" w:color="auto" w:fill="DDDDDD"/>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shd w:val="clear" w:color="auto" w:fill="DDDDDD"/>
          </w:tcPr>
          <w:p>
            <w:pPr>
              <w:spacing w:after="0"/>
              <w:rPr>
                <w:sz w:val="13"/>
                <w:szCs w:val="13"/>
                <w:color w:val="auto"/>
              </w:rPr>
            </w:pPr>
          </w:p>
        </w:tc>
        <w:tc>
          <w:tcPr>
            <w:tcW w:w="860" w:type="dxa"/>
            <w:vAlign w:val="bottom"/>
            <w:vMerge w:val="restart"/>
            <w:shd w:val="clear" w:color="auto" w:fill="DDDDDD"/>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40" w:type="dxa"/>
            <w:vAlign w:val="bottom"/>
            <w:shd w:val="clear" w:color="auto" w:fill="DDDDDD"/>
          </w:tcPr>
          <w:p>
            <w:pPr>
              <w:spacing w:after="0"/>
              <w:rPr>
                <w:sz w:val="13"/>
                <w:szCs w:val="13"/>
                <w:color w:val="auto"/>
              </w:rPr>
            </w:pPr>
          </w:p>
        </w:tc>
        <w:tc>
          <w:tcPr>
            <w:tcW w:w="20" w:type="dxa"/>
            <w:vAlign w:val="bottom"/>
            <w:shd w:val="clear" w:color="auto" w:fill="DDDDDD"/>
          </w:tcPr>
          <w:p>
            <w:pPr>
              <w:spacing w:after="0"/>
              <w:rPr>
                <w:sz w:val="13"/>
                <w:szCs w:val="13"/>
                <w:color w:val="auto"/>
              </w:rPr>
            </w:pPr>
          </w:p>
        </w:tc>
        <w:tc>
          <w:tcPr>
            <w:tcW w:w="140" w:type="dxa"/>
            <w:vAlign w:val="bottom"/>
            <w:shd w:val="clear" w:color="auto" w:fill="DDDDDD"/>
          </w:tcPr>
          <w:p>
            <w:pPr>
              <w:spacing w:after="0"/>
              <w:rPr>
                <w:sz w:val="13"/>
                <w:szCs w:val="13"/>
                <w:color w:val="auto"/>
              </w:rPr>
            </w:pPr>
          </w:p>
        </w:tc>
        <w:tc>
          <w:tcPr>
            <w:tcW w:w="880" w:type="dxa"/>
            <w:vAlign w:val="bottom"/>
            <w:vMerge w:val="restart"/>
            <w:shd w:val="clear" w:color="auto" w:fill="DDDDDD"/>
          </w:tcPr>
          <w:p>
            <w:pPr>
              <w:jc w:val="right"/>
              <w:spacing w:after="0"/>
              <w:rPr>
                <w:sz w:val="20"/>
                <w:szCs w:val="20"/>
                <w:color w:val="auto"/>
              </w:rPr>
            </w:pPr>
            <w:r>
              <w:rPr>
                <w:rFonts w:ascii="Times New Roman" w:cs="Times New Roman" w:eastAsia="Times New Roman" w:hAnsi="Times New Roman"/>
                <w:sz w:val="16"/>
                <w:szCs w:val="16"/>
                <w:color w:val="auto"/>
              </w:rPr>
              <w:t>(6)</w:t>
            </w:r>
          </w:p>
        </w:tc>
        <w:tc>
          <w:tcPr>
            <w:tcW w:w="60" w:type="dxa"/>
            <w:vAlign w:val="bottom"/>
            <w:shd w:val="clear" w:color="auto" w:fill="DDDDDD"/>
          </w:tcPr>
          <w:p>
            <w:pPr>
              <w:spacing w:after="0"/>
              <w:rPr>
                <w:sz w:val="13"/>
                <w:szCs w:val="13"/>
                <w:color w:val="auto"/>
              </w:rPr>
            </w:pPr>
          </w:p>
        </w:tc>
        <w:tc>
          <w:tcPr>
            <w:tcW w:w="20" w:type="dxa"/>
            <w:vAlign w:val="bottom"/>
            <w:shd w:val="clear" w:color="auto" w:fill="DDDDDD"/>
          </w:tcPr>
          <w:p>
            <w:pPr>
              <w:spacing w:after="0"/>
              <w:rPr>
                <w:sz w:val="13"/>
                <w:szCs w:val="13"/>
                <w:color w:val="auto"/>
              </w:rPr>
            </w:pPr>
          </w:p>
        </w:tc>
        <w:tc>
          <w:tcPr>
            <w:tcW w:w="220" w:type="dxa"/>
            <w:vAlign w:val="bottom"/>
            <w:shd w:val="clear" w:color="auto" w:fill="DDDDDD"/>
          </w:tcPr>
          <w:p>
            <w:pPr>
              <w:spacing w:after="0"/>
              <w:rPr>
                <w:sz w:val="13"/>
                <w:szCs w:val="13"/>
                <w:color w:val="auto"/>
              </w:rPr>
            </w:pPr>
          </w:p>
        </w:tc>
        <w:tc>
          <w:tcPr>
            <w:tcW w:w="900" w:type="dxa"/>
            <w:vAlign w:val="bottom"/>
            <w:vMerge w:val="restart"/>
            <w:shd w:val="clear" w:color="auto" w:fill="DDDDDD"/>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60" w:type="dxa"/>
            <w:vAlign w:val="bottom"/>
            <w:shd w:val="clear" w:color="auto" w:fill="DDDDDD"/>
          </w:tcPr>
          <w:p>
            <w:pPr>
              <w:spacing w:after="0"/>
              <w:rPr>
                <w:sz w:val="13"/>
                <w:szCs w:val="13"/>
                <w:color w:val="auto"/>
              </w:rPr>
            </w:pPr>
          </w:p>
        </w:tc>
        <w:tc>
          <w:tcPr>
            <w:tcW w:w="160" w:type="dxa"/>
            <w:vAlign w:val="bottom"/>
            <w:shd w:val="clear" w:color="auto" w:fill="DDDDDD"/>
          </w:tcPr>
          <w:p>
            <w:pPr>
              <w:spacing w:after="0"/>
              <w:rPr>
                <w:sz w:val="13"/>
                <w:szCs w:val="13"/>
                <w:color w:val="auto"/>
              </w:rPr>
            </w:pPr>
          </w:p>
        </w:tc>
        <w:tc>
          <w:tcPr>
            <w:tcW w:w="1140" w:type="dxa"/>
            <w:vAlign w:val="bottom"/>
            <w:vMerge w:val="restart"/>
            <w:shd w:val="clear" w:color="auto" w:fill="DDDDDD"/>
          </w:tcPr>
          <w:p>
            <w:pPr>
              <w:jc w:val="right"/>
              <w:spacing w:after="0"/>
              <w:rPr>
                <w:sz w:val="20"/>
                <w:szCs w:val="20"/>
                <w:color w:val="auto"/>
              </w:rPr>
            </w:pPr>
            <w:r>
              <w:rPr>
                <w:rFonts w:ascii="Times New Roman" w:cs="Times New Roman" w:eastAsia="Times New Roman" w:hAnsi="Times New Roman"/>
                <w:sz w:val="16"/>
                <w:szCs w:val="16"/>
                <w:color w:val="auto"/>
              </w:rPr>
              <w:t>(6)</w:t>
            </w:r>
          </w:p>
        </w:tc>
        <w:tc>
          <w:tcPr>
            <w:tcW w:w="40" w:type="dxa"/>
            <w:vAlign w:val="bottom"/>
            <w:shd w:val="clear" w:color="auto" w:fill="DDDDDD"/>
          </w:tcPr>
          <w:p>
            <w:pPr>
              <w:spacing w:after="0"/>
              <w:rPr>
                <w:sz w:val="13"/>
                <w:szCs w:val="13"/>
                <w:color w:val="auto"/>
              </w:rPr>
            </w:pPr>
          </w:p>
        </w:tc>
        <w:tc>
          <w:tcPr>
            <w:tcW w:w="20" w:type="dxa"/>
            <w:vAlign w:val="bottom"/>
            <w:shd w:val="clear" w:color="auto" w:fill="DDDDDD"/>
          </w:tcPr>
          <w:p>
            <w:pPr>
              <w:spacing w:after="0"/>
              <w:rPr>
                <w:sz w:val="13"/>
                <w:szCs w:val="13"/>
                <w:color w:val="auto"/>
              </w:rPr>
            </w:pPr>
          </w:p>
        </w:tc>
        <w:tc>
          <w:tcPr>
            <w:tcW w:w="140" w:type="dxa"/>
            <w:vAlign w:val="bottom"/>
            <w:shd w:val="clear" w:color="auto" w:fill="DDDDDD"/>
          </w:tcPr>
          <w:p>
            <w:pPr>
              <w:spacing w:after="0"/>
              <w:rPr>
                <w:sz w:val="13"/>
                <w:szCs w:val="13"/>
                <w:color w:val="auto"/>
              </w:rPr>
            </w:pPr>
          </w:p>
        </w:tc>
        <w:tc>
          <w:tcPr>
            <w:tcW w:w="880" w:type="dxa"/>
            <w:vAlign w:val="bottom"/>
            <w:vMerge w:val="restart"/>
            <w:shd w:val="clear" w:color="auto" w:fill="DDDDDD"/>
          </w:tcPr>
          <w:p>
            <w:pPr>
              <w:jc w:val="right"/>
              <w:spacing w:after="0"/>
              <w:rPr>
                <w:sz w:val="20"/>
                <w:szCs w:val="20"/>
                <w:color w:val="auto"/>
              </w:rPr>
            </w:pPr>
            <w:r>
              <w:rPr>
                <w:rFonts w:ascii="Times New Roman" w:cs="Times New Roman" w:eastAsia="Times New Roman" w:hAnsi="Times New Roman"/>
                <w:sz w:val="16"/>
                <w:szCs w:val="16"/>
                <w:color w:val="auto"/>
              </w:rPr>
              <w:t>(7)</w:t>
            </w:r>
          </w:p>
        </w:tc>
        <w:tc>
          <w:tcPr>
            <w:tcW w:w="40" w:type="dxa"/>
            <w:vAlign w:val="bottom"/>
            <w:shd w:val="clear" w:color="auto" w:fill="DDDDDD"/>
          </w:tcPr>
          <w:p>
            <w:pPr>
              <w:spacing w:after="0"/>
              <w:rPr>
                <w:sz w:val="13"/>
                <w:szCs w:val="13"/>
                <w:color w:val="auto"/>
              </w:rPr>
            </w:pPr>
          </w:p>
        </w:tc>
        <w:tc>
          <w:tcPr>
            <w:tcW w:w="20" w:type="dxa"/>
            <w:vAlign w:val="bottom"/>
            <w:shd w:val="clear" w:color="auto" w:fill="DDDDDD"/>
          </w:tcPr>
          <w:p>
            <w:pPr>
              <w:spacing w:after="0"/>
              <w:rPr>
                <w:sz w:val="13"/>
                <w:szCs w:val="13"/>
                <w:color w:val="auto"/>
              </w:rPr>
            </w:pPr>
          </w:p>
        </w:tc>
        <w:tc>
          <w:tcPr>
            <w:tcW w:w="160" w:type="dxa"/>
            <w:vAlign w:val="bottom"/>
            <w:shd w:val="clear" w:color="auto" w:fill="DDDDDD"/>
          </w:tcPr>
          <w:p>
            <w:pPr>
              <w:spacing w:after="0"/>
              <w:rPr>
                <w:sz w:val="13"/>
                <w:szCs w:val="13"/>
                <w:color w:val="auto"/>
              </w:rPr>
            </w:pPr>
          </w:p>
        </w:tc>
        <w:tc>
          <w:tcPr>
            <w:tcW w:w="860" w:type="dxa"/>
            <w:vAlign w:val="bottom"/>
            <w:vMerge w:val="restart"/>
            <w:shd w:val="clear" w:color="auto" w:fill="DDDDDD"/>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40" w:type="dxa"/>
            <w:vAlign w:val="bottom"/>
            <w:shd w:val="clear" w:color="auto" w:fill="DDDDDD"/>
          </w:tcPr>
          <w:p>
            <w:pPr>
              <w:spacing w:after="0"/>
              <w:rPr>
                <w:sz w:val="13"/>
                <w:szCs w:val="13"/>
                <w:color w:val="auto"/>
              </w:rPr>
            </w:pPr>
          </w:p>
        </w:tc>
        <w:tc>
          <w:tcPr>
            <w:tcW w:w="20" w:type="dxa"/>
            <w:vAlign w:val="bottom"/>
            <w:shd w:val="clear" w:color="auto" w:fill="DDDDDD"/>
          </w:tcPr>
          <w:p>
            <w:pPr>
              <w:spacing w:after="0"/>
              <w:rPr>
                <w:sz w:val="13"/>
                <w:szCs w:val="13"/>
                <w:color w:val="auto"/>
              </w:rPr>
            </w:pPr>
          </w:p>
        </w:tc>
        <w:tc>
          <w:tcPr>
            <w:tcW w:w="280" w:type="dxa"/>
            <w:vAlign w:val="bottom"/>
            <w:shd w:val="clear" w:color="auto" w:fill="DDDDDD"/>
          </w:tcPr>
          <w:p>
            <w:pPr>
              <w:spacing w:after="0"/>
              <w:rPr>
                <w:sz w:val="13"/>
                <w:szCs w:val="13"/>
                <w:color w:val="auto"/>
              </w:rPr>
            </w:pPr>
          </w:p>
        </w:tc>
        <w:tc>
          <w:tcPr>
            <w:tcW w:w="720" w:type="dxa"/>
            <w:vAlign w:val="bottom"/>
            <w:vMerge w:val="restart"/>
            <w:shd w:val="clear" w:color="auto" w:fill="DDDDDD"/>
          </w:tcPr>
          <w:p>
            <w:pPr>
              <w:jc w:val="right"/>
              <w:spacing w:after="0"/>
              <w:rPr>
                <w:sz w:val="20"/>
                <w:szCs w:val="20"/>
                <w:color w:val="auto"/>
              </w:rPr>
            </w:pPr>
            <w:r>
              <w:rPr>
                <w:rFonts w:ascii="Times New Roman" w:cs="Times New Roman" w:eastAsia="Times New Roman" w:hAnsi="Times New Roman"/>
                <w:sz w:val="16"/>
                <w:szCs w:val="16"/>
                <w:color w:val="auto"/>
              </w:rPr>
              <w:t>(13)</w:t>
            </w: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3"/>
        </w:trPr>
        <w:tc>
          <w:tcPr>
            <w:tcW w:w="40" w:type="dxa"/>
            <w:vAlign w:val="bottom"/>
            <w:tcBorders>
              <w:bottom w:val="single" w:sz="8" w:color="DDDDDD"/>
            </w:tcBorders>
            <w:shd w:val="clear" w:color="auto" w:fill="DDDDDD"/>
          </w:tcPr>
          <w:p>
            <w:pPr>
              <w:spacing w:after="0"/>
              <w:rPr>
                <w:sz w:val="13"/>
                <w:szCs w:val="13"/>
                <w:color w:val="auto"/>
              </w:rPr>
            </w:pPr>
          </w:p>
        </w:tc>
        <w:tc>
          <w:tcPr>
            <w:tcW w:w="2560" w:type="dxa"/>
            <w:vAlign w:val="bottom"/>
            <w:tcBorders>
              <w:bottom w:val="single" w:sz="8" w:color="DDDDDD"/>
            </w:tcBorders>
            <w:shd w:val="clear" w:color="auto" w:fill="DDDDDD"/>
          </w:tcPr>
          <w:p>
            <w:pPr>
              <w:ind w:left="140"/>
              <w:spacing w:after="0" w:line="153" w:lineRule="exact"/>
              <w:rPr>
                <w:sz w:val="20"/>
                <w:szCs w:val="20"/>
                <w:color w:val="auto"/>
              </w:rPr>
            </w:pPr>
            <w:r>
              <w:rPr>
                <w:rFonts w:ascii="Times New Roman" w:cs="Times New Roman" w:eastAsia="Times New Roman" w:hAnsi="Times New Roman"/>
                <w:sz w:val="16"/>
                <w:szCs w:val="16"/>
                <w:color w:val="auto"/>
              </w:rPr>
              <w:t>withheld for employee taxes</w:t>
            </w:r>
          </w:p>
        </w:tc>
        <w:tc>
          <w:tcPr>
            <w:tcW w:w="40" w:type="dxa"/>
            <w:vAlign w:val="bottom"/>
            <w:tcBorders>
              <w:bottom w:val="single" w:sz="8" w:color="DDDDDD"/>
            </w:tcBorders>
            <w:shd w:val="clear" w:color="auto" w:fill="DDDDDD"/>
          </w:tcPr>
          <w:p>
            <w:pPr>
              <w:spacing w:after="0"/>
              <w:rPr>
                <w:sz w:val="13"/>
                <w:szCs w:val="13"/>
                <w:color w:val="auto"/>
              </w:rPr>
            </w:pPr>
          </w:p>
        </w:tc>
        <w:tc>
          <w:tcPr>
            <w:tcW w:w="20" w:type="dxa"/>
            <w:vAlign w:val="bottom"/>
            <w:tcBorders>
              <w:bottom w:val="single" w:sz="8" w:color="DDDDDD"/>
            </w:tcBorders>
            <w:shd w:val="clear" w:color="auto" w:fill="DDDDDD"/>
          </w:tcPr>
          <w:p>
            <w:pPr>
              <w:spacing w:after="0"/>
              <w:rPr>
                <w:sz w:val="13"/>
                <w:szCs w:val="13"/>
                <w:color w:val="auto"/>
              </w:rPr>
            </w:pPr>
          </w:p>
        </w:tc>
        <w:tc>
          <w:tcPr>
            <w:tcW w:w="1040" w:type="dxa"/>
            <w:vAlign w:val="bottom"/>
            <w:tcBorders>
              <w:bottom w:val="single" w:sz="8" w:color="DDDDDD"/>
            </w:tcBorders>
            <w:vMerge w:val="continue"/>
            <w:shd w:val="clear" w:color="auto" w:fill="DDDDDD"/>
          </w:tcPr>
          <w:p>
            <w:pPr>
              <w:spacing w:after="0"/>
              <w:rPr>
                <w:sz w:val="13"/>
                <w:szCs w:val="13"/>
                <w:color w:val="auto"/>
              </w:rPr>
            </w:pPr>
          </w:p>
        </w:tc>
        <w:tc>
          <w:tcPr>
            <w:tcW w:w="180" w:type="dxa"/>
            <w:vAlign w:val="bottom"/>
            <w:tcBorders>
              <w:bottom w:val="single" w:sz="8" w:color="DDDDDD"/>
            </w:tcBorders>
            <w:shd w:val="clear" w:color="auto" w:fill="DDDDDD"/>
          </w:tcPr>
          <w:p>
            <w:pPr>
              <w:spacing w:after="0"/>
              <w:rPr>
                <w:sz w:val="13"/>
                <w:szCs w:val="13"/>
                <w:color w:val="auto"/>
              </w:rPr>
            </w:pPr>
          </w:p>
        </w:tc>
        <w:tc>
          <w:tcPr>
            <w:tcW w:w="940" w:type="dxa"/>
            <w:vAlign w:val="bottom"/>
            <w:tcBorders>
              <w:bottom w:val="single" w:sz="8" w:color="DDDDDD"/>
            </w:tcBorders>
            <w:vMerge w:val="continue"/>
            <w:shd w:val="clear" w:color="auto" w:fill="DDDDDD"/>
          </w:tcPr>
          <w:p>
            <w:pPr>
              <w:spacing w:after="0"/>
              <w:rPr>
                <w:sz w:val="13"/>
                <w:szCs w:val="13"/>
                <w:color w:val="auto"/>
              </w:rPr>
            </w:pPr>
          </w:p>
        </w:tc>
        <w:tc>
          <w:tcPr>
            <w:tcW w:w="40" w:type="dxa"/>
            <w:vAlign w:val="bottom"/>
            <w:tcBorders>
              <w:bottom w:val="single" w:sz="8" w:color="DDDDDD"/>
            </w:tcBorders>
            <w:shd w:val="clear" w:color="auto" w:fill="DDDDDD"/>
          </w:tcPr>
          <w:p>
            <w:pPr>
              <w:spacing w:after="0"/>
              <w:rPr>
                <w:sz w:val="13"/>
                <w:szCs w:val="13"/>
                <w:color w:val="auto"/>
              </w:rPr>
            </w:pPr>
          </w:p>
        </w:tc>
        <w:tc>
          <w:tcPr>
            <w:tcW w:w="20" w:type="dxa"/>
            <w:vAlign w:val="bottom"/>
            <w:tcBorders>
              <w:bottom w:val="single" w:sz="8" w:color="DDDDDD"/>
            </w:tcBorders>
            <w:shd w:val="clear" w:color="auto" w:fill="DDDDDD"/>
          </w:tcPr>
          <w:p>
            <w:pPr>
              <w:spacing w:after="0"/>
              <w:rPr>
                <w:sz w:val="13"/>
                <w:szCs w:val="13"/>
                <w:color w:val="auto"/>
              </w:rPr>
            </w:pPr>
          </w:p>
        </w:tc>
        <w:tc>
          <w:tcPr>
            <w:tcW w:w="1000" w:type="dxa"/>
            <w:vAlign w:val="bottom"/>
            <w:tcBorders>
              <w:bottom w:val="single" w:sz="8" w:color="DDDDDD"/>
            </w:tcBorders>
            <w:vMerge w:val="continue"/>
            <w:shd w:val="clear" w:color="auto" w:fill="DDDDDD"/>
          </w:tcPr>
          <w:p>
            <w:pPr>
              <w:spacing w:after="0"/>
              <w:rPr>
                <w:sz w:val="13"/>
                <w:szCs w:val="13"/>
                <w:color w:val="auto"/>
              </w:rPr>
            </w:pPr>
          </w:p>
        </w:tc>
        <w:tc>
          <w:tcPr>
            <w:tcW w:w="160" w:type="dxa"/>
            <w:vAlign w:val="bottom"/>
            <w:tcBorders>
              <w:bottom w:val="single" w:sz="8" w:color="DDDDDD"/>
            </w:tcBorders>
            <w:shd w:val="clear" w:color="auto" w:fill="DDDDDD"/>
          </w:tcPr>
          <w:p>
            <w:pPr>
              <w:spacing w:after="0"/>
              <w:rPr>
                <w:sz w:val="13"/>
                <w:szCs w:val="13"/>
                <w:color w:val="auto"/>
              </w:rPr>
            </w:pPr>
          </w:p>
        </w:tc>
        <w:tc>
          <w:tcPr>
            <w:tcW w:w="860" w:type="dxa"/>
            <w:vAlign w:val="bottom"/>
            <w:tcBorders>
              <w:bottom w:val="single" w:sz="8" w:color="DDDDDD"/>
            </w:tcBorders>
            <w:vMerge w:val="continue"/>
            <w:shd w:val="clear" w:color="auto" w:fill="DDDDDD"/>
          </w:tcPr>
          <w:p>
            <w:pPr>
              <w:spacing w:after="0"/>
              <w:rPr>
                <w:sz w:val="13"/>
                <w:szCs w:val="13"/>
                <w:color w:val="auto"/>
              </w:rPr>
            </w:pPr>
          </w:p>
        </w:tc>
        <w:tc>
          <w:tcPr>
            <w:tcW w:w="40" w:type="dxa"/>
            <w:vAlign w:val="bottom"/>
            <w:tcBorders>
              <w:bottom w:val="single" w:sz="8" w:color="DDDDDD"/>
            </w:tcBorders>
            <w:shd w:val="clear" w:color="auto" w:fill="DDDDDD"/>
          </w:tcPr>
          <w:p>
            <w:pPr>
              <w:spacing w:after="0"/>
              <w:rPr>
                <w:sz w:val="13"/>
                <w:szCs w:val="13"/>
                <w:color w:val="auto"/>
              </w:rPr>
            </w:pPr>
          </w:p>
        </w:tc>
        <w:tc>
          <w:tcPr>
            <w:tcW w:w="20" w:type="dxa"/>
            <w:vAlign w:val="bottom"/>
            <w:tcBorders>
              <w:bottom w:val="single" w:sz="8" w:color="DDDDDD"/>
            </w:tcBorders>
            <w:shd w:val="clear" w:color="auto" w:fill="DDDDDD"/>
          </w:tcPr>
          <w:p>
            <w:pPr>
              <w:spacing w:after="0"/>
              <w:rPr>
                <w:sz w:val="13"/>
                <w:szCs w:val="13"/>
                <w:color w:val="auto"/>
              </w:rPr>
            </w:pPr>
          </w:p>
        </w:tc>
        <w:tc>
          <w:tcPr>
            <w:tcW w:w="140" w:type="dxa"/>
            <w:vAlign w:val="bottom"/>
            <w:tcBorders>
              <w:bottom w:val="single" w:sz="8" w:color="DDDDDD"/>
            </w:tcBorders>
            <w:shd w:val="clear" w:color="auto" w:fill="DDDDDD"/>
          </w:tcPr>
          <w:p>
            <w:pPr>
              <w:spacing w:after="0"/>
              <w:rPr>
                <w:sz w:val="13"/>
                <w:szCs w:val="13"/>
                <w:color w:val="auto"/>
              </w:rPr>
            </w:pPr>
          </w:p>
        </w:tc>
        <w:tc>
          <w:tcPr>
            <w:tcW w:w="880" w:type="dxa"/>
            <w:vAlign w:val="bottom"/>
            <w:tcBorders>
              <w:bottom w:val="single" w:sz="8" w:color="DDDDDD"/>
            </w:tcBorders>
            <w:vMerge w:val="continue"/>
            <w:shd w:val="clear" w:color="auto" w:fill="DDDDDD"/>
          </w:tcPr>
          <w:p>
            <w:pPr>
              <w:spacing w:after="0"/>
              <w:rPr>
                <w:sz w:val="13"/>
                <w:szCs w:val="13"/>
                <w:color w:val="auto"/>
              </w:rPr>
            </w:pPr>
          </w:p>
        </w:tc>
        <w:tc>
          <w:tcPr>
            <w:tcW w:w="60" w:type="dxa"/>
            <w:vAlign w:val="bottom"/>
            <w:tcBorders>
              <w:bottom w:val="single" w:sz="8" w:color="DDDDDD"/>
            </w:tcBorders>
            <w:shd w:val="clear" w:color="auto" w:fill="DDDDDD"/>
          </w:tcPr>
          <w:p>
            <w:pPr>
              <w:spacing w:after="0"/>
              <w:rPr>
                <w:sz w:val="13"/>
                <w:szCs w:val="13"/>
                <w:color w:val="auto"/>
              </w:rPr>
            </w:pPr>
          </w:p>
        </w:tc>
        <w:tc>
          <w:tcPr>
            <w:tcW w:w="20" w:type="dxa"/>
            <w:vAlign w:val="bottom"/>
            <w:tcBorders>
              <w:bottom w:val="single" w:sz="8" w:color="DDDDDD"/>
            </w:tcBorders>
            <w:shd w:val="clear" w:color="auto" w:fill="DDDDDD"/>
          </w:tcPr>
          <w:p>
            <w:pPr>
              <w:spacing w:after="0"/>
              <w:rPr>
                <w:sz w:val="13"/>
                <w:szCs w:val="13"/>
                <w:color w:val="auto"/>
              </w:rPr>
            </w:pPr>
          </w:p>
        </w:tc>
        <w:tc>
          <w:tcPr>
            <w:tcW w:w="220" w:type="dxa"/>
            <w:vAlign w:val="bottom"/>
            <w:tcBorders>
              <w:bottom w:val="single" w:sz="8" w:color="DDDDDD"/>
            </w:tcBorders>
            <w:shd w:val="clear" w:color="auto" w:fill="DDDDDD"/>
          </w:tcPr>
          <w:p>
            <w:pPr>
              <w:spacing w:after="0"/>
              <w:rPr>
                <w:sz w:val="13"/>
                <w:szCs w:val="13"/>
                <w:color w:val="auto"/>
              </w:rPr>
            </w:pPr>
          </w:p>
        </w:tc>
        <w:tc>
          <w:tcPr>
            <w:tcW w:w="900" w:type="dxa"/>
            <w:vAlign w:val="bottom"/>
            <w:tcBorders>
              <w:bottom w:val="single" w:sz="8" w:color="DDDDDD"/>
            </w:tcBorders>
            <w:vMerge w:val="continue"/>
            <w:shd w:val="clear" w:color="auto" w:fill="DDDDDD"/>
          </w:tcPr>
          <w:p>
            <w:pPr>
              <w:spacing w:after="0"/>
              <w:rPr>
                <w:sz w:val="13"/>
                <w:szCs w:val="13"/>
                <w:color w:val="auto"/>
              </w:rPr>
            </w:pPr>
          </w:p>
        </w:tc>
        <w:tc>
          <w:tcPr>
            <w:tcW w:w="60" w:type="dxa"/>
            <w:vAlign w:val="bottom"/>
            <w:tcBorders>
              <w:bottom w:val="single" w:sz="8" w:color="DDDDDD"/>
            </w:tcBorders>
            <w:shd w:val="clear" w:color="auto" w:fill="DDDDDD"/>
          </w:tcPr>
          <w:p>
            <w:pPr>
              <w:spacing w:after="0"/>
              <w:rPr>
                <w:sz w:val="13"/>
                <w:szCs w:val="13"/>
                <w:color w:val="auto"/>
              </w:rPr>
            </w:pPr>
          </w:p>
        </w:tc>
        <w:tc>
          <w:tcPr>
            <w:tcW w:w="160" w:type="dxa"/>
            <w:vAlign w:val="bottom"/>
            <w:tcBorders>
              <w:bottom w:val="single" w:sz="8" w:color="DDDDDD"/>
            </w:tcBorders>
            <w:shd w:val="clear" w:color="auto" w:fill="DDDDDD"/>
          </w:tcPr>
          <w:p>
            <w:pPr>
              <w:spacing w:after="0"/>
              <w:rPr>
                <w:sz w:val="13"/>
                <w:szCs w:val="13"/>
                <w:color w:val="auto"/>
              </w:rPr>
            </w:pPr>
          </w:p>
        </w:tc>
        <w:tc>
          <w:tcPr>
            <w:tcW w:w="1140" w:type="dxa"/>
            <w:vAlign w:val="bottom"/>
            <w:tcBorders>
              <w:bottom w:val="single" w:sz="8" w:color="DDDDDD"/>
            </w:tcBorders>
            <w:vMerge w:val="continue"/>
            <w:shd w:val="clear" w:color="auto" w:fill="DDDDDD"/>
          </w:tcPr>
          <w:p>
            <w:pPr>
              <w:spacing w:after="0"/>
              <w:rPr>
                <w:sz w:val="13"/>
                <w:szCs w:val="13"/>
                <w:color w:val="auto"/>
              </w:rPr>
            </w:pPr>
          </w:p>
        </w:tc>
        <w:tc>
          <w:tcPr>
            <w:tcW w:w="40" w:type="dxa"/>
            <w:vAlign w:val="bottom"/>
            <w:tcBorders>
              <w:bottom w:val="single" w:sz="8" w:color="DDDDDD"/>
            </w:tcBorders>
            <w:shd w:val="clear" w:color="auto" w:fill="DDDDDD"/>
          </w:tcPr>
          <w:p>
            <w:pPr>
              <w:spacing w:after="0"/>
              <w:rPr>
                <w:sz w:val="13"/>
                <w:szCs w:val="13"/>
                <w:color w:val="auto"/>
              </w:rPr>
            </w:pPr>
          </w:p>
        </w:tc>
        <w:tc>
          <w:tcPr>
            <w:tcW w:w="20" w:type="dxa"/>
            <w:vAlign w:val="bottom"/>
            <w:tcBorders>
              <w:bottom w:val="single" w:sz="8" w:color="DDDDDD"/>
            </w:tcBorders>
            <w:shd w:val="clear" w:color="auto" w:fill="DDDDDD"/>
          </w:tcPr>
          <w:p>
            <w:pPr>
              <w:spacing w:after="0"/>
              <w:rPr>
                <w:sz w:val="13"/>
                <w:szCs w:val="13"/>
                <w:color w:val="auto"/>
              </w:rPr>
            </w:pPr>
          </w:p>
        </w:tc>
        <w:tc>
          <w:tcPr>
            <w:tcW w:w="140" w:type="dxa"/>
            <w:vAlign w:val="bottom"/>
            <w:tcBorders>
              <w:bottom w:val="single" w:sz="8" w:color="DDDDDD"/>
            </w:tcBorders>
            <w:shd w:val="clear" w:color="auto" w:fill="DDDDDD"/>
          </w:tcPr>
          <w:p>
            <w:pPr>
              <w:spacing w:after="0"/>
              <w:rPr>
                <w:sz w:val="13"/>
                <w:szCs w:val="13"/>
                <w:color w:val="auto"/>
              </w:rPr>
            </w:pPr>
          </w:p>
        </w:tc>
        <w:tc>
          <w:tcPr>
            <w:tcW w:w="880" w:type="dxa"/>
            <w:vAlign w:val="bottom"/>
            <w:tcBorders>
              <w:bottom w:val="single" w:sz="8" w:color="DDDDDD"/>
            </w:tcBorders>
            <w:vMerge w:val="continue"/>
            <w:shd w:val="clear" w:color="auto" w:fill="DDDDDD"/>
          </w:tcPr>
          <w:p>
            <w:pPr>
              <w:spacing w:after="0"/>
              <w:rPr>
                <w:sz w:val="13"/>
                <w:szCs w:val="13"/>
                <w:color w:val="auto"/>
              </w:rPr>
            </w:pPr>
          </w:p>
        </w:tc>
        <w:tc>
          <w:tcPr>
            <w:tcW w:w="40" w:type="dxa"/>
            <w:vAlign w:val="bottom"/>
            <w:tcBorders>
              <w:bottom w:val="single" w:sz="8" w:color="DDDDDD"/>
            </w:tcBorders>
            <w:shd w:val="clear" w:color="auto" w:fill="DDDDDD"/>
          </w:tcPr>
          <w:p>
            <w:pPr>
              <w:spacing w:after="0"/>
              <w:rPr>
                <w:sz w:val="13"/>
                <w:szCs w:val="13"/>
                <w:color w:val="auto"/>
              </w:rPr>
            </w:pPr>
          </w:p>
        </w:tc>
        <w:tc>
          <w:tcPr>
            <w:tcW w:w="20" w:type="dxa"/>
            <w:vAlign w:val="bottom"/>
            <w:tcBorders>
              <w:bottom w:val="single" w:sz="8" w:color="DDDDDD"/>
            </w:tcBorders>
            <w:shd w:val="clear" w:color="auto" w:fill="DDDDDD"/>
          </w:tcPr>
          <w:p>
            <w:pPr>
              <w:spacing w:after="0"/>
              <w:rPr>
                <w:sz w:val="13"/>
                <w:szCs w:val="13"/>
                <w:color w:val="auto"/>
              </w:rPr>
            </w:pPr>
          </w:p>
        </w:tc>
        <w:tc>
          <w:tcPr>
            <w:tcW w:w="160" w:type="dxa"/>
            <w:vAlign w:val="bottom"/>
            <w:tcBorders>
              <w:bottom w:val="single" w:sz="8" w:color="DDDDDD"/>
            </w:tcBorders>
            <w:shd w:val="clear" w:color="auto" w:fill="DDDDDD"/>
          </w:tcPr>
          <w:p>
            <w:pPr>
              <w:spacing w:after="0"/>
              <w:rPr>
                <w:sz w:val="13"/>
                <w:szCs w:val="13"/>
                <w:color w:val="auto"/>
              </w:rPr>
            </w:pPr>
          </w:p>
        </w:tc>
        <w:tc>
          <w:tcPr>
            <w:tcW w:w="860" w:type="dxa"/>
            <w:vAlign w:val="bottom"/>
            <w:tcBorders>
              <w:bottom w:val="single" w:sz="8" w:color="DDDDDD"/>
            </w:tcBorders>
            <w:vMerge w:val="continue"/>
            <w:shd w:val="clear" w:color="auto" w:fill="DDDDDD"/>
          </w:tcPr>
          <w:p>
            <w:pPr>
              <w:spacing w:after="0"/>
              <w:rPr>
                <w:sz w:val="13"/>
                <w:szCs w:val="13"/>
                <w:color w:val="auto"/>
              </w:rPr>
            </w:pPr>
          </w:p>
        </w:tc>
        <w:tc>
          <w:tcPr>
            <w:tcW w:w="40" w:type="dxa"/>
            <w:vAlign w:val="bottom"/>
            <w:tcBorders>
              <w:bottom w:val="single" w:sz="8" w:color="DDDDDD"/>
            </w:tcBorders>
            <w:shd w:val="clear" w:color="auto" w:fill="DDDDDD"/>
          </w:tcPr>
          <w:p>
            <w:pPr>
              <w:spacing w:after="0"/>
              <w:rPr>
                <w:sz w:val="13"/>
                <w:szCs w:val="13"/>
                <w:color w:val="auto"/>
              </w:rPr>
            </w:pPr>
          </w:p>
        </w:tc>
        <w:tc>
          <w:tcPr>
            <w:tcW w:w="20" w:type="dxa"/>
            <w:vAlign w:val="bottom"/>
            <w:tcBorders>
              <w:bottom w:val="single" w:sz="8" w:color="DDDDDD"/>
            </w:tcBorders>
            <w:shd w:val="clear" w:color="auto" w:fill="DDDDDD"/>
          </w:tcPr>
          <w:p>
            <w:pPr>
              <w:spacing w:after="0"/>
              <w:rPr>
                <w:sz w:val="13"/>
                <w:szCs w:val="13"/>
                <w:color w:val="auto"/>
              </w:rPr>
            </w:pPr>
          </w:p>
        </w:tc>
        <w:tc>
          <w:tcPr>
            <w:tcW w:w="280" w:type="dxa"/>
            <w:vAlign w:val="bottom"/>
            <w:tcBorders>
              <w:bottom w:val="single" w:sz="8" w:color="DDDDDD"/>
            </w:tcBorders>
            <w:shd w:val="clear" w:color="auto" w:fill="DDDDDD"/>
          </w:tcPr>
          <w:p>
            <w:pPr>
              <w:spacing w:after="0"/>
              <w:rPr>
                <w:sz w:val="13"/>
                <w:szCs w:val="13"/>
                <w:color w:val="auto"/>
              </w:rPr>
            </w:pPr>
          </w:p>
        </w:tc>
        <w:tc>
          <w:tcPr>
            <w:tcW w:w="720" w:type="dxa"/>
            <w:vAlign w:val="bottom"/>
            <w:tcBorders>
              <w:bottom w:val="single" w:sz="8" w:color="DDDDDD"/>
            </w:tcBorders>
            <w:vMerge w:val="continue"/>
            <w:shd w:val="clear" w:color="auto" w:fill="DDDDDD"/>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2"/>
        </w:trPr>
        <w:tc>
          <w:tcPr>
            <w:tcW w:w="40" w:type="dxa"/>
            <w:vAlign w:val="bottom"/>
          </w:tcPr>
          <w:p>
            <w:pPr>
              <w:spacing w:after="0"/>
              <w:rPr>
                <w:sz w:val="17"/>
                <w:szCs w:val="17"/>
                <w:color w:val="auto"/>
              </w:rPr>
            </w:pPr>
          </w:p>
        </w:tc>
        <w:tc>
          <w:tcPr>
            <w:tcW w:w="2620" w:type="dxa"/>
            <w:vAlign w:val="bottom"/>
            <w:gridSpan w:val="3"/>
          </w:tcPr>
          <w:p>
            <w:pPr>
              <w:ind w:left="140"/>
              <w:spacing w:after="0"/>
              <w:rPr>
                <w:sz w:val="20"/>
                <w:szCs w:val="20"/>
                <w:color w:val="auto"/>
              </w:rPr>
            </w:pPr>
            <w:r>
              <w:rPr>
                <w:rFonts w:ascii="Times New Roman" w:cs="Times New Roman" w:eastAsia="Times New Roman" w:hAnsi="Times New Roman"/>
                <w:sz w:val="16"/>
                <w:szCs w:val="16"/>
                <w:color w:val="auto"/>
              </w:rPr>
              <w:t>Issuance of common stock for</w:t>
            </w:r>
          </w:p>
        </w:tc>
        <w:tc>
          <w:tcPr>
            <w:tcW w:w="104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4,721,706</w:t>
            </w:r>
          </w:p>
        </w:tc>
        <w:tc>
          <w:tcPr>
            <w:tcW w:w="180" w:type="dxa"/>
            <w:vAlign w:val="bottom"/>
          </w:tcPr>
          <w:p>
            <w:pPr>
              <w:spacing w:after="0"/>
              <w:rPr>
                <w:sz w:val="17"/>
                <w:szCs w:val="17"/>
                <w:color w:val="auto"/>
              </w:rPr>
            </w:pPr>
          </w:p>
        </w:tc>
        <w:tc>
          <w:tcPr>
            <w:tcW w:w="940" w:type="dxa"/>
            <w:vAlign w:val="bottom"/>
            <w:vMerge w:val="restart"/>
          </w:tcPr>
          <w:p>
            <w:pPr>
              <w:jc w:val="right"/>
              <w:ind w:right="1"/>
              <w:spacing w:after="0"/>
              <w:rPr>
                <w:sz w:val="20"/>
                <w:szCs w:val="20"/>
                <w:color w:val="auto"/>
              </w:rPr>
            </w:pPr>
            <w:r>
              <w:rPr>
                <w:rFonts w:ascii="Times New Roman" w:cs="Times New Roman" w:eastAsia="Times New Roman" w:hAnsi="Times New Roman"/>
                <w:sz w:val="16"/>
                <w:szCs w:val="16"/>
                <w:color w:val="auto"/>
              </w:rPr>
              <w:t>—</w:t>
            </w:r>
          </w:p>
        </w:tc>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tcPr>
          <w:p>
            <w:pPr>
              <w:spacing w:after="0"/>
              <w:rPr>
                <w:sz w:val="17"/>
                <w:szCs w:val="17"/>
                <w:color w:val="auto"/>
              </w:rPr>
            </w:pPr>
          </w:p>
        </w:tc>
        <w:tc>
          <w:tcPr>
            <w:tcW w:w="86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8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12,836</w:t>
            </w:r>
          </w:p>
        </w:tc>
        <w:tc>
          <w:tcPr>
            <w:tcW w:w="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0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14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12,836</w:t>
            </w:r>
          </w:p>
        </w:tc>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8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15,889</w:t>
            </w:r>
          </w:p>
        </w:tc>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6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72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28,725</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2"/>
        </w:trPr>
        <w:tc>
          <w:tcPr>
            <w:tcW w:w="40" w:type="dxa"/>
            <w:vAlign w:val="bottom"/>
          </w:tcPr>
          <w:p>
            <w:pPr>
              <w:spacing w:after="0"/>
              <w:rPr>
                <w:sz w:val="17"/>
                <w:szCs w:val="17"/>
                <w:color w:val="auto"/>
              </w:rPr>
            </w:pPr>
          </w:p>
        </w:tc>
        <w:tc>
          <w:tcPr>
            <w:tcW w:w="2620" w:type="dxa"/>
            <w:vAlign w:val="bottom"/>
            <w:gridSpan w:val="3"/>
          </w:tcPr>
          <w:p>
            <w:pPr>
              <w:ind w:left="140"/>
              <w:spacing w:after="0"/>
              <w:rPr>
                <w:sz w:val="20"/>
                <w:szCs w:val="20"/>
                <w:color w:val="auto"/>
              </w:rPr>
            </w:pPr>
            <w:r>
              <w:rPr>
                <w:rFonts w:ascii="Times New Roman" w:cs="Times New Roman" w:eastAsia="Times New Roman" w:hAnsi="Times New Roman"/>
                <w:sz w:val="16"/>
                <w:szCs w:val="16"/>
                <w:color w:val="auto"/>
              </w:rPr>
              <w:t>acquisitions</w:t>
            </w:r>
          </w:p>
        </w:tc>
        <w:tc>
          <w:tcPr>
            <w:tcW w:w="1040" w:type="dxa"/>
            <w:vAlign w:val="bottom"/>
            <w:vMerge w:val="continue"/>
          </w:tcPr>
          <w:p>
            <w:pPr>
              <w:spacing w:after="0"/>
              <w:rPr>
                <w:sz w:val="17"/>
                <w:szCs w:val="17"/>
                <w:color w:val="auto"/>
              </w:rPr>
            </w:pPr>
          </w:p>
        </w:tc>
        <w:tc>
          <w:tcPr>
            <w:tcW w:w="180" w:type="dxa"/>
            <w:vAlign w:val="bottom"/>
          </w:tcPr>
          <w:p>
            <w:pPr>
              <w:spacing w:after="0"/>
              <w:rPr>
                <w:sz w:val="17"/>
                <w:szCs w:val="17"/>
                <w:color w:val="auto"/>
              </w:rPr>
            </w:pPr>
          </w:p>
        </w:tc>
        <w:tc>
          <w:tcPr>
            <w:tcW w:w="940" w:type="dxa"/>
            <w:vAlign w:val="bottom"/>
            <w:vMerge w:val="continue"/>
          </w:tcPr>
          <w:p>
            <w:pPr>
              <w:spacing w:after="0"/>
              <w:rPr>
                <w:sz w:val="17"/>
                <w:szCs w:val="17"/>
                <w:color w:val="auto"/>
              </w:rPr>
            </w:pPr>
          </w:p>
        </w:tc>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0" w:type="dxa"/>
            <w:vAlign w:val="bottom"/>
            <w:vMerge w:val="continue"/>
          </w:tcPr>
          <w:p>
            <w:pPr>
              <w:spacing w:after="0"/>
              <w:rPr>
                <w:sz w:val="17"/>
                <w:szCs w:val="17"/>
                <w:color w:val="auto"/>
              </w:rPr>
            </w:pPr>
          </w:p>
        </w:tc>
        <w:tc>
          <w:tcPr>
            <w:tcW w:w="160" w:type="dxa"/>
            <w:vAlign w:val="bottom"/>
          </w:tcPr>
          <w:p>
            <w:pPr>
              <w:spacing w:after="0"/>
              <w:rPr>
                <w:sz w:val="17"/>
                <w:szCs w:val="17"/>
                <w:color w:val="auto"/>
              </w:rPr>
            </w:pPr>
          </w:p>
        </w:tc>
        <w:tc>
          <w:tcPr>
            <w:tcW w:w="860" w:type="dxa"/>
            <w:vAlign w:val="bottom"/>
            <w:vMerge w:val="continue"/>
          </w:tcPr>
          <w:p>
            <w:pPr>
              <w:spacing w:after="0"/>
              <w:rPr>
                <w:sz w:val="17"/>
                <w:szCs w:val="17"/>
                <w:color w:val="auto"/>
              </w:rPr>
            </w:pPr>
          </w:p>
        </w:tc>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80" w:type="dxa"/>
            <w:vAlign w:val="bottom"/>
            <w:vMerge w:val="continue"/>
          </w:tcPr>
          <w:p>
            <w:pPr>
              <w:spacing w:after="0"/>
              <w:rPr>
                <w:sz w:val="17"/>
                <w:szCs w:val="17"/>
                <w:color w:val="auto"/>
              </w:rPr>
            </w:pPr>
          </w:p>
        </w:tc>
        <w:tc>
          <w:tcPr>
            <w:tcW w:w="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00" w:type="dxa"/>
            <w:vAlign w:val="bottom"/>
            <w:vMerge w:val="continue"/>
          </w:tcPr>
          <w:p>
            <w:pPr>
              <w:spacing w:after="0"/>
              <w:rPr>
                <w:sz w:val="17"/>
                <w:szCs w:val="17"/>
                <w:color w:val="auto"/>
              </w:rPr>
            </w:pPr>
          </w:p>
        </w:tc>
        <w:tc>
          <w:tcPr>
            <w:tcW w:w="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140" w:type="dxa"/>
            <w:vAlign w:val="bottom"/>
            <w:vMerge w:val="continue"/>
          </w:tcPr>
          <w:p>
            <w:pPr>
              <w:spacing w:after="0"/>
              <w:rPr>
                <w:sz w:val="17"/>
                <w:szCs w:val="17"/>
                <w:color w:val="auto"/>
              </w:rPr>
            </w:pPr>
          </w:p>
        </w:tc>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80" w:type="dxa"/>
            <w:vAlign w:val="bottom"/>
            <w:vMerge w:val="continue"/>
          </w:tcPr>
          <w:p>
            <w:pPr>
              <w:spacing w:after="0"/>
              <w:rPr>
                <w:sz w:val="17"/>
                <w:szCs w:val="17"/>
                <w:color w:val="auto"/>
              </w:rPr>
            </w:pPr>
          </w:p>
        </w:tc>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60" w:type="dxa"/>
            <w:vAlign w:val="bottom"/>
            <w:vMerge w:val="continue"/>
          </w:tcPr>
          <w:p>
            <w:pPr>
              <w:spacing w:after="0"/>
              <w:rPr>
                <w:sz w:val="17"/>
                <w:szCs w:val="17"/>
                <w:color w:val="auto"/>
              </w:rPr>
            </w:pPr>
          </w:p>
        </w:tc>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720" w:type="dxa"/>
            <w:vAlign w:val="bottom"/>
            <w:vMerge w:val="continue"/>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2"/>
        </w:trPr>
        <w:tc>
          <w:tcPr>
            <w:tcW w:w="40" w:type="dxa"/>
            <w:vAlign w:val="bottom"/>
            <w:shd w:val="clear" w:color="auto" w:fill="DDDDDD"/>
          </w:tcPr>
          <w:p>
            <w:pPr>
              <w:spacing w:after="0"/>
              <w:rPr>
                <w:sz w:val="17"/>
                <w:szCs w:val="17"/>
                <w:color w:val="auto"/>
              </w:rPr>
            </w:pPr>
          </w:p>
        </w:tc>
        <w:tc>
          <w:tcPr>
            <w:tcW w:w="2620" w:type="dxa"/>
            <w:vAlign w:val="bottom"/>
            <w:gridSpan w:val="3"/>
            <w:shd w:val="clear" w:color="auto" w:fill="DDDDDD"/>
          </w:tcPr>
          <w:p>
            <w:pPr>
              <w:ind w:left="140"/>
              <w:spacing w:after="0"/>
              <w:rPr>
                <w:sz w:val="20"/>
                <w:szCs w:val="20"/>
                <w:color w:val="auto"/>
              </w:rPr>
            </w:pPr>
            <w:r>
              <w:rPr>
                <w:rFonts w:ascii="Times New Roman" w:cs="Times New Roman" w:eastAsia="Times New Roman" w:hAnsi="Times New Roman"/>
                <w:sz w:val="16"/>
                <w:szCs w:val="16"/>
                <w:color w:val="auto"/>
              </w:rPr>
              <w:t>Issuance of common stock - warrants</w:t>
            </w:r>
          </w:p>
        </w:tc>
        <w:tc>
          <w:tcPr>
            <w:tcW w:w="1040" w:type="dxa"/>
            <w:vAlign w:val="bottom"/>
            <w:vMerge w:val="restart"/>
            <w:shd w:val="clear" w:color="auto" w:fill="DDDDDD"/>
          </w:tcPr>
          <w:p>
            <w:pPr>
              <w:jc w:val="right"/>
              <w:spacing w:after="0"/>
              <w:rPr>
                <w:sz w:val="20"/>
                <w:szCs w:val="20"/>
                <w:color w:val="auto"/>
              </w:rPr>
            </w:pPr>
            <w:r>
              <w:rPr>
                <w:rFonts w:ascii="Times New Roman" w:cs="Times New Roman" w:eastAsia="Times New Roman" w:hAnsi="Times New Roman"/>
                <w:sz w:val="16"/>
                <w:szCs w:val="16"/>
                <w:color w:val="auto"/>
              </w:rPr>
              <w:t>20</w:t>
            </w:r>
          </w:p>
        </w:tc>
        <w:tc>
          <w:tcPr>
            <w:tcW w:w="180" w:type="dxa"/>
            <w:vAlign w:val="bottom"/>
            <w:shd w:val="clear" w:color="auto" w:fill="DDDDDD"/>
          </w:tcPr>
          <w:p>
            <w:pPr>
              <w:spacing w:after="0"/>
              <w:rPr>
                <w:sz w:val="17"/>
                <w:szCs w:val="17"/>
                <w:color w:val="auto"/>
              </w:rPr>
            </w:pPr>
          </w:p>
        </w:tc>
        <w:tc>
          <w:tcPr>
            <w:tcW w:w="940" w:type="dxa"/>
            <w:vAlign w:val="bottom"/>
            <w:vMerge w:val="restart"/>
            <w:shd w:val="clear" w:color="auto" w:fill="DDDDDD"/>
          </w:tcPr>
          <w:p>
            <w:pPr>
              <w:jc w:val="right"/>
              <w:ind w:right="1"/>
              <w:spacing w:after="0"/>
              <w:rPr>
                <w:sz w:val="20"/>
                <w:szCs w:val="20"/>
                <w:color w:val="auto"/>
              </w:rPr>
            </w:pPr>
            <w:r>
              <w:rPr>
                <w:rFonts w:ascii="Times New Roman" w:cs="Times New Roman" w:eastAsia="Times New Roman" w:hAnsi="Times New Roman"/>
                <w:sz w:val="16"/>
                <w:szCs w:val="16"/>
                <w:color w:val="auto"/>
              </w:rPr>
              <w:t>—</w:t>
            </w:r>
          </w:p>
        </w:tc>
        <w:tc>
          <w:tcPr>
            <w:tcW w:w="40" w:type="dxa"/>
            <w:vAlign w:val="bottom"/>
            <w:shd w:val="clear" w:color="auto" w:fill="DDDDDD"/>
          </w:tcPr>
          <w:p>
            <w:pPr>
              <w:spacing w:after="0"/>
              <w:rPr>
                <w:sz w:val="17"/>
                <w:szCs w:val="17"/>
                <w:color w:val="auto"/>
              </w:rPr>
            </w:pPr>
          </w:p>
        </w:tc>
        <w:tc>
          <w:tcPr>
            <w:tcW w:w="20" w:type="dxa"/>
            <w:vAlign w:val="bottom"/>
            <w:shd w:val="clear" w:color="auto" w:fill="DDDDDD"/>
          </w:tcPr>
          <w:p>
            <w:pPr>
              <w:spacing w:after="0"/>
              <w:rPr>
                <w:sz w:val="17"/>
                <w:szCs w:val="17"/>
                <w:color w:val="auto"/>
              </w:rPr>
            </w:pPr>
          </w:p>
        </w:tc>
        <w:tc>
          <w:tcPr>
            <w:tcW w:w="1000" w:type="dxa"/>
            <w:vAlign w:val="bottom"/>
            <w:vMerge w:val="restart"/>
            <w:shd w:val="clear" w:color="auto" w:fill="DDDDDD"/>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shd w:val="clear" w:color="auto" w:fill="DDDDDD"/>
          </w:tcPr>
          <w:p>
            <w:pPr>
              <w:spacing w:after="0"/>
              <w:rPr>
                <w:sz w:val="17"/>
                <w:szCs w:val="17"/>
                <w:color w:val="auto"/>
              </w:rPr>
            </w:pPr>
          </w:p>
        </w:tc>
        <w:tc>
          <w:tcPr>
            <w:tcW w:w="860" w:type="dxa"/>
            <w:vAlign w:val="bottom"/>
            <w:vMerge w:val="restart"/>
            <w:shd w:val="clear" w:color="auto" w:fill="DDDDDD"/>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40" w:type="dxa"/>
            <w:vAlign w:val="bottom"/>
            <w:shd w:val="clear" w:color="auto" w:fill="DDDDDD"/>
          </w:tcPr>
          <w:p>
            <w:pPr>
              <w:spacing w:after="0"/>
              <w:rPr>
                <w:sz w:val="17"/>
                <w:szCs w:val="17"/>
                <w:color w:val="auto"/>
              </w:rPr>
            </w:pPr>
          </w:p>
        </w:tc>
        <w:tc>
          <w:tcPr>
            <w:tcW w:w="20" w:type="dxa"/>
            <w:vAlign w:val="bottom"/>
            <w:shd w:val="clear" w:color="auto" w:fill="DDDDDD"/>
          </w:tcPr>
          <w:p>
            <w:pPr>
              <w:spacing w:after="0"/>
              <w:rPr>
                <w:sz w:val="17"/>
                <w:szCs w:val="17"/>
                <w:color w:val="auto"/>
              </w:rPr>
            </w:pPr>
          </w:p>
        </w:tc>
        <w:tc>
          <w:tcPr>
            <w:tcW w:w="140" w:type="dxa"/>
            <w:vAlign w:val="bottom"/>
            <w:shd w:val="clear" w:color="auto" w:fill="DDDDDD"/>
          </w:tcPr>
          <w:p>
            <w:pPr>
              <w:spacing w:after="0"/>
              <w:rPr>
                <w:sz w:val="17"/>
                <w:szCs w:val="17"/>
                <w:color w:val="auto"/>
              </w:rPr>
            </w:pPr>
          </w:p>
        </w:tc>
        <w:tc>
          <w:tcPr>
            <w:tcW w:w="880" w:type="dxa"/>
            <w:vAlign w:val="bottom"/>
            <w:vMerge w:val="restart"/>
            <w:shd w:val="clear" w:color="auto" w:fill="DDDDDD"/>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60" w:type="dxa"/>
            <w:vAlign w:val="bottom"/>
            <w:shd w:val="clear" w:color="auto" w:fill="DDDDDD"/>
          </w:tcPr>
          <w:p>
            <w:pPr>
              <w:spacing w:after="0"/>
              <w:rPr>
                <w:sz w:val="17"/>
                <w:szCs w:val="17"/>
                <w:color w:val="auto"/>
              </w:rPr>
            </w:pPr>
          </w:p>
        </w:tc>
        <w:tc>
          <w:tcPr>
            <w:tcW w:w="20" w:type="dxa"/>
            <w:vAlign w:val="bottom"/>
            <w:shd w:val="clear" w:color="auto" w:fill="DDDDDD"/>
          </w:tcPr>
          <w:p>
            <w:pPr>
              <w:spacing w:after="0"/>
              <w:rPr>
                <w:sz w:val="17"/>
                <w:szCs w:val="17"/>
                <w:color w:val="auto"/>
              </w:rPr>
            </w:pPr>
          </w:p>
        </w:tc>
        <w:tc>
          <w:tcPr>
            <w:tcW w:w="220" w:type="dxa"/>
            <w:vAlign w:val="bottom"/>
            <w:shd w:val="clear" w:color="auto" w:fill="DDDDDD"/>
          </w:tcPr>
          <w:p>
            <w:pPr>
              <w:spacing w:after="0"/>
              <w:rPr>
                <w:sz w:val="17"/>
                <w:szCs w:val="17"/>
                <w:color w:val="auto"/>
              </w:rPr>
            </w:pPr>
          </w:p>
        </w:tc>
        <w:tc>
          <w:tcPr>
            <w:tcW w:w="900" w:type="dxa"/>
            <w:vAlign w:val="bottom"/>
            <w:vMerge w:val="restart"/>
            <w:shd w:val="clear" w:color="auto" w:fill="DDDDDD"/>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60" w:type="dxa"/>
            <w:vAlign w:val="bottom"/>
            <w:shd w:val="clear" w:color="auto" w:fill="DDDDDD"/>
          </w:tcPr>
          <w:p>
            <w:pPr>
              <w:spacing w:after="0"/>
              <w:rPr>
                <w:sz w:val="17"/>
                <w:szCs w:val="17"/>
                <w:color w:val="auto"/>
              </w:rPr>
            </w:pPr>
          </w:p>
        </w:tc>
        <w:tc>
          <w:tcPr>
            <w:tcW w:w="160" w:type="dxa"/>
            <w:vAlign w:val="bottom"/>
            <w:shd w:val="clear" w:color="auto" w:fill="DDDDDD"/>
          </w:tcPr>
          <w:p>
            <w:pPr>
              <w:spacing w:after="0"/>
              <w:rPr>
                <w:sz w:val="17"/>
                <w:szCs w:val="17"/>
                <w:color w:val="auto"/>
              </w:rPr>
            </w:pPr>
          </w:p>
        </w:tc>
        <w:tc>
          <w:tcPr>
            <w:tcW w:w="1140" w:type="dxa"/>
            <w:vAlign w:val="bottom"/>
            <w:vMerge w:val="restart"/>
            <w:shd w:val="clear" w:color="auto" w:fill="DDDDDD"/>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40" w:type="dxa"/>
            <w:vAlign w:val="bottom"/>
            <w:shd w:val="clear" w:color="auto" w:fill="DDDDDD"/>
          </w:tcPr>
          <w:p>
            <w:pPr>
              <w:spacing w:after="0"/>
              <w:rPr>
                <w:sz w:val="17"/>
                <w:szCs w:val="17"/>
                <w:color w:val="auto"/>
              </w:rPr>
            </w:pPr>
          </w:p>
        </w:tc>
        <w:tc>
          <w:tcPr>
            <w:tcW w:w="20" w:type="dxa"/>
            <w:vAlign w:val="bottom"/>
            <w:shd w:val="clear" w:color="auto" w:fill="DDDDDD"/>
          </w:tcPr>
          <w:p>
            <w:pPr>
              <w:spacing w:after="0"/>
              <w:rPr>
                <w:sz w:val="17"/>
                <w:szCs w:val="17"/>
                <w:color w:val="auto"/>
              </w:rPr>
            </w:pPr>
          </w:p>
        </w:tc>
        <w:tc>
          <w:tcPr>
            <w:tcW w:w="140" w:type="dxa"/>
            <w:vAlign w:val="bottom"/>
            <w:shd w:val="clear" w:color="auto" w:fill="DDDDDD"/>
          </w:tcPr>
          <w:p>
            <w:pPr>
              <w:spacing w:after="0"/>
              <w:rPr>
                <w:sz w:val="17"/>
                <w:szCs w:val="17"/>
                <w:color w:val="auto"/>
              </w:rPr>
            </w:pPr>
          </w:p>
        </w:tc>
        <w:tc>
          <w:tcPr>
            <w:tcW w:w="880" w:type="dxa"/>
            <w:vAlign w:val="bottom"/>
            <w:vMerge w:val="restart"/>
            <w:shd w:val="clear" w:color="auto" w:fill="DDDDDD"/>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40" w:type="dxa"/>
            <w:vAlign w:val="bottom"/>
            <w:shd w:val="clear" w:color="auto" w:fill="DDDDDD"/>
          </w:tcPr>
          <w:p>
            <w:pPr>
              <w:spacing w:after="0"/>
              <w:rPr>
                <w:sz w:val="17"/>
                <w:szCs w:val="17"/>
                <w:color w:val="auto"/>
              </w:rPr>
            </w:pPr>
          </w:p>
        </w:tc>
        <w:tc>
          <w:tcPr>
            <w:tcW w:w="20" w:type="dxa"/>
            <w:vAlign w:val="bottom"/>
            <w:shd w:val="clear" w:color="auto" w:fill="DDDDDD"/>
          </w:tcPr>
          <w:p>
            <w:pPr>
              <w:spacing w:after="0"/>
              <w:rPr>
                <w:sz w:val="17"/>
                <w:szCs w:val="17"/>
                <w:color w:val="auto"/>
              </w:rPr>
            </w:pPr>
          </w:p>
        </w:tc>
        <w:tc>
          <w:tcPr>
            <w:tcW w:w="160" w:type="dxa"/>
            <w:vAlign w:val="bottom"/>
            <w:shd w:val="clear" w:color="auto" w:fill="DDDDDD"/>
          </w:tcPr>
          <w:p>
            <w:pPr>
              <w:spacing w:after="0"/>
              <w:rPr>
                <w:sz w:val="17"/>
                <w:szCs w:val="17"/>
                <w:color w:val="auto"/>
              </w:rPr>
            </w:pPr>
          </w:p>
        </w:tc>
        <w:tc>
          <w:tcPr>
            <w:tcW w:w="860" w:type="dxa"/>
            <w:vAlign w:val="bottom"/>
            <w:vMerge w:val="restart"/>
            <w:shd w:val="clear" w:color="auto" w:fill="DDDDDD"/>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40" w:type="dxa"/>
            <w:vAlign w:val="bottom"/>
            <w:shd w:val="clear" w:color="auto" w:fill="DDDDDD"/>
          </w:tcPr>
          <w:p>
            <w:pPr>
              <w:spacing w:after="0"/>
              <w:rPr>
                <w:sz w:val="17"/>
                <w:szCs w:val="17"/>
                <w:color w:val="auto"/>
              </w:rPr>
            </w:pPr>
          </w:p>
        </w:tc>
        <w:tc>
          <w:tcPr>
            <w:tcW w:w="20" w:type="dxa"/>
            <w:vAlign w:val="bottom"/>
            <w:shd w:val="clear" w:color="auto" w:fill="DDDDDD"/>
          </w:tcPr>
          <w:p>
            <w:pPr>
              <w:spacing w:after="0"/>
              <w:rPr>
                <w:sz w:val="17"/>
                <w:szCs w:val="17"/>
                <w:color w:val="auto"/>
              </w:rPr>
            </w:pPr>
          </w:p>
        </w:tc>
        <w:tc>
          <w:tcPr>
            <w:tcW w:w="280" w:type="dxa"/>
            <w:vAlign w:val="bottom"/>
            <w:shd w:val="clear" w:color="auto" w:fill="DDDDDD"/>
          </w:tcPr>
          <w:p>
            <w:pPr>
              <w:spacing w:after="0"/>
              <w:rPr>
                <w:sz w:val="17"/>
                <w:szCs w:val="17"/>
                <w:color w:val="auto"/>
              </w:rPr>
            </w:pPr>
          </w:p>
        </w:tc>
        <w:tc>
          <w:tcPr>
            <w:tcW w:w="720" w:type="dxa"/>
            <w:vAlign w:val="bottom"/>
            <w:vMerge w:val="restart"/>
            <w:shd w:val="clear" w:color="auto" w:fill="DDDDDD"/>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2"/>
        </w:trPr>
        <w:tc>
          <w:tcPr>
            <w:tcW w:w="40" w:type="dxa"/>
            <w:vAlign w:val="bottom"/>
            <w:shd w:val="clear" w:color="auto" w:fill="DDDDDD"/>
          </w:tcPr>
          <w:p>
            <w:pPr>
              <w:spacing w:after="0"/>
              <w:rPr>
                <w:sz w:val="17"/>
                <w:szCs w:val="17"/>
                <w:color w:val="auto"/>
              </w:rPr>
            </w:pPr>
          </w:p>
        </w:tc>
        <w:tc>
          <w:tcPr>
            <w:tcW w:w="2620" w:type="dxa"/>
            <w:vAlign w:val="bottom"/>
            <w:gridSpan w:val="3"/>
            <w:shd w:val="clear" w:color="auto" w:fill="DDDDDD"/>
          </w:tcPr>
          <w:p>
            <w:pPr>
              <w:ind w:left="140"/>
              <w:spacing w:after="0"/>
              <w:rPr>
                <w:sz w:val="20"/>
                <w:szCs w:val="20"/>
                <w:color w:val="auto"/>
              </w:rPr>
            </w:pPr>
            <w:r>
              <w:rPr>
                <w:rFonts w:ascii="Times New Roman" w:cs="Times New Roman" w:eastAsia="Times New Roman" w:hAnsi="Times New Roman"/>
                <w:sz w:val="16"/>
                <w:szCs w:val="16"/>
                <w:color w:val="auto"/>
              </w:rPr>
              <w:t>exercised</w:t>
            </w:r>
          </w:p>
        </w:tc>
        <w:tc>
          <w:tcPr>
            <w:tcW w:w="1040" w:type="dxa"/>
            <w:vAlign w:val="bottom"/>
            <w:vMerge w:val="continue"/>
            <w:shd w:val="clear" w:color="auto" w:fill="DDDDDD"/>
          </w:tcPr>
          <w:p>
            <w:pPr>
              <w:spacing w:after="0"/>
              <w:rPr>
                <w:sz w:val="17"/>
                <w:szCs w:val="17"/>
                <w:color w:val="auto"/>
              </w:rPr>
            </w:pPr>
          </w:p>
        </w:tc>
        <w:tc>
          <w:tcPr>
            <w:tcW w:w="180" w:type="dxa"/>
            <w:vAlign w:val="bottom"/>
            <w:shd w:val="clear" w:color="auto" w:fill="DDDDDD"/>
          </w:tcPr>
          <w:p>
            <w:pPr>
              <w:spacing w:after="0"/>
              <w:rPr>
                <w:sz w:val="17"/>
                <w:szCs w:val="17"/>
                <w:color w:val="auto"/>
              </w:rPr>
            </w:pPr>
          </w:p>
        </w:tc>
        <w:tc>
          <w:tcPr>
            <w:tcW w:w="940" w:type="dxa"/>
            <w:vAlign w:val="bottom"/>
            <w:vMerge w:val="continue"/>
            <w:shd w:val="clear" w:color="auto" w:fill="DDDDDD"/>
          </w:tcPr>
          <w:p>
            <w:pPr>
              <w:spacing w:after="0"/>
              <w:rPr>
                <w:sz w:val="17"/>
                <w:szCs w:val="17"/>
                <w:color w:val="auto"/>
              </w:rPr>
            </w:pPr>
          </w:p>
        </w:tc>
        <w:tc>
          <w:tcPr>
            <w:tcW w:w="40" w:type="dxa"/>
            <w:vAlign w:val="bottom"/>
            <w:shd w:val="clear" w:color="auto" w:fill="DDDDDD"/>
          </w:tcPr>
          <w:p>
            <w:pPr>
              <w:spacing w:after="0"/>
              <w:rPr>
                <w:sz w:val="17"/>
                <w:szCs w:val="17"/>
                <w:color w:val="auto"/>
              </w:rPr>
            </w:pPr>
          </w:p>
        </w:tc>
        <w:tc>
          <w:tcPr>
            <w:tcW w:w="20" w:type="dxa"/>
            <w:vAlign w:val="bottom"/>
            <w:shd w:val="clear" w:color="auto" w:fill="DDDDDD"/>
          </w:tcPr>
          <w:p>
            <w:pPr>
              <w:spacing w:after="0"/>
              <w:rPr>
                <w:sz w:val="17"/>
                <w:szCs w:val="17"/>
                <w:color w:val="auto"/>
              </w:rPr>
            </w:pPr>
          </w:p>
        </w:tc>
        <w:tc>
          <w:tcPr>
            <w:tcW w:w="1000" w:type="dxa"/>
            <w:vAlign w:val="bottom"/>
            <w:vMerge w:val="continue"/>
            <w:shd w:val="clear" w:color="auto" w:fill="DDDDDD"/>
          </w:tcPr>
          <w:p>
            <w:pPr>
              <w:spacing w:after="0"/>
              <w:rPr>
                <w:sz w:val="17"/>
                <w:szCs w:val="17"/>
                <w:color w:val="auto"/>
              </w:rPr>
            </w:pPr>
          </w:p>
        </w:tc>
        <w:tc>
          <w:tcPr>
            <w:tcW w:w="160" w:type="dxa"/>
            <w:vAlign w:val="bottom"/>
            <w:shd w:val="clear" w:color="auto" w:fill="DDDDDD"/>
          </w:tcPr>
          <w:p>
            <w:pPr>
              <w:spacing w:after="0"/>
              <w:rPr>
                <w:sz w:val="17"/>
                <w:szCs w:val="17"/>
                <w:color w:val="auto"/>
              </w:rPr>
            </w:pPr>
          </w:p>
        </w:tc>
        <w:tc>
          <w:tcPr>
            <w:tcW w:w="860" w:type="dxa"/>
            <w:vAlign w:val="bottom"/>
            <w:vMerge w:val="continue"/>
            <w:shd w:val="clear" w:color="auto" w:fill="DDDDDD"/>
          </w:tcPr>
          <w:p>
            <w:pPr>
              <w:spacing w:after="0"/>
              <w:rPr>
                <w:sz w:val="17"/>
                <w:szCs w:val="17"/>
                <w:color w:val="auto"/>
              </w:rPr>
            </w:pPr>
          </w:p>
        </w:tc>
        <w:tc>
          <w:tcPr>
            <w:tcW w:w="40" w:type="dxa"/>
            <w:vAlign w:val="bottom"/>
            <w:shd w:val="clear" w:color="auto" w:fill="DDDDDD"/>
          </w:tcPr>
          <w:p>
            <w:pPr>
              <w:spacing w:after="0"/>
              <w:rPr>
                <w:sz w:val="17"/>
                <w:szCs w:val="17"/>
                <w:color w:val="auto"/>
              </w:rPr>
            </w:pPr>
          </w:p>
        </w:tc>
        <w:tc>
          <w:tcPr>
            <w:tcW w:w="20" w:type="dxa"/>
            <w:vAlign w:val="bottom"/>
            <w:shd w:val="clear" w:color="auto" w:fill="DDDDDD"/>
          </w:tcPr>
          <w:p>
            <w:pPr>
              <w:spacing w:after="0"/>
              <w:rPr>
                <w:sz w:val="17"/>
                <w:szCs w:val="17"/>
                <w:color w:val="auto"/>
              </w:rPr>
            </w:pPr>
          </w:p>
        </w:tc>
        <w:tc>
          <w:tcPr>
            <w:tcW w:w="140" w:type="dxa"/>
            <w:vAlign w:val="bottom"/>
            <w:shd w:val="clear" w:color="auto" w:fill="DDDDDD"/>
          </w:tcPr>
          <w:p>
            <w:pPr>
              <w:spacing w:after="0"/>
              <w:rPr>
                <w:sz w:val="17"/>
                <w:szCs w:val="17"/>
                <w:color w:val="auto"/>
              </w:rPr>
            </w:pPr>
          </w:p>
        </w:tc>
        <w:tc>
          <w:tcPr>
            <w:tcW w:w="880" w:type="dxa"/>
            <w:vAlign w:val="bottom"/>
            <w:vMerge w:val="continue"/>
            <w:shd w:val="clear" w:color="auto" w:fill="DDDDDD"/>
          </w:tcPr>
          <w:p>
            <w:pPr>
              <w:spacing w:after="0"/>
              <w:rPr>
                <w:sz w:val="17"/>
                <w:szCs w:val="17"/>
                <w:color w:val="auto"/>
              </w:rPr>
            </w:pPr>
          </w:p>
        </w:tc>
        <w:tc>
          <w:tcPr>
            <w:tcW w:w="60" w:type="dxa"/>
            <w:vAlign w:val="bottom"/>
            <w:shd w:val="clear" w:color="auto" w:fill="DDDDDD"/>
          </w:tcPr>
          <w:p>
            <w:pPr>
              <w:spacing w:after="0"/>
              <w:rPr>
                <w:sz w:val="17"/>
                <w:szCs w:val="17"/>
                <w:color w:val="auto"/>
              </w:rPr>
            </w:pPr>
          </w:p>
        </w:tc>
        <w:tc>
          <w:tcPr>
            <w:tcW w:w="20" w:type="dxa"/>
            <w:vAlign w:val="bottom"/>
            <w:shd w:val="clear" w:color="auto" w:fill="DDDDDD"/>
          </w:tcPr>
          <w:p>
            <w:pPr>
              <w:spacing w:after="0"/>
              <w:rPr>
                <w:sz w:val="17"/>
                <w:szCs w:val="17"/>
                <w:color w:val="auto"/>
              </w:rPr>
            </w:pPr>
          </w:p>
        </w:tc>
        <w:tc>
          <w:tcPr>
            <w:tcW w:w="220" w:type="dxa"/>
            <w:vAlign w:val="bottom"/>
            <w:shd w:val="clear" w:color="auto" w:fill="DDDDDD"/>
          </w:tcPr>
          <w:p>
            <w:pPr>
              <w:spacing w:after="0"/>
              <w:rPr>
                <w:sz w:val="17"/>
                <w:szCs w:val="17"/>
                <w:color w:val="auto"/>
              </w:rPr>
            </w:pPr>
          </w:p>
        </w:tc>
        <w:tc>
          <w:tcPr>
            <w:tcW w:w="900" w:type="dxa"/>
            <w:vAlign w:val="bottom"/>
            <w:vMerge w:val="continue"/>
            <w:shd w:val="clear" w:color="auto" w:fill="DDDDDD"/>
          </w:tcPr>
          <w:p>
            <w:pPr>
              <w:spacing w:after="0"/>
              <w:rPr>
                <w:sz w:val="17"/>
                <w:szCs w:val="17"/>
                <w:color w:val="auto"/>
              </w:rPr>
            </w:pPr>
          </w:p>
        </w:tc>
        <w:tc>
          <w:tcPr>
            <w:tcW w:w="60" w:type="dxa"/>
            <w:vAlign w:val="bottom"/>
            <w:shd w:val="clear" w:color="auto" w:fill="DDDDDD"/>
          </w:tcPr>
          <w:p>
            <w:pPr>
              <w:spacing w:after="0"/>
              <w:rPr>
                <w:sz w:val="17"/>
                <w:szCs w:val="17"/>
                <w:color w:val="auto"/>
              </w:rPr>
            </w:pPr>
          </w:p>
        </w:tc>
        <w:tc>
          <w:tcPr>
            <w:tcW w:w="160" w:type="dxa"/>
            <w:vAlign w:val="bottom"/>
            <w:shd w:val="clear" w:color="auto" w:fill="DDDDDD"/>
          </w:tcPr>
          <w:p>
            <w:pPr>
              <w:spacing w:after="0"/>
              <w:rPr>
                <w:sz w:val="17"/>
                <w:szCs w:val="17"/>
                <w:color w:val="auto"/>
              </w:rPr>
            </w:pPr>
          </w:p>
        </w:tc>
        <w:tc>
          <w:tcPr>
            <w:tcW w:w="1140" w:type="dxa"/>
            <w:vAlign w:val="bottom"/>
            <w:vMerge w:val="continue"/>
            <w:shd w:val="clear" w:color="auto" w:fill="DDDDDD"/>
          </w:tcPr>
          <w:p>
            <w:pPr>
              <w:spacing w:after="0"/>
              <w:rPr>
                <w:sz w:val="17"/>
                <w:szCs w:val="17"/>
                <w:color w:val="auto"/>
              </w:rPr>
            </w:pPr>
          </w:p>
        </w:tc>
        <w:tc>
          <w:tcPr>
            <w:tcW w:w="40" w:type="dxa"/>
            <w:vAlign w:val="bottom"/>
            <w:shd w:val="clear" w:color="auto" w:fill="DDDDDD"/>
          </w:tcPr>
          <w:p>
            <w:pPr>
              <w:spacing w:after="0"/>
              <w:rPr>
                <w:sz w:val="17"/>
                <w:szCs w:val="17"/>
                <w:color w:val="auto"/>
              </w:rPr>
            </w:pPr>
          </w:p>
        </w:tc>
        <w:tc>
          <w:tcPr>
            <w:tcW w:w="20" w:type="dxa"/>
            <w:vAlign w:val="bottom"/>
            <w:shd w:val="clear" w:color="auto" w:fill="DDDDDD"/>
          </w:tcPr>
          <w:p>
            <w:pPr>
              <w:spacing w:after="0"/>
              <w:rPr>
                <w:sz w:val="17"/>
                <w:szCs w:val="17"/>
                <w:color w:val="auto"/>
              </w:rPr>
            </w:pPr>
          </w:p>
        </w:tc>
        <w:tc>
          <w:tcPr>
            <w:tcW w:w="140" w:type="dxa"/>
            <w:vAlign w:val="bottom"/>
            <w:shd w:val="clear" w:color="auto" w:fill="DDDDDD"/>
          </w:tcPr>
          <w:p>
            <w:pPr>
              <w:spacing w:after="0"/>
              <w:rPr>
                <w:sz w:val="17"/>
                <w:szCs w:val="17"/>
                <w:color w:val="auto"/>
              </w:rPr>
            </w:pPr>
          </w:p>
        </w:tc>
        <w:tc>
          <w:tcPr>
            <w:tcW w:w="880" w:type="dxa"/>
            <w:vAlign w:val="bottom"/>
            <w:vMerge w:val="continue"/>
            <w:shd w:val="clear" w:color="auto" w:fill="DDDDDD"/>
          </w:tcPr>
          <w:p>
            <w:pPr>
              <w:spacing w:after="0"/>
              <w:rPr>
                <w:sz w:val="17"/>
                <w:szCs w:val="17"/>
                <w:color w:val="auto"/>
              </w:rPr>
            </w:pPr>
          </w:p>
        </w:tc>
        <w:tc>
          <w:tcPr>
            <w:tcW w:w="40" w:type="dxa"/>
            <w:vAlign w:val="bottom"/>
            <w:shd w:val="clear" w:color="auto" w:fill="DDDDDD"/>
          </w:tcPr>
          <w:p>
            <w:pPr>
              <w:spacing w:after="0"/>
              <w:rPr>
                <w:sz w:val="17"/>
                <w:szCs w:val="17"/>
                <w:color w:val="auto"/>
              </w:rPr>
            </w:pPr>
          </w:p>
        </w:tc>
        <w:tc>
          <w:tcPr>
            <w:tcW w:w="20" w:type="dxa"/>
            <w:vAlign w:val="bottom"/>
            <w:shd w:val="clear" w:color="auto" w:fill="DDDDDD"/>
          </w:tcPr>
          <w:p>
            <w:pPr>
              <w:spacing w:after="0"/>
              <w:rPr>
                <w:sz w:val="17"/>
                <w:szCs w:val="17"/>
                <w:color w:val="auto"/>
              </w:rPr>
            </w:pPr>
          </w:p>
        </w:tc>
        <w:tc>
          <w:tcPr>
            <w:tcW w:w="160" w:type="dxa"/>
            <w:vAlign w:val="bottom"/>
            <w:shd w:val="clear" w:color="auto" w:fill="DDDDDD"/>
          </w:tcPr>
          <w:p>
            <w:pPr>
              <w:spacing w:after="0"/>
              <w:rPr>
                <w:sz w:val="17"/>
                <w:szCs w:val="17"/>
                <w:color w:val="auto"/>
              </w:rPr>
            </w:pPr>
          </w:p>
        </w:tc>
        <w:tc>
          <w:tcPr>
            <w:tcW w:w="860" w:type="dxa"/>
            <w:vAlign w:val="bottom"/>
            <w:vMerge w:val="continue"/>
            <w:shd w:val="clear" w:color="auto" w:fill="DDDDDD"/>
          </w:tcPr>
          <w:p>
            <w:pPr>
              <w:spacing w:after="0"/>
              <w:rPr>
                <w:sz w:val="17"/>
                <w:szCs w:val="17"/>
                <w:color w:val="auto"/>
              </w:rPr>
            </w:pPr>
          </w:p>
        </w:tc>
        <w:tc>
          <w:tcPr>
            <w:tcW w:w="40" w:type="dxa"/>
            <w:vAlign w:val="bottom"/>
            <w:shd w:val="clear" w:color="auto" w:fill="DDDDDD"/>
          </w:tcPr>
          <w:p>
            <w:pPr>
              <w:spacing w:after="0"/>
              <w:rPr>
                <w:sz w:val="17"/>
                <w:szCs w:val="17"/>
                <w:color w:val="auto"/>
              </w:rPr>
            </w:pPr>
          </w:p>
        </w:tc>
        <w:tc>
          <w:tcPr>
            <w:tcW w:w="20" w:type="dxa"/>
            <w:vAlign w:val="bottom"/>
            <w:shd w:val="clear" w:color="auto" w:fill="DDDDDD"/>
          </w:tcPr>
          <w:p>
            <w:pPr>
              <w:spacing w:after="0"/>
              <w:rPr>
                <w:sz w:val="17"/>
                <w:szCs w:val="17"/>
                <w:color w:val="auto"/>
              </w:rPr>
            </w:pPr>
          </w:p>
        </w:tc>
        <w:tc>
          <w:tcPr>
            <w:tcW w:w="280" w:type="dxa"/>
            <w:vAlign w:val="bottom"/>
            <w:shd w:val="clear" w:color="auto" w:fill="DDDDDD"/>
          </w:tcPr>
          <w:p>
            <w:pPr>
              <w:spacing w:after="0"/>
              <w:rPr>
                <w:sz w:val="17"/>
                <w:szCs w:val="17"/>
                <w:color w:val="auto"/>
              </w:rPr>
            </w:pPr>
          </w:p>
        </w:tc>
        <w:tc>
          <w:tcPr>
            <w:tcW w:w="720" w:type="dxa"/>
            <w:vAlign w:val="bottom"/>
            <w:vMerge w:val="continue"/>
            <w:shd w:val="clear" w:color="auto" w:fill="DDDDDD"/>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2"/>
        </w:trPr>
        <w:tc>
          <w:tcPr>
            <w:tcW w:w="40" w:type="dxa"/>
            <w:vAlign w:val="bottom"/>
          </w:tcPr>
          <w:p>
            <w:pPr>
              <w:spacing w:after="0"/>
              <w:rPr>
                <w:sz w:val="17"/>
                <w:szCs w:val="17"/>
                <w:color w:val="auto"/>
              </w:rPr>
            </w:pPr>
          </w:p>
        </w:tc>
        <w:tc>
          <w:tcPr>
            <w:tcW w:w="2620" w:type="dxa"/>
            <w:vAlign w:val="bottom"/>
            <w:gridSpan w:val="3"/>
          </w:tcPr>
          <w:p>
            <w:pPr>
              <w:ind w:left="140"/>
              <w:spacing w:after="0"/>
              <w:rPr>
                <w:sz w:val="20"/>
                <w:szCs w:val="20"/>
                <w:color w:val="auto"/>
              </w:rPr>
            </w:pPr>
            <w:r>
              <w:rPr>
                <w:rFonts w:ascii="Times New Roman" w:cs="Times New Roman" w:eastAsia="Times New Roman" w:hAnsi="Times New Roman"/>
                <w:sz w:val="16"/>
                <w:szCs w:val="16"/>
                <w:color w:val="auto"/>
              </w:rPr>
              <w:t>Class A Common shares issued -</w:t>
            </w:r>
          </w:p>
        </w:tc>
        <w:tc>
          <w:tcPr>
            <w:tcW w:w="104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10,015,986</w:t>
            </w:r>
          </w:p>
        </w:tc>
        <w:tc>
          <w:tcPr>
            <w:tcW w:w="180" w:type="dxa"/>
            <w:vAlign w:val="bottom"/>
          </w:tcPr>
          <w:p>
            <w:pPr>
              <w:spacing w:after="0"/>
              <w:rPr>
                <w:sz w:val="17"/>
                <w:szCs w:val="17"/>
                <w:color w:val="auto"/>
              </w:rPr>
            </w:pPr>
          </w:p>
        </w:tc>
        <w:tc>
          <w:tcPr>
            <w:tcW w:w="940" w:type="dxa"/>
            <w:vAlign w:val="bottom"/>
            <w:vMerge w:val="restart"/>
          </w:tcPr>
          <w:p>
            <w:pPr>
              <w:jc w:val="right"/>
              <w:ind w:right="1"/>
              <w:spacing w:after="0"/>
              <w:rPr>
                <w:sz w:val="20"/>
                <w:szCs w:val="20"/>
                <w:color w:val="auto"/>
              </w:rPr>
            </w:pPr>
            <w:r>
              <w:rPr>
                <w:rFonts w:ascii="Times New Roman" w:cs="Times New Roman" w:eastAsia="Times New Roman" w:hAnsi="Times New Roman"/>
                <w:sz w:val="16"/>
                <w:szCs w:val="16"/>
                <w:color w:val="auto"/>
              </w:rPr>
              <w:t>2</w:t>
            </w:r>
          </w:p>
        </w:tc>
        <w:tc>
          <w:tcPr>
            <w:tcW w:w="1060" w:type="dxa"/>
            <w:vAlign w:val="bottom"/>
            <w:gridSpan w:val="3"/>
            <w:vMerge w:val="restart"/>
          </w:tcPr>
          <w:p>
            <w:pPr>
              <w:jc w:val="right"/>
              <w:spacing w:after="0"/>
              <w:rPr>
                <w:sz w:val="20"/>
                <w:szCs w:val="20"/>
                <w:color w:val="auto"/>
              </w:rPr>
            </w:pPr>
            <w:r>
              <w:rPr>
                <w:rFonts w:ascii="Times New Roman" w:cs="Times New Roman" w:eastAsia="Times New Roman" w:hAnsi="Times New Roman"/>
                <w:sz w:val="16"/>
                <w:szCs w:val="16"/>
                <w:color w:val="auto"/>
              </w:rPr>
              <w:t>(10,015,986)</w:t>
            </w:r>
          </w:p>
        </w:tc>
        <w:tc>
          <w:tcPr>
            <w:tcW w:w="160" w:type="dxa"/>
            <w:vAlign w:val="bottom"/>
          </w:tcPr>
          <w:p>
            <w:pPr>
              <w:spacing w:after="0"/>
              <w:rPr>
                <w:sz w:val="17"/>
                <w:szCs w:val="17"/>
                <w:color w:val="auto"/>
              </w:rPr>
            </w:pPr>
          </w:p>
        </w:tc>
        <w:tc>
          <w:tcPr>
            <w:tcW w:w="86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(2)</w:t>
            </w:r>
          </w:p>
        </w:tc>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8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8,993</w:t>
            </w:r>
          </w:p>
        </w:tc>
        <w:tc>
          <w:tcPr>
            <w:tcW w:w="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0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14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8,993</w:t>
            </w:r>
          </w:p>
        </w:tc>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8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(8,993)</w:t>
            </w:r>
          </w:p>
        </w:tc>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6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72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9"/>
        </w:trPr>
        <w:tc>
          <w:tcPr>
            <w:tcW w:w="40" w:type="dxa"/>
            <w:vAlign w:val="bottom"/>
          </w:tcPr>
          <w:p>
            <w:pPr>
              <w:spacing w:after="0"/>
              <w:rPr>
                <w:sz w:val="18"/>
                <w:szCs w:val="18"/>
                <w:color w:val="auto"/>
              </w:rPr>
            </w:pPr>
          </w:p>
        </w:tc>
        <w:tc>
          <w:tcPr>
            <w:tcW w:w="2620" w:type="dxa"/>
            <w:vAlign w:val="bottom"/>
            <w:gridSpan w:val="3"/>
          </w:tcPr>
          <w:p>
            <w:pPr>
              <w:ind w:left="140"/>
              <w:spacing w:after="0"/>
              <w:rPr>
                <w:sz w:val="20"/>
                <w:szCs w:val="20"/>
                <w:color w:val="auto"/>
              </w:rPr>
            </w:pPr>
            <w:r>
              <w:rPr>
                <w:rFonts w:ascii="Times New Roman" w:cs="Times New Roman" w:eastAsia="Times New Roman" w:hAnsi="Times New Roman"/>
                <w:sz w:val="16"/>
                <w:szCs w:val="16"/>
                <w:color w:val="auto"/>
              </w:rPr>
              <w:t>Class A Unit exchange</w:t>
            </w:r>
          </w:p>
        </w:tc>
        <w:tc>
          <w:tcPr>
            <w:tcW w:w="1040" w:type="dxa"/>
            <w:vAlign w:val="bottom"/>
            <w:vMerge w:val="continue"/>
          </w:tcPr>
          <w:p>
            <w:pPr>
              <w:spacing w:after="0"/>
              <w:rPr>
                <w:sz w:val="18"/>
                <w:szCs w:val="18"/>
                <w:color w:val="auto"/>
              </w:rPr>
            </w:pPr>
          </w:p>
        </w:tc>
        <w:tc>
          <w:tcPr>
            <w:tcW w:w="180" w:type="dxa"/>
            <w:vAlign w:val="bottom"/>
          </w:tcPr>
          <w:p>
            <w:pPr>
              <w:spacing w:after="0"/>
              <w:rPr>
                <w:sz w:val="18"/>
                <w:szCs w:val="18"/>
                <w:color w:val="auto"/>
              </w:rPr>
            </w:pPr>
          </w:p>
        </w:tc>
        <w:tc>
          <w:tcPr>
            <w:tcW w:w="940" w:type="dxa"/>
            <w:vAlign w:val="bottom"/>
            <w:vMerge w:val="continue"/>
          </w:tcPr>
          <w:p>
            <w:pPr>
              <w:spacing w:after="0"/>
              <w:rPr>
                <w:sz w:val="18"/>
                <w:szCs w:val="18"/>
                <w:color w:val="auto"/>
              </w:rPr>
            </w:pPr>
          </w:p>
        </w:tc>
        <w:tc>
          <w:tcPr>
            <w:tcW w:w="1060" w:type="dxa"/>
            <w:vAlign w:val="bottom"/>
            <w:gridSpan w:val="3"/>
            <w:vMerge w:val="continue"/>
          </w:tcPr>
          <w:p>
            <w:pPr>
              <w:spacing w:after="0"/>
              <w:rPr>
                <w:sz w:val="18"/>
                <w:szCs w:val="18"/>
                <w:color w:val="auto"/>
              </w:rPr>
            </w:pPr>
          </w:p>
        </w:tc>
        <w:tc>
          <w:tcPr>
            <w:tcW w:w="160" w:type="dxa"/>
            <w:vAlign w:val="bottom"/>
          </w:tcPr>
          <w:p>
            <w:pPr>
              <w:spacing w:after="0"/>
              <w:rPr>
                <w:sz w:val="18"/>
                <w:szCs w:val="18"/>
                <w:color w:val="auto"/>
              </w:rPr>
            </w:pPr>
          </w:p>
        </w:tc>
        <w:tc>
          <w:tcPr>
            <w:tcW w:w="860" w:type="dxa"/>
            <w:vAlign w:val="bottom"/>
            <w:vMerge w:val="continue"/>
          </w:tcPr>
          <w:p>
            <w:pPr>
              <w:spacing w:after="0"/>
              <w:rPr>
                <w:sz w:val="18"/>
                <w:szCs w:val="18"/>
                <w:color w:val="auto"/>
              </w:rPr>
            </w:pPr>
          </w:p>
        </w:tc>
        <w:tc>
          <w:tcPr>
            <w:tcW w:w="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80" w:type="dxa"/>
            <w:vAlign w:val="bottom"/>
            <w:vMerge w:val="continue"/>
          </w:tcPr>
          <w:p>
            <w:pPr>
              <w:spacing w:after="0"/>
              <w:rPr>
                <w:sz w:val="18"/>
                <w:szCs w:val="18"/>
                <w:color w:val="auto"/>
              </w:rPr>
            </w:pPr>
          </w:p>
        </w:tc>
        <w:tc>
          <w:tcPr>
            <w:tcW w:w="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00" w:type="dxa"/>
            <w:vAlign w:val="bottom"/>
            <w:vMerge w:val="continue"/>
          </w:tcPr>
          <w:p>
            <w:pPr>
              <w:spacing w:after="0"/>
              <w:rPr>
                <w:sz w:val="18"/>
                <w:szCs w:val="18"/>
                <w:color w:val="auto"/>
              </w:rPr>
            </w:pPr>
          </w:p>
        </w:tc>
        <w:tc>
          <w:tcPr>
            <w:tcW w:w="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40" w:type="dxa"/>
            <w:vAlign w:val="bottom"/>
            <w:vMerge w:val="continue"/>
          </w:tcPr>
          <w:p>
            <w:pPr>
              <w:spacing w:after="0"/>
              <w:rPr>
                <w:sz w:val="18"/>
                <w:szCs w:val="18"/>
                <w:color w:val="auto"/>
              </w:rPr>
            </w:pPr>
          </w:p>
        </w:tc>
        <w:tc>
          <w:tcPr>
            <w:tcW w:w="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80" w:type="dxa"/>
            <w:vAlign w:val="bottom"/>
            <w:vMerge w:val="continue"/>
          </w:tcPr>
          <w:p>
            <w:pPr>
              <w:spacing w:after="0"/>
              <w:rPr>
                <w:sz w:val="18"/>
                <w:szCs w:val="18"/>
                <w:color w:val="auto"/>
              </w:rPr>
            </w:pPr>
          </w:p>
        </w:tc>
        <w:tc>
          <w:tcPr>
            <w:tcW w:w="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60" w:type="dxa"/>
            <w:vAlign w:val="bottom"/>
            <w:vMerge w:val="continue"/>
          </w:tcPr>
          <w:p>
            <w:pPr>
              <w:spacing w:after="0"/>
              <w:rPr>
                <w:sz w:val="18"/>
                <w:szCs w:val="18"/>
                <w:color w:val="auto"/>
              </w:rPr>
            </w:pPr>
          </w:p>
        </w:tc>
        <w:tc>
          <w:tcPr>
            <w:tcW w:w="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720" w:type="dxa"/>
            <w:vAlign w:val="bottom"/>
            <w:vMerge w:val="continue"/>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4"/>
        </w:trPr>
        <w:tc>
          <w:tcPr>
            <w:tcW w:w="40" w:type="dxa"/>
            <w:vAlign w:val="bottom"/>
            <w:shd w:val="clear" w:color="auto" w:fill="DDDDDD"/>
          </w:tcPr>
          <w:p>
            <w:pPr>
              <w:spacing w:after="0"/>
              <w:rPr>
                <w:sz w:val="16"/>
                <w:szCs w:val="16"/>
                <w:color w:val="auto"/>
              </w:rPr>
            </w:pPr>
          </w:p>
        </w:tc>
        <w:tc>
          <w:tcPr>
            <w:tcW w:w="2620" w:type="dxa"/>
            <w:vAlign w:val="bottom"/>
            <w:gridSpan w:val="3"/>
            <w:shd w:val="clear" w:color="auto" w:fill="DDDDDD"/>
          </w:tcPr>
          <w:p>
            <w:pPr>
              <w:ind w:left="140"/>
              <w:spacing w:after="0"/>
              <w:rPr>
                <w:sz w:val="20"/>
                <w:szCs w:val="20"/>
                <w:color w:val="auto"/>
              </w:rPr>
            </w:pPr>
            <w:r>
              <w:rPr>
                <w:rFonts w:ascii="Times New Roman" w:cs="Times New Roman" w:eastAsia="Times New Roman" w:hAnsi="Times New Roman"/>
                <w:sz w:val="16"/>
                <w:szCs w:val="16"/>
                <w:color w:val="auto"/>
              </w:rPr>
              <w:t>Class A Common shares issued -</w:t>
            </w:r>
          </w:p>
        </w:tc>
        <w:tc>
          <w:tcPr>
            <w:tcW w:w="1040" w:type="dxa"/>
            <w:vAlign w:val="bottom"/>
            <w:vMerge w:val="restart"/>
            <w:shd w:val="clear" w:color="auto" w:fill="DDDDDD"/>
          </w:tcPr>
          <w:p>
            <w:pPr>
              <w:jc w:val="right"/>
              <w:spacing w:after="0"/>
              <w:rPr>
                <w:sz w:val="20"/>
                <w:szCs w:val="20"/>
                <w:color w:val="auto"/>
              </w:rPr>
            </w:pPr>
            <w:r>
              <w:rPr>
                <w:rFonts w:ascii="Times New Roman" w:cs="Times New Roman" w:eastAsia="Times New Roman" w:hAnsi="Times New Roman"/>
                <w:sz w:val="16"/>
                <w:szCs w:val="16"/>
                <w:color w:val="auto"/>
              </w:rPr>
              <w:t>8,199,449</w:t>
            </w:r>
          </w:p>
        </w:tc>
        <w:tc>
          <w:tcPr>
            <w:tcW w:w="180" w:type="dxa"/>
            <w:vAlign w:val="bottom"/>
            <w:shd w:val="clear" w:color="auto" w:fill="DDDDDD"/>
          </w:tcPr>
          <w:p>
            <w:pPr>
              <w:spacing w:after="0"/>
              <w:rPr>
                <w:sz w:val="16"/>
                <w:szCs w:val="16"/>
                <w:color w:val="auto"/>
              </w:rPr>
            </w:pPr>
          </w:p>
        </w:tc>
        <w:tc>
          <w:tcPr>
            <w:tcW w:w="940" w:type="dxa"/>
            <w:vAlign w:val="bottom"/>
            <w:vMerge w:val="restart"/>
            <w:shd w:val="clear" w:color="auto" w:fill="DDDDDD"/>
          </w:tcPr>
          <w:p>
            <w:pPr>
              <w:jc w:val="right"/>
              <w:ind w:right="1"/>
              <w:spacing w:after="0"/>
              <w:rPr>
                <w:sz w:val="20"/>
                <w:szCs w:val="20"/>
                <w:color w:val="auto"/>
              </w:rPr>
            </w:pPr>
            <w:r>
              <w:rPr>
                <w:rFonts w:ascii="Times New Roman" w:cs="Times New Roman" w:eastAsia="Times New Roman" w:hAnsi="Times New Roman"/>
                <w:sz w:val="16"/>
                <w:szCs w:val="16"/>
                <w:color w:val="auto"/>
              </w:rPr>
              <w:t>—</w:t>
            </w:r>
          </w:p>
        </w:tc>
        <w:tc>
          <w:tcPr>
            <w:tcW w:w="40" w:type="dxa"/>
            <w:vAlign w:val="bottom"/>
            <w:shd w:val="clear" w:color="auto" w:fill="DDDDDD"/>
          </w:tcPr>
          <w:p>
            <w:pPr>
              <w:spacing w:after="0"/>
              <w:rPr>
                <w:sz w:val="16"/>
                <w:szCs w:val="16"/>
                <w:color w:val="auto"/>
              </w:rPr>
            </w:pPr>
          </w:p>
        </w:tc>
        <w:tc>
          <w:tcPr>
            <w:tcW w:w="20" w:type="dxa"/>
            <w:vAlign w:val="bottom"/>
            <w:shd w:val="clear" w:color="auto" w:fill="DDDDDD"/>
          </w:tcPr>
          <w:p>
            <w:pPr>
              <w:spacing w:after="0"/>
              <w:rPr>
                <w:sz w:val="16"/>
                <w:szCs w:val="16"/>
                <w:color w:val="auto"/>
              </w:rPr>
            </w:pPr>
          </w:p>
        </w:tc>
        <w:tc>
          <w:tcPr>
            <w:tcW w:w="1000" w:type="dxa"/>
            <w:vAlign w:val="bottom"/>
            <w:vMerge w:val="restart"/>
            <w:shd w:val="clear" w:color="auto" w:fill="DDDDDD"/>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shd w:val="clear" w:color="auto" w:fill="DDDDDD"/>
          </w:tcPr>
          <w:p>
            <w:pPr>
              <w:spacing w:after="0"/>
              <w:rPr>
                <w:sz w:val="16"/>
                <w:szCs w:val="16"/>
                <w:color w:val="auto"/>
              </w:rPr>
            </w:pPr>
          </w:p>
        </w:tc>
        <w:tc>
          <w:tcPr>
            <w:tcW w:w="860" w:type="dxa"/>
            <w:vAlign w:val="bottom"/>
            <w:vMerge w:val="restart"/>
            <w:shd w:val="clear" w:color="auto" w:fill="DDDDDD"/>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40" w:type="dxa"/>
            <w:vAlign w:val="bottom"/>
            <w:shd w:val="clear" w:color="auto" w:fill="DDDDDD"/>
          </w:tcPr>
          <w:p>
            <w:pPr>
              <w:spacing w:after="0"/>
              <w:rPr>
                <w:sz w:val="16"/>
                <w:szCs w:val="16"/>
                <w:color w:val="auto"/>
              </w:rPr>
            </w:pPr>
          </w:p>
        </w:tc>
        <w:tc>
          <w:tcPr>
            <w:tcW w:w="20" w:type="dxa"/>
            <w:vAlign w:val="bottom"/>
            <w:shd w:val="clear" w:color="auto" w:fill="DDDDDD"/>
          </w:tcPr>
          <w:p>
            <w:pPr>
              <w:spacing w:after="0"/>
              <w:rPr>
                <w:sz w:val="16"/>
                <w:szCs w:val="16"/>
                <w:color w:val="auto"/>
              </w:rPr>
            </w:pPr>
          </w:p>
        </w:tc>
        <w:tc>
          <w:tcPr>
            <w:tcW w:w="140" w:type="dxa"/>
            <w:vAlign w:val="bottom"/>
            <w:shd w:val="clear" w:color="auto" w:fill="DDDDDD"/>
          </w:tcPr>
          <w:p>
            <w:pPr>
              <w:spacing w:after="0"/>
              <w:rPr>
                <w:sz w:val="16"/>
                <w:szCs w:val="16"/>
                <w:color w:val="auto"/>
              </w:rPr>
            </w:pPr>
          </w:p>
        </w:tc>
        <w:tc>
          <w:tcPr>
            <w:tcW w:w="880" w:type="dxa"/>
            <w:vAlign w:val="bottom"/>
            <w:vMerge w:val="restart"/>
            <w:shd w:val="clear" w:color="auto" w:fill="DDDDDD"/>
          </w:tcPr>
          <w:p>
            <w:pPr>
              <w:jc w:val="right"/>
              <w:spacing w:after="0"/>
              <w:rPr>
                <w:sz w:val="20"/>
                <w:szCs w:val="20"/>
                <w:color w:val="auto"/>
              </w:rPr>
            </w:pPr>
            <w:r>
              <w:rPr>
                <w:rFonts w:ascii="Times New Roman" w:cs="Times New Roman" w:eastAsia="Times New Roman" w:hAnsi="Times New Roman"/>
                <w:sz w:val="16"/>
                <w:szCs w:val="16"/>
                <w:color w:val="auto"/>
              </w:rPr>
              <w:t>7,064</w:t>
            </w:r>
          </w:p>
        </w:tc>
        <w:tc>
          <w:tcPr>
            <w:tcW w:w="60" w:type="dxa"/>
            <w:vAlign w:val="bottom"/>
            <w:shd w:val="clear" w:color="auto" w:fill="DDDDDD"/>
          </w:tcPr>
          <w:p>
            <w:pPr>
              <w:spacing w:after="0"/>
              <w:rPr>
                <w:sz w:val="16"/>
                <w:szCs w:val="16"/>
                <w:color w:val="auto"/>
              </w:rPr>
            </w:pPr>
          </w:p>
        </w:tc>
        <w:tc>
          <w:tcPr>
            <w:tcW w:w="20" w:type="dxa"/>
            <w:vAlign w:val="bottom"/>
            <w:shd w:val="clear" w:color="auto" w:fill="DDDDDD"/>
          </w:tcPr>
          <w:p>
            <w:pPr>
              <w:spacing w:after="0"/>
              <w:rPr>
                <w:sz w:val="16"/>
                <w:szCs w:val="16"/>
                <w:color w:val="auto"/>
              </w:rPr>
            </w:pPr>
          </w:p>
        </w:tc>
        <w:tc>
          <w:tcPr>
            <w:tcW w:w="220" w:type="dxa"/>
            <w:vAlign w:val="bottom"/>
            <w:shd w:val="clear" w:color="auto" w:fill="DDDDDD"/>
          </w:tcPr>
          <w:p>
            <w:pPr>
              <w:spacing w:after="0"/>
              <w:rPr>
                <w:sz w:val="16"/>
                <w:szCs w:val="16"/>
                <w:color w:val="auto"/>
              </w:rPr>
            </w:pPr>
          </w:p>
        </w:tc>
        <w:tc>
          <w:tcPr>
            <w:tcW w:w="900" w:type="dxa"/>
            <w:vAlign w:val="bottom"/>
            <w:vMerge w:val="restart"/>
            <w:shd w:val="clear" w:color="auto" w:fill="DDDDDD"/>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60" w:type="dxa"/>
            <w:vAlign w:val="bottom"/>
            <w:shd w:val="clear" w:color="auto" w:fill="DDDDDD"/>
          </w:tcPr>
          <w:p>
            <w:pPr>
              <w:spacing w:after="0"/>
              <w:rPr>
                <w:sz w:val="16"/>
                <w:szCs w:val="16"/>
                <w:color w:val="auto"/>
              </w:rPr>
            </w:pPr>
          </w:p>
        </w:tc>
        <w:tc>
          <w:tcPr>
            <w:tcW w:w="160" w:type="dxa"/>
            <w:vAlign w:val="bottom"/>
            <w:shd w:val="clear" w:color="auto" w:fill="DDDDDD"/>
          </w:tcPr>
          <w:p>
            <w:pPr>
              <w:spacing w:after="0"/>
              <w:rPr>
                <w:sz w:val="16"/>
                <w:szCs w:val="16"/>
                <w:color w:val="auto"/>
              </w:rPr>
            </w:pPr>
          </w:p>
        </w:tc>
        <w:tc>
          <w:tcPr>
            <w:tcW w:w="1140" w:type="dxa"/>
            <w:vAlign w:val="bottom"/>
            <w:vMerge w:val="restart"/>
            <w:shd w:val="clear" w:color="auto" w:fill="DDDDDD"/>
          </w:tcPr>
          <w:p>
            <w:pPr>
              <w:jc w:val="right"/>
              <w:spacing w:after="0"/>
              <w:rPr>
                <w:sz w:val="20"/>
                <w:szCs w:val="20"/>
                <w:color w:val="auto"/>
              </w:rPr>
            </w:pPr>
            <w:r>
              <w:rPr>
                <w:rFonts w:ascii="Times New Roman" w:cs="Times New Roman" w:eastAsia="Times New Roman" w:hAnsi="Times New Roman"/>
                <w:sz w:val="16"/>
                <w:szCs w:val="16"/>
                <w:color w:val="auto"/>
              </w:rPr>
              <w:t>7,064</w:t>
            </w:r>
          </w:p>
        </w:tc>
        <w:tc>
          <w:tcPr>
            <w:tcW w:w="40" w:type="dxa"/>
            <w:vAlign w:val="bottom"/>
            <w:shd w:val="clear" w:color="auto" w:fill="DDDDDD"/>
          </w:tcPr>
          <w:p>
            <w:pPr>
              <w:spacing w:after="0"/>
              <w:rPr>
                <w:sz w:val="16"/>
                <w:szCs w:val="16"/>
                <w:color w:val="auto"/>
              </w:rPr>
            </w:pPr>
          </w:p>
        </w:tc>
        <w:tc>
          <w:tcPr>
            <w:tcW w:w="20" w:type="dxa"/>
            <w:vAlign w:val="bottom"/>
            <w:shd w:val="clear" w:color="auto" w:fill="DDDDDD"/>
          </w:tcPr>
          <w:p>
            <w:pPr>
              <w:spacing w:after="0"/>
              <w:rPr>
                <w:sz w:val="16"/>
                <w:szCs w:val="16"/>
                <w:color w:val="auto"/>
              </w:rPr>
            </w:pPr>
          </w:p>
        </w:tc>
        <w:tc>
          <w:tcPr>
            <w:tcW w:w="140" w:type="dxa"/>
            <w:vAlign w:val="bottom"/>
            <w:shd w:val="clear" w:color="auto" w:fill="DDDDDD"/>
          </w:tcPr>
          <w:p>
            <w:pPr>
              <w:spacing w:after="0"/>
              <w:rPr>
                <w:sz w:val="16"/>
                <w:szCs w:val="16"/>
                <w:color w:val="auto"/>
              </w:rPr>
            </w:pPr>
          </w:p>
        </w:tc>
        <w:tc>
          <w:tcPr>
            <w:tcW w:w="880" w:type="dxa"/>
            <w:vAlign w:val="bottom"/>
            <w:vMerge w:val="restart"/>
            <w:shd w:val="clear" w:color="auto" w:fill="DDDDDD"/>
          </w:tcPr>
          <w:p>
            <w:pPr>
              <w:jc w:val="right"/>
              <w:spacing w:after="0"/>
              <w:rPr>
                <w:sz w:val="20"/>
                <w:szCs w:val="20"/>
                <w:color w:val="auto"/>
              </w:rPr>
            </w:pPr>
            <w:r>
              <w:rPr>
                <w:rFonts w:ascii="Times New Roman" w:cs="Times New Roman" w:eastAsia="Times New Roman" w:hAnsi="Times New Roman"/>
                <w:sz w:val="16"/>
                <w:szCs w:val="16"/>
                <w:color w:val="auto"/>
              </w:rPr>
              <w:t>(7,064)</w:t>
            </w:r>
          </w:p>
        </w:tc>
        <w:tc>
          <w:tcPr>
            <w:tcW w:w="40" w:type="dxa"/>
            <w:vAlign w:val="bottom"/>
            <w:shd w:val="clear" w:color="auto" w:fill="DDDDDD"/>
          </w:tcPr>
          <w:p>
            <w:pPr>
              <w:spacing w:after="0"/>
              <w:rPr>
                <w:sz w:val="16"/>
                <w:szCs w:val="16"/>
                <w:color w:val="auto"/>
              </w:rPr>
            </w:pPr>
          </w:p>
        </w:tc>
        <w:tc>
          <w:tcPr>
            <w:tcW w:w="20" w:type="dxa"/>
            <w:vAlign w:val="bottom"/>
            <w:shd w:val="clear" w:color="auto" w:fill="DDDDDD"/>
          </w:tcPr>
          <w:p>
            <w:pPr>
              <w:spacing w:after="0"/>
              <w:rPr>
                <w:sz w:val="16"/>
                <w:szCs w:val="16"/>
                <w:color w:val="auto"/>
              </w:rPr>
            </w:pPr>
          </w:p>
        </w:tc>
        <w:tc>
          <w:tcPr>
            <w:tcW w:w="160" w:type="dxa"/>
            <w:vAlign w:val="bottom"/>
            <w:shd w:val="clear" w:color="auto" w:fill="DDDDDD"/>
          </w:tcPr>
          <w:p>
            <w:pPr>
              <w:spacing w:after="0"/>
              <w:rPr>
                <w:sz w:val="16"/>
                <w:szCs w:val="16"/>
                <w:color w:val="auto"/>
              </w:rPr>
            </w:pPr>
          </w:p>
        </w:tc>
        <w:tc>
          <w:tcPr>
            <w:tcW w:w="860" w:type="dxa"/>
            <w:vAlign w:val="bottom"/>
            <w:vMerge w:val="restart"/>
            <w:shd w:val="clear" w:color="auto" w:fill="DDDDDD"/>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40" w:type="dxa"/>
            <w:vAlign w:val="bottom"/>
            <w:shd w:val="clear" w:color="auto" w:fill="DDDDDD"/>
          </w:tcPr>
          <w:p>
            <w:pPr>
              <w:spacing w:after="0"/>
              <w:rPr>
                <w:sz w:val="16"/>
                <w:szCs w:val="16"/>
                <w:color w:val="auto"/>
              </w:rPr>
            </w:pPr>
          </w:p>
        </w:tc>
        <w:tc>
          <w:tcPr>
            <w:tcW w:w="20" w:type="dxa"/>
            <w:vAlign w:val="bottom"/>
            <w:shd w:val="clear" w:color="auto" w:fill="DDDDDD"/>
          </w:tcPr>
          <w:p>
            <w:pPr>
              <w:spacing w:after="0"/>
              <w:rPr>
                <w:sz w:val="16"/>
                <w:szCs w:val="16"/>
                <w:color w:val="auto"/>
              </w:rPr>
            </w:pPr>
          </w:p>
        </w:tc>
        <w:tc>
          <w:tcPr>
            <w:tcW w:w="280" w:type="dxa"/>
            <w:vAlign w:val="bottom"/>
            <w:shd w:val="clear" w:color="auto" w:fill="DDDDDD"/>
          </w:tcPr>
          <w:p>
            <w:pPr>
              <w:spacing w:after="0"/>
              <w:rPr>
                <w:sz w:val="16"/>
                <w:szCs w:val="16"/>
                <w:color w:val="auto"/>
              </w:rPr>
            </w:pPr>
          </w:p>
        </w:tc>
        <w:tc>
          <w:tcPr>
            <w:tcW w:w="720" w:type="dxa"/>
            <w:vAlign w:val="bottom"/>
            <w:vMerge w:val="restart"/>
            <w:shd w:val="clear" w:color="auto" w:fill="DDDDDD"/>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9"/>
        </w:trPr>
        <w:tc>
          <w:tcPr>
            <w:tcW w:w="40" w:type="dxa"/>
            <w:vAlign w:val="bottom"/>
            <w:shd w:val="clear" w:color="auto" w:fill="DDDDDD"/>
          </w:tcPr>
          <w:p>
            <w:pPr>
              <w:spacing w:after="0"/>
              <w:rPr>
                <w:sz w:val="18"/>
                <w:szCs w:val="18"/>
                <w:color w:val="auto"/>
              </w:rPr>
            </w:pPr>
          </w:p>
        </w:tc>
        <w:tc>
          <w:tcPr>
            <w:tcW w:w="2620" w:type="dxa"/>
            <w:vAlign w:val="bottom"/>
            <w:gridSpan w:val="3"/>
            <w:shd w:val="clear" w:color="auto" w:fill="DDDDDD"/>
          </w:tcPr>
          <w:p>
            <w:pPr>
              <w:ind w:left="140"/>
              <w:spacing w:after="0"/>
              <w:rPr>
                <w:sz w:val="20"/>
                <w:szCs w:val="20"/>
                <w:color w:val="auto"/>
              </w:rPr>
            </w:pPr>
            <w:r>
              <w:rPr>
                <w:rFonts w:ascii="Times New Roman" w:cs="Times New Roman" w:eastAsia="Times New Roman" w:hAnsi="Times New Roman"/>
                <w:sz w:val="16"/>
                <w:szCs w:val="16"/>
                <w:color w:val="auto"/>
              </w:rPr>
              <w:t>Class P Unit exchange</w:t>
            </w:r>
          </w:p>
        </w:tc>
        <w:tc>
          <w:tcPr>
            <w:tcW w:w="1040" w:type="dxa"/>
            <w:vAlign w:val="bottom"/>
            <w:vMerge w:val="continue"/>
            <w:shd w:val="clear" w:color="auto" w:fill="DDDDDD"/>
          </w:tcPr>
          <w:p>
            <w:pPr>
              <w:spacing w:after="0"/>
              <w:rPr>
                <w:sz w:val="18"/>
                <w:szCs w:val="18"/>
                <w:color w:val="auto"/>
              </w:rPr>
            </w:pPr>
          </w:p>
        </w:tc>
        <w:tc>
          <w:tcPr>
            <w:tcW w:w="180" w:type="dxa"/>
            <w:vAlign w:val="bottom"/>
            <w:shd w:val="clear" w:color="auto" w:fill="DDDDDD"/>
          </w:tcPr>
          <w:p>
            <w:pPr>
              <w:spacing w:after="0"/>
              <w:rPr>
                <w:sz w:val="18"/>
                <w:szCs w:val="18"/>
                <w:color w:val="auto"/>
              </w:rPr>
            </w:pPr>
          </w:p>
        </w:tc>
        <w:tc>
          <w:tcPr>
            <w:tcW w:w="940" w:type="dxa"/>
            <w:vAlign w:val="bottom"/>
            <w:vMerge w:val="continue"/>
            <w:shd w:val="clear" w:color="auto" w:fill="DDDDDD"/>
          </w:tcPr>
          <w:p>
            <w:pPr>
              <w:spacing w:after="0"/>
              <w:rPr>
                <w:sz w:val="18"/>
                <w:szCs w:val="18"/>
                <w:color w:val="auto"/>
              </w:rPr>
            </w:pPr>
          </w:p>
        </w:tc>
        <w:tc>
          <w:tcPr>
            <w:tcW w:w="40" w:type="dxa"/>
            <w:vAlign w:val="bottom"/>
            <w:shd w:val="clear" w:color="auto" w:fill="DDDDDD"/>
          </w:tcPr>
          <w:p>
            <w:pPr>
              <w:spacing w:after="0"/>
              <w:rPr>
                <w:sz w:val="18"/>
                <w:szCs w:val="18"/>
                <w:color w:val="auto"/>
              </w:rPr>
            </w:pPr>
          </w:p>
        </w:tc>
        <w:tc>
          <w:tcPr>
            <w:tcW w:w="20" w:type="dxa"/>
            <w:vAlign w:val="bottom"/>
            <w:shd w:val="clear" w:color="auto" w:fill="DDDDDD"/>
          </w:tcPr>
          <w:p>
            <w:pPr>
              <w:spacing w:after="0"/>
              <w:rPr>
                <w:sz w:val="18"/>
                <w:szCs w:val="18"/>
                <w:color w:val="auto"/>
              </w:rPr>
            </w:pPr>
          </w:p>
        </w:tc>
        <w:tc>
          <w:tcPr>
            <w:tcW w:w="1000" w:type="dxa"/>
            <w:vAlign w:val="bottom"/>
            <w:vMerge w:val="continue"/>
            <w:shd w:val="clear" w:color="auto" w:fill="DDDDDD"/>
          </w:tcPr>
          <w:p>
            <w:pPr>
              <w:spacing w:after="0"/>
              <w:rPr>
                <w:sz w:val="18"/>
                <w:szCs w:val="18"/>
                <w:color w:val="auto"/>
              </w:rPr>
            </w:pPr>
          </w:p>
        </w:tc>
        <w:tc>
          <w:tcPr>
            <w:tcW w:w="160" w:type="dxa"/>
            <w:vAlign w:val="bottom"/>
            <w:shd w:val="clear" w:color="auto" w:fill="DDDDDD"/>
          </w:tcPr>
          <w:p>
            <w:pPr>
              <w:spacing w:after="0"/>
              <w:rPr>
                <w:sz w:val="18"/>
                <w:szCs w:val="18"/>
                <w:color w:val="auto"/>
              </w:rPr>
            </w:pPr>
          </w:p>
        </w:tc>
        <w:tc>
          <w:tcPr>
            <w:tcW w:w="860" w:type="dxa"/>
            <w:vAlign w:val="bottom"/>
            <w:vMerge w:val="continue"/>
            <w:shd w:val="clear" w:color="auto" w:fill="DDDDDD"/>
          </w:tcPr>
          <w:p>
            <w:pPr>
              <w:spacing w:after="0"/>
              <w:rPr>
                <w:sz w:val="18"/>
                <w:szCs w:val="18"/>
                <w:color w:val="auto"/>
              </w:rPr>
            </w:pPr>
          </w:p>
        </w:tc>
        <w:tc>
          <w:tcPr>
            <w:tcW w:w="40" w:type="dxa"/>
            <w:vAlign w:val="bottom"/>
            <w:shd w:val="clear" w:color="auto" w:fill="DDDDDD"/>
          </w:tcPr>
          <w:p>
            <w:pPr>
              <w:spacing w:after="0"/>
              <w:rPr>
                <w:sz w:val="18"/>
                <w:szCs w:val="18"/>
                <w:color w:val="auto"/>
              </w:rPr>
            </w:pPr>
          </w:p>
        </w:tc>
        <w:tc>
          <w:tcPr>
            <w:tcW w:w="20" w:type="dxa"/>
            <w:vAlign w:val="bottom"/>
            <w:shd w:val="clear" w:color="auto" w:fill="DDDDDD"/>
          </w:tcPr>
          <w:p>
            <w:pPr>
              <w:spacing w:after="0"/>
              <w:rPr>
                <w:sz w:val="18"/>
                <w:szCs w:val="18"/>
                <w:color w:val="auto"/>
              </w:rPr>
            </w:pPr>
          </w:p>
        </w:tc>
        <w:tc>
          <w:tcPr>
            <w:tcW w:w="140" w:type="dxa"/>
            <w:vAlign w:val="bottom"/>
            <w:shd w:val="clear" w:color="auto" w:fill="DDDDDD"/>
          </w:tcPr>
          <w:p>
            <w:pPr>
              <w:spacing w:after="0"/>
              <w:rPr>
                <w:sz w:val="18"/>
                <w:szCs w:val="18"/>
                <w:color w:val="auto"/>
              </w:rPr>
            </w:pPr>
          </w:p>
        </w:tc>
        <w:tc>
          <w:tcPr>
            <w:tcW w:w="880" w:type="dxa"/>
            <w:vAlign w:val="bottom"/>
            <w:vMerge w:val="continue"/>
            <w:shd w:val="clear" w:color="auto" w:fill="DDDDDD"/>
          </w:tcPr>
          <w:p>
            <w:pPr>
              <w:spacing w:after="0"/>
              <w:rPr>
                <w:sz w:val="18"/>
                <w:szCs w:val="18"/>
                <w:color w:val="auto"/>
              </w:rPr>
            </w:pPr>
          </w:p>
        </w:tc>
        <w:tc>
          <w:tcPr>
            <w:tcW w:w="60" w:type="dxa"/>
            <w:vAlign w:val="bottom"/>
            <w:shd w:val="clear" w:color="auto" w:fill="DDDDDD"/>
          </w:tcPr>
          <w:p>
            <w:pPr>
              <w:spacing w:after="0"/>
              <w:rPr>
                <w:sz w:val="18"/>
                <w:szCs w:val="18"/>
                <w:color w:val="auto"/>
              </w:rPr>
            </w:pPr>
          </w:p>
        </w:tc>
        <w:tc>
          <w:tcPr>
            <w:tcW w:w="20" w:type="dxa"/>
            <w:vAlign w:val="bottom"/>
            <w:shd w:val="clear" w:color="auto" w:fill="DDDDDD"/>
          </w:tcPr>
          <w:p>
            <w:pPr>
              <w:spacing w:after="0"/>
              <w:rPr>
                <w:sz w:val="18"/>
                <w:szCs w:val="18"/>
                <w:color w:val="auto"/>
              </w:rPr>
            </w:pPr>
          </w:p>
        </w:tc>
        <w:tc>
          <w:tcPr>
            <w:tcW w:w="220" w:type="dxa"/>
            <w:vAlign w:val="bottom"/>
            <w:shd w:val="clear" w:color="auto" w:fill="DDDDDD"/>
          </w:tcPr>
          <w:p>
            <w:pPr>
              <w:spacing w:after="0"/>
              <w:rPr>
                <w:sz w:val="18"/>
                <w:szCs w:val="18"/>
                <w:color w:val="auto"/>
              </w:rPr>
            </w:pPr>
          </w:p>
        </w:tc>
        <w:tc>
          <w:tcPr>
            <w:tcW w:w="900" w:type="dxa"/>
            <w:vAlign w:val="bottom"/>
            <w:vMerge w:val="continue"/>
            <w:shd w:val="clear" w:color="auto" w:fill="DDDDDD"/>
          </w:tcPr>
          <w:p>
            <w:pPr>
              <w:spacing w:after="0"/>
              <w:rPr>
                <w:sz w:val="18"/>
                <w:szCs w:val="18"/>
                <w:color w:val="auto"/>
              </w:rPr>
            </w:pPr>
          </w:p>
        </w:tc>
        <w:tc>
          <w:tcPr>
            <w:tcW w:w="60" w:type="dxa"/>
            <w:vAlign w:val="bottom"/>
            <w:shd w:val="clear" w:color="auto" w:fill="DDDDDD"/>
          </w:tcPr>
          <w:p>
            <w:pPr>
              <w:spacing w:after="0"/>
              <w:rPr>
                <w:sz w:val="18"/>
                <w:szCs w:val="18"/>
                <w:color w:val="auto"/>
              </w:rPr>
            </w:pPr>
          </w:p>
        </w:tc>
        <w:tc>
          <w:tcPr>
            <w:tcW w:w="160" w:type="dxa"/>
            <w:vAlign w:val="bottom"/>
            <w:shd w:val="clear" w:color="auto" w:fill="DDDDDD"/>
          </w:tcPr>
          <w:p>
            <w:pPr>
              <w:spacing w:after="0"/>
              <w:rPr>
                <w:sz w:val="18"/>
                <w:szCs w:val="18"/>
                <w:color w:val="auto"/>
              </w:rPr>
            </w:pPr>
          </w:p>
        </w:tc>
        <w:tc>
          <w:tcPr>
            <w:tcW w:w="1140" w:type="dxa"/>
            <w:vAlign w:val="bottom"/>
            <w:vMerge w:val="continue"/>
            <w:shd w:val="clear" w:color="auto" w:fill="DDDDDD"/>
          </w:tcPr>
          <w:p>
            <w:pPr>
              <w:spacing w:after="0"/>
              <w:rPr>
                <w:sz w:val="18"/>
                <w:szCs w:val="18"/>
                <w:color w:val="auto"/>
              </w:rPr>
            </w:pPr>
          </w:p>
        </w:tc>
        <w:tc>
          <w:tcPr>
            <w:tcW w:w="40" w:type="dxa"/>
            <w:vAlign w:val="bottom"/>
            <w:shd w:val="clear" w:color="auto" w:fill="DDDDDD"/>
          </w:tcPr>
          <w:p>
            <w:pPr>
              <w:spacing w:after="0"/>
              <w:rPr>
                <w:sz w:val="18"/>
                <w:szCs w:val="18"/>
                <w:color w:val="auto"/>
              </w:rPr>
            </w:pPr>
          </w:p>
        </w:tc>
        <w:tc>
          <w:tcPr>
            <w:tcW w:w="20" w:type="dxa"/>
            <w:vAlign w:val="bottom"/>
            <w:shd w:val="clear" w:color="auto" w:fill="DDDDDD"/>
          </w:tcPr>
          <w:p>
            <w:pPr>
              <w:spacing w:after="0"/>
              <w:rPr>
                <w:sz w:val="18"/>
                <w:szCs w:val="18"/>
                <w:color w:val="auto"/>
              </w:rPr>
            </w:pPr>
          </w:p>
        </w:tc>
        <w:tc>
          <w:tcPr>
            <w:tcW w:w="140" w:type="dxa"/>
            <w:vAlign w:val="bottom"/>
            <w:shd w:val="clear" w:color="auto" w:fill="DDDDDD"/>
          </w:tcPr>
          <w:p>
            <w:pPr>
              <w:spacing w:after="0"/>
              <w:rPr>
                <w:sz w:val="18"/>
                <w:szCs w:val="18"/>
                <w:color w:val="auto"/>
              </w:rPr>
            </w:pPr>
          </w:p>
        </w:tc>
        <w:tc>
          <w:tcPr>
            <w:tcW w:w="880" w:type="dxa"/>
            <w:vAlign w:val="bottom"/>
            <w:vMerge w:val="continue"/>
            <w:shd w:val="clear" w:color="auto" w:fill="DDDDDD"/>
          </w:tcPr>
          <w:p>
            <w:pPr>
              <w:spacing w:after="0"/>
              <w:rPr>
                <w:sz w:val="18"/>
                <w:szCs w:val="18"/>
                <w:color w:val="auto"/>
              </w:rPr>
            </w:pPr>
          </w:p>
        </w:tc>
        <w:tc>
          <w:tcPr>
            <w:tcW w:w="40" w:type="dxa"/>
            <w:vAlign w:val="bottom"/>
            <w:shd w:val="clear" w:color="auto" w:fill="DDDDDD"/>
          </w:tcPr>
          <w:p>
            <w:pPr>
              <w:spacing w:after="0"/>
              <w:rPr>
                <w:sz w:val="18"/>
                <w:szCs w:val="18"/>
                <w:color w:val="auto"/>
              </w:rPr>
            </w:pPr>
          </w:p>
        </w:tc>
        <w:tc>
          <w:tcPr>
            <w:tcW w:w="20" w:type="dxa"/>
            <w:vAlign w:val="bottom"/>
            <w:shd w:val="clear" w:color="auto" w:fill="DDDDDD"/>
          </w:tcPr>
          <w:p>
            <w:pPr>
              <w:spacing w:after="0"/>
              <w:rPr>
                <w:sz w:val="18"/>
                <w:szCs w:val="18"/>
                <w:color w:val="auto"/>
              </w:rPr>
            </w:pPr>
          </w:p>
        </w:tc>
        <w:tc>
          <w:tcPr>
            <w:tcW w:w="160" w:type="dxa"/>
            <w:vAlign w:val="bottom"/>
            <w:shd w:val="clear" w:color="auto" w:fill="DDDDDD"/>
          </w:tcPr>
          <w:p>
            <w:pPr>
              <w:spacing w:after="0"/>
              <w:rPr>
                <w:sz w:val="18"/>
                <w:szCs w:val="18"/>
                <w:color w:val="auto"/>
              </w:rPr>
            </w:pPr>
          </w:p>
        </w:tc>
        <w:tc>
          <w:tcPr>
            <w:tcW w:w="860" w:type="dxa"/>
            <w:vAlign w:val="bottom"/>
            <w:vMerge w:val="continue"/>
            <w:shd w:val="clear" w:color="auto" w:fill="DDDDDD"/>
          </w:tcPr>
          <w:p>
            <w:pPr>
              <w:spacing w:after="0"/>
              <w:rPr>
                <w:sz w:val="18"/>
                <w:szCs w:val="18"/>
                <w:color w:val="auto"/>
              </w:rPr>
            </w:pPr>
          </w:p>
        </w:tc>
        <w:tc>
          <w:tcPr>
            <w:tcW w:w="40" w:type="dxa"/>
            <w:vAlign w:val="bottom"/>
            <w:shd w:val="clear" w:color="auto" w:fill="DDDDDD"/>
          </w:tcPr>
          <w:p>
            <w:pPr>
              <w:spacing w:after="0"/>
              <w:rPr>
                <w:sz w:val="18"/>
                <w:szCs w:val="18"/>
                <w:color w:val="auto"/>
              </w:rPr>
            </w:pPr>
          </w:p>
        </w:tc>
        <w:tc>
          <w:tcPr>
            <w:tcW w:w="20" w:type="dxa"/>
            <w:vAlign w:val="bottom"/>
            <w:shd w:val="clear" w:color="auto" w:fill="DDDDDD"/>
          </w:tcPr>
          <w:p>
            <w:pPr>
              <w:spacing w:after="0"/>
              <w:rPr>
                <w:sz w:val="18"/>
                <w:szCs w:val="18"/>
                <w:color w:val="auto"/>
              </w:rPr>
            </w:pPr>
          </w:p>
        </w:tc>
        <w:tc>
          <w:tcPr>
            <w:tcW w:w="280" w:type="dxa"/>
            <w:vAlign w:val="bottom"/>
            <w:shd w:val="clear" w:color="auto" w:fill="DDDDDD"/>
          </w:tcPr>
          <w:p>
            <w:pPr>
              <w:spacing w:after="0"/>
              <w:rPr>
                <w:sz w:val="18"/>
                <w:szCs w:val="18"/>
                <w:color w:val="auto"/>
              </w:rPr>
            </w:pPr>
          </w:p>
        </w:tc>
        <w:tc>
          <w:tcPr>
            <w:tcW w:w="720" w:type="dxa"/>
            <w:vAlign w:val="bottom"/>
            <w:vMerge w:val="continue"/>
            <w:shd w:val="clear" w:color="auto" w:fill="DDDDDD"/>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40" w:type="dxa"/>
            <w:vAlign w:val="bottom"/>
          </w:tcPr>
          <w:p>
            <w:pPr>
              <w:spacing w:after="0"/>
              <w:rPr>
                <w:sz w:val="17"/>
                <w:szCs w:val="17"/>
                <w:color w:val="auto"/>
              </w:rPr>
            </w:pPr>
          </w:p>
        </w:tc>
        <w:tc>
          <w:tcPr>
            <w:tcW w:w="2620" w:type="dxa"/>
            <w:vAlign w:val="bottom"/>
            <w:gridSpan w:val="3"/>
          </w:tcPr>
          <w:p>
            <w:pPr>
              <w:ind w:left="140"/>
              <w:spacing w:after="0"/>
              <w:rPr>
                <w:sz w:val="20"/>
                <w:szCs w:val="20"/>
                <w:color w:val="auto"/>
              </w:rPr>
            </w:pPr>
            <w:r>
              <w:rPr>
                <w:rFonts w:ascii="Times New Roman" w:cs="Times New Roman" w:eastAsia="Times New Roman" w:hAnsi="Times New Roman"/>
                <w:sz w:val="16"/>
                <w:szCs w:val="16"/>
                <w:color w:val="auto"/>
              </w:rPr>
              <w:t>Impact of tax receivable agreement</w:t>
            </w:r>
          </w:p>
        </w:tc>
        <w:tc>
          <w:tcPr>
            <w:tcW w:w="104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tcPr>
          <w:p>
            <w:pPr>
              <w:spacing w:after="0"/>
              <w:rPr>
                <w:sz w:val="17"/>
                <w:szCs w:val="17"/>
                <w:color w:val="auto"/>
              </w:rPr>
            </w:pPr>
          </w:p>
        </w:tc>
        <w:tc>
          <w:tcPr>
            <w:tcW w:w="940" w:type="dxa"/>
            <w:vAlign w:val="bottom"/>
            <w:vMerge w:val="restart"/>
          </w:tcPr>
          <w:p>
            <w:pPr>
              <w:jc w:val="right"/>
              <w:ind w:right="1"/>
              <w:spacing w:after="0"/>
              <w:rPr>
                <w:sz w:val="20"/>
                <w:szCs w:val="20"/>
                <w:color w:val="auto"/>
              </w:rPr>
            </w:pPr>
            <w:r>
              <w:rPr>
                <w:rFonts w:ascii="Times New Roman" w:cs="Times New Roman" w:eastAsia="Times New Roman" w:hAnsi="Times New Roman"/>
                <w:sz w:val="16"/>
                <w:szCs w:val="16"/>
                <w:color w:val="auto"/>
              </w:rPr>
              <w:t>—</w:t>
            </w:r>
          </w:p>
        </w:tc>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tcPr>
          <w:p>
            <w:pPr>
              <w:spacing w:after="0"/>
              <w:rPr>
                <w:sz w:val="17"/>
                <w:szCs w:val="17"/>
                <w:color w:val="auto"/>
              </w:rPr>
            </w:pPr>
          </w:p>
        </w:tc>
        <w:tc>
          <w:tcPr>
            <w:tcW w:w="86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8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14,064</w:t>
            </w:r>
          </w:p>
        </w:tc>
        <w:tc>
          <w:tcPr>
            <w:tcW w:w="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0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14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14,064</w:t>
            </w:r>
          </w:p>
        </w:tc>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8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6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72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14,064</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2"/>
        </w:trPr>
        <w:tc>
          <w:tcPr>
            <w:tcW w:w="40" w:type="dxa"/>
            <w:vAlign w:val="bottom"/>
          </w:tcPr>
          <w:p>
            <w:pPr>
              <w:spacing w:after="0"/>
              <w:rPr>
                <w:sz w:val="17"/>
                <w:szCs w:val="17"/>
                <w:color w:val="auto"/>
              </w:rPr>
            </w:pPr>
          </w:p>
        </w:tc>
        <w:tc>
          <w:tcPr>
            <w:tcW w:w="2620" w:type="dxa"/>
            <w:vAlign w:val="bottom"/>
            <w:gridSpan w:val="3"/>
          </w:tcPr>
          <w:p>
            <w:pPr>
              <w:ind w:left="140"/>
              <w:spacing w:after="0"/>
              <w:rPr>
                <w:sz w:val="20"/>
                <w:szCs w:val="20"/>
                <w:color w:val="auto"/>
              </w:rPr>
            </w:pPr>
            <w:r>
              <w:rPr>
                <w:rFonts w:ascii="Times New Roman" w:cs="Times New Roman" w:eastAsia="Times New Roman" w:hAnsi="Times New Roman"/>
                <w:sz w:val="16"/>
                <w:szCs w:val="16"/>
                <w:color w:val="auto"/>
              </w:rPr>
              <w:t>due to exchanges of Class A Units</w:t>
            </w:r>
          </w:p>
        </w:tc>
        <w:tc>
          <w:tcPr>
            <w:tcW w:w="1040" w:type="dxa"/>
            <w:vAlign w:val="bottom"/>
            <w:vMerge w:val="continue"/>
          </w:tcPr>
          <w:p>
            <w:pPr>
              <w:spacing w:after="0"/>
              <w:rPr>
                <w:sz w:val="17"/>
                <w:szCs w:val="17"/>
                <w:color w:val="auto"/>
              </w:rPr>
            </w:pPr>
          </w:p>
        </w:tc>
        <w:tc>
          <w:tcPr>
            <w:tcW w:w="180" w:type="dxa"/>
            <w:vAlign w:val="bottom"/>
          </w:tcPr>
          <w:p>
            <w:pPr>
              <w:spacing w:after="0"/>
              <w:rPr>
                <w:sz w:val="17"/>
                <w:szCs w:val="17"/>
                <w:color w:val="auto"/>
              </w:rPr>
            </w:pPr>
          </w:p>
        </w:tc>
        <w:tc>
          <w:tcPr>
            <w:tcW w:w="940" w:type="dxa"/>
            <w:vAlign w:val="bottom"/>
            <w:vMerge w:val="continue"/>
          </w:tcPr>
          <w:p>
            <w:pPr>
              <w:spacing w:after="0"/>
              <w:rPr>
                <w:sz w:val="17"/>
                <w:szCs w:val="17"/>
                <w:color w:val="auto"/>
              </w:rPr>
            </w:pPr>
          </w:p>
        </w:tc>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0" w:type="dxa"/>
            <w:vAlign w:val="bottom"/>
            <w:vMerge w:val="continue"/>
          </w:tcPr>
          <w:p>
            <w:pPr>
              <w:spacing w:after="0"/>
              <w:rPr>
                <w:sz w:val="17"/>
                <w:szCs w:val="17"/>
                <w:color w:val="auto"/>
              </w:rPr>
            </w:pPr>
          </w:p>
        </w:tc>
        <w:tc>
          <w:tcPr>
            <w:tcW w:w="160" w:type="dxa"/>
            <w:vAlign w:val="bottom"/>
          </w:tcPr>
          <w:p>
            <w:pPr>
              <w:spacing w:after="0"/>
              <w:rPr>
                <w:sz w:val="17"/>
                <w:szCs w:val="17"/>
                <w:color w:val="auto"/>
              </w:rPr>
            </w:pPr>
          </w:p>
        </w:tc>
        <w:tc>
          <w:tcPr>
            <w:tcW w:w="860" w:type="dxa"/>
            <w:vAlign w:val="bottom"/>
            <w:vMerge w:val="continue"/>
          </w:tcPr>
          <w:p>
            <w:pPr>
              <w:spacing w:after="0"/>
              <w:rPr>
                <w:sz w:val="17"/>
                <w:szCs w:val="17"/>
                <w:color w:val="auto"/>
              </w:rPr>
            </w:pPr>
          </w:p>
        </w:tc>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80" w:type="dxa"/>
            <w:vAlign w:val="bottom"/>
            <w:vMerge w:val="continue"/>
          </w:tcPr>
          <w:p>
            <w:pPr>
              <w:spacing w:after="0"/>
              <w:rPr>
                <w:sz w:val="17"/>
                <w:szCs w:val="17"/>
                <w:color w:val="auto"/>
              </w:rPr>
            </w:pPr>
          </w:p>
        </w:tc>
        <w:tc>
          <w:tcPr>
            <w:tcW w:w="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00" w:type="dxa"/>
            <w:vAlign w:val="bottom"/>
            <w:vMerge w:val="continue"/>
          </w:tcPr>
          <w:p>
            <w:pPr>
              <w:spacing w:after="0"/>
              <w:rPr>
                <w:sz w:val="17"/>
                <w:szCs w:val="17"/>
                <w:color w:val="auto"/>
              </w:rPr>
            </w:pPr>
          </w:p>
        </w:tc>
        <w:tc>
          <w:tcPr>
            <w:tcW w:w="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140" w:type="dxa"/>
            <w:vAlign w:val="bottom"/>
            <w:vMerge w:val="continue"/>
          </w:tcPr>
          <w:p>
            <w:pPr>
              <w:spacing w:after="0"/>
              <w:rPr>
                <w:sz w:val="17"/>
                <w:szCs w:val="17"/>
                <w:color w:val="auto"/>
              </w:rPr>
            </w:pPr>
          </w:p>
        </w:tc>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80" w:type="dxa"/>
            <w:vAlign w:val="bottom"/>
            <w:vMerge w:val="continue"/>
          </w:tcPr>
          <w:p>
            <w:pPr>
              <w:spacing w:after="0"/>
              <w:rPr>
                <w:sz w:val="17"/>
                <w:szCs w:val="17"/>
                <w:color w:val="auto"/>
              </w:rPr>
            </w:pPr>
          </w:p>
        </w:tc>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60" w:type="dxa"/>
            <w:vAlign w:val="bottom"/>
            <w:vMerge w:val="continue"/>
          </w:tcPr>
          <w:p>
            <w:pPr>
              <w:spacing w:after="0"/>
              <w:rPr>
                <w:sz w:val="17"/>
                <w:szCs w:val="17"/>
                <w:color w:val="auto"/>
              </w:rPr>
            </w:pPr>
          </w:p>
        </w:tc>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720" w:type="dxa"/>
            <w:vAlign w:val="bottom"/>
            <w:vMerge w:val="continue"/>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2"/>
        </w:trPr>
        <w:tc>
          <w:tcPr>
            <w:tcW w:w="40" w:type="dxa"/>
            <w:vAlign w:val="bottom"/>
            <w:shd w:val="clear" w:color="auto" w:fill="DDDDDD"/>
          </w:tcPr>
          <w:p>
            <w:pPr>
              <w:spacing w:after="0"/>
              <w:rPr>
                <w:sz w:val="20"/>
                <w:szCs w:val="20"/>
                <w:color w:val="auto"/>
              </w:rPr>
            </w:pPr>
          </w:p>
        </w:tc>
        <w:tc>
          <w:tcPr>
            <w:tcW w:w="2620" w:type="dxa"/>
            <w:vAlign w:val="bottom"/>
            <w:gridSpan w:val="3"/>
            <w:shd w:val="clear" w:color="auto" w:fill="DDDDDD"/>
          </w:tcPr>
          <w:p>
            <w:pPr>
              <w:ind w:left="140"/>
              <w:spacing w:after="0"/>
              <w:rPr>
                <w:sz w:val="20"/>
                <w:szCs w:val="20"/>
                <w:color w:val="auto"/>
              </w:rPr>
            </w:pPr>
            <w:r>
              <w:rPr>
                <w:rFonts w:ascii="Times New Roman" w:cs="Times New Roman" w:eastAsia="Times New Roman" w:hAnsi="Times New Roman"/>
                <w:sz w:val="16"/>
                <w:szCs w:val="16"/>
                <w:color w:val="auto"/>
              </w:rPr>
              <w:t>Net income (loss)</w:t>
            </w:r>
          </w:p>
        </w:tc>
        <w:tc>
          <w:tcPr>
            <w:tcW w:w="1040" w:type="dxa"/>
            <w:vAlign w:val="bottom"/>
            <w:tcBorders>
              <w:bottom w:val="single" w:sz="8" w:color="auto"/>
            </w:tcBorders>
            <w:shd w:val="clear" w:color="auto" w:fill="DDDDDD"/>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tcBorders>
              <w:bottom w:val="single" w:sz="8" w:color="auto"/>
            </w:tcBorders>
            <w:shd w:val="clear" w:color="auto" w:fill="DDDDDD"/>
          </w:tcPr>
          <w:p>
            <w:pPr>
              <w:spacing w:after="0"/>
              <w:rPr>
                <w:sz w:val="20"/>
                <w:szCs w:val="20"/>
                <w:color w:val="auto"/>
              </w:rPr>
            </w:pPr>
          </w:p>
        </w:tc>
        <w:tc>
          <w:tcPr>
            <w:tcW w:w="940" w:type="dxa"/>
            <w:vAlign w:val="bottom"/>
            <w:tcBorders>
              <w:bottom w:val="single" w:sz="8" w:color="auto"/>
            </w:tcBorders>
            <w:shd w:val="clear" w:color="auto" w:fill="DDDDDD"/>
          </w:tcPr>
          <w:p>
            <w:pPr>
              <w:jc w:val="right"/>
              <w:ind w:right="1"/>
              <w:spacing w:after="0"/>
              <w:rPr>
                <w:sz w:val="20"/>
                <w:szCs w:val="20"/>
                <w:color w:val="auto"/>
              </w:rPr>
            </w:pPr>
            <w:r>
              <w:rPr>
                <w:rFonts w:ascii="Times New Roman" w:cs="Times New Roman" w:eastAsia="Times New Roman" w:hAnsi="Times New Roman"/>
                <w:sz w:val="16"/>
                <w:szCs w:val="16"/>
                <w:color w:val="auto"/>
              </w:rPr>
              <w:t>—</w:t>
            </w:r>
          </w:p>
        </w:tc>
        <w:tc>
          <w:tcPr>
            <w:tcW w:w="40" w:type="dxa"/>
            <w:vAlign w:val="bottom"/>
            <w:shd w:val="clear" w:color="auto" w:fill="DDDDDD"/>
          </w:tcPr>
          <w:p>
            <w:pPr>
              <w:spacing w:after="0"/>
              <w:rPr>
                <w:sz w:val="20"/>
                <w:szCs w:val="20"/>
                <w:color w:val="auto"/>
              </w:rPr>
            </w:pPr>
          </w:p>
        </w:tc>
        <w:tc>
          <w:tcPr>
            <w:tcW w:w="20" w:type="dxa"/>
            <w:vAlign w:val="bottom"/>
            <w:shd w:val="clear" w:color="auto" w:fill="DDDDDD"/>
          </w:tcPr>
          <w:p>
            <w:pPr>
              <w:spacing w:after="0"/>
              <w:rPr>
                <w:sz w:val="20"/>
                <w:szCs w:val="20"/>
                <w:color w:val="auto"/>
              </w:rPr>
            </w:pPr>
          </w:p>
        </w:tc>
        <w:tc>
          <w:tcPr>
            <w:tcW w:w="1000" w:type="dxa"/>
            <w:vAlign w:val="bottom"/>
            <w:tcBorders>
              <w:bottom w:val="single" w:sz="8" w:color="auto"/>
            </w:tcBorders>
            <w:shd w:val="clear" w:color="auto" w:fill="DDDDDD"/>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tcBorders>
              <w:bottom w:val="single" w:sz="8" w:color="auto"/>
            </w:tcBorders>
            <w:shd w:val="clear" w:color="auto" w:fill="DDDDDD"/>
          </w:tcPr>
          <w:p>
            <w:pPr>
              <w:spacing w:after="0"/>
              <w:rPr>
                <w:sz w:val="20"/>
                <w:szCs w:val="20"/>
                <w:color w:val="auto"/>
              </w:rPr>
            </w:pPr>
          </w:p>
        </w:tc>
        <w:tc>
          <w:tcPr>
            <w:tcW w:w="860" w:type="dxa"/>
            <w:vAlign w:val="bottom"/>
            <w:tcBorders>
              <w:bottom w:val="single" w:sz="8" w:color="auto"/>
            </w:tcBorders>
            <w:shd w:val="clear" w:color="auto" w:fill="DDDDDD"/>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40" w:type="dxa"/>
            <w:vAlign w:val="bottom"/>
            <w:shd w:val="clear" w:color="auto" w:fill="DDDDDD"/>
          </w:tcPr>
          <w:p>
            <w:pPr>
              <w:spacing w:after="0"/>
              <w:rPr>
                <w:sz w:val="20"/>
                <w:szCs w:val="20"/>
                <w:color w:val="auto"/>
              </w:rPr>
            </w:pPr>
          </w:p>
        </w:tc>
        <w:tc>
          <w:tcPr>
            <w:tcW w:w="20" w:type="dxa"/>
            <w:vAlign w:val="bottom"/>
            <w:shd w:val="clear" w:color="auto" w:fill="DDDDDD"/>
          </w:tcPr>
          <w:p>
            <w:pPr>
              <w:spacing w:after="0"/>
              <w:rPr>
                <w:sz w:val="20"/>
                <w:szCs w:val="20"/>
                <w:color w:val="auto"/>
              </w:rPr>
            </w:pPr>
          </w:p>
        </w:tc>
        <w:tc>
          <w:tcPr>
            <w:tcW w:w="140" w:type="dxa"/>
            <w:vAlign w:val="bottom"/>
            <w:tcBorders>
              <w:bottom w:val="single" w:sz="8" w:color="auto"/>
            </w:tcBorders>
            <w:shd w:val="clear" w:color="auto" w:fill="DDDDDD"/>
          </w:tcPr>
          <w:p>
            <w:pPr>
              <w:spacing w:after="0"/>
              <w:rPr>
                <w:sz w:val="20"/>
                <w:szCs w:val="20"/>
                <w:color w:val="auto"/>
              </w:rPr>
            </w:pPr>
          </w:p>
        </w:tc>
        <w:tc>
          <w:tcPr>
            <w:tcW w:w="880" w:type="dxa"/>
            <w:vAlign w:val="bottom"/>
            <w:tcBorders>
              <w:bottom w:val="single" w:sz="8" w:color="auto"/>
            </w:tcBorders>
            <w:shd w:val="clear" w:color="auto" w:fill="DDDDDD"/>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60" w:type="dxa"/>
            <w:vAlign w:val="bottom"/>
            <w:shd w:val="clear" w:color="auto" w:fill="DDDDDD"/>
          </w:tcPr>
          <w:p>
            <w:pPr>
              <w:spacing w:after="0"/>
              <w:rPr>
                <w:sz w:val="20"/>
                <w:szCs w:val="20"/>
                <w:color w:val="auto"/>
              </w:rPr>
            </w:pPr>
          </w:p>
        </w:tc>
        <w:tc>
          <w:tcPr>
            <w:tcW w:w="20" w:type="dxa"/>
            <w:vAlign w:val="bottom"/>
            <w:shd w:val="clear" w:color="auto" w:fill="DDDDDD"/>
          </w:tcPr>
          <w:p>
            <w:pPr>
              <w:spacing w:after="0"/>
              <w:rPr>
                <w:sz w:val="20"/>
                <w:szCs w:val="20"/>
                <w:color w:val="auto"/>
              </w:rPr>
            </w:pPr>
          </w:p>
        </w:tc>
        <w:tc>
          <w:tcPr>
            <w:tcW w:w="220" w:type="dxa"/>
            <w:vAlign w:val="bottom"/>
            <w:tcBorders>
              <w:bottom w:val="single" w:sz="8" w:color="auto"/>
            </w:tcBorders>
            <w:shd w:val="clear" w:color="auto" w:fill="DDDDDD"/>
          </w:tcPr>
          <w:p>
            <w:pPr>
              <w:spacing w:after="0"/>
              <w:rPr>
                <w:sz w:val="20"/>
                <w:szCs w:val="20"/>
                <w:color w:val="auto"/>
              </w:rPr>
            </w:pPr>
          </w:p>
        </w:tc>
        <w:tc>
          <w:tcPr>
            <w:tcW w:w="900" w:type="dxa"/>
            <w:vAlign w:val="bottom"/>
            <w:tcBorders>
              <w:bottom w:val="single" w:sz="8" w:color="auto"/>
            </w:tcBorders>
            <w:shd w:val="clear" w:color="auto" w:fill="DDDDDD"/>
          </w:tcPr>
          <w:p>
            <w:pPr>
              <w:jc w:val="right"/>
              <w:spacing w:after="0"/>
              <w:rPr>
                <w:sz w:val="20"/>
                <w:szCs w:val="20"/>
                <w:color w:val="auto"/>
              </w:rPr>
            </w:pPr>
            <w:r>
              <w:rPr>
                <w:rFonts w:ascii="Times New Roman" w:cs="Times New Roman" w:eastAsia="Times New Roman" w:hAnsi="Times New Roman"/>
                <w:sz w:val="16"/>
                <w:szCs w:val="16"/>
                <w:color w:val="auto"/>
              </w:rPr>
              <w:t>(115,989)</w:t>
            </w:r>
          </w:p>
        </w:tc>
        <w:tc>
          <w:tcPr>
            <w:tcW w:w="60" w:type="dxa"/>
            <w:vAlign w:val="bottom"/>
            <w:shd w:val="clear" w:color="auto" w:fill="DDDDDD"/>
          </w:tcPr>
          <w:p>
            <w:pPr>
              <w:spacing w:after="0"/>
              <w:rPr>
                <w:sz w:val="20"/>
                <w:szCs w:val="20"/>
                <w:color w:val="auto"/>
              </w:rPr>
            </w:pPr>
          </w:p>
        </w:tc>
        <w:tc>
          <w:tcPr>
            <w:tcW w:w="160" w:type="dxa"/>
            <w:vAlign w:val="bottom"/>
            <w:tcBorders>
              <w:bottom w:val="single" w:sz="8" w:color="auto"/>
            </w:tcBorders>
            <w:shd w:val="clear" w:color="auto" w:fill="DDDDDD"/>
          </w:tcPr>
          <w:p>
            <w:pPr>
              <w:spacing w:after="0"/>
              <w:rPr>
                <w:sz w:val="20"/>
                <w:szCs w:val="20"/>
                <w:color w:val="auto"/>
              </w:rPr>
            </w:pPr>
          </w:p>
        </w:tc>
        <w:tc>
          <w:tcPr>
            <w:tcW w:w="1140" w:type="dxa"/>
            <w:vAlign w:val="bottom"/>
            <w:tcBorders>
              <w:bottom w:val="single" w:sz="8" w:color="auto"/>
            </w:tcBorders>
            <w:shd w:val="clear" w:color="auto" w:fill="DDDDDD"/>
          </w:tcPr>
          <w:p>
            <w:pPr>
              <w:jc w:val="right"/>
              <w:spacing w:after="0"/>
              <w:rPr>
                <w:sz w:val="20"/>
                <w:szCs w:val="20"/>
                <w:color w:val="auto"/>
              </w:rPr>
            </w:pPr>
            <w:r>
              <w:rPr>
                <w:rFonts w:ascii="Times New Roman" w:cs="Times New Roman" w:eastAsia="Times New Roman" w:hAnsi="Times New Roman"/>
                <w:sz w:val="16"/>
                <w:szCs w:val="16"/>
                <w:color w:val="auto"/>
              </w:rPr>
              <w:t>(115,989)</w:t>
            </w:r>
          </w:p>
        </w:tc>
        <w:tc>
          <w:tcPr>
            <w:tcW w:w="40" w:type="dxa"/>
            <w:vAlign w:val="bottom"/>
            <w:shd w:val="clear" w:color="auto" w:fill="DDDDDD"/>
          </w:tcPr>
          <w:p>
            <w:pPr>
              <w:spacing w:after="0"/>
              <w:rPr>
                <w:sz w:val="20"/>
                <w:szCs w:val="20"/>
                <w:color w:val="auto"/>
              </w:rPr>
            </w:pPr>
          </w:p>
        </w:tc>
        <w:tc>
          <w:tcPr>
            <w:tcW w:w="20" w:type="dxa"/>
            <w:vAlign w:val="bottom"/>
            <w:shd w:val="clear" w:color="auto" w:fill="DDDDDD"/>
          </w:tcPr>
          <w:p>
            <w:pPr>
              <w:spacing w:after="0"/>
              <w:rPr>
                <w:sz w:val="20"/>
                <w:szCs w:val="20"/>
                <w:color w:val="auto"/>
              </w:rPr>
            </w:pPr>
          </w:p>
        </w:tc>
        <w:tc>
          <w:tcPr>
            <w:tcW w:w="140" w:type="dxa"/>
            <w:vAlign w:val="bottom"/>
            <w:tcBorders>
              <w:bottom w:val="single" w:sz="8" w:color="auto"/>
            </w:tcBorders>
            <w:shd w:val="clear" w:color="auto" w:fill="DDDDDD"/>
          </w:tcPr>
          <w:p>
            <w:pPr>
              <w:spacing w:after="0"/>
              <w:rPr>
                <w:sz w:val="20"/>
                <w:szCs w:val="20"/>
                <w:color w:val="auto"/>
              </w:rPr>
            </w:pPr>
          </w:p>
        </w:tc>
        <w:tc>
          <w:tcPr>
            <w:tcW w:w="880" w:type="dxa"/>
            <w:vAlign w:val="bottom"/>
            <w:tcBorders>
              <w:bottom w:val="single" w:sz="8" w:color="auto"/>
            </w:tcBorders>
            <w:shd w:val="clear" w:color="auto" w:fill="DDDDDD"/>
          </w:tcPr>
          <w:p>
            <w:pPr>
              <w:jc w:val="right"/>
              <w:spacing w:after="0"/>
              <w:rPr>
                <w:sz w:val="20"/>
                <w:szCs w:val="20"/>
                <w:color w:val="auto"/>
              </w:rPr>
            </w:pPr>
            <w:r>
              <w:rPr>
                <w:rFonts w:ascii="Times New Roman" w:cs="Times New Roman" w:eastAsia="Times New Roman" w:hAnsi="Times New Roman"/>
                <w:sz w:val="16"/>
                <w:szCs w:val="16"/>
                <w:color w:val="auto"/>
              </w:rPr>
              <w:t>33,338</w:t>
            </w:r>
          </w:p>
        </w:tc>
        <w:tc>
          <w:tcPr>
            <w:tcW w:w="40" w:type="dxa"/>
            <w:vAlign w:val="bottom"/>
            <w:shd w:val="clear" w:color="auto" w:fill="DDDDDD"/>
          </w:tcPr>
          <w:p>
            <w:pPr>
              <w:spacing w:after="0"/>
              <w:rPr>
                <w:sz w:val="20"/>
                <w:szCs w:val="20"/>
                <w:color w:val="auto"/>
              </w:rPr>
            </w:pPr>
          </w:p>
        </w:tc>
        <w:tc>
          <w:tcPr>
            <w:tcW w:w="20" w:type="dxa"/>
            <w:vAlign w:val="bottom"/>
            <w:shd w:val="clear" w:color="auto" w:fill="DDDDDD"/>
          </w:tcPr>
          <w:p>
            <w:pPr>
              <w:spacing w:after="0"/>
              <w:rPr>
                <w:sz w:val="20"/>
                <w:szCs w:val="20"/>
                <w:color w:val="auto"/>
              </w:rPr>
            </w:pPr>
          </w:p>
        </w:tc>
        <w:tc>
          <w:tcPr>
            <w:tcW w:w="160" w:type="dxa"/>
            <w:vAlign w:val="bottom"/>
            <w:tcBorders>
              <w:bottom w:val="single" w:sz="8" w:color="auto"/>
            </w:tcBorders>
            <w:shd w:val="clear" w:color="auto" w:fill="DDDDDD"/>
          </w:tcPr>
          <w:p>
            <w:pPr>
              <w:spacing w:after="0"/>
              <w:rPr>
                <w:sz w:val="20"/>
                <w:szCs w:val="20"/>
                <w:color w:val="auto"/>
              </w:rPr>
            </w:pPr>
          </w:p>
        </w:tc>
        <w:tc>
          <w:tcPr>
            <w:tcW w:w="860" w:type="dxa"/>
            <w:vAlign w:val="bottom"/>
            <w:tcBorders>
              <w:bottom w:val="single" w:sz="8" w:color="auto"/>
            </w:tcBorders>
            <w:shd w:val="clear" w:color="auto" w:fill="DDDDDD"/>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40" w:type="dxa"/>
            <w:vAlign w:val="bottom"/>
            <w:shd w:val="clear" w:color="auto" w:fill="DDDDDD"/>
          </w:tcPr>
          <w:p>
            <w:pPr>
              <w:spacing w:after="0"/>
              <w:rPr>
                <w:sz w:val="20"/>
                <w:szCs w:val="20"/>
                <w:color w:val="auto"/>
              </w:rPr>
            </w:pPr>
          </w:p>
        </w:tc>
        <w:tc>
          <w:tcPr>
            <w:tcW w:w="20" w:type="dxa"/>
            <w:vAlign w:val="bottom"/>
            <w:shd w:val="clear" w:color="auto" w:fill="DDDDDD"/>
          </w:tcPr>
          <w:p>
            <w:pPr>
              <w:spacing w:after="0"/>
              <w:rPr>
                <w:sz w:val="20"/>
                <w:szCs w:val="20"/>
                <w:color w:val="auto"/>
              </w:rPr>
            </w:pPr>
          </w:p>
        </w:tc>
        <w:tc>
          <w:tcPr>
            <w:tcW w:w="280" w:type="dxa"/>
            <w:vAlign w:val="bottom"/>
            <w:tcBorders>
              <w:bottom w:val="single" w:sz="8" w:color="auto"/>
            </w:tcBorders>
            <w:shd w:val="clear" w:color="auto" w:fill="DDDDDD"/>
          </w:tcPr>
          <w:p>
            <w:pPr>
              <w:spacing w:after="0"/>
              <w:rPr>
                <w:sz w:val="20"/>
                <w:szCs w:val="20"/>
                <w:color w:val="auto"/>
              </w:rPr>
            </w:pPr>
          </w:p>
        </w:tc>
        <w:tc>
          <w:tcPr>
            <w:tcW w:w="720" w:type="dxa"/>
            <w:vAlign w:val="bottom"/>
            <w:tcBorders>
              <w:bottom w:val="single" w:sz="8" w:color="auto"/>
            </w:tcBorders>
            <w:shd w:val="clear" w:color="auto" w:fill="DDDDDD"/>
          </w:tcPr>
          <w:p>
            <w:pPr>
              <w:jc w:val="right"/>
              <w:spacing w:after="0"/>
              <w:rPr>
                <w:sz w:val="20"/>
                <w:szCs w:val="20"/>
                <w:color w:val="auto"/>
              </w:rPr>
            </w:pPr>
            <w:r>
              <w:rPr>
                <w:rFonts w:ascii="Times New Roman" w:cs="Times New Roman" w:eastAsia="Times New Roman" w:hAnsi="Times New Roman"/>
                <w:sz w:val="16"/>
                <w:szCs w:val="16"/>
                <w:color w:val="auto"/>
              </w:rPr>
              <w:t>(82,651)</w:t>
            </w:r>
          </w:p>
        </w:tc>
        <w:tc>
          <w:tcPr>
            <w:tcW w:w="20" w:type="dxa"/>
            <w:vAlign w:val="bottom"/>
            <w:tcBorders>
              <w:bottom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25"/>
        </w:trPr>
        <w:tc>
          <w:tcPr>
            <w:tcW w:w="40" w:type="dxa"/>
            <w:vAlign w:val="bottom"/>
          </w:tcPr>
          <w:p>
            <w:pPr>
              <w:spacing w:after="0"/>
              <w:rPr>
                <w:sz w:val="19"/>
                <w:szCs w:val="19"/>
                <w:color w:val="auto"/>
              </w:rPr>
            </w:pPr>
          </w:p>
        </w:tc>
        <w:tc>
          <w:tcPr>
            <w:tcW w:w="2620" w:type="dxa"/>
            <w:vAlign w:val="bottom"/>
            <w:gridSpan w:val="3"/>
          </w:tcPr>
          <w:p>
            <w:pPr>
              <w:spacing w:after="0"/>
              <w:rPr>
                <w:sz w:val="20"/>
                <w:szCs w:val="20"/>
                <w:color w:val="auto"/>
              </w:rPr>
            </w:pPr>
            <w:r>
              <w:rPr>
                <w:rFonts w:ascii="Times New Roman" w:cs="Times New Roman" w:eastAsia="Times New Roman" w:hAnsi="Times New Roman"/>
                <w:sz w:val="16"/>
                <w:szCs w:val="16"/>
                <w:b w:val="1"/>
                <w:bCs w:val="1"/>
                <w:color w:val="auto"/>
              </w:rPr>
              <w:t>As of December 31, 2022</w:t>
            </w:r>
          </w:p>
        </w:tc>
        <w:tc>
          <w:tcPr>
            <w:tcW w:w="104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92,062,468</w:t>
            </w:r>
          </w:p>
        </w:tc>
        <w:tc>
          <w:tcPr>
            <w:tcW w:w="18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w:t>
            </w:r>
          </w:p>
        </w:tc>
        <w:tc>
          <w:tcPr>
            <w:tcW w:w="940" w:type="dxa"/>
            <w:vAlign w:val="bottom"/>
          </w:tcPr>
          <w:p>
            <w:pPr>
              <w:jc w:val="right"/>
              <w:ind w:right="1"/>
              <w:spacing w:after="0"/>
              <w:rPr>
                <w:sz w:val="20"/>
                <w:szCs w:val="20"/>
                <w:color w:val="auto"/>
              </w:rPr>
            </w:pPr>
            <w:r>
              <w:rPr>
                <w:rFonts w:ascii="Times New Roman" w:cs="Times New Roman" w:eastAsia="Times New Roman" w:hAnsi="Times New Roman"/>
                <w:sz w:val="16"/>
                <w:szCs w:val="16"/>
                <w:b w:val="1"/>
                <w:bCs w:val="1"/>
                <w:color w:val="auto"/>
              </w:rPr>
              <w:t>9</w:t>
            </w:r>
          </w:p>
        </w:tc>
        <w:tc>
          <w:tcPr>
            <w:tcW w:w="1060" w:type="dxa"/>
            <w:vAlign w:val="bottom"/>
            <w:gridSpan w:val="3"/>
          </w:tcPr>
          <w:p>
            <w:pPr>
              <w:jc w:val="right"/>
              <w:spacing w:after="0"/>
              <w:rPr>
                <w:sz w:val="20"/>
                <w:szCs w:val="20"/>
                <w:color w:val="auto"/>
              </w:rPr>
            </w:pPr>
            <w:r>
              <w:rPr>
                <w:rFonts w:ascii="Times New Roman" w:cs="Times New Roman" w:eastAsia="Times New Roman" w:hAnsi="Times New Roman"/>
                <w:sz w:val="16"/>
                <w:szCs w:val="16"/>
                <w:b w:val="1"/>
                <w:bCs w:val="1"/>
                <w:color w:val="auto"/>
              </w:rPr>
              <w:t>55,486,361</w:t>
            </w:r>
          </w:p>
        </w:tc>
        <w:tc>
          <w:tcPr>
            <w:tcW w:w="16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5</w:t>
            </w:r>
          </w:p>
        </w:tc>
        <w:tc>
          <w:tcPr>
            <w:tcW w:w="200" w:type="dxa"/>
            <w:vAlign w:val="bottom"/>
            <w:gridSpan w:val="3"/>
          </w:tcPr>
          <w:p>
            <w:pPr>
              <w:jc w:val="right"/>
              <w:spacing w:after="0"/>
              <w:rPr>
                <w:sz w:val="20"/>
                <w:szCs w:val="20"/>
                <w:color w:val="auto"/>
              </w:rPr>
            </w:pPr>
            <w:r>
              <w:rPr>
                <w:rFonts w:ascii="Times New Roman" w:cs="Times New Roman" w:eastAsia="Times New Roman" w:hAnsi="Times New Roman"/>
                <w:sz w:val="16"/>
                <w:szCs w:val="16"/>
                <w:b w:val="1"/>
                <w:bCs w:val="1"/>
                <w:color w:val="auto"/>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67,986</w:t>
            </w:r>
          </w:p>
        </w:tc>
        <w:tc>
          <w:tcPr>
            <w:tcW w:w="300" w:type="dxa"/>
            <w:vAlign w:val="bottom"/>
            <w:gridSpan w:val="3"/>
          </w:tcPr>
          <w:p>
            <w:pPr>
              <w:jc w:val="right"/>
              <w:spacing w:after="0"/>
              <w:rPr>
                <w:sz w:val="20"/>
                <w:szCs w:val="20"/>
                <w:color w:val="auto"/>
              </w:rPr>
            </w:pPr>
            <w:r>
              <w:rPr>
                <w:rFonts w:ascii="Times New Roman" w:cs="Times New Roman" w:eastAsia="Times New Roman" w:hAnsi="Times New Roman"/>
                <w:sz w:val="16"/>
                <w:szCs w:val="16"/>
                <w:b w:val="1"/>
                <w:bCs w:val="1"/>
                <w:color w:val="auto"/>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(54,620)</w:t>
            </w:r>
          </w:p>
        </w:tc>
        <w:tc>
          <w:tcPr>
            <w:tcW w:w="220" w:type="dxa"/>
            <w:vAlign w:val="bottom"/>
            <w:gridSpan w:val="2"/>
          </w:tcPr>
          <w:p>
            <w:pPr>
              <w:jc w:val="right"/>
              <w:spacing w:after="0"/>
              <w:rPr>
                <w:sz w:val="20"/>
                <w:szCs w:val="20"/>
                <w:color w:val="auto"/>
              </w:rPr>
            </w:pPr>
            <w:r>
              <w:rPr>
                <w:rFonts w:ascii="Times New Roman" w:cs="Times New Roman" w:eastAsia="Times New Roman" w:hAnsi="Times New Roman"/>
                <w:sz w:val="16"/>
                <w:szCs w:val="16"/>
                <w:b w:val="1"/>
                <w:bCs w:val="1"/>
                <w:color w:val="auto"/>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13,380</w:t>
            </w:r>
          </w:p>
        </w:tc>
        <w:tc>
          <w:tcPr>
            <w:tcW w:w="200" w:type="dxa"/>
            <w:vAlign w:val="bottom"/>
            <w:gridSpan w:val="3"/>
          </w:tcPr>
          <w:p>
            <w:pPr>
              <w:jc w:val="right"/>
              <w:spacing w:after="0"/>
              <w:rPr>
                <w:sz w:val="20"/>
                <w:szCs w:val="20"/>
                <w:color w:val="auto"/>
              </w:rPr>
            </w:pPr>
            <w:r>
              <w:rPr>
                <w:rFonts w:ascii="Times New Roman" w:cs="Times New Roman" w:eastAsia="Times New Roman" w:hAnsi="Times New Roman"/>
                <w:sz w:val="16"/>
                <w:szCs w:val="16"/>
                <w:b w:val="1"/>
                <w:bCs w:val="1"/>
                <w:color w:val="auto"/>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101,397</w:t>
            </w:r>
          </w:p>
        </w:tc>
        <w:tc>
          <w:tcPr>
            <w:tcW w:w="220" w:type="dxa"/>
            <w:vAlign w:val="bottom"/>
            <w:gridSpan w:val="3"/>
          </w:tcPr>
          <w:p>
            <w:pPr>
              <w:jc w:val="right"/>
              <w:spacing w:after="0"/>
              <w:rPr>
                <w:sz w:val="20"/>
                <w:szCs w:val="20"/>
                <w:color w:val="auto"/>
              </w:rPr>
            </w:pPr>
            <w:r>
              <w:rPr>
                <w:rFonts w:ascii="Times New Roman" w:cs="Times New Roman" w:eastAsia="Times New Roman" w:hAnsi="Times New Roman"/>
                <w:sz w:val="16"/>
                <w:szCs w:val="16"/>
                <w:b w:val="1"/>
                <w:bCs w:val="1"/>
                <w:color w:val="auto"/>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w:t>
            </w:r>
          </w:p>
        </w:tc>
        <w:tc>
          <w:tcPr>
            <w:tcW w:w="340" w:type="dxa"/>
            <w:vAlign w:val="bottom"/>
            <w:gridSpan w:val="3"/>
          </w:tcPr>
          <w:p>
            <w:pPr>
              <w:ind w:left="120"/>
              <w:spacing w:after="0"/>
              <w:rPr>
                <w:sz w:val="20"/>
                <w:szCs w:val="20"/>
                <w:color w:val="auto"/>
              </w:rPr>
            </w:pPr>
            <w:r>
              <w:rPr>
                <w:rFonts w:ascii="Times New Roman" w:cs="Times New Roman" w:eastAsia="Times New Roman" w:hAnsi="Times New Roman"/>
                <w:sz w:val="16"/>
                <w:szCs w:val="16"/>
                <w:b w:val="1"/>
                <w:bCs w:val="1"/>
                <w:color w:val="auto"/>
              </w:rPr>
              <w:t>$</w:t>
            </w:r>
          </w:p>
        </w:tc>
        <w:tc>
          <w:tcPr>
            <w:tcW w:w="72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114,777</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43"/>
        </w:trPr>
        <w:tc>
          <w:tcPr>
            <w:tcW w:w="40" w:type="dxa"/>
            <w:vAlign w:val="bottom"/>
            <w:shd w:val="clear" w:color="auto" w:fill="DDDDDD"/>
          </w:tcPr>
          <w:p>
            <w:pPr>
              <w:spacing w:after="0"/>
              <w:rPr>
                <w:sz w:val="21"/>
                <w:szCs w:val="21"/>
                <w:color w:val="auto"/>
              </w:rPr>
            </w:pPr>
          </w:p>
        </w:tc>
        <w:tc>
          <w:tcPr>
            <w:tcW w:w="2620" w:type="dxa"/>
            <w:vAlign w:val="bottom"/>
            <w:gridSpan w:val="3"/>
            <w:shd w:val="clear" w:color="auto" w:fill="DDDDDD"/>
          </w:tcPr>
          <w:p>
            <w:pPr>
              <w:ind w:left="140"/>
              <w:spacing w:after="0"/>
              <w:rPr>
                <w:sz w:val="20"/>
                <w:szCs w:val="20"/>
                <w:color w:val="auto"/>
              </w:rPr>
            </w:pPr>
            <w:r>
              <w:rPr>
                <w:rFonts w:ascii="Times New Roman" w:cs="Times New Roman" w:eastAsia="Times New Roman" w:hAnsi="Times New Roman"/>
                <w:sz w:val="16"/>
                <w:szCs w:val="16"/>
                <w:color w:val="auto"/>
              </w:rPr>
              <w:t>Stock-based compensation</w:t>
            </w:r>
          </w:p>
        </w:tc>
        <w:tc>
          <w:tcPr>
            <w:tcW w:w="1040" w:type="dxa"/>
            <w:vAlign w:val="bottom"/>
            <w:shd w:val="clear" w:color="auto" w:fill="DDDDDD"/>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shd w:val="clear" w:color="auto" w:fill="DDDDDD"/>
          </w:tcPr>
          <w:p>
            <w:pPr>
              <w:spacing w:after="0"/>
              <w:rPr>
                <w:sz w:val="21"/>
                <w:szCs w:val="21"/>
                <w:color w:val="auto"/>
              </w:rPr>
            </w:pPr>
          </w:p>
        </w:tc>
        <w:tc>
          <w:tcPr>
            <w:tcW w:w="940" w:type="dxa"/>
            <w:vAlign w:val="bottom"/>
            <w:shd w:val="clear" w:color="auto" w:fill="DDDDDD"/>
          </w:tcPr>
          <w:p>
            <w:pPr>
              <w:jc w:val="right"/>
              <w:ind w:right="1"/>
              <w:spacing w:after="0"/>
              <w:rPr>
                <w:sz w:val="20"/>
                <w:szCs w:val="20"/>
                <w:color w:val="auto"/>
              </w:rPr>
            </w:pPr>
            <w:r>
              <w:rPr>
                <w:rFonts w:ascii="Times New Roman" w:cs="Times New Roman" w:eastAsia="Times New Roman" w:hAnsi="Times New Roman"/>
                <w:sz w:val="16"/>
                <w:szCs w:val="16"/>
                <w:color w:val="auto"/>
              </w:rPr>
              <w:t>—</w:t>
            </w:r>
          </w:p>
        </w:tc>
        <w:tc>
          <w:tcPr>
            <w:tcW w:w="40" w:type="dxa"/>
            <w:vAlign w:val="bottom"/>
            <w:shd w:val="clear" w:color="auto" w:fill="DDDDDD"/>
          </w:tcPr>
          <w:p>
            <w:pPr>
              <w:spacing w:after="0"/>
              <w:rPr>
                <w:sz w:val="21"/>
                <w:szCs w:val="21"/>
                <w:color w:val="auto"/>
              </w:rPr>
            </w:pPr>
          </w:p>
        </w:tc>
        <w:tc>
          <w:tcPr>
            <w:tcW w:w="20" w:type="dxa"/>
            <w:vAlign w:val="bottom"/>
            <w:shd w:val="clear" w:color="auto" w:fill="DDDDDD"/>
          </w:tcPr>
          <w:p>
            <w:pPr>
              <w:spacing w:after="0"/>
              <w:rPr>
                <w:sz w:val="21"/>
                <w:szCs w:val="21"/>
                <w:color w:val="auto"/>
              </w:rPr>
            </w:pPr>
          </w:p>
        </w:tc>
        <w:tc>
          <w:tcPr>
            <w:tcW w:w="1000" w:type="dxa"/>
            <w:vAlign w:val="bottom"/>
            <w:shd w:val="clear" w:color="auto" w:fill="DDDDDD"/>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shd w:val="clear" w:color="auto" w:fill="DDDDDD"/>
          </w:tcPr>
          <w:p>
            <w:pPr>
              <w:spacing w:after="0"/>
              <w:rPr>
                <w:sz w:val="21"/>
                <w:szCs w:val="21"/>
                <w:color w:val="auto"/>
              </w:rPr>
            </w:pPr>
          </w:p>
        </w:tc>
        <w:tc>
          <w:tcPr>
            <w:tcW w:w="860" w:type="dxa"/>
            <w:vAlign w:val="bottom"/>
            <w:shd w:val="clear" w:color="auto" w:fill="DDDDDD"/>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40" w:type="dxa"/>
            <w:vAlign w:val="bottom"/>
            <w:shd w:val="clear" w:color="auto" w:fill="DDDDDD"/>
          </w:tcPr>
          <w:p>
            <w:pPr>
              <w:spacing w:after="0"/>
              <w:rPr>
                <w:sz w:val="21"/>
                <w:szCs w:val="21"/>
                <w:color w:val="auto"/>
              </w:rPr>
            </w:pPr>
          </w:p>
        </w:tc>
        <w:tc>
          <w:tcPr>
            <w:tcW w:w="20" w:type="dxa"/>
            <w:vAlign w:val="bottom"/>
            <w:shd w:val="clear" w:color="auto" w:fill="DDDDDD"/>
          </w:tcPr>
          <w:p>
            <w:pPr>
              <w:spacing w:after="0"/>
              <w:rPr>
                <w:sz w:val="21"/>
                <w:szCs w:val="21"/>
                <w:color w:val="auto"/>
              </w:rPr>
            </w:pPr>
          </w:p>
        </w:tc>
        <w:tc>
          <w:tcPr>
            <w:tcW w:w="140" w:type="dxa"/>
            <w:vAlign w:val="bottom"/>
            <w:shd w:val="clear" w:color="auto" w:fill="DDDDDD"/>
          </w:tcPr>
          <w:p>
            <w:pPr>
              <w:spacing w:after="0"/>
              <w:rPr>
                <w:sz w:val="21"/>
                <w:szCs w:val="21"/>
                <w:color w:val="auto"/>
              </w:rPr>
            </w:pPr>
          </w:p>
        </w:tc>
        <w:tc>
          <w:tcPr>
            <w:tcW w:w="880" w:type="dxa"/>
            <w:vAlign w:val="bottom"/>
            <w:shd w:val="clear" w:color="auto" w:fill="DDDDDD"/>
          </w:tcPr>
          <w:p>
            <w:pPr>
              <w:jc w:val="right"/>
              <w:spacing w:after="0"/>
              <w:rPr>
                <w:sz w:val="20"/>
                <w:szCs w:val="20"/>
                <w:color w:val="auto"/>
              </w:rPr>
            </w:pPr>
            <w:r>
              <w:rPr>
                <w:rFonts w:ascii="Times New Roman" w:cs="Times New Roman" w:eastAsia="Times New Roman" w:hAnsi="Times New Roman"/>
                <w:sz w:val="16"/>
                <w:szCs w:val="16"/>
                <w:color w:val="auto"/>
              </w:rPr>
              <w:t>14,385</w:t>
            </w:r>
          </w:p>
        </w:tc>
        <w:tc>
          <w:tcPr>
            <w:tcW w:w="60" w:type="dxa"/>
            <w:vAlign w:val="bottom"/>
            <w:shd w:val="clear" w:color="auto" w:fill="DDDDDD"/>
          </w:tcPr>
          <w:p>
            <w:pPr>
              <w:spacing w:after="0"/>
              <w:rPr>
                <w:sz w:val="21"/>
                <w:szCs w:val="21"/>
                <w:color w:val="auto"/>
              </w:rPr>
            </w:pPr>
          </w:p>
        </w:tc>
        <w:tc>
          <w:tcPr>
            <w:tcW w:w="20" w:type="dxa"/>
            <w:vAlign w:val="bottom"/>
            <w:shd w:val="clear" w:color="auto" w:fill="DDDDDD"/>
          </w:tcPr>
          <w:p>
            <w:pPr>
              <w:spacing w:after="0"/>
              <w:rPr>
                <w:sz w:val="21"/>
                <w:szCs w:val="21"/>
                <w:color w:val="auto"/>
              </w:rPr>
            </w:pPr>
          </w:p>
        </w:tc>
        <w:tc>
          <w:tcPr>
            <w:tcW w:w="220" w:type="dxa"/>
            <w:vAlign w:val="bottom"/>
            <w:shd w:val="clear" w:color="auto" w:fill="DDDDDD"/>
          </w:tcPr>
          <w:p>
            <w:pPr>
              <w:spacing w:after="0"/>
              <w:rPr>
                <w:sz w:val="21"/>
                <w:szCs w:val="21"/>
                <w:color w:val="auto"/>
              </w:rPr>
            </w:pPr>
          </w:p>
        </w:tc>
        <w:tc>
          <w:tcPr>
            <w:tcW w:w="900" w:type="dxa"/>
            <w:vAlign w:val="bottom"/>
            <w:shd w:val="clear" w:color="auto" w:fill="DDDDDD"/>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60" w:type="dxa"/>
            <w:vAlign w:val="bottom"/>
            <w:shd w:val="clear" w:color="auto" w:fill="DDDDDD"/>
          </w:tcPr>
          <w:p>
            <w:pPr>
              <w:spacing w:after="0"/>
              <w:rPr>
                <w:sz w:val="21"/>
                <w:szCs w:val="21"/>
                <w:color w:val="auto"/>
              </w:rPr>
            </w:pPr>
          </w:p>
        </w:tc>
        <w:tc>
          <w:tcPr>
            <w:tcW w:w="160" w:type="dxa"/>
            <w:vAlign w:val="bottom"/>
            <w:shd w:val="clear" w:color="auto" w:fill="DDDDDD"/>
          </w:tcPr>
          <w:p>
            <w:pPr>
              <w:spacing w:after="0"/>
              <w:rPr>
                <w:sz w:val="21"/>
                <w:szCs w:val="21"/>
                <w:color w:val="auto"/>
              </w:rPr>
            </w:pPr>
          </w:p>
        </w:tc>
        <w:tc>
          <w:tcPr>
            <w:tcW w:w="1140" w:type="dxa"/>
            <w:vAlign w:val="bottom"/>
            <w:shd w:val="clear" w:color="auto" w:fill="DDDDDD"/>
          </w:tcPr>
          <w:p>
            <w:pPr>
              <w:jc w:val="right"/>
              <w:spacing w:after="0"/>
              <w:rPr>
                <w:sz w:val="20"/>
                <w:szCs w:val="20"/>
                <w:color w:val="auto"/>
              </w:rPr>
            </w:pPr>
            <w:r>
              <w:rPr>
                <w:rFonts w:ascii="Times New Roman" w:cs="Times New Roman" w:eastAsia="Times New Roman" w:hAnsi="Times New Roman"/>
                <w:sz w:val="16"/>
                <w:szCs w:val="16"/>
                <w:color w:val="auto"/>
              </w:rPr>
              <w:t>14,385</w:t>
            </w:r>
          </w:p>
        </w:tc>
        <w:tc>
          <w:tcPr>
            <w:tcW w:w="40" w:type="dxa"/>
            <w:vAlign w:val="bottom"/>
            <w:shd w:val="clear" w:color="auto" w:fill="DDDDDD"/>
          </w:tcPr>
          <w:p>
            <w:pPr>
              <w:spacing w:after="0"/>
              <w:rPr>
                <w:sz w:val="21"/>
                <w:szCs w:val="21"/>
                <w:color w:val="auto"/>
              </w:rPr>
            </w:pPr>
          </w:p>
        </w:tc>
        <w:tc>
          <w:tcPr>
            <w:tcW w:w="20" w:type="dxa"/>
            <w:vAlign w:val="bottom"/>
            <w:shd w:val="clear" w:color="auto" w:fill="DDDDDD"/>
          </w:tcPr>
          <w:p>
            <w:pPr>
              <w:spacing w:after="0"/>
              <w:rPr>
                <w:sz w:val="21"/>
                <w:szCs w:val="21"/>
                <w:color w:val="auto"/>
              </w:rPr>
            </w:pPr>
          </w:p>
        </w:tc>
        <w:tc>
          <w:tcPr>
            <w:tcW w:w="140" w:type="dxa"/>
            <w:vAlign w:val="bottom"/>
            <w:shd w:val="clear" w:color="auto" w:fill="DDDDDD"/>
          </w:tcPr>
          <w:p>
            <w:pPr>
              <w:spacing w:after="0"/>
              <w:rPr>
                <w:sz w:val="21"/>
                <w:szCs w:val="21"/>
                <w:color w:val="auto"/>
              </w:rPr>
            </w:pPr>
          </w:p>
        </w:tc>
        <w:tc>
          <w:tcPr>
            <w:tcW w:w="880" w:type="dxa"/>
            <w:vAlign w:val="bottom"/>
            <w:shd w:val="clear" w:color="auto" w:fill="DDDDDD"/>
          </w:tcPr>
          <w:p>
            <w:pPr>
              <w:jc w:val="right"/>
              <w:spacing w:after="0"/>
              <w:rPr>
                <w:sz w:val="20"/>
                <w:szCs w:val="20"/>
                <w:color w:val="auto"/>
              </w:rPr>
            </w:pPr>
            <w:r>
              <w:rPr>
                <w:rFonts w:ascii="Times New Roman" w:cs="Times New Roman" w:eastAsia="Times New Roman" w:hAnsi="Times New Roman"/>
                <w:sz w:val="16"/>
                <w:szCs w:val="16"/>
                <w:color w:val="auto"/>
              </w:rPr>
              <w:t>516</w:t>
            </w:r>
          </w:p>
        </w:tc>
        <w:tc>
          <w:tcPr>
            <w:tcW w:w="40" w:type="dxa"/>
            <w:vAlign w:val="bottom"/>
            <w:shd w:val="clear" w:color="auto" w:fill="DDDDDD"/>
          </w:tcPr>
          <w:p>
            <w:pPr>
              <w:spacing w:after="0"/>
              <w:rPr>
                <w:sz w:val="21"/>
                <w:szCs w:val="21"/>
                <w:color w:val="auto"/>
              </w:rPr>
            </w:pPr>
          </w:p>
        </w:tc>
        <w:tc>
          <w:tcPr>
            <w:tcW w:w="20" w:type="dxa"/>
            <w:vAlign w:val="bottom"/>
            <w:shd w:val="clear" w:color="auto" w:fill="DDDDDD"/>
          </w:tcPr>
          <w:p>
            <w:pPr>
              <w:spacing w:after="0"/>
              <w:rPr>
                <w:sz w:val="21"/>
                <w:szCs w:val="21"/>
                <w:color w:val="auto"/>
              </w:rPr>
            </w:pPr>
          </w:p>
        </w:tc>
        <w:tc>
          <w:tcPr>
            <w:tcW w:w="160" w:type="dxa"/>
            <w:vAlign w:val="bottom"/>
            <w:shd w:val="clear" w:color="auto" w:fill="DDDDDD"/>
          </w:tcPr>
          <w:p>
            <w:pPr>
              <w:spacing w:after="0"/>
              <w:rPr>
                <w:sz w:val="21"/>
                <w:szCs w:val="21"/>
                <w:color w:val="auto"/>
              </w:rPr>
            </w:pPr>
          </w:p>
        </w:tc>
        <w:tc>
          <w:tcPr>
            <w:tcW w:w="860" w:type="dxa"/>
            <w:vAlign w:val="bottom"/>
            <w:shd w:val="clear" w:color="auto" w:fill="DDDDDD"/>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40" w:type="dxa"/>
            <w:vAlign w:val="bottom"/>
            <w:shd w:val="clear" w:color="auto" w:fill="DDDDDD"/>
          </w:tcPr>
          <w:p>
            <w:pPr>
              <w:spacing w:after="0"/>
              <w:rPr>
                <w:sz w:val="21"/>
                <w:szCs w:val="21"/>
                <w:color w:val="auto"/>
              </w:rPr>
            </w:pPr>
          </w:p>
        </w:tc>
        <w:tc>
          <w:tcPr>
            <w:tcW w:w="20" w:type="dxa"/>
            <w:vAlign w:val="bottom"/>
            <w:shd w:val="clear" w:color="auto" w:fill="DDDDDD"/>
          </w:tcPr>
          <w:p>
            <w:pPr>
              <w:spacing w:after="0"/>
              <w:rPr>
                <w:sz w:val="21"/>
                <w:szCs w:val="21"/>
                <w:color w:val="auto"/>
              </w:rPr>
            </w:pPr>
          </w:p>
        </w:tc>
        <w:tc>
          <w:tcPr>
            <w:tcW w:w="280" w:type="dxa"/>
            <w:vAlign w:val="bottom"/>
            <w:shd w:val="clear" w:color="auto" w:fill="DDDDDD"/>
          </w:tcPr>
          <w:p>
            <w:pPr>
              <w:spacing w:after="0"/>
              <w:rPr>
                <w:sz w:val="21"/>
                <w:szCs w:val="21"/>
                <w:color w:val="auto"/>
              </w:rPr>
            </w:pPr>
          </w:p>
        </w:tc>
        <w:tc>
          <w:tcPr>
            <w:tcW w:w="720" w:type="dxa"/>
            <w:vAlign w:val="bottom"/>
            <w:shd w:val="clear" w:color="auto" w:fill="DDDDDD"/>
          </w:tcPr>
          <w:p>
            <w:pPr>
              <w:jc w:val="right"/>
              <w:spacing w:after="0"/>
              <w:rPr>
                <w:sz w:val="20"/>
                <w:szCs w:val="20"/>
                <w:color w:val="auto"/>
              </w:rPr>
            </w:pPr>
            <w:r>
              <w:rPr>
                <w:rFonts w:ascii="Times New Roman" w:cs="Times New Roman" w:eastAsia="Times New Roman" w:hAnsi="Times New Roman"/>
                <w:sz w:val="16"/>
                <w:szCs w:val="16"/>
                <w:color w:val="auto"/>
              </w:rPr>
              <w:t>14,901</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31"/>
        </w:trPr>
        <w:tc>
          <w:tcPr>
            <w:tcW w:w="40" w:type="dxa"/>
            <w:vAlign w:val="bottom"/>
          </w:tcPr>
          <w:p>
            <w:pPr>
              <w:spacing w:after="0"/>
              <w:rPr>
                <w:sz w:val="20"/>
                <w:szCs w:val="20"/>
                <w:color w:val="auto"/>
              </w:rPr>
            </w:pPr>
          </w:p>
        </w:tc>
        <w:tc>
          <w:tcPr>
            <w:tcW w:w="2620" w:type="dxa"/>
            <w:vAlign w:val="bottom"/>
            <w:gridSpan w:val="3"/>
          </w:tcPr>
          <w:p>
            <w:pPr>
              <w:ind w:left="140"/>
              <w:spacing w:after="0"/>
              <w:rPr>
                <w:sz w:val="20"/>
                <w:szCs w:val="20"/>
                <w:color w:val="auto"/>
              </w:rPr>
            </w:pPr>
            <w:r>
              <w:rPr>
                <w:rFonts w:ascii="Times New Roman" w:cs="Times New Roman" w:eastAsia="Times New Roman" w:hAnsi="Times New Roman"/>
                <w:sz w:val="16"/>
                <w:szCs w:val="16"/>
                <w:color w:val="auto"/>
              </w:rPr>
              <w:t>Distributions</w:t>
            </w:r>
          </w:p>
        </w:tc>
        <w:tc>
          <w:tcPr>
            <w:tcW w:w="10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tcPr>
          <w:p>
            <w:pPr>
              <w:spacing w:after="0"/>
              <w:rPr>
                <w:sz w:val="20"/>
                <w:szCs w:val="20"/>
                <w:color w:val="auto"/>
              </w:rPr>
            </w:pPr>
          </w:p>
        </w:tc>
        <w:tc>
          <w:tcPr>
            <w:tcW w:w="940" w:type="dxa"/>
            <w:vAlign w:val="bottom"/>
          </w:tcPr>
          <w:p>
            <w:pPr>
              <w:jc w:val="right"/>
              <w:ind w:right="1"/>
              <w:spacing w:after="0"/>
              <w:rPr>
                <w:sz w:val="20"/>
                <w:szCs w:val="20"/>
                <w:color w:val="auto"/>
              </w:rPr>
            </w:pPr>
            <w:r>
              <w:rPr>
                <w:rFonts w:ascii="Times New Roman" w:cs="Times New Roman" w:eastAsia="Times New Roman" w:hAnsi="Times New Roman"/>
                <w:sz w:val="16"/>
                <w:szCs w:val="16"/>
                <w:color w:val="auto"/>
              </w:rPr>
              <w:t>—</w:t>
            </w:r>
          </w:p>
        </w:tc>
        <w:tc>
          <w:tcPr>
            <w:tcW w:w="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tcPr>
          <w:p>
            <w:pPr>
              <w:spacing w:after="0"/>
              <w:rPr>
                <w:sz w:val="20"/>
                <w:szCs w:val="20"/>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(7,187)</w:t>
            </w:r>
          </w:p>
        </w:tc>
        <w:tc>
          <w:tcPr>
            <w:tcW w:w="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(7,187)</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9"/>
        </w:trPr>
        <w:tc>
          <w:tcPr>
            <w:tcW w:w="40" w:type="dxa"/>
            <w:vAlign w:val="bottom"/>
            <w:shd w:val="clear" w:color="auto" w:fill="DDDDDD"/>
          </w:tcPr>
          <w:p>
            <w:pPr>
              <w:spacing w:after="0"/>
              <w:rPr>
                <w:sz w:val="18"/>
                <w:szCs w:val="18"/>
                <w:color w:val="auto"/>
              </w:rPr>
            </w:pPr>
          </w:p>
        </w:tc>
        <w:tc>
          <w:tcPr>
            <w:tcW w:w="2620" w:type="dxa"/>
            <w:vAlign w:val="bottom"/>
            <w:gridSpan w:val="3"/>
            <w:shd w:val="clear" w:color="auto" w:fill="DDDDDD"/>
          </w:tcPr>
          <w:p>
            <w:pPr>
              <w:ind w:left="140"/>
              <w:spacing w:after="0"/>
              <w:rPr>
                <w:sz w:val="20"/>
                <w:szCs w:val="20"/>
                <w:color w:val="auto"/>
              </w:rPr>
            </w:pPr>
            <w:r>
              <w:rPr>
                <w:rFonts w:ascii="Times New Roman" w:cs="Times New Roman" w:eastAsia="Times New Roman" w:hAnsi="Times New Roman"/>
                <w:sz w:val="16"/>
                <w:szCs w:val="16"/>
                <w:color w:val="auto"/>
              </w:rPr>
              <w:t>Issuance of common stock - vesting</w:t>
            </w:r>
          </w:p>
        </w:tc>
        <w:tc>
          <w:tcPr>
            <w:tcW w:w="1040" w:type="dxa"/>
            <w:vAlign w:val="bottom"/>
            <w:shd w:val="clear" w:color="auto" w:fill="DDDDDD"/>
          </w:tcPr>
          <w:p>
            <w:pPr>
              <w:spacing w:after="0"/>
              <w:rPr>
                <w:sz w:val="18"/>
                <w:szCs w:val="18"/>
                <w:color w:val="auto"/>
              </w:rPr>
            </w:pPr>
          </w:p>
        </w:tc>
        <w:tc>
          <w:tcPr>
            <w:tcW w:w="180" w:type="dxa"/>
            <w:vAlign w:val="bottom"/>
            <w:shd w:val="clear" w:color="auto" w:fill="DDDDDD"/>
          </w:tcPr>
          <w:p>
            <w:pPr>
              <w:spacing w:after="0"/>
              <w:rPr>
                <w:sz w:val="18"/>
                <w:szCs w:val="18"/>
                <w:color w:val="auto"/>
              </w:rPr>
            </w:pPr>
          </w:p>
        </w:tc>
        <w:tc>
          <w:tcPr>
            <w:tcW w:w="940" w:type="dxa"/>
            <w:vAlign w:val="bottom"/>
            <w:shd w:val="clear" w:color="auto" w:fill="DDDDDD"/>
          </w:tcPr>
          <w:p>
            <w:pPr>
              <w:spacing w:after="0"/>
              <w:rPr>
                <w:sz w:val="18"/>
                <w:szCs w:val="18"/>
                <w:color w:val="auto"/>
              </w:rPr>
            </w:pPr>
          </w:p>
        </w:tc>
        <w:tc>
          <w:tcPr>
            <w:tcW w:w="40" w:type="dxa"/>
            <w:vAlign w:val="bottom"/>
            <w:shd w:val="clear" w:color="auto" w:fill="DDDDDD"/>
          </w:tcPr>
          <w:p>
            <w:pPr>
              <w:spacing w:after="0"/>
              <w:rPr>
                <w:sz w:val="18"/>
                <w:szCs w:val="18"/>
                <w:color w:val="auto"/>
              </w:rPr>
            </w:pPr>
          </w:p>
        </w:tc>
        <w:tc>
          <w:tcPr>
            <w:tcW w:w="20" w:type="dxa"/>
            <w:vAlign w:val="bottom"/>
            <w:shd w:val="clear" w:color="auto" w:fill="DDDDDD"/>
          </w:tcPr>
          <w:p>
            <w:pPr>
              <w:spacing w:after="0"/>
              <w:rPr>
                <w:sz w:val="18"/>
                <w:szCs w:val="18"/>
                <w:color w:val="auto"/>
              </w:rPr>
            </w:pPr>
          </w:p>
        </w:tc>
        <w:tc>
          <w:tcPr>
            <w:tcW w:w="1000" w:type="dxa"/>
            <w:vAlign w:val="bottom"/>
            <w:shd w:val="clear" w:color="auto" w:fill="DDDDDD"/>
          </w:tcPr>
          <w:p>
            <w:pPr>
              <w:spacing w:after="0"/>
              <w:rPr>
                <w:sz w:val="18"/>
                <w:szCs w:val="18"/>
                <w:color w:val="auto"/>
              </w:rPr>
            </w:pPr>
          </w:p>
        </w:tc>
        <w:tc>
          <w:tcPr>
            <w:tcW w:w="160" w:type="dxa"/>
            <w:vAlign w:val="bottom"/>
            <w:shd w:val="clear" w:color="auto" w:fill="DDDDDD"/>
          </w:tcPr>
          <w:p>
            <w:pPr>
              <w:spacing w:after="0"/>
              <w:rPr>
                <w:sz w:val="18"/>
                <w:szCs w:val="18"/>
                <w:color w:val="auto"/>
              </w:rPr>
            </w:pPr>
          </w:p>
        </w:tc>
        <w:tc>
          <w:tcPr>
            <w:tcW w:w="860" w:type="dxa"/>
            <w:vAlign w:val="bottom"/>
            <w:shd w:val="clear" w:color="auto" w:fill="DDDDDD"/>
          </w:tcPr>
          <w:p>
            <w:pPr>
              <w:spacing w:after="0"/>
              <w:rPr>
                <w:sz w:val="18"/>
                <w:szCs w:val="18"/>
                <w:color w:val="auto"/>
              </w:rPr>
            </w:pPr>
          </w:p>
        </w:tc>
        <w:tc>
          <w:tcPr>
            <w:tcW w:w="40" w:type="dxa"/>
            <w:vAlign w:val="bottom"/>
            <w:shd w:val="clear" w:color="auto" w:fill="DDDDDD"/>
          </w:tcPr>
          <w:p>
            <w:pPr>
              <w:spacing w:after="0"/>
              <w:rPr>
                <w:sz w:val="18"/>
                <w:szCs w:val="18"/>
                <w:color w:val="auto"/>
              </w:rPr>
            </w:pPr>
          </w:p>
        </w:tc>
        <w:tc>
          <w:tcPr>
            <w:tcW w:w="20" w:type="dxa"/>
            <w:vAlign w:val="bottom"/>
            <w:shd w:val="clear" w:color="auto" w:fill="DDDDDD"/>
          </w:tcPr>
          <w:p>
            <w:pPr>
              <w:spacing w:after="0"/>
              <w:rPr>
                <w:sz w:val="18"/>
                <w:szCs w:val="18"/>
                <w:color w:val="auto"/>
              </w:rPr>
            </w:pPr>
          </w:p>
        </w:tc>
        <w:tc>
          <w:tcPr>
            <w:tcW w:w="140" w:type="dxa"/>
            <w:vAlign w:val="bottom"/>
            <w:shd w:val="clear" w:color="auto" w:fill="DDDDDD"/>
          </w:tcPr>
          <w:p>
            <w:pPr>
              <w:spacing w:after="0"/>
              <w:rPr>
                <w:sz w:val="18"/>
                <w:szCs w:val="18"/>
                <w:color w:val="auto"/>
              </w:rPr>
            </w:pPr>
          </w:p>
        </w:tc>
        <w:tc>
          <w:tcPr>
            <w:tcW w:w="880" w:type="dxa"/>
            <w:vAlign w:val="bottom"/>
            <w:shd w:val="clear" w:color="auto" w:fill="DDDDDD"/>
          </w:tcPr>
          <w:p>
            <w:pPr>
              <w:spacing w:after="0"/>
              <w:rPr>
                <w:sz w:val="18"/>
                <w:szCs w:val="18"/>
                <w:color w:val="auto"/>
              </w:rPr>
            </w:pPr>
          </w:p>
        </w:tc>
        <w:tc>
          <w:tcPr>
            <w:tcW w:w="60" w:type="dxa"/>
            <w:vAlign w:val="bottom"/>
            <w:shd w:val="clear" w:color="auto" w:fill="DDDDDD"/>
          </w:tcPr>
          <w:p>
            <w:pPr>
              <w:spacing w:after="0"/>
              <w:rPr>
                <w:sz w:val="18"/>
                <w:szCs w:val="18"/>
                <w:color w:val="auto"/>
              </w:rPr>
            </w:pPr>
          </w:p>
        </w:tc>
        <w:tc>
          <w:tcPr>
            <w:tcW w:w="20" w:type="dxa"/>
            <w:vAlign w:val="bottom"/>
            <w:shd w:val="clear" w:color="auto" w:fill="DDDDDD"/>
          </w:tcPr>
          <w:p>
            <w:pPr>
              <w:spacing w:after="0"/>
              <w:rPr>
                <w:sz w:val="18"/>
                <w:szCs w:val="18"/>
                <w:color w:val="auto"/>
              </w:rPr>
            </w:pPr>
          </w:p>
        </w:tc>
        <w:tc>
          <w:tcPr>
            <w:tcW w:w="220" w:type="dxa"/>
            <w:vAlign w:val="bottom"/>
            <w:shd w:val="clear" w:color="auto" w:fill="DDDDDD"/>
          </w:tcPr>
          <w:p>
            <w:pPr>
              <w:spacing w:after="0"/>
              <w:rPr>
                <w:sz w:val="18"/>
                <w:szCs w:val="18"/>
                <w:color w:val="auto"/>
              </w:rPr>
            </w:pPr>
          </w:p>
        </w:tc>
        <w:tc>
          <w:tcPr>
            <w:tcW w:w="900" w:type="dxa"/>
            <w:vAlign w:val="bottom"/>
            <w:shd w:val="clear" w:color="auto" w:fill="DDDDDD"/>
          </w:tcPr>
          <w:p>
            <w:pPr>
              <w:spacing w:after="0"/>
              <w:rPr>
                <w:sz w:val="18"/>
                <w:szCs w:val="18"/>
                <w:color w:val="auto"/>
              </w:rPr>
            </w:pPr>
          </w:p>
        </w:tc>
        <w:tc>
          <w:tcPr>
            <w:tcW w:w="60" w:type="dxa"/>
            <w:vAlign w:val="bottom"/>
            <w:shd w:val="clear" w:color="auto" w:fill="DDDDDD"/>
          </w:tcPr>
          <w:p>
            <w:pPr>
              <w:spacing w:after="0"/>
              <w:rPr>
                <w:sz w:val="18"/>
                <w:szCs w:val="18"/>
                <w:color w:val="auto"/>
              </w:rPr>
            </w:pPr>
          </w:p>
        </w:tc>
        <w:tc>
          <w:tcPr>
            <w:tcW w:w="160" w:type="dxa"/>
            <w:vAlign w:val="bottom"/>
            <w:shd w:val="clear" w:color="auto" w:fill="DDDDDD"/>
          </w:tcPr>
          <w:p>
            <w:pPr>
              <w:spacing w:after="0"/>
              <w:rPr>
                <w:sz w:val="18"/>
                <w:szCs w:val="18"/>
                <w:color w:val="auto"/>
              </w:rPr>
            </w:pPr>
          </w:p>
        </w:tc>
        <w:tc>
          <w:tcPr>
            <w:tcW w:w="1140" w:type="dxa"/>
            <w:vAlign w:val="bottom"/>
            <w:shd w:val="clear" w:color="auto" w:fill="DDDDDD"/>
          </w:tcPr>
          <w:p>
            <w:pPr>
              <w:spacing w:after="0"/>
              <w:rPr>
                <w:sz w:val="18"/>
                <w:szCs w:val="18"/>
                <w:color w:val="auto"/>
              </w:rPr>
            </w:pPr>
          </w:p>
        </w:tc>
        <w:tc>
          <w:tcPr>
            <w:tcW w:w="40" w:type="dxa"/>
            <w:vAlign w:val="bottom"/>
            <w:shd w:val="clear" w:color="auto" w:fill="DDDDDD"/>
          </w:tcPr>
          <w:p>
            <w:pPr>
              <w:spacing w:after="0"/>
              <w:rPr>
                <w:sz w:val="18"/>
                <w:szCs w:val="18"/>
                <w:color w:val="auto"/>
              </w:rPr>
            </w:pPr>
          </w:p>
        </w:tc>
        <w:tc>
          <w:tcPr>
            <w:tcW w:w="20" w:type="dxa"/>
            <w:vAlign w:val="bottom"/>
            <w:shd w:val="clear" w:color="auto" w:fill="DDDDDD"/>
          </w:tcPr>
          <w:p>
            <w:pPr>
              <w:spacing w:after="0"/>
              <w:rPr>
                <w:sz w:val="18"/>
                <w:szCs w:val="18"/>
                <w:color w:val="auto"/>
              </w:rPr>
            </w:pPr>
          </w:p>
        </w:tc>
        <w:tc>
          <w:tcPr>
            <w:tcW w:w="140" w:type="dxa"/>
            <w:vAlign w:val="bottom"/>
            <w:shd w:val="clear" w:color="auto" w:fill="DDDDDD"/>
          </w:tcPr>
          <w:p>
            <w:pPr>
              <w:spacing w:after="0"/>
              <w:rPr>
                <w:sz w:val="18"/>
                <w:szCs w:val="18"/>
                <w:color w:val="auto"/>
              </w:rPr>
            </w:pPr>
          </w:p>
        </w:tc>
        <w:tc>
          <w:tcPr>
            <w:tcW w:w="880" w:type="dxa"/>
            <w:vAlign w:val="bottom"/>
            <w:shd w:val="clear" w:color="auto" w:fill="DDDDDD"/>
          </w:tcPr>
          <w:p>
            <w:pPr>
              <w:spacing w:after="0"/>
              <w:rPr>
                <w:sz w:val="18"/>
                <w:szCs w:val="18"/>
                <w:color w:val="auto"/>
              </w:rPr>
            </w:pPr>
          </w:p>
        </w:tc>
        <w:tc>
          <w:tcPr>
            <w:tcW w:w="40" w:type="dxa"/>
            <w:vAlign w:val="bottom"/>
            <w:shd w:val="clear" w:color="auto" w:fill="DDDDDD"/>
          </w:tcPr>
          <w:p>
            <w:pPr>
              <w:spacing w:after="0"/>
              <w:rPr>
                <w:sz w:val="18"/>
                <w:szCs w:val="18"/>
                <w:color w:val="auto"/>
              </w:rPr>
            </w:pPr>
          </w:p>
        </w:tc>
        <w:tc>
          <w:tcPr>
            <w:tcW w:w="20" w:type="dxa"/>
            <w:vAlign w:val="bottom"/>
            <w:shd w:val="clear" w:color="auto" w:fill="DDDDDD"/>
          </w:tcPr>
          <w:p>
            <w:pPr>
              <w:spacing w:after="0"/>
              <w:rPr>
                <w:sz w:val="18"/>
                <w:szCs w:val="18"/>
                <w:color w:val="auto"/>
              </w:rPr>
            </w:pPr>
          </w:p>
        </w:tc>
        <w:tc>
          <w:tcPr>
            <w:tcW w:w="160" w:type="dxa"/>
            <w:vAlign w:val="bottom"/>
            <w:shd w:val="clear" w:color="auto" w:fill="DDDDDD"/>
          </w:tcPr>
          <w:p>
            <w:pPr>
              <w:spacing w:after="0"/>
              <w:rPr>
                <w:sz w:val="18"/>
                <w:szCs w:val="18"/>
                <w:color w:val="auto"/>
              </w:rPr>
            </w:pPr>
          </w:p>
        </w:tc>
        <w:tc>
          <w:tcPr>
            <w:tcW w:w="860" w:type="dxa"/>
            <w:vAlign w:val="bottom"/>
            <w:shd w:val="clear" w:color="auto" w:fill="DDDDDD"/>
          </w:tcPr>
          <w:p>
            <w:pPr>
              <w:spacing w:after="0"/>
              <w:rPr>
                <w:sz w:val="18"/>
                <w:szCs w:val="18"/>
                <w:color w:val="auto"/>
              </w:rPr>
            </w:pPr>
          </w:p>
        </w:tc>
        <w:tc>
          <w:tcPr>
            <w:tcW w:w="40" w:type="dxa"/>
            <w:vAlign w:val="bottom"/>
            <w:shd w:val="clear" w:color="auto" w:fill="DDDDDD"/>
          </w:tcPr>
          <w:p>
            <w:pPr>
              <w:spacing w:after="0"/>
              <w:rPr>
                <w:sz w:val="18"/>
                <w:szCs w:val="18"/>
                <w:color w:val="auto"/>
              </w:rPr>
            </w:pPr>
          </w:p>
        </w:tc>
        <w:tc>
          <w:tcPr>
            <w:tcW w:w="20" w:type="dxa"/>
            <w:vAlign w:val="bottom"/>
            <w:shd w:val="clear" w:color="auto" w:fill="DDDDDD"/>
          </w:tcPr>
          <w:p>
            <w:pPr>
              <w:spacing w:after="0"/>
              <w:rPr>
                <w:sz w:val="18"/>
                <w:szCs w:val="18"/>
                <w:color w:val="auto"/>
              </w:rPr>
            </w:pPr>
          </w:p>
        </w:tc>
        <w:tc>
          <w:tcPr>
            <w:tcW w:w="280" w:type="dxa"/>
            <w:vAlign w:val="bottom"/>
            <w:shd w:val="clear" w:color="auto" w:fill="DDDDDD"/>
          </w:tcPr>
          <w:p>
            <w:pPr>
              <w:spacing w:after="0"/>
              <w:rPr>
                <w:sz w:val="18"/>
                <w:szCs w:val="18"/>
                <w:color w:val="auto"/>
              </w:rPr>
            </w:pPr>
          </w:p>
        </w:tc>
        <w:tc>
          <w:tcPr>
            <w:tcW w:w="720" w:type="dxa"/>
            <w:vAlign w:val="bottom"/>
            <w:shd w:val="clear" w:color="auto" w:fill="DDDDDD"/>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87"/>
        </w:trPr>
        <w:tc>
          <w:tcPr>
            <w:tcW w:w="40" w:type="dxa"/>
            <w:vAlign w:val="bottom"/>
            <w:shd w:val="clear" w:color="auto" w:fill="DDDDDD"/>
          </w:tcPr>
          <w:p>
            <w:pPr>
              <w:spacing w:after="0"/>
              <w:rPr>
                <w:sz w:val="16"/>
                <w:szCs w:val="16"/>
                <w:color w:val="auto"/>
              </w:rPr>
            </w:pPr>
          </w:p>
        </w:tc>
        <w:tc>
          <w:tcPr>
            <w:tcW w:w="2620" w:type="dxa"/>
            <w:vAlign w:val="bottom"/>
            <w:gridSpan w:val="3"/>
            <w:shd w:val="clear" w:color="auto" w:fill="DDDDDD"/>
          </w:tcPr>
          <w:p>
            <w:pPr>
              <w:ind w:left="140"/>
              <w:spacing w:after="0"/>
              <w:rPr>
                <w:sz w:val="20"/>
                <w:szCs w:val="20"/>
                <w:color w:val="auto"/>
              </w:rPr>
            </w:pPr>
            <w:r>
              <w:rPr>
                <w:rFonts w:ascii="Times New Roman" w:cs="Times New Roman" w:eastAsia="Times New Roman" w:hAnsi="Times New Roman"/>
                <w:sz w:val="16"/>
                <w:szCs w:val="16"/>
                <w:color w:val="auto"/>
              </w:rPr>
              <w:t>of restricted stock units, net of shares</w:t>
            </w:r>
          </w:p>
        </w:tc>
        <w:tc>
          <w:tcPr>
            <w:tcW w:w="1040" w:type="dxa"/>
            <w:vAlign w:val="bottom"/>
            <w:vMerge w:val="restart"/>
            <w:shd w:val="clear" w:color="auto" w:fill="DDDDDD"/>
          </w:tcPr>
          <w:p>
            <w:pPr>
              <w:jc w:val="right"/>
              <w:spacing w:after="0"/>
              <w:rPr>
                <w:sz w:val="20"/>
                <w:szCs w:val="20"/>
                <w:color w:val="auto"/>
              </w:rPr>
            </w:pPr>
            <w:r>
              <w:rPr>
                <w:rFonts w:ascii="Times New Roman" w:cs="Times New Roman" w:eastAsia="Times New Roman" w:hAnsi="Times New Roman"/>
                <w:sz w:val="16"/>
                <w:szCs w:val="16"/>
                <w:color w:val="auto"/>
              </w:rPr>
              <w:t>2,242,930</w:t>
            </w:r>
          </w:p>
        </w:tc>
        <w:tc>
          <w:tcPr>
            <w:tcW w:w="180" w:type="dxa"/>
            <w:vAlign w:val="bottom"/>
            <w:shd w:val="clear" w:color="auto" w:fill="DDDDDD"/>
          </w:tcPr>
          <w:p>
            <w:pPr>
              <w:spacing w:after="0"/>
              <w:rPr>
                <w:sz w:val="16"/>
                <w:szCs w:val="16"/>
                <w:color w:val="auto"/>
              </w:rPr>
            </w:pPr>
          </w:p>
        </w:tc>
        <w:tc>
          <w:tcPr>
            <w:tcW w:w="940" w:type="dxa"/>
            <w:vAlign w:val="bottom"/>
            <w:vMerge w:val="restart"/>
            <w:shd w:val="clear" w:color="auto" w:fill="DDDDDD"/>
          </w:tcPr>
          <w:p>
            <w:pPr>
              <w:jc w:val="right"/>
              <w:ind w:right="1"/>
              <w:spacing w:after="0"/>
              <w:rPr>
                <w:sz w:val="20"/>
                <w:szCs w:val="20"/>
                <w:color w:val="auto"/>
              </w:rPr>
            </w:pPr>
            <w:r>
              <w:rPr>
                <w:rFonts w:ascii="Times New Roman" w:cs="Times New Roman" w:eastAsia="Times New Roman" w:hAnsi="Times New Roman"/>
                <w:sz w:val="16"/>
                <w:szCs w:val="16"/>
                <w:color w:val="auto"/>
              </w:rPr>
              <w:t>—</w:t>
            </w:r>
          </w:p>
        </w:tc>
        <w:tc>
          <w:tcPr>
            <w:tcW w:w="40" w:type="dxa"/>
            <w:vAlign w:val="bottom"/>
            <w:shd w:val="clear" w:color="auto" w:fill="DDDDDD"/>
          </w:tcPr>
          <w:p>
            <w:pPr>
              <w:spacing w:after="0"/>
              <w:rPr>
                <w:sz w:val="16"/>
                <w:szCs w:val="16"/>
                <w:color w:val="auto"/>
              </w:rPr>
            </w:pPr>
          </w:p>
        </w:tc>
        <w:tc>
          <w:tcPr>
            <w:tcW w:w="20" w:type="dxa"/>
            <w:vAlign w:val="bottom"/>
            <w:shd w:val="clear" w:color="auto" w:fill="DDDDDD"/>
          </w:tcPr>
          <w:p>
            <w:pPr>
              <w:spacing w:after="0"/>
              <w:rPr>
                <w:sz w:val="16"/>
                <w:szCs w:val="16"/>
                <w:color w:val="auto"/>
              </w:rPr>
            </w:pPr>
          </w:p>
        </w:tc>
        <w:tc>
          <w:tcPr>
            <w:tcW w:w="1000" w:type="dxa"/>
            <w:vAlign w:val="bottom"/>
            <w:vMerge w:val="restart"/>
            <w:shd w:val="clear" w:color="auto" w:fill="DDDDDD"/>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shd w:val="clear" w:color="auto" w:fill="DDDDDD"/>
          </w:tcPr>
          <w:p>
            <w:pPr>
              <w:spacing w:after="0"/>
              <w:rPr>
                <w:sz w:val="16"/>
                <w:szCs w:val="16"/>
                <w:color w:val="auto"/>
              </w:rPr>
            </w:pPr>
          </w:p>
        </w:tc>
        <w:tc>
          <w:tcPr>
            <w:tcW w:w="860" w:type="dxa"/>
            <w:vAlign w:val="bottom"/>
            <w:vMerge w:val="restart"/>
            <w:shd w:val="clear" w:color="auto" w:fill="DDDDDD"/>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40" w:type="dxa"/>
            <w:vAlign w:val="bottom"/>
            <w:shd w:val="clear" w:color="auto" w:fill="DDDDDD"/>
          </w:tcPr>
          <w:p>
            <w:pPr>
              <w:spacing w:after="0"/>
              <w:rPr>
                <w:sz w:val="16"/>
                <w:szCs w:val="16"/>
                <w:color w:val="auto"/>
              </w:rPr>
            </w:pPr>
          </w:p>
        </w:tc>
        <w:tc>
          <w:tcPr>
            <w:tcW w:w="20" w:type="dxa"/>
            <w:vAlign w:val="bottom"/>
            <w:shd w:val="clear" w:color="auto" w:fill="DDDDDD"/>
          </w:tcPr>
          <w:p>
            <w:pPr>
              <w:spacing w:after="0"/>
              <w:rPr>
                <w:sz w:val="16"/>
                <w:szCs w:val="16"/>
                <w:color w:val="auto"/>
              </w:rPr>
            </w:pPr>
          </w:p>
        </w:tc>
        <w:tc>
          <w:tcPr>
            <w:tcW w:w="140" w:type="dxa"/>
            <w:vAlign w:val="bottom"/>
            <w:shd w:val="clear" w:color="auto" w:fill="DDDDDD"/>
          </w:tcPr>
          <w:p>
            <w:pPr>
              <w:spacing w:after="0"/>
              <w:rPr>
                <w:sz w:val="16"/>
                <w:szCs w:val="16"/>
                <w:color w:val="auto"/>
              </w:rPr>
            </w:pPr>
          </w:p>
        </w:tc>
        <w:tc>
          <w:tcPr>
            <w:tcW w:w="880" w:type="dxa"/>
            <w:vAlign w:val="bottom"/>
            <w:vMerge w:val="restart"/>
            <w:shd w:val="clear" w:color="auto" w:fill="DDDDDD"/>
          </w:tcPr>
          <w:p>
            <w:pPr>
              <w:jc w:val="right"/>
              <w:spacing w:after="0"/>
              <w:rPr>
                <w:sz w:val="20"/>
                <w:szCs w:val="20"/>
                <w:color w:val="auto"/>
              </w:rPr>
            </w:pPr>
            <w:r>
              <w:rPr>
                <w:rFonts w:ascii="Times New Roman" w:cs="Times New Roman" w:eastAsia="Times New Roman" w:hAnsi="Times New Roman"/>
                <w:sz w:val="16"/>
                <w:szCs w:val="16"/>
                <w:color w:val="auto"/>
              </w:rPr>
              <w:t>(6)</w:t>
            </w:r>
          </w:p>
        </w:tc>
        <w:tc>
          <w:tcPr>
            <w:tcW w:w="60" w:type="dxa"/>
            <w:vAlign w:val="bottom"/>
            <w:shd w:val="clear" w:color="auto" w:fill="DDDDDD"/>
          </w:tcPr>
          <w:p>
            <w:pPr>
              <w:spacing w:after="0"/>
              <w:rPr>
                <w:sz w:val="16"/>
                <w:szCs w:val="16"/>
                <w:color w:val="auto"/>
              </w:rPr>
            </w:pPr>
          </w:p>
        </w:tc>
        <w:tc>
          <w:tcPr>
            <w:tcW w:w="20" w:type="dxa"/>
            <w:vAlign w:val="bottom"/>
            <w:shd w:val="clear" w:color="auto" w:fill="DDDDDD"/>
          </w:tcPr>
          <w:p>
            <w:pPr>
              <w:spacing w:after="0"/>
              <w:rPr>
                <w:sz w:val="16"/>
                <w:szCs w:val="16"/>
                <w:color w:val="auto"/>
              </w:rPr>
            </w:pPr>
          </w:p>
        </w:tc>
        <w:tc>
          <w:tcPr>
            <w:tcW w:w="220" w:type="dxa"/>
            <w:vAlign w:val="bottom"/>
            <w:shd w:val="clear" w:color="auto" w:fill="DDDDDD"/>
          </w:tcPr>
          <w:p>
            <w:pPr>
              <w:spacing w:after="0"/>
              <w:rPr>
                <w:sz w:val="16"/>
                <w:szCs w:val="16"/>
                <w:color w:val="auto"/>
              </w:rPr>
            </w:pPr>
          </w:p>
        </w:tc>
        <w:tc>
          <w:tcPr>
            <w:tcW w:w="900" w:type="dxa"/>
            <w:vAlign w:val="bottom"/>
            <w:vMerge w:val="restart"/>
            <w:shd w:val="clear" w:color="auto" w:fill="DDDDDD"/>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60" w:type="dxa"/>
            <w:vAlign w:val="bottom"/>
            <w:shd w:val="clear" w:color="auto" w:fill="DDDDDD"/>
          </w:tcPr>
          <w:p>
            <w:pPr>
              <w:spacing w:after="0"/>
              <w:rPr>
                <w:sz w:val="16"/>
                <w:szCs w:val="16"/>
                <w:color w:val="auto"/>
              </w:rPr>
            </w:pPr>
          </w:p>
        </w:tc>
        <w:tc>
          <w:tcPr>
            <w:tcW w:w="160" w:type="dxa"/>
            <w:vAlign w:val="bottom"/>
            <w:shd w:val="clear" w:color="auto" w:fill="DDDDDD"/>
          </w:tcPr>
          <w:p>
            <w:pPr>
              <w:spacing w:after="0"/>
              <w:rPr>
                <w:sz w:val="16"/>
                <w:szCs w:val="16"/>
                <w:color w:val="auto"/>
              </w:rPr>
            </w:pPr>
          </w:p>
        </w:tc>
        <w:tc>
          <w:tcPr>
            <w:tcW w:w="1140" w:type="dxa"/>
            <w:vAlign w:val="bottom"/>
            <w:vMerge w:val="restart"/>
            <w:shd w:val="clear" w:color="auto" w:fill="DDDDDD"/>
          </w:tcPr>
          <w:p>
            <w:pPr>
              <w:jc w:val="right"/>
              <w:spacing w:after="0"/>
              <w:rPr>
                <w:sz w:val="20"/>
                <w:szCs w:val="20"/>
                <w:color w:val="auto"/>
              </w:rPr>
            </w:pPr>
            <w:r>
              <w:rPr>
                <w:rFonts w:ascii="Times New Roman" w:cs="Times New Roman" w:eastAsia="Times New Roman" w:hAnsi="Times New Roman"/>
                <w:sz w:val="16"/>
                <w:szCs w:val="16"/>
                <w:color w:val="auto"/>
              </w:rPr>
              <w:t>(6)</w:t>
            </w:r>
          </w:p>
        </w:tc>
        <w:tc>
          <w:tcPr>
            <w:tcW w:w="40" w:type="dxa"/>
            <w:vAlign w:val="bottom"/>
            <w:shd w:val="clear" w:color="auto" w:fill="DDDDDD"/>
          </w:tcPr>
          <w:p>
            <w:pPr>
              <w:spacing w:after="0"/>
              <w:rPr>
                <w:sz w:val="16"/>
                <w:szCs w:val="16"/>
                <w:color w:val="auto"/>
              </w:rPr>
            </w:pPr>
          </w:p>
        </w:tc>
        <w:tc>
          <w:tcPr>
            <w:tcW w:w="20" w:type="dxa"/>
            <w:vAlign w:val="bottom"/>
            <w:shd w:val="clear" w:color="auto" w:fill="DDDDDD"/>
          </w:tcPr>
          <w:p>
            <w:pPr>
              <w:spacing w:after="0"/>
              <w:rPr>
                <w:sz w:val="16"/>
                <w:szCs w:val="16"/>
                <w:color w:val="auto"/>
              </w:rPr>
            </w:pPr>
          </w:p>
        </w:tc>
        <w:tc>
          <w:tcPr>
            <w:tcW w:w="140" w:type="dxa"/>
            <w:vAlign w:val="bottom"/>
            <w:shd w:val="clear" w:color="auto" w:fill="DDDDDD"/>
          </w:tcPr>
          <w:p>
            <w:pPr>
              <w:spacing w:after="0"/>
              <w:rPr>
                <w:sz w:val="16"/>
                <w:szCs w:val="16"/>
                <w:color w:val="auto"/>
              </w:rPr>
            </w:pPr>
          </w:p>
        </w:tc>
        <w:tc>
          <w:tcPr>
            <w:tcW w:w="880" w:type="dxa"/>
            <w:vAlign w:val="bottom"/>
            <w:vMerge w:val="restart"/>
            <w:shd w:val="clear" w:color="auto" w:fill="DDDDDD"/>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40" w:type="dxa"/>
            <w:vAlign w:val="bottom"/>
            <w:shd w:val="clear" w:color="auto" w:fill="DDDDDD"/>
          </w:tcPr>
          <w:p>
            <w:pPr>
              <w:spacing w:after="0"/>
              <w:rPr>
                <w:sz w:val="16"/>
                <w:szCs w:val="16"/>
                <w:color w:val="auto"/>
              </w:rPr>
            </w:pPr>
          </w:p>
        </w:tc>
        <w:tc>
          <w:tcPr>
            <w:tcW w:w="20" w:type="dxa"/>
            <w:vAlign w:val="bottom"/>
            <w:shd w:val="clear" w:color="auto" w:fill="DDDDDD"/>
          </w:tcPr>
          <w:p>
            <w:pPr>
              <w:spacing w:after="0"/>
              <w:rPr>
                <w:sz w:val="16"/>
                <w:szCs w:val="16"/>
                <w:color w:val="auto"/>
              </w:rPr>
            </w:pPr>
          </w:p>
        </w:tc>
        <w:tc>
          <w:tcPr>
            <w:tcW w:w="160" w:type="dxa"/>
            <w:vAlign w:val="bottom"/>
            <w:shd w:val="clear" w:color="auto" w:fill="DDDDDD"/>
          </w:tcPr>
          <w:p>
            <w:pPr>
              <w:spacing w:after="0"/>
              <w:rPr>
                <w:sz w:val="16"/>
                <w:szCs w:val="16"/>
                <w:color w:val="auto"/>
              </w:rPr>
            </w:pPr>
          </w:p>
        </w:tc>
        <w:tc>
          <w:tcPr>
            <w:tcW w:w="860" w:type="dxa"/>
            <w:vAlign w:val="bottom"/>
            <w:vMerge w:val="restart"/>
            <w:shd w:val="clear" w:color="auto" w:fill="DDDDDD"/>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40" w:type="dxa"/>
            <w:vAlign w:val="bottom"/>
            <w:shd w:val="clear" w:color="auto" w:fill="DDDDDD"/>
          </w:tcPr>
          <w:p>
            <w:pPr>
              <w:spacing w:after="0"/>
              <w:rPr>
                <w:sz w:val="16"/>
                <w:szCs w:val="16"/>
                <w:color w:val="auto"/>
              </w:rPr>
            </w:pPr>
          </w:p>
        </w:tc>
        <w:tc>
          <w:tcPr>
            <w:tcW w:w="20" w:type="dxa"/>
            <w:vAlign w:val="bottom"/>
            <w:shd w:val="clear" w:color="auto" w:fill="DDDDDD"/>
          </w:tcPr>
          <w:p>
            <w:pPr>
              <w:spacing w:after="0"/>
              <w:rPr>
                <w:sz w:val="16"/>
                <w:szCs w:val="16"/>
                <w:color w:val="auto"/>
              </w:rPr>
            </w:pPr>
          </w:p>
        </w:tc>
        <w:tc>
          <w:tcPr>
            <w:tcW w:w="280" w:type="dxa"/>
            <w:vAlign w:val="bottom"/>
            <w:shd w:val="clear" w:color="auto" w:fill="DDDDDD"/>
          </w:tcPr>
          <w:p>
            <w:pPr>
              <w:spacing w:after="0"/>
              <w:rPr>
                <w:sz w:val="16"/>
                <w:szCs w:val="16"/>
                <w:color w:val="auto"/>
              </w:rPr>
            </w:pPr>
          </w:p>
        </w:tc>
        <w:tc>
          <w:tcPr>
            <w:tcW w:w="720" w:type="dxa"/>
            <w:vAlign w:val="bottom"/>
            <w:vMerge w:val="restart"/>
            <w:shd w:val="clear" w:color="auto" w:fill="DDDDDD"/>
          </w:tcPr>
          <w:p>
            <w:pPr>
              <w:jc w:val="right"/>
              <w:spacing w:after="0"/>
              <w:rPr>
                <w:sz w:val="20"/>
                <w:szCs w:val="20"/>
                <w:color w:val="auto"/>
              </w:rPr>
            </w:pPr>
            <w:r>
              <w:rPr>
                <w:rFonts w:ascii="Times New Roman" w:cs="Times New Roman" w:eastAsia="Times New Roman" w:hAnsi="Times New Roman"/>
                <w:sz w:val="16"/>
                <w:szCs w:val="16"/>
                <w:color w:val="auto"/>
              </w:rPr>
              <w:t>(6)</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66"/>
        </w:trPr>
        <w:tc>
          <w:tcPr>
            <w:tcW w:w="40" w:type="dxa"/>
            <w:vAlign w:val="bottom"/>
            <w:shd w:val="clear" w:color="auto" w:fill="DDDDDD"/>
          </w:tcPr>
          <w:p>
            <w:pPr>
              <w:spacing w:after="0"/>
              <w:rPr>
                <w:sz w:val="14"/>
                <w:szCs w:val="14"/>
                <w:color w:val="auto"/>
              </w:rPr>
            </w:pPr>
          </w:p>
        </w:tc>
        <w:tc>
          <w:tcPr>
            <w:tcW w:w="2620" w:type="dxa"/>
            <w:vAlign w:val="bottom"/>
            <w:gridSpan w:val="3"/>
            <w:shd w:val="clear" w:color="auto" w:fill="DDDDDD"/>
          </w:tcPr>
          <w:p>
            <w:pPr>
              <w:ind w:left="140"/>
              <w:spacing w:after="0" w:line="145" w:lineRule="exact"/>
              <w:rPr>
                <w:sz w:val="20"/>
                <w:szCs w:val="20"/>
                <w:color w:val="auto"/>
              </w:rPr>
            </w:pPr>
            <w:r>
              <w:rPr>
                <w:rFonts w:ascii="Times New Roman" w:cs="Times New Roman" w:eastAsia="Times New Roman" w:hAnsi="Times New Roman"/>
                <w:sz w:val="16"/>
                <w:szCs w:val="16"/>
                <w:color w:val="auto"/>
              </w:rPr>
              <w:t>withheld for employee taxes</w:t>
            </w:r>
          </w:p>
        </w:tc>
        <w:tc>
          <w:tcPr>
            <w:tcW w:w="1040" w:type="dxa"/>
            <w:vAlign w:val="bottom"/>
            <w:vMerge w:val="continue"/>
            <w:shd w:val="clear" w:color="auto" w:fill="DDDDDD"/>
          </w:tcPr>
          <w:p>
            <w:pPr>
              <w:spacing w:after="0"/>
              <w:rPr>
                <w:sz w:val="14"/>
                <w:szCs w:val="14"/>
                <w:color w:val="auto"/>
              </w:rPr>
            </w:pPr>
          </w:p>
        </w:tc>
        <w:tc>
          <w:tcPr>
            <w:tcW w:w="180" w:type="dxa"/>
            <w:vAlign w:val="bottom"/>
            <w:shd w:val="clear" w:color="auto" w:fill="DDDDDD"/>
          </w:tcPr>
          <w:p>
            <w:pPr>
              <w:spacing w:after="0"/>
              <w:rPr>
                <w:sz w:val="14"/>
                <w:szCs w:val="14"/>
                <w:color w:val="auto"/>
              </w:rPr>
            </w:pPr>
          </w:p>
        </w:tc>
        <w:tc>
          <w:tcPr>
            <w:tcW w:w="940" w:type="dxa"/>
            <w:vAlign w:val="bottom"/>
            <w:vMerge w:val="continue"/>
            <w:shd w:val="clear" w:color="auto" w:fill="DDDDDD"/>
          </w:tcPr>
          <w:p>
            <w:pPr>
              <w:spacing w:after="0"/>
              <w:rPr>
                <w:sz w:val="14"/>
                <w:szCs w:val="14"/>
                <w:color w:val="auto"/>
              </w:rPr>
            </w:pPr>
          </w:p>
        </w:tc>
        <w:tc>
          <w:tcPr>
            <w:tcW w:w="40" w:type="dxa"/>
            <w:vAlign w:val="bottom"/>
            <w:shd w:val="clear" w:color="auto" w:fill="DDDDDD"/>
          </w:tcPr>
          <w:p>
            <w:pPr>
              <w:spacing w:after="0"/>
              <w:rPr>
                <w:sz w:val="14"/>
                <w:szCs w:val="14"/>
                <w:color w:val="auto"/>
              </w:rPr>
            </w:pPr>
          </w:p>
        </w:tc>
        <w:tc>
          <w:tcPr>
            <w:tcW w:w="20" w:type="dxa"/>
            <w:vAlign w:val="bottom"/>
            <w:shd w:val="clear" w:color="auto" w:fill="DDDDDD"/>
          </w:tcPr>
          <w:p>
            <w:pPr>
              <w:spacing w:after="0"/>
              <w:rPr>
                <w:sz w:val="14"/>
                <w:szCs w:val="14"/>
                <w:color w:val="auto"/>
              </w:rPr>
            </w:pPr>
          </w:p>
        </w:tc>
        <w:tc>
          <w:tcPr>
            <w:tcW w:w="1000" w:type="dxa"/>
            <w:vAlign w:val="bottom"/>
            <w:vMerge w:val="continue"/>
            <w:shd w:val="clear" w:color="auto" w:fill="DDDDDD"/>
          </w:tcPr>
          <w:p>
            <w:pPr>
              <w:spacing w:after="0"/>
              <w:rPr>
                <w:sz w:val="14"/>
                <w:szCs w:val="14"/>
                <w:color w:val="auto"/>
              </w:rPr>
            </w:pPr>
          </w:p>
        </w:tc>
        <w:tc>
          <w:tcPr>
            <w:tcW w:w="160" w:type="dxa"/>
            <w:vAlign w:val="bottom"/>
            <w:shd w:val="clear" w:color="auto" w:fill="DDDDDD"/>
          </w:tcPr>
          <w:p>
            <w:pPr>
              <w:spacing w:after="0"/>
              <w:rPr>
                <w:sz w:val="14"/>
                <w:szCs w:val="14"/>
                <w:color w:val="auto"/>
              </w:rPr>
            </w:pPr>
          </w:p>
        </w:tc>
        <w:tc>
          <w:tcPr>
            <w:tcW w:w="860" w:type="dxa"/>
            <w:vAlign w:val="bottom"/>
            <w:vMerge w:val="continue"/>
            <w:shd w:val="clear" w:color="auto" w:fill="DDDDDD"/>
          </w:tcPr>
          <w:p>
            <w:pPr>
              <w:spacing w:after="0"/>
              <w:rPr>
                <w:sz w:val="14"/>
                <w:szCs w:val="14"/>
                <w:color w:val="auto"/>
              </w:rPr>
            </w:pPr>
          </w:p>
        </w:tc>
        <w:tc>
          <w:tcPr>
            <w:tcW w:w="40" w:type="dxa"/>
            <w:vAlign w:val="bottom"/>
            <w:shd w:val="clear" w:color="auto" w:fill="DDDDDD"/>
          </w:tcPr>
          <w:p>
            <w:pPr>
              <w:spacing w:after="0"/>
              <w:rPr>
                <w:sz w:val="14"/>
                <w:szCs w:val="14"/>
                <w:color w:val="auto"/>
              </w:rPr>
            </w:pPr>
          </w:p>
        </w:tc>
        <w:tc>
          <w:tcPr>
            <w:tcW w:w="20" w:type="dxa"/>
            <w:vAlign w:val="bottom"/>
            <w:shd w:val="clear" w:color="auto" w:fill="DDDDDD"/>
          </w:tcPr>
          <w:p>
            <w:pPr>
              <w:spacing w:after="0"/>
              <w:rPr>
                <w:sz w:val="14"/>
                <w:szCs w:val="14"/>
                <w:color w:val="auto"/>
              </w:rPr>
            </w:pPr>
          </w:p>
        </w:tc>
        <w:tc>
          <w:tcPr>
            <w:tcW w:w="140" w:type="dxa"/>
            <w:vAlign w:val="bottom"/>
            <w:shd w:val="clear" w:color="auto" w:fill="DDDDDD"/>
          </w:tcPr>
          <w:p>
            <w:pPr>
              <w:spacing w:after="0"/>
              <w:rPr>
                <w:sz w:val="14"/>
                <w:szCs w:val="14"/>
                <w:color w:val="auto"/>
              </w:rPr>
            </w:pPr>
          </w:p>
        </w:tc>
        <w:tc>
          <w:tcPr>
            <w:tcW w:w="880" w:type="dxa"/>
            <w:vAlign w:val="bottom"/>
            <w:vMerge w:val="continue"/>
            <w:shd w:val="clear" w:color="auto" w:fill="DDDDDD"/>
          </w:tcPr>
          <w:p>
            <w:pPr>
              <w:spacing w:after="0"/>
              <w:rPr>
                <w:sz w:val="14"/>
                <w:szCs w:val="14"/>
                <w:color w:val="auto"/>
              </w:rPr>
            </w:pPr>
          </w:p>
        </w:tc>
        <w:tc>
          <w:tcPr>
            <w:tcW w:w="60" w:type="dxa"/>
            <w:vAlign w:val="bottom"/>
            <w:shd w:val="clear" w:color="auto" w:fill="DDDDDD"/>
          </w:tcPr>
          <w:p>
            <w:pPr>
              <w:spacing w:after="0"/>
              <w:rPr>
                <w:sz w:val="14"/>
                <w:szCs w:val="14"/>
                <w:color w:val="auto"/>
              </w:rPr>
            </w:pPr>
          </w:p>
        </w:tc>
        <w:tc>
          <w:tcPr>
            <w:tcW w:w="20" w:type="dxa"/>
            <w:vAlign w:val="bottom"/>
            <w:shd w:val="clear" w:color="auto" w:fill="DDDDDD"/>
          </w:tcPr>
          <w:p>
            <w:pPr>
              <w:spacing w:after="0"/>
              <w:rPr>
                <w:sz w:val="14"/>
                <w:szCs w:val="14"/>
                <w:color w:val="auto"/>
              </w:rPr>
            </w:pPr>
          </w:p>
        </w:tc>
        <w:tc>
          <w:tcPr>
            <w:tcW w:w="220" w:type="dxa"/>
            <w:vAlign w:val="bottom"/>
            <w:shd w:val="clear" w:color="auto" w:fill="DDDDDD"/>
          </w:tcPr>
          <w:p>
            <w:pPr>
              <w:spacing w:after="0"/>
              <w:rPr>
                <w:sz w:val="14"/>
                <w:szCs w:val="14"/>
                <w:color w:val="auto"/>
              </w:rPr>
            </w:pPr>
          </w:p>
        </w:tc>
        <w:tc>
          <w:tcPr>
            <w:tcW w:w="900" w:type="dxa"/>
            <w:vAlign w:val="bottom"/>
            <w:vMerge w:val="continue"/>
            <w:shd w:val="clear" w:color="auto" w:fill="DDDDDD"/>
          </w:tcPr>
          <w:p>
            <w:pPr>
              <w:spacing w:after="0"/>
              <w:rPr>
                <w:sz w:val="14"/>
                <w:szCs w:val="14"/>
                <w:color w:val="auto"/>
              </w:rPr>
            </w:pPr>
          </w:p>
        </w:tc>
        <w:tc>
          <w:tcPr>
            <w:tcW w:w="60" w:type="dxa"/>
            <w:vAlign w:val="bottom"/>
            <w:shd w:val="clear" w:color="auto" w:fill="DDDDDD"/>
          </w:tcPr>
          <w:p>
            <w:pPr>
              <w:spacing w:after="0"/>
              <w:rPr>
                <w:sz w:val="14"/>
                <w:szCs w:val="14"/>
                <w:color w:val="auto"/>
              </w:rPr>
            </w:pPr>
          </w:p>
        </w:tc>
        <w:tc>
          <w:tcPr>
            <w:tcW w:w="160" w:type="dxa"/>
            <w:vAlign w:val="bottom"/>
            <w:shd w:val="clear" w:color="auto" w:fill="DDDDDD"/>
          </w:tcPr>
          <w:p>
            <w:pPr>
              <w:spacing w:after="0"/>
              <w:rPr>
                <w:sz w:val="14"/>
                <w:szCs w:val="14"/>
                <w:color w:val="auto"/>
              </w:rPr>
            </w:pPr>
          </w:p>
        </w:tc>
        <w:tc>
          <w:tcPr>
            <w:tcW w:w="1140" w:type="dxa"/>
            <w:vAlign w:val="bottom"/>
            <w:vMerge w:val="continue"/>
            <w:shd w:val="clear" w:color="auto" w:fill="DDDDDD"/>
          </w:tcPr>
          <w:p>
            <w:pPr>
              <w:spacing w:after="0"/>
              <w:rPr>
                <w:sz w:val="14"/>
                <w:szCs w:val="14"/>
                <w:color w:val="auto"/>
              </w:rPr>
            </w:pPr>
          </w:p>
        </w:tc>
        <w:tc>
          <w:tcPr>
            <w:tcW w:w="40" w:type="dxa"/>
            <w:vAlign w:val="bottom"/>
            <w:shd w:val="clear" w:color="auto" w:fill="DDDDDD"/>
          </w:tcPr>
          <w:p>
            <w:pPr>
              <w:spacing w:after="0"/>
              <w:rPr>
                <w:sz w:val="14"/>
                <w:szCs w:val="14"/>
                <w:color w:val="auto"/>
              </w:rPr>
            </w:pPr>
          </w:p>
        </w:tc>
        <w:tc>
          <w:tcPr>
            <w:tcW w:w="20" w:type="dxa"/>
            <w:vAlign w:val="bottom"/>
            <w:shd w:val="clear" w:color="auto" w:fill="DDDDDD"/>
          </w:tcPr>
          <w:p>
            <w:pPr>
              <w:spacing w:after="0"/>
              <w:rPr>
                <w:sz w:val="14"/>
                <w:szCs w:val="14"/>
                <w:color w:val="auto"/>
              </w:rPr>
            </w:pPr>
          </w:p>
        </w:tc>
        <w:tc>
          <w:tcPr>
            <w:tcW w:w="140" w:type="dxa"/>
            <w:vAlign w:val="bottom"/>
            <w:shd w:val="clear" w:color="auto" w:fill="DDDDDD"/>
          </w:tcPr>
          <w:p>
            <w:pPr>
              <w:spacing w:after="0"/>
              <w:rPr>
                <w:sz w:val="14"/>
                <w:szCs w:val="14"/>
                <w:color w:val="auto"/>
              </w:rPr>
            </w:pPr>
          </w:p>
        </w:tc>
        <w:tc>
          <w:tcPr>
            <w:tcW w:w="880" w:type="dxa"/>
            <w:vAlign w:val="bottom"/>
            <w:vMerge w:val="continue"/>
            <w:shd w:val="clear" w:color="auto" w:fill="DDDDDD"/>
          </w:tcPr>
          <w:p>
            <w:pPr>
              <w:spacing w:after="0"/>
              <w:rPr>
                <w:sz w:val="14"/>
                <w:szCs w:val="14"/>
                <w:color w:val="auto"/>
              </w:rPr>
            </w:pPr>
          </w:p>
        </w:tc>
        <w:tc>
          <w:tcPr>
            <w:tcW w:w="40" w:type="dxa"/>
            <w:vAlign w:val="bottom"/>
            <w:shd w:val="clear" w:color="auto" w:fill="DDDDDD"/>
          </w:tcPr>
          <w:p>
            <w:pPr>
              <w:spacing w:after="0"/>
              <w:rPr>
                <w:sz w:val="14"/>
                <w:szCs w:val="14"/>
                <w:color w:val="auto"/>
              </w:rPr>
            </w:pPr>
          </w:p>
        </w:tc>
        <w:tc>
          <w:tcPr>
            <w:tcW w:w="20" w:type="dxa"/>
            <w:vAlign w:val="bottom"/>
            <w:shd w:val="clear" w:color="auto" w:fill="DDDDDD"/>
          </w:tcPr>
          <w:p>
            <w:pPr>
              <w:spacing w:after="0"/>
              <w:rPr>
                <w:sz w:val="14"/>
                <w:szCs w:val="14"/>
                <w:color w:val="auto"/>
              </w:rPr>
            </w:pPr>
          </w:p>
        </w:tc>
        <w:tc>
          <w:tcPr>
            <w:tcW w:w="160" w:type="dxa"/>
            <w:vAlign w:val="bottom"/>
            <w:shd w:val="clear" w:color="auto" w:fill="DDDDDD"/>
          </w:tcPr>
          <w:p>
            <w:pPr>
              <w:spacing w:after="0"/>
              <w:rPr>
                <w:sz w:val="14"/>
                <w:szCs w:val="14"/>
                <w:color w:val="auto"/>
              </w:rPr>
            </w:pPr>
          </w:p>
        </w:tc>
        <w:tc>
          <w:tcPr>
            <w:tcW w:w="860" w:type="dxa"/>
            <w:vAlign w:val="bottom"/>
            <w:vMerge w:val="continue"/>
            <w:shd w:val="clear" w:color="auto" w:fill="DDDDDD"/>
          </w:tcPr>
          <w:p>
            <w:pPr>
              <w:spacing w:after="0"/>
              <w:rPr>
                <w:sz w:val="14"/>
                <w:szCs w:val="14"/>
                <w:color w:val="auto"/>
              </w:rPr>
            </w:pPr>
          </w:p>
        </w:tc>
        <w:tc>
          <w:tcPr>
            <w:tcW w:w="40" w:type="dxa"/>
            <w:vAlign w:val="bottom"/>
            <w:shd w:val="clear" w:color="auto" w:fill="DDDDDD"/>
          </w:tcPr>
          <w:p>
            <w:pPr>
              <w:spacing w:after="0"/>
              <w:rPr>
                <w:sz w:val="14"/>
                <w:szCs w:val="14"/>
                <w:color w:val="auto"/>
              </w:rPr>
            </w:pPr>
          </w:p>
        </w:tc>
        <w:tc>
          <w:tcPr>
            <w:tcW w:w="20" w:type="dxa"/>
            <w:vAlign w:val="bottom"/>
            <w:shd w:val="clear" w:color="auto" w:fill="DDDDDD"/>
          </w:tcPr>
          <w:p>
            <w:pPr>
              <w:spacing w:after="0"/>
              <w:rPr>
                <w:sz w:val="14"/>
                <w:szCs w:val="14"/>
                <w:color w:val="auto"/>
              </w:rPr>
            </w:pPr>
          </w:p>
        </w:tc>
        <w:tc>
          <w:tcPr>
            <w:tcW w:w="280" w:type="dxa"/>
            <w:vAlign w:val="bottom"/>
            <w:shd w:val="clear" w:color="auto" w:fill="DDDDDD"/>
          </w:tcPr>
          <w:p>
            <w:pPr>
              <w:spacing w:after="0"/>
              <w:rPr>
                <w:sz w:val="14"/>
                <w:szCs w:val="14"/>
                <w:color w:val="auto"/>
              </w:rPr>
            </w:pPr>
          </w:p>
        </w:tc>
        <w:tc>
          <w:tcPr>
            <w:tcW w:w="720" w:type="dxa"/>
            <w:vAlign w:val="bottom"/>
            <w:vMerge w:val="continue"/>
            <w:shd w:val="clear" w:color="auto" w:fill="DDDDDD"/>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2"/>
        </w:trPr>
        <w:tc>
          <w:tcPr>
            <w:tcW w:w="40" w:type="dxa"/>
            <w:vAlign w:val="bottom"/>
          </w:tcPr>
          <w:p>
            <w:pPr>
              <w:spacing w:after="0"/>
              <w:rPr>
                <w:sz w:val="17"/>
                <w:szCs w:val="17"/>
                <w:color w:val="auto"/>
              </w:rPr>
            </w:pPr>
          </w:p>
        </w:tc>
        <w:tc>
          <w:tcPr>
            <w:tcW w:w="2620" w:type="dxa"/>
            <w:vAlign w:val="bottom"/>
            <w:gridSpan w:val="3"/>
          </w:tcPr>
          <w:p>
            <w:pPr>
              <w:ind w:left="140"/>
              <w:spacing w:after="0"/>
              <w:rPr>
                <w:sz w:val="20"/>
                <w:szCs w:val="20"/>
                <w:color w:val="auto"/>
              </w:rPr>
            </w:pPr>
            <w:r>
              <w:rPr>
                <w:rFonts w:ascii="Times New Roman" w:cs="Times New Roman" w:eastAsia="Times New Roman" w:hAnsi="Times New Roman"/>
                <w:sz w:val="16"/>
                <w:szCs w:val="16"/>
                <w:color w:val="auto"/>
              </w:rPr>
              <w:t>Discharge of holdback obligation</w:t>
            </w:r>
          </w:p>
        </w:tc>
        <w:tc>
          <w:tcPr>
            <w:tcW w:w="104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tcPr>
          <w:p>
            <w:pPr>
              <w:spacing w:after="0"/>
              <w:rPr>
                <w:sz w:val="17"/>
                <w:szCs w:val="17"/>
                <w:color w:val="auto"/>
              </w:rPr>
            </w:pPr>
          </w:p>
        </w:tc>
        <w:tc>
          <w:tcPr>
            <w:tcW w:w="940" w:type="dxa"/>
            <w:vAlign w:val="bottom"/>
            <w:vMerge w:val="restart"/>
          </w:tcPr>
          <w:p>
            <w:pPr>
              <w:jc w:val="right"/>
              <w:ind w:right="1"/>
              <w:spacing w:after="0"/>
              <w:rPr>
                <w:sz w:val="20"/>
                <w:szCs w:val="20"/>
                <w:color w:val="auto"/>
              </w:rPr>
            </w:pPr>
            <w:r>
              <w:rPr>
                <w:rFonts w:ascii="Times New Roman" w:cs="Times New Roman" w:eastAsia="Times New Roman" w:hAnsi="Times New Roman"/>
                <w:sz w:val="16"/>
                <w:szCs w:val="16"/>
                <w:color w:val="auto"/>
              </w:rPr>
              <w:t>—</w:t>
            </w:r>
          </w:p>
        </w:tc>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tcPr>
          <w:p>
            <w:pPr>
              <w:spacing w:after="0"/>
              <w:rPr>
                <w:sz w:val="17"/>
                <w:szCs w:val="17"/>
                <w:color w:val="auto"/>
              </w:rPr>
            </w:pPr>
          </w:p>
        </w:tc>
        <w:tc>
          <w:tcPr>
            <w:tcW w:w="86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8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(1,612)</w:t>
            </w:r>
          </w:p>
        </w:tc>
        <w:tc>
          <w:tcPr>
            <w:tcW w:w="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0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14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(1,612)</w:t>
            </w:r>
          </w:p>
        </w:tc>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8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(1,995)</w:t>
            </w:r>
          </w:p>
        </w:tc>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6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72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(3,607)</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9"/>
        </w:trPr>
        <w:tc>
          <w:tcPr>
            <w:tcW w:w="40" w:type="dxa"/>
            <w:vAlign w:val="bottom"/>
          </w:tcPr>
          <w:p>
            <w:pPr>
              <w:spacing w:after="0"/>
              <w:rPr>
                <w:sz w:val="18"/>
                <w:szCs w:val="18"/>
                <w:color w:val="auto"/>
              </w:rPr>
            </w:pPr>
          </w:p>
        </w:tc>
        <w:tc>
          <w:tcPr>
            <w:tcW w:w="2620" w:type="dxa"/>
            <w:vAlign w:val="bottom"/>
            <w:gridSpan w:val="3"/>
          </w:tcPr>
          <w:p>
            <w:pPr>
              <w:ind w:left="140"/>
              <w:spacing w:after="0"/>
              <w:rPr>
                <w:sz w:val="20"/>
                <w:szCs w:val="20"/>
                <w:color w:val="auto"/>
              </w:rPr>
            </w:pPr>
            <w:r>
              <w:rPr>
                <w:rFonts w:ascii="Times New Roman" w:cs="Times New Roman" w:eastAsia="Times New Roman" w:hAnsi="Times New Roman"/>
                <w:sz w:val="16"/>
                <w:szCs w:val="16"/>
                <w:color w:val="auto"/>
              </w:rPr>
              <w:t>related to prior acquisition</w:t>
            </w:r>
          </w:p>
        </w:tc>
        <w:tc>
          <w:tcPr>
            <w:tcW w:w="1040" w:type="dxa"/>
            <w:vAlign w:val="bottom"/>
            <w:vMerge w:val="continue"/>
          </w:tcPr>
          <w:p>
            <w:pPr>
              <w:spacing w:after="0"/>
              <w:rPr>
                <w:sz w:val="18"/>
                <w:szCs w:val="18"/>
                <w:color w:val="auto"/>
              </w:rPr>
            </w:pPr>
          </w:p>
        </w:tc>
        <w:tc>
          <w:tcPr>
            <w:tcW w:w="180" w:type="dxa"/>
            <w:vAlign w:val="bottom"/>
          </w:tcPr>
          <w:p>
            <w:pPr>
              <w:spacing w:after="0"/>
              <w:rPr>
                <w:sz w:val="18"/>
                <w:szCs w:val="18"/>
                <w:color w:val="auto"/>
              </w:rPr>
            </w:pPr>
          </w:p>
        </w:tc>
        <w:tc>
          <w:tcPr>
            <w:tcW w:w="940" w:type="dxa"/>
            <w:vAlign w:val="bottom"/>
            <w:vMerge w:val="continue"/>
          </w:tcPr>
          <w:p>
            <w:pPr>
              <w:spacing w:after="0"/>
              <w:rPr>
                <w:sz w:val="18"/>
                <w:szCs w:val="18"/>
                <w:color w:val="auto"/>
              </w:rPr>
            </w:pPr>
          </w:p>
        </w:tc>
        <w:tc>
          <w:tcPr>
            <w:tcW w:w="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0" w:type="dxa"/>
            <w:vAlign w:val="bottom"/>
            <w:vMerge w:val="continue"/>
          </w:tcPr>
          <w:p>
            <w:pPr>
              <w:spacing w:after="0"/>
              <w:rPr>
                <w:sz w:val="18"/>
                <w:szCs w:val="18"/>
                <w:color w:val="auto"/>
              </w:rPr>
            </w:pPr>
          </w:p>
        </w:tc>
        <w:tc>
          <w:tcPr>
            <w:tcW w:w="160" w:type="dxa"/>
            <w:vAlign w:val="bottom"/>
          </w:tcPr>
          <w:p>
            <w:pPr>
              <w:spacing w:after="0"/>
              <w:rPr>
                <w:sz w:val="18"/>
                <w:szCs w:val="18"/>
                <w:color w:val="auto"/>
              </w:rPr>
            </w:pPr>
          </w:p>
        </w:tc>
        <w:tc>
          <w:tcPr>
            <w:tcW w:w="860" w:type="dxa"/>
            <w:vAlign w:val="bottom"/>
            <w:vMerge w:val="continue"/>
          </w:tcPr>
          <w:p>
            <w:pPr>
              <w:spacing w:after="0"/>
              <w:rPr>
                <w:sz w:val="18"/>
                <w:szCs w:val="18"/>
                <w:color w:val="auto"/>
              </w:rPr>
            </w:pPr>
          </w:p>
        </w:tc>
        <w:tc>
          <w:tcPr>
            <w:tcW w:w="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80" w:type="dxa"/>
            <w:vAlign w:val="bottom"/>
            <w:vMerge w:val="continue"/>
          </w:tcPr>
          <w:p>
            <w:pPr>
              <w:spacing w:after="0"/>
              <w:rPr>
                <w:sz w:val="18"/>
                <w:szCs w:val="18"/>
                <w:color w:val="auto"/>
              </w:rPr>
            </w:pPr>
          </w:p>
        </w:tc>
        <w:tc>
          <w:tcPr>
            <w:tcW w:w="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00" w:type="dxa"/>
            <w:vAlign w:val="bottom"/>
            <w:vMerge w:val="continue"/>
          </w:tcPr>
          <w:p>
            <w:pPr>
              <w:spacing w:after="0"/>
              <w:rPr>
                <w:sz w:val="18"/>
                <w:szCs w:val="18"/>
                <w:color w:val="auto"/>
              </w:rPr>
            </w:pPr>
          </w:p>
        </w:tc>
        <w:tc>
          <w:tcPr>
            <w:tcW w:w="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40" w:type="dxa"/>
            <w:vAlign w:val="bottom"/>
            <w:vMerge w:val="continue"/>
          </w:tcPr>
          <w:p>
            <w:pPr>
              <w:spacing w:after="0"/>
              <w:rPr>
                <w:sz w:val="18"/>
                <w:szCs w:val="18"/>
                <w:color w:val="auto"/>
              </w:rPr>
            </w:pPr>
          </w:p>
        </w:tc>
        <w:tc>
          <w:tcPr>
            <w:tcW w:w="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80" w:type="dxa"/>
            <w:vAlign w:val="bottom"/>
            <w:vMerge w:val="continue"/>
          </w:tcPr>
          <w:p>
            <w:pPr>
              <w:spacing w:after="0"/>
              <w:rPr>
                <w:sz w:val="18"/>
                <w:szCs w:val="18"/>
                <w:color w:val="auto"/>
              </w:rPr>
            </w:pPr>
          </w:p>
        </w:tc>
        <w:tc>
          <w:tcPr>
            <w:tcW w:w="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60" w:type="dxa"/>
            <w:vAlign w:val="bottom"/>
            <w:vMerge w:val="continue"/>
          </w:tcPr>
          <w:p>
            <w:pPr>
              <w:spacing w:after="0"/>
              <w:rPr>
                <w:sz w:val="18"/>
                <w:szCs w:val="18"/>
                <w:color w:val="auto"/>
              </w:rPr>
            </w:pPr>
          </w:p>
        </w:tc>
        <w:tc>
          <w:tcPr>
            <w:tcW w:w="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720" w:type="dxa"/>
            <w:vAlign w:val="bottom"/>
            <w:vMerge w:val="continue"/>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40" w:type="dxa"/>
            <w:vAlign w:val="bottom"/>
            <w:shd w:val="clear" w:color="auto" w:fill="DDDDDD"/>
          </w:tcPr>
          <w:p>
            <w:pPr>
              <w:spacing w:after="0"/>
              <w:rPr>
                <w:sz w:val="17"/>
                <w:szCs w:val="17"/>
                <w:color w:val="auto"/>
              </w:rPr>
            </w:pPr>
          </w:p>
        </w:tc>
        <w:tc>
          <w:tcPr>
            <w:tcW w:w="2620" w:type="dxa"/>
            <w:vAlign w:val="bottom"/>
            <w:gridSpan w:val="3"/>
            <w:shd w:val="clear" w:color="auto" w:fill="DDDDDD"/>
          </w:tcPr>
          <w:p>
            <w:pPr>
              <w:ind w:left="140"/>
              <w:spacing w:after="0"/>
              <w:rPr>
                <w:sz w:val="20"/>
                <w:szCs w:val="20"/>
                <w:color w:val="auto"/>
              </w:rPr>
            </w:pPr>
            <w:r>
              <w:rPr>
                <w:rFonts w:ascii="Times New Roman" w:cs="Times New Roman" w:eastAsia="Times New Roman" w:hAnsi="Times New Roman"/>
                <w:sz w:val="16"/>
                <w:szCs w:val="16"/>
                <w:color w:val="auto"/>
              </w:rPr>
              <w:t>Class A Common shares issued -</w:t>
            </w:r>
          </w:p>
        </w:tc>
        <w:tc>
          <w:tcPr>
            <w:tcW w:w="1040" w:type="dxa"/>
            <w:vAlign w:val="bottom"/>
            <w:vMerge w:val="restart"/>
            <w:shd w:val="clear" w:color="auto" w:fill="DDDDDD"/>
          </w:tcPr>
          <w:p>
            <w:pPr>
              <w:jc w:val="right"/>
              <w:spacing w:after="0"/>
              <w:rPr>
                <w:sz w:val="20"/>
                <w:szCs w:val="20"/>
                <w:color w:val="auto"/>
              </w:rPr>
            </w:pPr>
            <w:r>
              <w:rPr>
                <w:rFonts w:ascii="Times New Roman" w:cs="Times New Roman" w:eastAsia="Times New Roman" w:hAnsi="Times New Roman"/>
                <w:sz w:val="16"/>
                <w:szCs w:val="16"/>
                <w:color w:val="auto"/>
              </w:rPr>
              <w:t>77,655</w:t>
            </w:r>
          </w:p>
        </w:tc>
        <w:tc>
          <w:tcPr>
            <w:tcW w:w="180" w:type="dxa"/>
            <w:vAlign w:val="bottom"/>
            <w:shd w:val="clear" w:color="auto" w:fill="DDDDDD"/>
          </w:tcPr>
          <w:p>
            <w:pPr>
              <w:spacing w:after="0"/>
              <w:rPr>
                <w:sz w:val="17"/>
                <w:szCs w:val="17"/>
                <w:color w:val="auto"/>
              </w:rPr>
            </w:pPr>
          </w:p>
        </w:tc>
        <w:tc>
          <w:tcPr>
            <w:tcW w:w="940" w:type="dxa"/>
            <w:vAlign w:val="bottom"/>
            <w:vMerge w:val="restart"/>
            <w:shd w:val="clear" w:color="auto" w:fill="DDDDDD"/>
          </w:tcPr>
          <w:p>
            <w:pPr>
              <w:jc w:val="right"/>
              <w:ind w:right="1"/>
              <w:spacing w:after="0"/>
              <w:rPr>
                <w:sz w:val="20"/>
                <w:szCs w:val="20"/>
                <w:color w:val="auto"/>
              </w:rPr>
            </w:pPr>
            <w:r>
              <w:rPr>
                <w:rFonts w:ascii="Times New Roman" w:cs="Times New Roman" w:eastAsia="Times New Roman" w:hAnsi="Times New Roman"/>
                <w:sz w:val="16"/>
                <w:szCs w:val="16"/>
                <w:color w:val="auto"/>
              </w:rPr>
              <w:t>—</w:t>
            </w:r>
          </w:p>
        </w:tc>
        <w:tc>
          <w:tcPr>
            <w:tcW w:w="40" w:type="dxa"/>
            <w:vAlign w:val="bottom"/>
            <w:shd w:val="clear" w:color="auto" w:fill="DDDDDD"/>
          </w:tcPr>
          <w:p>
            <w:pPr>
              <w:spacing w:after="0"/>
              <w:rPr>
                <w:sz w:val="17"/>
                <w:szCs w:val="17"/>
                <w:color w:val="auto"/>
              </w:rPr>
            </w:pPr>
          </w:p>
        </w:tc>
        <w:tc>
          <w:tcPr>
            <w:tcW w:w="20" w:type="dxa"/>
            <w:vAlign w:val="bottom"/>
            <w:shd w:val="clear" w:color="auto" w:fill="DDDDDD"/>
          </w:tcPr>
          <w:p>
            <w:pPr>
              <w:spacing w:after="0"/>
              <w:rPr>
                <w:sz w:val="17"/>
                <w:szCs w:val="17"/>
                <w:color w:val="auto"/>
              </w:rPr>
            </w:pPr>
          </w:p>
        </w:tc>
        <w:tc>
          <w:tcPr>
            <w:tcW w:w="1000" w:type="dxa"/>
            <w:vAlign w:val="bottom"/>
            <w:vMerge w:val="restart"/>
            <w:shd w:val="clear" w:color="auto" w:fill="DDDDDD"/>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shd w:val="clear" w:color="auto" w:fill="DDDDDD"/>
          </w:tcPr>
          <w:p>
            <w:pPr>
              <w:spacing w:after="0"/>
              <w:rPr>
                <w:sz w:val="17"/>
                <w:szCs w:val="17"/>
                <w:color w:val="auto"/>
              </w:rPr>
            </w:pPr>
          </w:p>
        </w:tc>
        <w:tc>
          <w:tcPr>
            <w:tcW w:w="860" w:type="dxa"/>
            <w:vAlign w:val="bottom"/>
            <w:vMerge w:val="restart"/>
            <w:shd w:val="clear" w:color="auto" w:fill="DDDDDD"/>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40" w:type="dxa"/>
            <w:vAlign w:val="bottom"/>
            <w:shd w:val="clear" w:color="auto" w:fill="DDDDDD"/>
          </w:tcPr>
          <w:p>
            <w:pPr>
              <w:spacing w:after="0"/>
              <w:rPr>
                <w:sz w:val="17"/>
                <w:szCs w:val="17"/>
                <w:color w:val="auto"/>
              </w:rPr>
            </w:pPr>
          </w:p>
        </w:tc>
        <w:tc>
          <w:tcPr>
            <w:tcW w:w="20" w:type="dxa"/>
            <w:vAlign w:val="bottom"/>
            <w:shd w:val="clear" w:color="auto" w:fill="DDDDDD"/>
          </w:tcPr>
          <w:p>
            <w:pPr>
              <w:spacing w:after="0"/>
              <w:rPr>
                <w:sz w:val="17"/>
                <w:szCs w:val="17"/>
                <w:color w:val="auto"/>
              </w:rPr>
            </w:pPr>
          </w:p>
        </w:tc>
        <w:tc>
          <w:tcPr>
            <w:tcW w:w="140" w:type="dxa"/>
            <w:vAlign w:val="bottom"/>
            <w:shd w:val="clear" w:color="auto" w:fill="DDDDDD"/>
          </w:tcPr>
          <w:p>
            <w:pPr>
              <w:spacing w:after="0"/>
              <w:rPr>
                <w:sz w:val="17"/>
                <w:szCs w:val="17"/>
                <w:color w:val="auto"/>
              </w:rPr>
            </w:pPr>
          </w:p>
        </w:tc>
        <w:tc>
          <w:tcPr>
            <w:tcW w:w="880" w:type="dxa"/>
            <w:vAlign w:val="bottom"/>
            <w:vMerge w:val="restart"/>
            <w:shd w:val="clear" w:color="auto" w:fill="DDDDDD"/>
          </w:tcPr>
          <w:p>
            <w:pPr>
              <w:jc w:val="right"/>
              <w:spacing w:after="0"/>
              <w:rPr>
                <w:sz w:val="20"/>
                <w:szCs w:val="20"/>
                <w:color w:val="auto"/>
              </w:rPr>
            </w:pPr>
            <w:r>
              <w:rPr>
                <w:rFonts w:ascii="Times New Roman" w:cs="Times New Roman" w:eastAsia="Times New Roman" w:hAnsi="Times New Roman"/>
                <w:sz w:val="16"/>
                <w:szCs w:val="16"/>
                <w:color w:val="auto"/>
              </w:rPr>
              <w:t>131</w:t>
            </w:r>
          </w:p>
        </w:tc>
        <w:tc>
          <w:tcPr>
            <w:tcW w:w="60" w:type="dxa"/>
            <w:vAlign w:val="bottom"/>
            <w:shd w:val="clear" w:color="auto" w:fill="DDDDDD"/>
          </w:tcPr>
          <w:p>
            <w:pPr>
              <w:spacing w:after="0"/>
              <w:rPr>
                <w:sz w:val="17"/>
                <w:szCs w:val="17"/>
                <w:color w:val="auto"/>
              </w:rPr>
            </w:pPr>
          </w:p>
        </w:tc>
        <w:tc>
          <w:tcPr>
            <w:tcW w:w="20" w:type="dxa"/>
            <w:vAlign w:val="bottom"/>
            <w:shd w:val="clear" w:color="auto" w:fill="DDDDDD"/>
          </w:tcPr>
          <w:p>
            <w:pPr>
              <w:spacing w:after="0"/>
              <w:rPr>
                <w:sz w:val="17"/>
                <w:szCs w:val="17"/>
                <w:color w:val="auto"/>
              </w:rPr>
            </w:pPr>
          </w:p>
        </w:tc>
        <w:tc>
          <w:tcPr>
            <w:tcW w:w="220" w:type="dxa"/>
            <w:vAlign w:val="bottom"/>
            <w:shd w:val="clear" w:color="auto" w:fill="DDDDDD"/>
          </w:tcPr>
          <w:p>
            <w:pPr>
              <w:spacing w:after="0"/>
              <w:rPr>
                <w:sz w:val="17"/>
                <w:szCs w:val="17"/>
                <w:color w:val="auto"/>
              </w:rPr>
            </w:pPr>
          </w:p>
        </w:tc>
        <w:tc>
          <w:tcPr>
            <w:tcW w:w="900" w:type="dxa"/>
            <w:vAlign w:val="bottom"/>
            <w:vMerge w:val="restart"/>
            <w:shd w:val="clear" w:color="auto" w:fill="DDDDDD"/>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60" w:type="dxa"/>
            <w:vAlign w:val="bottom"/>
            <w:shd w:val="clear" w:color="auto" w:fill="DDDDDD"/>
          </w:tcPr>
          <w:p>
            <w:pPr>
              <w:spacing w:after="0"/>
              <w:rPr>
                <w:sz w:val="17"/>
                <w:szCs w:val="17"/>
                <w:color w:val="auto"/>
              </w:rPr>
            </w:pPr>
          </w:p>
        </w:tc>
        <w:tc>
          <w:tcPr>
            <w:tcW w:w="160" w:type="dxa"/>
            <w:vAlign w:val="bottom"/>
            <w:shd w:val="clear" w:color="auto" w:fill="DDDDDD"/>
          </w:tcPr>
          <w:p>
            <w:pPr>
              <w:spacing w:after="0"/>
              <w:rPr>
                <w:sz w:val="17"/>
                <w:szCs w:val="17"/>
                <w:color w:val="auto"/>
              </w:rPr>
            </w:pPr>
          </w:p>
        </w:tc>
        <w:tc>
          <w:tcPr>
            <w:tcW w:w="1140" w:type="dxa"/>
            <w:vAlign w:val="bottom"/>
            <w:vMerge w:val="restart"/>
            <w:shd w:val="clear" w:color="auto" w:fill="DDDDDD"/>
          </w:tcPr>
          <w:p>
            <w:pPr>
              <w:jc w:val="right"/>
              <w:ind w:right="1"/>
              <w:spacing w:after="0"/>
              <w:rPr>
                <w:sz w:val="20"/>
                <w:szCs w:val="20"/>
                <w:color w:val="auto"/>
              </w:rPr>
            </w:pPr>
            <w:r>
              <w:rPr>
                <w:rFonts w:ascii="Times New Roman" w:cs="Times New Roman" w:eastAsia="Times New Roman" w:hAnsi="Times New Roman"/>
                <w:sz w:val="16"/>
                <w:szCs w:val="16"/>
                <w:color w:val="auto"/>
              </w:rPr>
              <w:t>131</w:t>
            </w:r>
          </w:p>
        </w:tc>
        <w:tc>
          <w:tcPr>
            <w:tcW w:w="40" w:type="dxa"/>
            <w:vAlign w:val="bottom"/>
            <w:shd w:val="clear" w:color="auto" w:fill="DDDDDD"/>
          </w:tcPr>
          <w:p>
            <w:pPr>
              <w:spacing w:after="0"/>
              <w:rPr>
                <w:sz w:val="17"/>
                <w:szCs w:val="17"/>
                <w:color w:val="auto"/>
              </w:rPr>
            </w:pPr>
          </w:p>
        </w:tc>
        <w:tc>
          <w:tcPr>
            <w:tcW w:w="20" w:type="dxa"/>
            <w:vAlign w:val="bottom"/>
            <w:shd w:val="clear" w:color="auto" w:fill="DDDDDD"/>
          </w:tcPr>
          <w:p>
            <w:pPr>
              <w:spacing w:after="0"/>
              <w:rPr>
                <w:sz w:val="17"/>
                <w:szCs w:val="17"/>
                <w:color w:val="auto"/>
              </w:rPr>
            </w:pPr>
          </w:p>
        </w:tc>
        <w:tc>
          <w:tcPr>
            <w:tcW w:w="140" w:type="dxa"/>
            <w:vAlign w:val="bottom"/>
            <w:shd w:val="clear" w:color="auto" w:fill="DDDDDD"/>
          </w:tcPr>
          <w:p>
            <w:pPr>
              <w:spacing w:after="0"/>
              <w:rPr>
                <w:sz w:val="17"/>
                <w:szCs w:val="17"/>
                <w:color w:val="auto"/>
              </w:rPr>
            </w:pPr>
          </w:p>
        </w:tc>
        <w:tc>
          <w:tcPr>
            <w:tcW w:w="880" w:type="dxa"/>
            <w:vAlign w:val="bottom"/>
            <w:vMerge w:val="restart"/>
            <w:shd w:val="clear" w:color="auto" w:fill="DDDDDD"/>
          </w:tcPr>
          <w:p>
            <w:pPr>
              <w:jc w:val="right"/>
              <w:spacing w:after="0"/>
              <w:rPr>
                <w:sz w:val="20"/>
                <w:szCs w:val="20"/>
                <w:color w:val="auto"/>
              </w:rPr>
            </w:pPr>
            <w:r>
              <w:rPr>
                <w:rFonts w:ascii="Times New Roman" w:cs="Times New Roman" w:eastAsia="Times New Roman" w:hAnsi="Times New Roman"/>
                <w:sz w:val="16"/>
                <w:szCs w:val="16"/>
                <w:color w:val="auto"/>
              </w:rPr>
              <w:t>(131)</w:t>
            </w:r>
          </w:p>
        </w:tc>
        <w:tc>
          <w:tcPr>
            <w:tcW w:w="40" w:type="dxa"/>
            <w:vAlign w:val="bottom"/>
            <w:shd w:val="clear" w:color="auto" w:fill="DDDDDD"/>
          </w:tcPr>
          <w:p>
            <w:pPr>
              <w:spacing w:after="0"/>
              <w:rPr>
                <w:sz w:val="17"/>
                <w:szCs w:val="17"/>
                <w:color w:val="auto"/>
              </w:rPr>
            </w:pPr>
          </w:p>
        </w:tc>
        <w:tc>
          <w:tcPr>
            <w:tcW w:w="20" w:type="dxa"/>
            <w:vAlign w:val="bottom"/>
            <w:shd w:val="clear" w:color="auto" w:fill="DDDDDD"/>
          </w:tcPr>
          <w:p>
            <w:pPr>
              <w:spacing w:after="0"/>
              <w:rPr>
                <w:sz w:val="17"/>
                <w:szCs w:val="17"/>
                <w:color w:val="auto"/>
              </w:rPr>
            </w:pPr>
          </w:p>
        </w:tc>
        <w:tc>
          <w:tcPr>
            <w:tcW w:w="160" w:type="dxa"/>
            <w:vAlign w:val="bottom"/>
            <w:shd w:val="clear" w:color="auto" w:fill="DDDDDD"/>
          </w:tcPr>
          <w:p>
            <w:pPr>
              <w:spacing w:after="0"/>
              <w:rPr>
                <w:sz w:val="17"/>
                <w:szCs w:val="17"/>
                <w:color w:val="auto"/>
              </w:rPr>
            </w:pPr>
          </w:p>
        </w:tc>
        <w:tc>
          <w:tcPr>
            <w:tcW w:w="860" w:type="dxa"/>
            <w:vAlign w:val="bottom"/>
            <w:vMerge w:val="restart"/>
            <w:shd w:val="clear" w:color="auto" w:fill="DDDDDD"/>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40" w:type="dxa"/>
            <w:vAlign w:val="bottom"/>
            <w:shd w:val="clear" w:color="auto" w:fill="DDDDDD"/>
          </w:tcPr>
          <w:p>
            <w:pPr>
              <w:spacing w:after="0"/>
              <w:rPr>
                <w:sz w:val="17"/>
                <w:szCs w:val="17"/>
                <w:color w:val="auto"/>
              </w:rPr>
            </w:pPr>
          </w:p>
        </w:tc>
        <w:tc>
          <w:tcPr>
            <w:tcW w:w="20" w:type="dxa"/>
            <w:vAlign w:val="bottom"/>
            <w:shd w:val="clear" w:color="auto" w:fill="DDDDDD"/>
          </w:tcPr>
          <w:p>
            <w:pPr>
              <w:spacing w:after="0"/>
              <w:rPr>
                <w:sz w:val="17"/>
                <w:szCs w:val="17"/>
                <w:color w:val="auto"/>
              </w:rPr>
            </w:pPr>
          </w:p>
        </w:tc>
        <w:tc>
          <w:tcPr>
            <w:tcW w:w="280" w:type="dxa"/>
            <w:vAlign w:val="bottom"/>
            <w:shd w:val="clear" w:color="auto" w:fill="DDDDDD"/>
          </w:tcPr>
          <w:p>
            <w:pPr>
              <w:spacing w:after="0"/>
              <w:rPr>
                <w:sz w:val="17"/>
                <w:szCs w:val="17"/>
                <w:color w:val="auto"/>
              </w:rPr>
            </w:pPr>
          </w:p>
        </w:tc>
        <w:tc>
          <w:tcPr>
            <w:tcW w:w="720" w:type="dxa"/>
            <w:vAlign w:val="bottom"/>
            <w:vMerge w:val="restart"/>
            <w:shd w:val="clear" w:color="auto" w:fill="DDDDDD"/>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2"/>
        </w:trPr>
        <w:tc>
          <w:tcPr>
            <w:tcW w:w="40" w:type="dxa"/>
            <w:vAlign w:val="bottom"/>
            <w:shd w:val="clear" w:color="auto" w:fill="DDDDDD"/>
          </w:tcPr>
          <w:p>
            <w:pPr>
              <w:spacing w:after="0"/>
              <w:rPr>
                <w:sz w:val="17"/>
                <w:szCs w:val="17"/>
                <w:color w:val="auto"/>
              </w:rPr>
            </w:pPr>
          </w:p>
        </w:tc>
        <w:tc>
          <w:tcPr>
            <w:tcW w:w="2620" w:type="dxa"/>
            <w:vAlign w:val="bottom"/>
            <w:gridSpan w:val="3"/>
            <w:shd w:val="clear" w:color="auto" w:fill="DDDDDD"/>
          </w:tcPr>
          <w:p>
            <w:pPr>
              <w:ind w:left="140"/>
              <w:spacing w:after="0"/>
              <w:rPr>
                <w:sz w:val="20"/>
                <w:szCs w:val="20"/>
                <w:color w:val="auto"/>
              </w:rPr>
            </w:pPr>
            <w:r>
              <w:rPr>
                <w:rFonts w:ascii="Times New Roman" w:cs="Times New Roman" w:eastAsia="Times New Roman" w:hAnsi="Times New Roman"/>
                <w:sz w:val="16"/>
                <w:szCs w:val="16"/>
                <w:color w:val="auto"/>
              </w:rPr>
              <w:t>Class P Unit exchange</w:t>
            </w:r>
          </w:p>
        </w:tc>
        <w:tc>
          <w:tcPr>
            <w:tcW w:w="1040" w:type="dxa"/>
            <w:vAlign w:val="bottom"/>
            <w:vMerge w:val="continue"/>
            <w:shd w:val="clear" w:color="auto" w:fill="DDDDDD"/>
          </w:tcPr>
          <w:p>
            <w:pPr>
              <w:spacing w:after="0"/>
              <w:rPr>
                <w:sz w:val="17"/>
                <w:szCs w:val="17"/>
                <w:color w:val="auto"/>
              </w:rPr>
            </w:pPr>
          </w:p>
        </w:tc>
        <w:tc>
          <w:tcPr>
            <w:tcW w:w="180" w:type="dxa"/>
            <w:vAlign w:val="bottom"/>
            <w:shd w:val="clear" w:color="auto" w:fill="DDDDDD"/>
          </w:tcPr>
          <w:p>
            <w:pPr>
              <w:spacing w:after="0"/>
              <w:rPr>
                <w:sz w:val="17"/>
                <w:szCs w:val="17"/>
                <w:color w:val="auto"/>
              </w:rPr>
            </w:pPr>
          </w:p>
        </w:tc>
        <w:tc>
          <w:tcPr>
            <w:tcW w:w="940" w:type="dxa"/>
            <w:vAlign w:val="bottom"/>
            <w:vMerge w:val="continue"/>
            <w:shd w:val="clear" w:color="auto" w:fill="DDDDDD"/>
          </w:tcPr>
          <w:p>
            <w:pPr>
              <w:spacing w:after="0"/>
              <w:rPr>
                <w:sz w:val="17"/>
                <w:szCs w:val="17"/>
                <w:color w:val="auto"/>
              </w:rPr>
            </w:pPr>
          </w:p>
        </w:tc>
        <w:tc>
          <w:tcPr>
            <w:tcW w:w="40" w:type="dxa"/>
            <w:vAlign w:val="bottom"/>
            <w:shd w:val="clear" w:color="auto" w:fill="DDDDDD"/>
          </w:tcPr>
          <w:p>
            <w:pPr>
              <w:spacing w:after="0"/>
              <w:rPr>
                <w:sz w:val="17"/>
                <w:szCs w:val="17"/>
                <w:color w:val="auto"/>
              </w:rPr>
            </w:pPr>
          </w:p>
        </w:tc>
        <w:tc>
          <w:tcPr>
            <w:tcW w:w="20" w:type="dxa"/>
            <w:vAlign w:val="bottom"/>
            <w:shd w:val="clear" w:color="auto" w:fill="DDDDDD"/>
          </w:tcPr>
          <w:p>
            <w:pPr>
              <w:spacing w:after="0"/>
              <w:rPr>
                <w:sz w:val="17"/>
                <w:szCs w:val="17"/>
                <w:color w:val="auto"/>
              </w:rPr>
            </w:pPr>
          </w:p>
        </w:tc>
        <w:tc>
          <w:tcPr>
            <w:tcW w:w="1000" w:type="dxa"/>
            <w:vAlign w:val="bottom"/>
            <w:vMerge w:val="continue"/>
            <w:shd w:val="clear" w:color="auto" w:fill="DDDDDD"/>
          </w:tcPr>
          <w:p>
            <w:pPr>
              <w:spacing w:after="0"/>
              <w:rPr>
                <w:sz w:val="17"/>
                <w:szCs w:val="17"/>
                <w:color w:val="auto"/>
              </w:rPr>
            </w:pPr>
          </w:p>
        </w:tc>
        <w:tc>
          <w:tcPr>
            <w:tcW w:w="160" w:type="dxa"/>
            <w:vAlign w:val="bottom"/>
            <w:shd w:val="clear" w:color="auto" w:fill="DDDDDD"/>
          </w:tcPr>
          <w:p>
            <w:pPr>
              <w:spacing w:after="0"/>
              <w:rPr>
                <w:sz w:val="17"/>
                <w:szCs w:val="17"/>
                <w:color w:val="auto"/>
              </w:rPr>
            </w:pPr>
          </w:p>
        </w:tc>
        <w:tc>
          <w:tcPr>
            <w:tcW w:w="860" w:type="dxa"/>
            <w:vAlign w:val="bottom"/>
            <w:vMerge w:val="continue"/>
            <w:shd w:val="clear" w:color="auto" w:fill="DDDDDD"/>
          </w:tcPr>
          <w:p>
            <w:pPr>
              <w:spacing w:after="0"/>
              <w:rPr>
                <w:sz w:val="17"/>
                <w:szCs w:val="17"/>
                <w:color w:val="auto"/>
              </w:rPr>
            </w:pPr>
          </w:p>
        </w:tc>
        <w:tc>
          <w:tcPr>
            <w:tcW w:w="40" w:type="dxa"/>
            <w:vAlign w:val="bottom"/>
            <w:shd w:val="clear" w:color="auto" w:fill="DDDDDD"/>
          </w:tcPr>
          <w:p>
            <w:pPr>
              <w:spacing w:after="0"/>
              <w:rPr>
                <w:sz w:val="17"/>
                <w:szCs w:val="17"/>
                <w:color w:val="auto"/>
              </w:rPr>
            </w:pPr>
          </w:p>
        </w:tc>
        <w:tc>
          <w:tcPr>
            <w:tcW w:w="20" w:type="dxa"/>
            <w:vAlign w:val="bottom"/>
            <w:shd w:val="clear" w:color="auto" w:fill="DDDDDD"/>
          </w:tcPr>
          <w:p>
            <w:pPr>
              <w:spacing w:after="0"/>
              <w:rPr>
                <w:sz w:val="17"/>
                <w:szCs w:val="17"/>
                <w:color w:val="auto"/>
              </w:rPr>
            </w:pPr>
          </w:p>
        </w:tc>
        <w:tc>
          <w:tcPr>
            <w:tcW w:w="140" w:type="dxa"/>
            <w:vAlign w:val="bottom"/>
            <w:shd w:val="clear" w:color="auto" w:fill="DDDDDD"/>
          </w:tcPr>
          <w:p>
            <w:pPr>
              <w:spacing w:after="0"/>
              <w:rPr>
                <w:sz w:val="17"/>
                <w:szCs w:val="17"/>
                <w:color w:val="auto"/>
              </w:rPr>
            </w:pPr>
          </w:p>
        </w:tc>
        <w:tc>
          <w:tcPr>
            <w:tcW w:w="880" w:type="dxa"/>
            <w:vAlign w:val="bottom"/>
            <w:vMerge w:val="continue"/>
            <w:shd w:val="clear" w:color="auto" w:fill="DDDDDD"/>
          </w:tcPr>
          <w:p>
            <w:pPr>
              <w:spacing w:after="0"/>
              <w:rPr>
                <w:sz w:val="17"/>
                <w:szCs w:val="17"/>
                <w:color w:val="auto"/>
              </w:rPr>
            </w:pPr>
          </w:p>
        </w:tc>
        <w:tc>
          <w:tcPr>
            <w:tcW w:w="60" w:type="dxa"/>
            <w:vAlign w:val="bottom"/>
            <w:shd w:val="clear" w:color="auto" w:fill="DDDDDD"/>
          </w:tcPr>
          <w:p>
            <w:pPr>
              <w:spacing w:after="0"/>
              <w:rPr>
                <w:sz w:val="17"/>
                <w:szCs w:val="17"/>
                <w:color w:val="auto"/>
              </w:rPr>
            </w:pPr>
          </w:p>
        </w:tc>
        <w:tc>
          <w:tcPr>
            <w:tcW w:w="20" w:type="dxa"/>
            <w:vAlign w:val="bottom"/>
            <w:shd w:val="clear" w:color="auto" w:fill="DDDDDD"/>
          </w:tcPr>
          <w:p>
            <w:pPr>
              <w:spacing w:after="0"/>
              <w:rPr>
                <w:sz w:val="17"/>
                <w:szCs w:val="17"/>
                <w:color w:val="auto"/>
              </w:rPr>
            </w:pPr>
          </w:p>
        </w:tc>
        <w:tc>
          <w:tcPr>
            <w:tcW w:w="220" w:type="dxa"/>
            <w:vAlign w:val="bottom"/>
            <w:shd w:val="clear" w:color="auto" w:fill="DDDDDD"/>
          </w:tcPr>
          <w:p>
            <w:pPr>
              <w:spacing w:after="0"/>
              <w:rPr>
                <w:sz w:val="17"/>
                <w:szCs w:val="17"/>
                <w:color w:val="auto"/>
              </w:rPr>
            </w:pPr>
          </w:p>
        </w:tc>
        <w:tc>
          <w:tcPr>
            <w:tcW w:w="900" w:type="dxa"/>
            <w:vAlign w:val="bottom"/>
            <w:vMerge w:val="continue"/>
            <w:shd w:val="clear" w:color="auto" w:fill="DDDDDD"/>
          </w:tcPr>
          <w:p>
            <w:pPr>
              <w:spacing w:after="0"/>
              <w:rPr>
                <w:sz w:val="17"/>
                <w:szCs w:val="17"/>
                <w:color w:val="auto"/>
              </w:rPr>
            </w:pPr>
          </w:p>
        </w:tc>
        <w:tc>
          <w:tcPr>
            <w:tcW w:w="60" w:type="dxa"/>
            <w:vAlign w:val="bottom"/>
            <w:shd w:val="clear" w:color="auto" w:fill="DDDDDD"/>
          </w:tcPr>
          <w:p>
            <w:pPr>
              <w:spacing w:after="0"/>
              <w:rPr>
                <w:sz w:val="17"/>
                <w:szCs w:val="17"/>
                <w:color w:val="auto"/>
              </w:rPr>
            </w:pPr>
          </w:p>
        </w:tc>
        <w:tc>
          <w:tcPr>
            <w:tcW w:w="160" w:type="dxa"/>
            <w:vAlign w:val="bottom"/>
            <w:shd w:val="clear" w:color="auto" w:fill="DDDDDD"/>
          </w:tcPr>
          <w:p>
            <w:pPr>
              <w:spacing w:after="0"/>
              <w:rPr>
                <w:sz w:val="17"/>
                <w:szCs w:val="17"/>
                <w:color w:val="auto"/>
              </w:rPr>
            </w:pPr>
          </w:p>
        </w:tc>
        <w:tc>
          <w:tcPr>
            <w:tcW w:w="1140" w:type="dxa"/>
            <w:vAlign w:val="bottom"/>
            <w:vMerge w:val="continue"/>
            <w:shd w:val="clear" w:color="auto" w:fill="DDDDDD"/>
          </w:tcPr>
          <w:p>
            <w:pPr>
              <w:spacing w:after="0"/>
              <w:rPr>
                <w:sz w:val="17"/>
                <w:szCs w:val="17"/>
                <w:color w:val="auto"/>
              </w:rPr>
            </w:pPr>
          </w:p>
        </w:tc>
        <w:tc>
          <w:tcPr>
            <w:tcW w:w="40" w:type="dxa"/>
            <w:vAlign w:val="bottom"/>
            <w:shd w:val="clear" w:color="auto" w:fill="DDDDDD"/>
          </w:tcPr>
          <w:p>
            <w:pPr>
              <w:spacing w:after="0"/>
              <w:rPr>
                <w:sz w:val="17"/>
                <w:szCs w:val="17"/>
                <w:color w:val="auto"/>
              </w:rPr>
            </w:pPr>
          </w:p>
        </w:tc>
        <w:tc>
          <w:tcPr>
            <w:tcW w:w="20" w:type="dxa"/>
            <w:vAlign w:val="bottom"/>
            <w:shd w:val="clear" w:color="auto" w:fill="DDDDDD"/>
          </w:tcPr>
          <w:p>
            <w:pPr>
              <w:spacing w:after="0"/>
              <w:rPr>
                <w:sz w:val="17"/>
                <w:szCs w:val="17"/>
                <w:color w:val="auto"/>
              </w:rPr>
            </w:pPr>
          </w:p>
        </w:tc>
        <w:tc>
          <w:tcPr>
            <w:tcW w:w="140" w:type="dxa"/>
            <w:vAlign w:val="bottom"/>
            <w:shd w:val="clear" w:color="auto" w:fill="DDDDDD"/>
          </w:tcPr>
          <w:p>
            <w:pPr>
              <w:spacing w:after="0"/>
              <w:rPr>
                <w:sz w:val="17"/>
                <w:szCs w:val="17"/>
                <w:color w:val="auto"/>
              </w:rPr>
            </w:pPr>
          </w:p>
        </w:tc>
        <w:tc>
          <w:tcPr>
            <w:tcW w:w="880" w:type="dxa"/>
            <w:vAlign w:val="bottom"/>
            <w:vMerge w:val="continue"/>
            <w:shd w:val="clear" w:color="auto" w:fill="DDDDDD"/>
          </w:tcPr>
          <w:p>
            <w:pPr>
              <w:spacing w:after="0"/>
              <w:rPr>
                <w:sz w:val="17"/>
                <w:szCs w:val="17"/>
                <w:color w:val="auto"/>
              </w:rPr>
            </w:pPr>
          </w:p>
        </w:tc>
        <w:tc>
          <w:tcPr>
            <w:tcW w:w="40" w:type="dxa"/>
            <w:vAlign w:val="bottom"/>
            <w:shd w:val="clear" w:color="auto" w:fill="DDDDDD"/>
          </w:tcPr>
          <w:p>
            <w:pPr>
              <w:spacing w:after="0"/>
              <w:rPr>
                <w:sz w:val="17"/>
                <w:szCs w:val="17"/>
                <w:color w:val="auto"/>
              </w:rPr>
            </w:pPr>
          </w:p>
        </w:tc>
        <w:tc>
          <w:tcPr>
            <w:tcW w:w="20" w:type="dxa"/>
            <w:vAlign w:val="bottom"/>
            <w:shd w:val="clear" w:color="auto" w:fill="DDDDDD"/>
          </w:tcPr>
          <w:p>
            <w:pPr>
              <w:spacing w:after="0"/>
              <w:rPr>
                <w:sz w:val="17"/>
                <w:szCs w:val="17"/>
                <w:color w:val="auto"/>
              </w:rPr>
            </w:pPr>
          </w:p>
        </w:tc>
        <w:tc>
          <w:tcPr>
            <w:tcW w:w="160" w:type="dxa"/>
            <w:vAlign w:val="bottom"/>
            <w:shd w:val="clear" w:color="auto" w:fill="DDDDDD"/>
          </w:tcPr>
          <w:p>
            <w:pPr>
              <w:spacing w:after="0"/>
              <w:rPr>
                <w:sz w:val="17"/>
                <w:szCs w:val="17"/>
                <w:color w:val="auto"/>
              </w:rPr>
            </w:pPr>
          </w:p>
        </w:tc>
        <w:tc>
          <w:tcPr>
            <w:tcW w:w="860" w:type="dxa"/>
            <w:vAlign w:val="bottom"/>
            <w:vMerge w:val="continue"/>
            <w:shd w:val="clear" w:color="auto" w:fill="DDDDDD"/>
          </w:tcPr>
          <w:p>
            <w:pPr>
              <w:spacing w:after="0"/>
              <w:rPr>
                <w:sz w:val="17"/>
                <w:szCs w:val="17"/>
                <w:color w:val="auto"/>
              </w:rPr>
            </w:pPr>
          </w:p>
        </w:tc>
        <w:tc>
          <w:tcPr>
            <w:tcW w:w="40" w:type="dxa"/>
            <w:vAlign w:val="bottom"/>
            <w:shd w:val="clear" w:color="auto" w:fill="DDDDDD"/>
          </w:tcPr>
          <w:p>
            <w:pPr>
              <w:spacing w:after="0"/>
              <w:rPr>
                <w:sz w:val="17"/>
                <w:szCs w:val="17"/>
                <w:color w:val="auto"/>
              </w:rPr>
            </w:pPr>
          </w:p>
        </w:tc>
        <w:tc>
          <w:tcPr>
            <w:tcW w:w="20" w:type="dxa"/>
            <w:vAlign w:val="bottom"/>
            <w:shd w:val="clear" w:color="auto" w:fill="DDDDDD"/>
          </w:tcPr>
          <w:p>
            <w:pPr>
              <w:spacing w:after="0"/>
              <w:rPr>
                <w:sz w:val="17"/>
                <w:szCs w:val="17"/>
                <w:color w:val="auto"/>
              </w:rPr>
            </w:pPr>
          </w:p>
        </w:tc>
        <w:tc>
          <w:tcPr>
            <w:tcW w:w="280" w:type="dxa"/>
            <w:vAlign w:val="bottom"/>
            <w:shd w:val="clear" w:color="auto" w:fill="DDDDDD"/>
          </w:tcPr>
          <w:p>
            <w:pPr>
              <w:spacing w:after="0"/>
              <w:rPr>
                <w:sz w:val="17"/>
                <w:szCs w:val="17"/>
                <w:color w:val="auto"/>
              </w:rPr>
            </w:pPr>
          </w:p>
        </w:tc>
        <w:tc>
          <w:tcPr>
            <w:tcW w:w="720" w:type="dxa"/>
            <w:vAlign w:val="bottom"/>
            <w:vMerge w:val="continue"/>
            <w:shd w:val="clear" w:color="auto" w:fill="DDDDDD"/>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52"/>
        </w:trPr>
        <w:tc>
          <w:tcPr>
            <w:tcW w:w="40" w:type="dxa"/>
            <w:vAlign w:val="bottom"/>
            <w:tcBorders>
              <w:bottom w:val="single" w:sz="8" w:color="DDDDDD"/>
            </w:tcBorders>
          </w:tcPr>
          <w:p>
            <w:pPr>
              <w:spacing w:after="0"/>
              <w:rPr>
                <w:sz w:val="21"/>
                <w:szCs w:val="21"/>
                <w:color w:val="auto"/>
              </w:rPr>
            </w:pPr>
          </w:p>
        </w:tc>
        <w:tc>
          <w:tcPr>
            <w:tcW w:w="2620" w:type="dxa"/>
            <w:vAlign w:val="bottom"/>
            <w:tcBorders>
              <w:bottom w:val="single" w:sz="8" w:color="DDDDDD"/>
            </w:tcBorders>
            <w:gridSpan w:val="3"/>
          </w:tcPr>
          <w:p>
            <w:pPr>
              <w:spacing w:after="0"/>
              <w:rPr>
                <w:sz w:val="20"/>
                <w:szCs w:val="20"/>
                <w:color w:val="auto"/>
              </w:rPr>
            </w:pPr>
            <w:r>
              <w:rPr>
                <w:rFonts w:ascii="Times New Roman" w:cs="Times New Roman" w:eastAsia="Times New Roman" w:hAnsi="Times New Roman"/>
                <w:sz w:val="16"/>
                <w:szCs w:val="16"/>
                <w:color w:val="auto"/>
              </w:rPr>
              <w:t>Net income (loss)</w:t>
            </w: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tcBorders>
              <w:bottom w:val="single" w:sz="8" w:color="auto"/>
            </w:tcBorders>
          </w:tcPr>
          <w:p>
            <w:pPr>
              <w:spacing w:after="0"/>
              <w:rPr>
                <w:sz w:val="21"/>
                <w:szCs w:val="21"/>
                <w:color w:val="auto"/>
              </w:rPr>
            </w:pPr>
          </w:p>
        </w:tc>
        <w:tc>
          <w:tcPr>
            <w:tcW w:w="940" w:type="dxa"/>
            <w:vAlign w:val="bottom"/>
            <w:tcBorders>
              <w:bottom w:val="single" w:sz="8" w:color="auto"/>
            </w:tcBorders>
          </w:tcPr>
          <w:p>
            <w:pPr>
              <w:jc w:val="right"/>
              <w:ind w:right="1"/>
              <w:spacing w:after="0"/>
              <w:rPr>
                <w:sz w:val="20"/>
                <w:szCs w:val="20"/>
                <w:color w:val="auto"/>
              </w:rPr>
            </w:pPr>
            <w:r>
              <w:rPr>
                <w:rFonts w:ascii="Times New Roman" w:cs="Times New Roman" w:eastAsia="Times New Roman" w:hAnsi="Times New Roman"/>
                <w:sz w:val="16"/>
                <w:szCs w:val="16"/>
                <w:color w:val="auto"/>
              </w:rPr>
              <w:t>—</w:t>
            </w:r>
          </w:p>
        </w:tc>
        <w:tc>
          <w:tcPr>
            <w:tcW w:w="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tcBorders>
              <w:bottom w:val="single" w:sz="8" w:color="auto"/>
            </w:tcBorders>
          </w:tcPr>
          <w:p>
            <w:pPr>
              <w:spacing w:after="0"/>
              <w:rPr>
                <w:sz w:val="21"/>
                <w:szCs w:val="21"/>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40" w:type="dxa"/>
            <w:vAlign w:val="bottom"/>
            <w:tcBorders>
              <w:bottom w:val="single" w:sz="8" w:color="DDDDDD"/>
            </w:tcBorders>
          </w:tcPr>
          <w:p>
            <w:pPr>
              <w:spacing w:after="0"/>
              <w:rPr>
                <w:sz w:val="21"/>
                <w:szCs w:val="21"/>
                <w:color w:val="auto"/>
              </w:rPr>
            </w:pPr>
          </w:p>
        </w:tc>
        <w:tc>
          <w:tcPr>
            <w:tcW w:w="20" w:type="dxa"/>
            <w:vAlign w:val="bottom"/>
            <w:tcBorders>
              <w:bottom w:val="single" w:sz="8" w:color="DDDDDD"/>
            </w:tcBorders>
          </w:tcPr>
          <w:p>
            <w:pPr>
              <w:spacing w:after="0"/>
              <w:rPr>
                <w:sz w:val="21"/>
                <w:szCs w:val="21"/>
                <w:color w:val="auto"/>
              </w:rPr>
            </w:pPr>
          </w:p>
        </w:tc>
        <w:tc>
          <w:tcPr>
            <w:tcW w:w="140" w:type="dxa"/>
            <w:vAlign w:val="bottom"/>
            <w:tcBorders>
              <w:bottom w:val="single" w:sz="8" w:color="auto"/>
            </w:tcBorders>
          </w:tcPr>
          <w:p>
            <w:pPr>
              <w:spacing w:after="0"/>
              <w:rPr>
                <w:sz w:val="21"/>
                <w:szCs w:val="21"/>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60" w:type="dxa"/>
            <w:vAlign w:val="bottom"/>
            <w:tcBorders>
              <w:bottom w:val="single" w:sz="8" w:color="DDDDDD"/>
            </w:tcBorders>
          </w:tcPr>
          <w:p>
            <w:pPr>
              <w:spacing w:after="0"/>
              <w:rPr>
                <w:sz w:val="21"/>
                <w:szCs w:val="21"/>
                <w:color w:val="auto"/>
              </w:rPr>
            </w:pPr>
          </w:p>
        </w:tc>
        <w:tc>
          <w:tcPr>
            <w:tcW w:w="20" w:type="dxa"/>
            <w:vAlign w:val="bottom"/>
            <w:tcBorders>
              <w:bottom w:val="single" w:sz="8" w:color="DDDDDD"/>
            </w:tcBorders>
          </w:tcPr>
          <w:p>
            <w:pPr>
              <w:spacing w:after="0"/>
              <w:rPr>
                <w:sz w:val="21"/>
                <w:szCs w:val="21"/>
                <w:color w:val="auto"/>
              </w:rPr>
            </w:pPr>
          </w:p>
        </w:tc>
        <w:tc>
          <w:tcPr>
            <w:tcW w:w="220" w:type="dxa"/>
            <w:vAlign w:val="bottom"/>
            <w:tcBorders>
              <w:bottom w:val="single" w:sz="8" w:color="auto"/>
            </w:tcBorders>
          </w:tcPr>
          <w:p>
            <w:pPr>
              <w:spacing w:after="0"/>
              <w:rPr>
                <w:sz w:val="21"/>
                <w:szCs w:val="21"/>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(9,898)</w:t>
            </w:r>
          </w:p>
        </w:tc>
        <w:tc>
          <w:tcPr>
            <w:tcW w:w="60" w:type="dxa"/>
            <w:vAlign w:val="bottom"/>
            <w:tcBorders>
              <w:bottom w:val="single" w:sz="8" w:color="auto"/>
            </w:tcBorders>
          </w:tcPr>
          <w:p>
            <w:pPr>
              <w:spacing w:after="0"/>
              <w:rPr>
                <w:sz w:val="21"/>
                <w:szCs w:val="21"/>
                <w:color w:val="auto"/>
              </w:rPr>
            </w:pPr>
          </w:p>
        </w:tc>
        <w:tc>
          <w:tcPr>
            <w:tcW w:w="160" w:type="dxa"/>
            <w:vAlign w:val="bottom"/>
            <w:tcBorders>
              <w:bottom w:val="single" w:sz="8" w:color="auto"/>
            </w:tcBorders>
          </w:tcPr>
          <w:p>
            <w:pPr>
              <w:spacing w:after="0"/>
              <w:rPr>
                <w:sz w:val="21"/>
                <w:szCs w:val="21"/>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(9,898)</w:t>
            </w:r>
          </w:p>
        </w:tc>
        <w:tc>
          <w:tcPr>
            <w:tcW w:w="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40" w:type="dxa"/>
            <w:vAlign w:val="bottom"/>
            <w:tcBorders>
              <w:bottom w:val="single" w:sz="8" w:color="auto"/>
            </w:tcBorders>
          </w:tcPr>
          <w:p>
            <w:pPr>
              <w:spacing w:after="0"/>
              <w:rPr>
                <w:sz w:val="21"/>
                <w:szCs w:val="21"/>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(5,829)</w:t>
            </w:r>
          </w:p>
        </w:tc>
        <w:tc>
          <w:tcPr>
            <w:tcW w:w="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60" w:type="dxa"/>
            <w:vAlign w:val="bottom"/>
            <w:tcBorders>
              <w:bottom w:val="single" w:sz="8" w:color="auto"/>
            </w:tcBorders>
          </w:tcPr>
          <w:p>
            <w:pPr>
              <w:spacing w:after="0"/>
              <w:rPr>
                <w:sz w:val="21"/>
                <w:szCs w:val="21"/>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80" w:type="dxa"/>
            <w:vAlign w:val="bottom"/>
            <w:tcBorders>
              <w:bottom w:val="single" w:sz="8" w:color="auto"/>
            </w:tcBorders>
          </w:tcPr>
          <w:p>
            <w:pPr>
              <w:spacing w:after="0"/>
              <w:rPr>
                <w:sz w:val="21"/>
                <w:szCs w:val="21"/>
                <w:color w:val="auto"/>
              </w:rPr>
            </w:pP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(15,727)</w:t>
            </w:r>
          </w:p>
        </w:tc>
        <w:tc>
          <w:tcPr>
            <w:tcW w:w="20" w:type="dxa"/>
            <w:vAlign w:val="bottom"/>
            <w:tcBorders>
              <w:bottom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210"/>
        </w:trPr>
        <w:tc>
          <w:tcPr>
            <w:tcW w:w="40" w:type="dxa"/>
            <w:vAlign w:val="bottom"/>
            <w:tcBorders>
              <w:top w:val="single" w:sz="8" w:color="DDDDDD"/>
            </w:tcBorders>
            <w:shd w:val="clear" w:color="auto" w:fill="DDDDDD"/>
          </w:tcPr>
          <w:p>
            <w:pPr>
              <w:spacing w:after="0"/>
              <w:rPr>
                <w:sz w:val="18"/>
                <w:szCs w:val="18"/>
                <w:color w:val="auto"/>
              </w:rPr>
            </w:pPr>
          </w:p>
        </w:tc>
        <w:tc>
          <w:tcPr>
            <w:tcW w:w="2620" w:type="dxa"/>
            <w:vAlign w:val="bottom"/>
            <w:tcBorders>
              <w:top w:val="single" w:sz="8" w:color="DDDDDD"/>
            </w:tcBorders>
            <w:gridSpan w:val="3"/>
            <w:shd w:val="clear" w:color="auto" w:fill="DDDDDD"/>
          </w:tcPr>
          <w:p>
            <w:pPr>
              <w:spacing w:after="0"/>
              <w:rPr>
                <w:sz w:val="20"/>
                <w:szCs w:val="20"/>
                <w:color w:val="auto"/>
              </w:rPr>
            </w:pPr>
            <w:r>
              <w:rPr>
                <w:rFonts w:ascii="Times New Roman" w:cs="Times New Roman" w:eastAsia="Times New Roman" w:hAnsi="Times New Roman"/>
                <w:sz w:val="16"/>
                <w:szCs w:val="16"/>
                <w:b w:val="1"/>
                <w:bCs w:val="1"/>
                <w:color w:val="auto"/>
              </w:rPr>
              <w:t>As of December 31, 2023</w:t>
            </w:r>
          </w:p>
        </w:tc>
        <w:tc>
          <w:tcPr>
            <w:tcW w:w="1040" w:type="dxa"/>
            <w:vAlign w:val="bottom"/>
            <w:tcBorders>
              <w:top w:val="single" w:sz="8" w:color="DDDDDD"/>
            </w:tcBorders>
            <w:shd w:val="clear" w:color="auto" w:fill="DDDDDD"/>
          </w:tcPr>
          <w:p>
            <w:pPr>
              <w:jc w:val="right"/>
              <w:spacing w:after="0"/>
              <w:rPr>
                <w:sz w:val="20"/>
                <w:szCs w:val="20"/>
                <w:color w:val="auto"/>
              </w:rPr>
            </w:pPr>
            <w:r>
              <w:rPr>
                <w:rFonts w:ascii="Times New Roman" w:cs="Times New Roman" w:eastAsia="Times New Roman" w:hAnsi="Times New Roman"/>
                <w:sz w:val="16"/>
                <w:szCs w:val="16"/>
                <w:b w:val="1"/>
                <w:bCs w:val="1"/>
                <w:color w:val="auto"/>
              </w:rPr>
              <w:t>94,383,053</w:t>
            </w:r>
          </w:p>
        </w:tc>
        <w:tc>
          <w:tcPr>
            <w:tcW w:w="180" w:type="dxa"/>
            <w:vAlign w:val="bottom"/>
            <w:tcBorders>
              <w:top w:val="single" w:sz="8" w:color="DDDDDD"/>
            </w:tcBorders>
            <w:shd w:val="clear" w:color="auto" w:fill="DDDDDD"/>
          </w:tcPr>
          <w:p>
            <w:pPr>
              <w:jc w:val="right"/>
              <w:spacing w:after="0"/>
              <w:rPr>
                <w:sz w:val="20"/>
                <w:szCs w:val="20"/>
                <w:color w:val="auto"/>
              </w:rPr>
            </w:pPr>
            <w:r>
              <w:rPr>
                <w:rFonts w:ascii="Times New Roman" w:cs="Times New Roman" w:eastAsia="Times New Roman" w:hAnsi="Times New Roman"/>
                <w:sz w:val="16"/>
                <w:szCs w:val="16"/>
                <w:b w:val="1"/>
                <w:bCs w:val="1"/>
                <w:color w:val="auto"/>
              </w:rPr>
              <w:t>$</w:t>
            </w:r>
          </w:p>
        </w:tc>
        <w:tc>
          <w:tcPr>
            <w:tcW w:w="940" w:type="dxa"/>
            <w:vAlign w:val="bottom"/>
            <w:tcBorders>
              <w:top w:val="single" w:sz="8" w:color="DDDDDD"/>
            </w:tcBorders>
            <w:shd w:val="clear" w:color="auto" w:fill="DDDDDD"/>
          </w:tcPr>
          <w:p>
            <w:pPr>
              <w:jc w:val="right"/>
              <w:ind w:right="1"/>
              <w:spacing w:after="0"/>
              <w:rPr>
                <w:sz w:val="20"/>
                <w:szCs w:val="20"/>
                <w:color w:val="auto"/>
              </w:rPr>
            </w:pPr>
            <w:r>
              <w:rPr>
                <w:rFonts w:ascii="Times New Roman" w:cs="Times New Roman" w:eastAsia="Times New Roman" w:hAnsi="Times New Roman"/>
                <w:sz w:val="16"/>
                <w:szCs w:val="16"/>
                <w:b w:val="1"/>
                <w:bCs w:val="1"/>
                <w:color w:val="auto"/>
              </w:rPr>
              <w:t>9</w:t>
            </w:r>
          </w:p>
        </w:tc>
        <w:tc>
          <w:tcPr>
            <w:tcW w:w="1060" w:type="dxa"/>
            <w:vAlign w:val="bottom"/>
            <w:tcBorders>
              <w:top w:val="single" w:sz="8" w:color="DDDDDD"/>
            </w:tcBorders>
            <w:gridSpan w:val="3"/>
            <w:shd w:val="clear" w:color="auto" w:fill="DDDDDD"/>
          </w:tcPr>
          <w:p>
            <w:pPr>
              <w:jc w:val="right"/>
              <w:spacing w:after="0"/>
              <w:rPr>
                <w:sz w:val="20"/>
                <w:szCs w:val="20"/>
                <w:color w:val="auto"/>
              </w:rPr>
            </w:pPr>
            <w:r>
              <w:rPr>
                <w:rFonts w:ascii="Times New Roman" w:cs="Times New Roman" w:eastAsia="Times New Roman" w:hAnsi="Times New Roman"/>
                <w:sz w:val="16"/>
                <w:szCs w:val="16"/>
                <w:b w:val="1"/>
                <w:bCs w:val="1"/>
                <w:color w:val="auto"/>
              </w:rPr>
              <w:t>55,486,361</w:t>
            </w:r>
          </w:p>
        </w:tc>
        <w:tc>
          <w:tcPr>
            <w:tcW w:w="160" w:type="dxa"/>
            <w:vAlign w:val="bottom"/>
            <w:tcBorders>
              <w:top w:val="single" w:sz="8" w:color="DDDDDD"/>
            </w:tcBorders>
            <w:shd w:val="clear" w:color="auto" w:fill="DDDDDD"/>
          </w:tcPr>
          <w:p>
            <w:pPr>
              <w:jc w:val="right"/>
              <w:spacing w:after="0"/>
              <w:rPr>
                <w:sz w:val="20"/>
                <w:szCs w:val="20"/>
                <w:color w:val="auto"/>
              </w:rPr>
            </w:pPr>
            <w:r>
              <w:rPr>
                <w:rFonts w:ascii="Times New Roman" w:cs="Times New Roman" w:eastAsia="Times New Roman" w:hAnsi="Times New Roman"/>
                <w:sz w:val="16"/>
                <w:szCs w:val="16"/>
                <w:b w:val="1"/>
                <w:bCs w:val="1"/>
                <w:color w:val="auto"/>
              </w:rPr>
              <w:t>$</w:t>
            </w:r>
          </w:p>
        </w:tc>
        <w:tc>
          <w:tcPr>
            <w:tcW w:w="860" w:type="dxa"/>
            <w:vAlign w:val="bottom"/>
            <w:tcBorders>
              <w:top w:val="single" w:sz="8" w:color="DDDDDD"/>
            </w:tcBorders>
            <w:shd w:val="clear" w:color="auto" w:fill="DDDDDD"/>
          </w:tcPr>
          <w:p>
            <w:pPr>
              <w:jc w:val="right"/>
              <w:spacing w:after="0"/>
              <w:rPr>
                <w:sz w:val="20"/>
                <w:szCs w:val="20"/>
                <w:color w:val="auto"/>
              </w:rPr>
            </w:pPr>
            <w:r>
              <w:rPr>
                <w:rFonts w:ascii="Times New Roman" w:cs="Times New Roman" w:eastAsia="Times New Roman" w:hAnsi="Times New Roman"/>
                <w:sz w:val="16"/>
                <w:szCs w:val="16"/>
                <w:b w:val="1"/>
                <w:bCs w:val="1"/>
                <w:color w:val="auto"/>
              </w:rPr>
              <w:t>5</w:t>
            </w:r>
          </w:p>
        </w:tc>
        <w:tc>
          <w:tcPr>
            <w:tcW w:w="200" w:type="dxa"/>
            <w:vAlign w:val="bottom"/>
            <w:tcBorders>
              <w:top w:val="single" w:sz="8" w:color="DDDDDD"/>
            </w:tcBorders>
            <w:gridSpan w:val="3"/>
            <w:shd w:val="clear" w:color="auto" w:fill="DDDDDD"/>
          </w:tcPr>
          <w:p>
            <w:pPr>
              <w:jc w:val="right"/>
              <w:spacing w:after="0"/>
              <w:rPr>
                <w:sz w:val="20"/>
                <w:szCs w:val="20"/>
                <w:color w:val="auto"/>
              </w:rPr>
            </w:pPr>
            <w:r>
              <w:rPr>
                <w:rFonts w:ascii="Times New Roman" w:cs="Times New Roman" w:eastAsia="Times New Roman" w:hAnsi="Times New Roman"/>
                <w:sz w:val="16"/>
                <w:szCs w:val="16"/>
                <w:b w:val="1"/>
                <w:bCs w:val="1"/>
                <w:color w:val="auto"/>
              </w:rPr>
              <w:t>$</w:t>
            </w:r>
          </w:p>
        </w:tc>
        <w:tc>
          <w:tcPr>
            <w:tcW w:w="880" w:type="dxa"/>
            <w:vAlign w:val="bottom"/>
            <w:tcBorders>
              <w:top w:val="single" w:sz="8" w:color="DDDDDD"/>
            </w:tcBorders>
            <w:shd w:val="clear" w:color="auto" w:fill="DDDDDD"/>
          </w:tcPr>
          <w:p>
            <w:pPr>
              <w:jc w:val="right"/>
              <w:spacing w:after="0"/>
              <w:rPr>
                <w:sz w:val="20"/>
                <w:szCs w:val="20"/>
                <w:color w:val="auto"/>
              </w:rPr>
            </w:pPr>
            <w:r>
              <w:rPr>
                <w:rFonts w:ascii="Times New Roman" w:cs="Times New Roman" w:eastAsia="Times New Roman" w:hAnsi="Times New Roman"/>
                <w:sz w:val="16"/>
                <w:szCs w:val="16"/>
                <w:b w:val="1"/>
                <w:bCs w:val="1"/>
                <w:color w:val="auto"/>
              </w:rPr>
              <w:t>80,884</w:t>
            </w:r>
          </w:p>
        </w:tc>
        <w:tc>
          <w:tcPr>
            <w:tcW w:w="300" w:type="dxa"/>
            <w:vAlign w:val="bottom"/>
            <w:tcBorders>
              <w:top w:val="single" w:sz="8" w:color="DDDDDD"/>
            </w:tcBorders>
            <w:gridSpan w:val="3"/>
            <w:shd w:val="clear" w:color="auto" w:fill="DDDDDD"/>
          </w:tcPr>
          <w:p>
            <w:pPr>
              <w:jc w:val="right"/>
              <w:spacing w:after="0"/>
              <w:rPr>
                <w:sz w:val="20"/>
                <w:szCs w:val="20"/>
                <w:color w:val="auto"/>
              </w:rPr>
            </w:pPr>
            <w:r>
              <w:rPr>
                <w:rFonts w:ascii="Times New Roman" w:cs="Times New Roman" w:eastAsia="Times New Roman" w:hAnsi="Times New Roman"/>
                <w:sz w:val="16"/>
                <w:szCs w:val="16"/>
                <w:b w:val="1"/>
                <w:bCs w:val="1"/>
                <w:color w:val="auto"/>
              </w:rPr>
              <w:t>$</w:t>
            </w:r>
          </w:p>
        </w:tc>
        <w:tc>
          <w:tcPr>
            <w:tcW w:w="900" w:type="dxa"/>
            <w:vAlign w:val="bottom"/>
            <w:tcBorders>
              <w:top w:val="single" w:sz="8" w:color="DDDDDD"/>
            </w:tcBorders>
            <w:shd w:val="clear" w:color="auto" w:fill="DDDDDD"/>
          </w:tcPr>
          <w:p>
            <w:pPr>
              <w:jc w:val="right"/>
              <w:spacing w:after="0"/>
              <w:rPr>
                <w:sz w:val="20"/>
                <w:szCs w:val="20"/>
                <w:color w:val="auto"/>
              </w:rPr>
            </w:pPr>
            <w:r>
              <w:rPr>
                <w:rFonts w:ascii="Times New Roman" w:cs="Times New Roman" w:eastAsia="Times New Roman" w:hAnsi="Times New Roman"/>
                <w:sz w:val="16"/>
                <w:szCs w:val="16"/>
                <w:b w:val="1"/>
                <w:bCs w:val="1"/>
                <w:color w:val="auto"/>
              </w:rPr>
              <w:t>(64,518)</w:t>
            </w:r>
          </w:p>
        </w:tc>
        <w:tc>
          <w:tcPr>
            <w:tcW w:w="220" w:type="dxa"/>
            <w:vAlign w:val="bottom"/>
            <w:tcBorders>
              <w:top w:val="single" w:sz="8" w:color="DDDDDD"/>
            </w:tcBorders>
            <w:gridSpan w:val="2"/>
            <w:shd w:val="clear" w:color="auto" w:fill="DDDDDD"/>
          </w:tcPr>
          <w:p>
            <w:pPr>
              <w:jc w:val="right"/>
              <w:spacing w:after="0"/>
              <w:rPr>
                <w:sz w:val="20"/>
                <w:szCs w:val="20"/>
                <w:color w:val="auto"/>
              </w:rPr>
            </w:pPr>
            <w:r>
              <w:rPr>
                <w:rFonts w:ascii="Times New Roman" w:cs="Times New Roman" w:eastAsia="Times New Roman" w:hAnsi="Times New Roman"/>
                <w:sz w:val="16"/>
                <w:szCs w:val="16"/>
                <w:b w:val="1"/>
                <w:bCs w:val="1"/>
                <w:color w:val="auto"/>
              </w:rPr>
              <w:t>$</w:t>
            </w:r>
          </w:p>
        </w:tc>
        <w:tc>
          <w:tcPr>
            <w:tcW w:w="1140" w:type="dxa"/>
            <w:vAlign w:val="bottom"/>
            <w:tcBorders>
              <w:top w:val="single" w:sz="8" w:color="DDDDDD"/>
            </w:tcBorders>
            <w:shd w:val="clear" w:color="auto" w:fill="DDDDDD"/>
          </w:tcPr>
          <w:p>
            <w:pPr>
              <w:jc w:val="right"/>
              <w:spacing w:after="0"/>
              <w:rPr>
                <w:sz w:val="20"/>
                <w:szCs w:val="20"/>
                <w:color w:val="auto"/>
              </w:rPr>
            </w:pPr>
            <w:r>
              <w:rPr>
                <w:rFonts w:ascii="Times New Roman" w:cs="Times New Roman" w:eastAsia="Times New Roman" w:hAnsi="Times New Roman"/>
                <w:sz w:val="16"/>
                <w:szCs w:val="16"/>
                <w:b w:val="1"/>
                <w:bCs w:val="1"/>
                <w:color w:val="auto"/>
              </w:rPr>
              <w:t>16,380</w:t>
            </w:r>
          </w:p>
        </w:tc>
        <w:tc>
          <w:tcPr>
            <w:tcW w:w="200" w:type="dxa"/>
            <w:vAlign w:val="bottom"/>
            <w:tcBorders>
              <w:top w:val="single" w:sz="8" w:color="DDDDDD"/>
            </w:tcBorders>
            <w:gridSpan w:val="3"/>
            <w:shd w:val="clear" w:color="auto" w:fill="DDDDDD"/>
          </w:tcPr>
          <w:p>
            <w:pPr>
              <w:jc w:val="right"/>
              <w:spacing w:after="0"/>
              <w:rPr>
                <w:sz w:val="20"/>
                <w:szCs w:val="20"/>
                <w:color w:val="auto"/>
              </w:rPr>
            </w:pPr>
            <w:r>
              <w:rPr>
                <w:rFonts w:ascii="Times New Roman" w:cs="Times New Roman" w:eastAsia="Times New Roman" w:hAnsi="Times New Roman"/>
                <w:sz w:val="16"/>
                <w:szCs w:val="16"/>
                <w:b w:val="1"/>
                <w:bCs w:val="1"/>
                <w:color w:val="auto"/>
              </w:rPr>
              <w:t>$</w:t>
            </w:r>
          </w:p>
        </w:tc>
        <w:tc>
          <w:tcPr>
            <w:tcW w:w="880" w:type="dxa"/>
            <w:vAlign w:val="bottom"/>
            <w:tcBorders>
              <w:top w:val="single" w:sz="8" w:color="DDDDDD"/>
            </w:tcBorders>
            <w:shd w:val="clear" w:color="auto" w:fill="DDDDDD"/>
          </w:tcPr>
          <w:p>
            <w:pPr>
              <w:jc w:val="right"/>
              <w:spacing w:after="0"/>
              <w:rPr>
                <w:sz w:val="20"/>
                <w:szCs w:val="20"/>
                <w:color w:val="auto"/>
              </w:rPr>
            </w:pPr>
            <w:r>
              <w:rPr>
                <w:rFonts w:ascii="Times New Roman" w:cs="Times New Roman" w:eastAsia="Times New Roman" w:hAnsi="Times New Roman"/>
                <w:sz w:val="16"/>
                <w:szCs w:val="16"/>
                <w:b w:val="1"/>
                <w:bCs w:val="1"/>
                <w:color w:val="auto"/>
              </w:rPr>
              <w:t>86,771</w:t>
            </w:r>
          </w:p>
        </w:tc>
        <w:tc>
          <w:tcPr>
            <w:tcW w:w="220" w:type="dxa"/>
            <w:vAlign w:val="bottom"/>
            <w:tcBorders>
              <w:top w:val="single" w:sz="8" w:color="DDDDDD"/>
            </w:tcBorders>
            <w:gridSpan w:val="3"/>
            <w:shd w:val="clear" w:color="auto" w:fill="DDDDDD"/>
          </w:tcPr>
          <w:p>
            <w:pPr>
              <w:jc w:val="right"/>
              <w:spacing w:after="0"/>
              <w:rPr>
                <w:sz w:val="20"/>
                <w:szCs w:val="20"/>
                <w:color w:val="auto"/>
              </w:rPr>
            </w:pPr>
            <w:r>
              <w:rPr>
                <w:rFonts w:ascii="Times New Roman" w:cs="Times New Roman" w:eastAsia="Times New Roman" w:hAnsi="Times New Roman"/>
                <w:sz w:val="16"/>
                <w:szCs w:val="16"/>
                <w:b w:val="1"/>
                <w:bCs w:val="1"/>
                <w:color w:val="auto"/>
              </w:rPr>
              <w:t>$</w:t>
            </w:r>
          </w:p>
        </w:tc>
        <w:tc>
          <w:tcPr>
            <w:tcW w:w="860" w:type="dxa"/>
            <w:vAlign w:val="bottom"/>
            <w:tcBorders>
              <w:top w:val="single" w:sz="8" w:color="DDDDDD"/>
            </w:tcBorders>
            <w:shd w:val="clear" w:color="auto" w:fill="DDDDDD"/>
          </w:tcPr>
          <w:p>
            <w:pPr>
              <w:jc w:val="right"/>
              <w:spacing w:after="0"/>
              <w:rPr>
                <w:sz w:val="20"/>
                <w:szCs w:val="20"/>
                <w:color w:val="auto"/>
              </w:rPr>
            </w:pPr>
            <w:r>
              <w:rPr>
                <w:rFonts w:ascii="Times New Roman" w:cs="Times New Roman" w:eastAsia="Times New Roman" w:hAnsi="Times New Roman"/>
                <w:sz w:val="16"/>
                <w:szCs w:val="16"/>
                <w:b w:val="1"/>
                <w:bCs w:val="1"/>
                <w:color w:val="auto"/>
              </w:rPr>
              <w:t>—</w:t>
            </w:r>
          </w:p>
        </w:tc>
        <w:tc>
          <w:tcPr>
            <w:tcW w:w="340" w:type="dxa"/>
            <w:vAlign w:val="bottom"/>
            <w:tcBorders>
              <w:top w:val="single" w:sz="8" w:color="DDDDDD"/>
            </w:tcBorders>
            <w:gridSpan w:val="3"/>
            <w:shd w:val="clear" w:color="auto" w:fill="DDDDDD"/>
          </w:tcPr>
          <w:p>
            <w:pPr>
              <w:ind w:left="120"/>
              <w:spacing w:after="0"/>
              <w:rPr>
                <w:sz w:val="20"/>
                <w:szCs w:val="20"/>
                <w:color w:val="auto"/>
              </w:rPr>
            </w:pPr>
            <w:r>
              <w:rPr>
                <w:rFonts w:ascii="Times New Roman" w:cs="Times New Roman" w:eastAsia="Times New Roman" w:hAnsi="Times New Roman"/>
                <w:sz w:val="16"/>
                <w:szCs w:val="16"/>
                <w:b w:val="1"/>
                <w:bCs w:val="1"/>
                <w:color w:val="auto"/>
              </w:rPr>
              <w:t>$</w:t>
            </w:r>
          </w:p>
        </w:tc>
        <w:tc>
          <w:tcPr>
            <w:tcW w:w="720" w:type="dxa"/>
            <w:vAlign w:val="bottom"/>
            <w:tcBorders>
              <w:top w:val="single" w:sz="8" w:color="DDDDDD"/>
            </w:tcBorders>
            <w:shd w:val="clear" w:color="auto" w:fill="DDDDDD"/>
          </w:tcPr>
          <w:p>
            <w:pPr>
              <w:jc w:val="right"/>
              <w:spacing w:after="0"/>
              <w:rPr>
                <w:sz w:val="20"/>
                <w:szCs w:val="20"/>
                <w:color w:val="auto"/>
              </w:rPr>
            </w:pPr>
            <w:r>
              <w:rPr>
                <w:rFonts w:ascii="Times New Roman" w:cs="Times New Roman" w:eastAsia="Times New Roman" w:hAnsi="Times New Roman"/>
                <w:sz w:val="16"/>
                <w:szCs w:val="16"/>
                <w:b w:val="1"/>
                <w:bCs w:val="1"/>
                <w:color w:val="auto"/>
              </w:rPr>
              <w:t>103,151</w:t>
            </w:r>
          </w:p>
        </w:tc>
        <w:tc>
          <w:tcPr>
            <w:tcW w:w="20" w:type="dxa"/>
            <w:vAlign w:val="bottom"/>
            <w:tcBorders>
              <w:top w:val="single" w:sz="8" w:color="DDDDDD"/>
            </w:tcBorders>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40" w:type="dxa"/>
            <w:vAlign w:val="bottom"/>
          </w:tcPr>
          <w:p>
            <w:pPr>
              <w:spacing w:after="0" w:line="20" w:lineRule="exact"/>
              <w:rPr>
                <w:sz w:val="1"/>
                <w:szCs w:val="1"/>
                <w:color w:val="auto"/>
              </w:rPr>
            </w:pPr>
          </w:p>
        </w:tc>
        <w:tc>
          <w:tcPr>
            <w:tcW w:w="25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
        </w:trPr>
        <w:tc>
          <w:tcPr>
            <w:tcW w:w="40" w:type="dxa"/>
            <w:vAlign w:val="bottom"/>
          </w:tcPr>
          <w:p>
            <w:pPr>
              <w:spacing w:after="0" w:line="20" w:lineRule="exact"/>
              <w:rPr>
                <w:sz w:val="1"/>
                <w:szCs w:val="1"/>
                <w:color w:val="auto"/>
              </w:rPr>
            </w:pPr>
          </w:p>
        </w:tc>
        <w:tc>
          <w:tcPr>
            <w:tcW w:w="25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3056890</wp:posOffset>
                </wp:positionH>
                <wp:positionV relativeFrom="paragraph">
                  <wp:posOffset>-5189220</wp:posOffset>
                </wp:positionV>
                <wp:extent cx="36830" cy="13970"/>
                <wp:wrapNone/>
                <wp:docPr id="60" name="Shape 60"/>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36830" cy="13970"/>
                        </a:xfrm>
                        <a:prstGeom prst="rect">
                          <a:avLst/>
                        </a:prstGeom>
                        <a:solidFill>
                          <a:srgbClr val="DDDDDD"/>
                        </a:solidFill>
                      </wps:spPr>
                      <wps:bodyPr/>
                    </wps:wsp>
                  </a:graphicData>
                </a:graphic>
              </wp:anchor>
            </w:drawing>
          </mc:Choice>
          <mc:Fallback>
            <w:pict>
              <v:rect id="Shape 60" o:spid="_x0000_s1085" style="position:absolute;margin-left:240.7pt;margin-top:-408.5999pt;width:2.9pt;height:1.1pt;z-index:-251657728;visibility:visible;mso-wrap-style:square;mso-width-percent:0;mso-height-percent:0;mso-wrap-distance-left:0pt;mso-wrap-distance-top:0;mso-wrap-distance-right:0pt;mso-wrap-distance-bottom:0;mso-position-horizontal:absolute;mso-position-horizontal-relative:text;mso-position-vertical:absolute;mso-position-vertical-relative:text;mso-width-percent:0;mso-height-percent:0;mso-width-relative:page;mso-height-relative:page;v-text-anchor:top" o:allowincell="f" fillcolor="#DDDDDD" stroked="f"/>
            </w:pict>
          </mc:Fallback>
        </mc:AlternateContent>
        <mc:AlternateContent>
          <mc:Choice Requires="wps">
            <w:drawing>
              <wp:anchor simplePos="0" relativeHeight="251657728" behindDoc="1" locked="0" layoutInCell="0" allowOverlap="1">
                <wp:simplePos x="0" y="0"/>
                <wp:positionH relativeFrom="column">
                  <wp:posOffset>5827395</wp:posOffset>
                </wp:positionH>
                <wp:positionV relativeFrom="paragraph">
                  <wp:posOffset>-5189220</wp:posOffset>
                </wp:positionV>
                <wp:extent cx="36830" cy="13970"/>
                <wp:wrapNone/>
                <wp:docPr id="61" name="Shape 61"/>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36830" cy="13970"/>
                        </a:xfrm>
                        <a:prstGeom prst="rect">
                          <a:avLst/>
                        </a:prstGeom>
                        <a:solidFill>
                          <a:srgbClr val="DDDDDD"/>
                        </a:solidFill>
                      </wps:spPr>
                      <wps:bodyPr/>
                    </wps:wsp>
                  </a:graphicData>
                </a:graphic>
              </wp:anchor>
            </w:drawing>
          </mc:Choice>
          <mc:Fallback>
            <w:pict>
              <v:rect id="Shape 61" o:spid="_x0000_s1086" style="position:absolute;margin-left:458.85pt;margin-top:-408.5999pt;width:2.9pt;height:1.1pt;z-index:-251657728;visibility:visible;mso-wrap-style:square;mso-width-percent:0;mso-height-percent:0;mso-wrap-distance-left:0pt;mso-wrap-distance-top:0;mso-wrap-distance-right:0pt;mso-wrap-distance-bottom:0;mso-position-horizontal:absolute;mso-position-horizontal-relative:text;mso-position-vertical:absolute;mso-position-vertical-relative:text;mso-width-percent:0;mso-height-percent:0;mso-width-relative:page;mso-height-relative:page;v-text-anchor:top" o:allowincell="f" fillcolor="#DDDDDD" stroked="f"/>
            </w:pict>
          </mc:Fallback>
        </mc:AlternateContent>
        <mc:AlternateContent>
          <mc:Choice Requires="wps">
            <w:drawing>
              <wp:anchor simplePos="0" relativeHeight="251657728" behindDoc="1" locked="0" layoutInCell="0" allowOverlap="1">
                <wp:simplePos x="0" y="0"/>
                <wp:positionH relativeFrom="column">
                  <wp:posOffset>6696075</wp:posOffset>
                </wp:positionH>
                <wp:positionV relativeFrom="paragraph">
                  <wp:posOffset>-5189220</wp:posOffset>
                </wp:positionV>
                <wp:extent cx="36830" cy="13970"/>
                <wp:wrapNone/>
                <wp:docPr id="62" name="Shape 62"/>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36830" cy="13970"/>
                        </a:xfrm>
                        <a:prstGeom prst="rect">
                          <a:avLst/>
                        </a:prstGeom>
                        <a:solidFill>
                          <a:srgbClr val="DDDDDD"/>
                        </a:solidFill>
                      </wps:spPr>
                      <wps:bodyPr/>
                    </wps:wsp>
                  </a:graphicData>
                </a:graphic>
              </wp:anchor>
            </w:drawing>
          </mc:Choice>
          <mc:Fallback>
            <w:pict>
              <v:rect id="Shape 62" o:spid="_x0000_s1087" style="position:absolute;margin-left:527.25pt;margin-top:-408.5999pt;width:2.9pt;height:1.1pt;z-index:-251657728;visibility:visible;mso-wrap-style:square;mso-width-percent:0;mso-height-percent:0;mso-wrap-distance-left:0pt;mso-wrap-distance-top:0;mso-wrap-distance-right:0pt;mso-wrap-distance-bottom:0;mso-position-horizontal:absolute;mso-position-horizontal-relative:text;mso-position-vertical:absolute;mso-position-vertical-relative:text;mso-width-percent:0;mso-height-percent:0;mso-width-relative:page;mso-height-relative:page;v-text-anchor:top" o:allowincell="f" fillcolor="#DDDDDD" stroked="f"/>
            </w:pict>
          </mc:Fallback>
        </mc:AlternateContent>
        <mc:AlternateContent>
          <mc:Choice Requires="wps">
            <w:drawing>
              <wp:anchor simplePos="0" relativeHeight="251657728" behindDoc="1" locked="0" layoutInCell="0" allowOverlap="1">
                <wp:simplePos x="0" y="0"/>
                <wp:positionH relativeFrom="column">
                  <wp:posOffset>7381875</wp:posOffset>
                </wp:positionH>
                <wp:positionV relativeFrom="paragraph">
                  <wp:posOffset>-5189220</wp:posOffset>
                </wp:positionV>
                <wp:extent cx="36830" cy="13970"/>
                <wp:wrapNone/>
                <wp:docPr id="63" name="Shape 63"/>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36830" cy="13970"/>
                        </a:xfrm>
                        <a:prstGeom prst="rect">
                          <a:avLst/>
                        </a:prstGeom>
                        <a:solidFill>
                          <a:srgbClr val="DDDDDD"/>
                        </a:solidFill>
                      </wps:spPr>
                      <wps:bodyPr/>
                    </wps:wsp>
                  </a:graphicData>
                </a:graphic>
              </wp:anchor>
            </w:drawing>
          </mc:Choice>
          <mc:Fallback>
            <w:pict>
              <v:rect id="Shape 63" o:spid="_x0000_s1088" style="position:absolute;margin-left:581.25pt;margin-top:-408.5999pt;width:2.9pt;height:1.1pt;z-index:-251657728;visibility:visible;mso-wrap-style:square;mso-width-percent:0;mso-height-percent:0;mso-wrap-distance-left:0pt;mso-wrap-distance-top:0;mso-wrap-distance-right:0pt;mso-wrap-distance-bottom:0;mso-position-horizontal:absolute;mso-position-horizontal-relative:text;mso-position-vertical:absolute;mso-position-vertical-relative:text;mso-width-percent:0;mso-height-percent:0;mso-width-relative:page;mso-height-relative:page;v-text-anchor:top" o:allowincell="f" fillcolor="#DDDDDD" stroked="f"/>
            </w:pict>
          </mc:Fallback>
        </mc:AlternateContent>
        <mc:AlternateContent>
          <mc:Choice Requires="wps">
            <w:drawing>
              <wp:anchor simplePos="0" relativeHeight="251657728" behindDoc="1" locked="0" layoutInCell="0" allowOverlap="1">
                <wp:simplePos x="0" y="0"/>
                <wp:positionH relativeFrom="column">
                  <wp:posOffset>8067675</wp:posOffset>
                </wp:positionH>
                <wp:positionV relativeFrom="paragraph">
                  <wp:posOffset>-5189220</wp:posOffset>
                </wp:positionV>
                <wp:extent cx="36830" cy="13970"/>
                <wp:wrapNone/>
                <wp:docPr id="64" name="Shape 64"/>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36830" cy="13970"/>
                        </a:xfrm>
                        <a:prstGeom prst="rect">
                          <a:avLst/>
                        </a:prstGeom>
                        <a:solidFill>
                          <a:srgbClr val="DDDDDD"/>
                        </a:solidFill>
                      </wps:spPr>
                      <wps:bodyPr/>
                    </wps:wsp>
                  </a:graphicData>
                </a:graphic>
              </wp:anchor>
            </w:drawing>
          </mc:Choice>
          <mc:Fallback>
            <w:pict>
              <v:rect id="Shape 64" o:spid="_x0000_s1089" style="position:absolute;margin-left:635.25pt;margin-top:-408.5999pt;width:2.9pt;height:1.1pt;z-index:-251657728;visibility:visible;mso-wrap-style:square;mso-width-percent:0;mso-height-percent:0;mso-wrap-distance-left:0pt;mso-wrap-distance-top:0;mso-wrap-distance-right:0pt;mso-wrap-distance-bottom:0;mso-position-horizontal:absolute;mso-position-horizontal-relative:text;mso-position-vertical:absolute;mso-position-vertical-relative:text;mso-width-percent:0;mso-height-percent:0;mso-width-relative:page;mso-height-relative:page;v-text-anchor:top" o:allowincell="f" fillcolor="#DDDDDD" stroked="f"/>
            </w:pict>
          </mc:Fallback>
        </mc:AlternateContent>
        <mc:AlternateContent>
          <mc:Choice Requires="wps">
            <w:drawing>
              <wp:anchor simplePos="0" relativeHeight="251657728" behindDoc="1" locked="0" layoutInCell="0" allowOverlap="1">
                <wp:simplePos x="0" y="0"/>
                <wp:positionH relativeFrom="column">
                  <wp:posOffset>3075305</wp:posOffset>
                </wp:positionH>
                <wp:positionV relativeFrom="paragraph">
                  <wp:posOffset>-3103880</wp:posOffset>
                </wp:positionV>
                <wp:extent cx="0" cy="0"/>
                <wp:wrapNone/>
                <wp:docPr id="65" name="Shape 65"/>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4763" cy="4763"/>
                        </a:xfrm>
                        <a:prstGeom prst="line">
                          <a:avLst/>
                        </a:prstGeom>
                        <a:solidFill>
                          <a:srgbClr val="FFFFFF"/>
                        </a:solidFill>
                        <a:ln w="36576">
                          <a:solidFill>
                            <a:srgbClr val="DDDDDD"/>
                          </a:solidFill>
                          <a:miter lim="800000"/>
                          <a:headEnd/>
                          <a:tailEnd/>
                        </a:ln>
                      </wps:spPr>
                      <wps:bodyPr/>
                    </wps:wsp>
                  </a:graphicData>
                </a:graphic>
              </wp:anchor>
            </w:drawing>
          </mc:Choice>
          <mc:Fallback>
            <w:pict>
              <v:line id="Shape 65" o:spid="_x0000_s1090"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242.15pt,-244.3999pt" to="242.15pt,-244.3999pt" o:allowincell="f" strokecolor="#DDDDDD" strokeweight="2.88pt"/>
            </w:pict>
          </mc:Fallback>
        </mc:AlternateContent>
        <mc:AlternateContent>
          <mc:Choice Requires="wps">
            <w:drawing>
              <wp:anchor simplePos="0" relativeHeight="251657728" behindDoc="1" locked="0" layoutInCell="0" allowOverlap="1">
                <wp:simplePos x="0" y="0"/>
                <wp:positionH relativeFrom="column">
                  <wp:posOffset>4396740</wp:posOffset>
                </wp:positionH>
                <wp:positionV relativeFrom="paragraph">
                  <wp:posOffset>-3103880</wp:posOffset>
                </wp:positionV>
                <wp:extent cx="0" cy="0"/>
                <wp:wrapNone/>
                <wp:docPr id="66" name="Shape 66"/>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4763" cy="4763"/>
                        </a:xfrm>
                        <a:prstGeom prst="line">
                          <a:avLst/>
                        </a:prstGeom>
                        <a:solidFill>
                          <a:srgbClr val="FFFFFF"/>
                        </a:solidFill>
                        <a:ln w="36576">
                          <a:solidFill>
                            <a:srgbClr val="DDDDDD"/>
                          </a:solidFill>
                          <a:miter lim="800000"/>
                          <a:headEnd/>
                          <a:tailEnd/>
                        </a:ln>
                      </wps:spPr>
                      <wps:bodyPr/>
                    </wps:wsp>
                  </a:graphicData>
                </a:graphic>
              </wp:anchor>
            </w:drawing>
          </mc:Choice>
          <mc:Fallback>
            <w:pict>
              <v:line id="Shape 66" o:spid="_x0000_s1091"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346.2pt,-244.3999pt" to="346.2pt,-244.3999pt" o:allowincell="f" strokecolor="#DDDDDD" strokeweight="2.88pt"/>
            </w:pict>
          </mc:Fallback>
        </mc:AlternateContent>
        <mc:AlternateContent>
          <mc:Choice Requires="wps">
            <w:drawing>
              <wp:anchor simplePos="0" relativeHeight="251657728" behindDoc="1" locked="0" layoutInCell="0" allowOverlap="1">
                <wp:simplePos x="0" y="0"/>
                <wp:positionH relativeFrom="column">
                  <wp:posOffset>5845810</wp:posOffset>
                </wp:positionH>
                <wp:positionV relativeFrom="paragraph">
                  <wp:posOffset>-3103880</wp:posOffset>
                </wp:positionV>
                <wp:extent cx="0" cy="0"/>
                <wp:wrapNone/>
                <wp:docPr id="67" name="Shape 67"/>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4763" cy="4763"/>
                        </a:xfrm>
                        <a:prstGeom prst="line">
                          <a:avLst/>
                        </a:prstGeom>
                        <a:solidFill>
                          <a:srgbClr val="FFFFFF"/>
                        </a:solidFill>
                        <a:ln w="36576">
                          <a:solidFill>
                            <a:srgbClr val="DDDDDD"/>
                          </a:solidFill>
                          <a:miter lim="800000"/>
                          <a:headEnd/>
                          <a:tailEnd/>
                        </a:ln>
                      </wps:spPr>
                      <wps:bodyPr/>
                    </wps:wsp>
                  </a:graphicData>
                </a:graphic>
              </wp:anchor>
            </w:drawing>
          </mc:Choice>
          <mc:Fallback>
            <w:pict>
              <v:line id="Shape 67" o:spid="_x0000_s1092"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460.3pt,-244.3999pt" to="460.3pt,-244.3999pt" o:allowincell="f" strokecolor="#DDDDDD" strokeweight="2.88pt"/>
            </w:pict>
          </mc:Fallback>
        </mc:AlternateContent>
        <mc:AlternateContent>
          <mc:Choice Requires="wps">
            <w:drawing>
              <wp:anchor simplePos="0" relativeHeight="251657728" behindDoc="1" locked="0" layoutInCell="0" allowOverlap="1">
                <wp:simplePos x="0" y="0"/>
                <wp:positionH relativeFrom="column">
                  <wp:posOffset>3056890</wp:posOffset>
                </wp:positionH>
                <wp:positionV relativeFrom="paragraph">
                  <wp:posOffset>-191770</wp:posOffset>
                </wp:positionV>
                <wp:extent cx="36830" cy="13970"/>
                <wp:wrapNone/>
                <wp:docPr id="68" name="Shape 68"/>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36830" cy="13970"/>
                        </a:xfrm>
                        <a:prstGeom prst="rect">
                          <a:avLst/>
                        </a:prstGeom>
                        <a:solidFill>
                          <a:srgbClr val="DDDDDD"/>
                        </a:solidFill>
                      </wps:spPr>
                      <wps:bodyPr/>
                    </wps:wsp>
                  </a:graphicData>
                </a:graphic>
              </wp:anchor>
            </w:drawing>
          </mc:Choice>
          <mc:Fallback>
            <w:pict>
              <v:rect id="Shape 68" o:spid="_x0000_s1093" style="position:absolute;margin-left:240.7pt;margin-top:-15.0999pt;width:2.9pt;height:1.1pt;z-index:-251657728;visibility:visible;mso-wrap-style:square;mso-width-percent:0;mso-height-percent:0;mso-wrap-distance-left:0pt;mso-wrap-distance-top:0;mso-wrap-distance-right:0pt;mso-wrap-distance-bottom:0;mso-position-horizontal:absolute;mso-position-horizontal-relative:text;mso-position-vertical:absolute;mso-position-vertical-relative:text;mso-width-percent:0;mso-height-percent:0;mso-width-relative:page;mso-height-relative:page;v-text-anchor:top" o:allowincell="f" fillcolor="#DDDDDD" stroked="f"/>
            </w:pict>
          </mc:Fallback>
        </mc:AlternateContent>
        <mc:AlternateContent>
          <mc:Choice Requires="wps">
            <w:drawing>
              <wp:anchor simplePos="0" relativeHeight="251657728" behindDoc="1" locked="0" layoutInCell="0" allowOverlap="1">
                <wp:simplePos x="0" y="0"/>
                <wp:positionH relativeFrom="column">
                  <wp:posOffset>6696075</wp:posOffset>
                </wp:positionH>
                <wp:positionV relativeFrom="paragraph">
                  <wp:posOffset>-191770</wp:posOffset>
                </wp:positionV>
                <wp:extent cx="36830" cy="13970"/>
                <wp:wrapNone/>
                <wp:docPr id="69" name="Shape 69"/>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36830" cy="13970"/>
                        </a:xfrm>
                        <a:prstGeom prst="rect">
                          <a:avLst/>
                        </a:prstGeom>
                        <a:solidFill>
                          <a:srgbClr val="DDDDDD"/>
                        </a:solidFill>
                      </wps:spPr>
                      <wps:bodyPr/>
                    </wps:wsp>
                  </a:graphicData>
                </a:graphic>
              </wp:anchor>
            </w:drawing>
          </mc:Choice>
          <mc:Fallback>
            <w:pict>
              <v:rect id="Shape 69" o:spid="_x0000_s1094" style="position:absolute;margin-left:527.25pt;margin-top:-15.0999pt;width:2.9pt;height:1.1pt;z-index:-251657728;visibility:visible;mso-wrap-style:square;mso-width-percent:0;mso-height-percent:0;mso-wrap-distance-left:0pt;mso-wrap-distance-top:0;mso-wrap-distance-right:0pt;mso-wrap-distance-bottom:0;mso-position-horizontal:absolute;mso-position-horizontal-relative:text;mso-position-vertical:absolute;mso-position-vertical-relative:text;mso-width-percent:0;mso-height-percent:0;mso-width-relative:page;mso-height-relative:page;v-text-anchor:top" o:allowincell="f" fillcolor="#DDDDDD" stroked="f"/>
            </w:pict>
          </mc:Fallback>
        </mc:AlternateContent>
        <mc:AlternateContent>
          <mc:Choice Requires="wps">
            <w:drawing>
              <wp:anchor simplePos="0" relativeHeight="251657728" behindDoc="1" locked="0" layoutInCell="0" allowOverlap="1">
                <wp:simplePos x="0" y="0"/>
                <wp:positionH relativeFrom="column">
                  <wp:posOffset>7381875</wp:posOffset>
                </wp:positionH>
                <wp:positionV relativeFrom="paragraph">
                  <wp:posOffset>-191770</wp:posOffset>
                </wp:positionV>
                <wp:extent cx="36830" cy="13970"/>
                <wp:wrapNone/>
                <wp:docPr id="70" name="Shape 70"/>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36830" cy="13970"/>
                        </a:xfrm>
                        <a:prstGeom prst="rect">
                          <a:avLst/>
                        </a:prstGeom>
                        <a:solidFill>
                          <a:srgbClr val="DDDDDD"/>
                        </a:solidFill>
                      </wps:spPr>
                      <wps:bodyPr/>
                    </wps:wsp>
                  </a:graphicData>
                </a:graphic>
              </wp:anchor>
            </w:drawing>
          </mc:Choice>
          <mc:Fallback>
            <w:pict>
              <v:rect id="Shape 70" o:spid="_x0000_s1095" style="position:absolute;margin-left:581.25pt;margin-top:-15.0999pt;width:2.9pt;height:1.1pt;z-index:-251657728;visibility:visible;mso-wrap-style:square;mso-width-percent:0;mso-height-percent:0;mso-wrap-distance-left:0pt;mso-wrap-distance-top:0;mso-wrap-distance-right:0pt;mso-wrap-distance-bottom:0;mso-position-horizontal:absolute;mso-position-horizontal-relative:text;mso-position-vertical:absolute;mso-position-vertical-relative:text;mso-width-percent:0;mso-height-percent:0;mso-width-relative:page;mso-height-relative:page;v-text-anchor:top" o:allowincell="f" fillcolor="#DDDDDD" stroked="f"/>
            </w:pict>
          </mc:Fallback>
        </mc:AlternateContent>
        <mc:AlternateContent>
          <mc:Choice Requires="wps">
            <w:drawing>
              <wp:anchor simplePos="0" relativeHeight="251657728" behindDoc="1" locked="0" layoutInCell="0" allowOverlap="1">
                <wp:simplePos x="0" y="0"/>
                <wp:positionH relativeFrom="column">
                  <wp:posOffset>8067675</wp:posOffset>
                </wp:positionH>
                <wp:positionV relativeFrom="paragraph">
                  <wp:posOffset>-191770</wp:posOffset>
                </wp:positionV>
                <wp:extent cx="36830" cy="13970"/>
                <wp:wrapNone/>
                <wp:docPr id="71" name="Shape 71"/>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36830" cy="13970"/>
                        </a:xfrm>
                        <a:prstGeom prst="rect">
                          <a:avLst/>
                        </a:prstGeom>
                        <a:solidFill>
                          <a:srgbClr val="DDDDDD"/>
                        </a:solidFill>
                      </wps:spPr>
                      <wps:bodyPr/>
                    </wps:wsp>
                  </a:graphicData>
                </a:graphic>
              </wp:anchor>
            </w:drawing>
          </mc:Choice>
          <mc:Fallback>
            <w:pict>
              <v:rect id="Shape 71" o:spid="_x0000_s1096" style="position:absolute;margin-left:635.25pt;margin-top:-15.0999pt;width:2.9pt;height:1.1pt;z-index:-251657728;visibility:visible;mso-wrap-style:square;mso-width-percent:0;mso-height-percent:0;mso-wrap-distance-left:0pt;mso-wrap-distance-top:0;mso-wrap-distance-right:0pt;mso-wrap-distance-bottom:0;mso-position-horizontal:absolute;mso-position-horizontal-relative:text;mso-position-vertical:absolute;mso-position-vertical-relative:text;mso-width-percent:0;mso-height-percent:0;mso-width-relative:page;mso-height-relative:page;v-text-anchor:top" o:allowincell="f" fillcolor="#DDDDDD" stroked="f"/>
            </w:pict>
          </mc:Fallback>
        </mc:AlternateContent>
      </w:r>
    </w:p>
    <w:p>
      <w:pPr>
        <w:spacing w:after="0" w:line="70" w:lineRule="exact"/>
        <w:rPr>
          <w:sz w:val="20"/>
          <w:szCs w:val="20"/>
          <w:color w:val="auto"/>
        </w:rPr>
      </w:pPr>
    </w:p>
    <w:p>
      <w:pPr>
        <w:sectPr>
          <w:pgSz w:w="15840" w:h="12240" w:orient="landscape"/>
          <w:cols w:equalWidth="0" w:num="2">
            <w:col w:w="243" w:space="64"/>
            <w:col w:w="13780"/>
          </w:cols>
          <w:pgMar w:left="773" w:top="935" w:right="980" w:bottom="561" w:gutter="0" w:footer="0" w:header="0"/>
        </w:sectPr>
      </w:pPr>
    </w:p>
    <w:p>
      <w:pPr>
        <w:jc w:val="center"/>
        <w:ind w:right="-286"/>
        <w:spacing w:after="0"/>
        <w:rPr>
          <w:sz w:val="20"/>
          <w:szCs w:val="20"/>
          <w:color w:val="auto"/>
        </w:rPr>
      </w:pPr>
      <w:r>
        <w:rPr>
          <w:rFonts w:ascii="Times New Roman" w:cs="Times New Roman" w:eastAsia="Times New Roman" w:hAnsi="Times New Roman"/>
          <w:sz w:val="20"/>
          <w:szCs w:val="20"/>
          <w:color w:val="auto"/>
        </w:rPr>
        <w:t>The accompanying notes are an integral part of these consolidated financial statements.</w:t>
      </w:r>
    </w:p>
    <w:p>
      <w:pPr>
        <w:sectPr>
          <w:pgSz w:w="15840" w:h="12240" w:orient="landscape"/>
          <w:cols w:equalWidth="0" w:num="1">
            <w:col w:w="14087"/>
          </w:cols>
          <w:pgMar w:left="773" w:top="935" w:right="980" w:bottom="561" w:gutter="0" w:footer="0" w:header="0"/>
          <w:type w:val="continuous"/>
        </w:sectPr>
      </w:pPr>
    </w:p>
    <w:bookmarkStart w:id="123" w:name="page124"/>
    <w:bookmarkEnd w:id="123"/>
    <w:p>
      <w:pPr>
        <w:jc w:val="center"/>
        <w:ind w:right="20"/>
        <w:spacing w:after="0"/>
        <w:rPr>
          <w:sz w:val="20"/>
          <w:szCs w:val="20"/>
          <w:color w:val="auto"/>
        </w:rPr>
      </w:pPr>
      <w:r>
        <w:rPr>
          <w:rFonts w:ascii="Times New Roman" w:cs="Times New Roman" w:eastAsia="Times New Roman" w:hAnsi="Times New Roman"/>
          <w:sz w:val="20"/>
          <w:szCs w:val="20"/>
          <w:b w:val="1"/>
          <w:bCs w:val="1"/>
          <w:color w:val="auto"/>
        </w:rPr>
        <w:t>WM TECHNOLOGY, INC. AND SUBSIDIARIES</w:t>
      </w:r>
    </w:p>
    <w:p>
      <w:pPr>
        <w:spacing w:after="0" w:line="32"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20"/>
          <w:szCs w:val="20"/>
          <w:b w:val="1"/>
          <w:bCs w:val="1"/>
          <w:color w:val="auto"/>
        </w:rPr>
        <w:t>CONSOLIDATED STATEMENTS OF CASH FLOWS</w:t>
      </w:r>
    </w:p>
    <w:p>
      <w:pPr>
        <w:jc w:val="center"/>
        <w:ind w:right="20"/>
        <w:spacing w:after="0"/>
        <w:rPr>
          <w:sz w:val="20"/>
          <w:szCs w:val="20"/>
          <w:color w:val="auto"/>
        </w:rPr>
      </w:pPr>
      <w:r>
        <w:rPr>
          <w:rFonts w:ascii="Times New Roman" w:cs="Times New Roman" w:eastAsia="Times New Roman" w:hAnsi="Times New Roman"/>
          <w:sz w:val="20"/>
          <w:szCs w:val="20"/>
          <w:b w:val="1"/>
          <w:bCs w:val="1"/>
          <w:color w:val="auto"/>
        </w:rPr>
        <w:t>(In thousands)</w:t>
      </w:r>
    </w:p>
    <w:p>
      <w:pPr>
        <w:spacing w:after="0" w:line="62" w:lineRule="exact"/>
        <w:rPr>
          <w:sz w:val="20"/>
          <w:szCs w:val="20"/>
          <w:color w:val="auto"/>
        </w:rPr>
      </w:pPr>
    </w:p>
    <w:tbl>
      <w:tblPr>
        <w:tblLayout w:type="fixed"/>
        <w:tblInd w:w="0" w:type="dxa"/>
        <w:tblCellMar>
          <w:top w:w="0" w:type="dxa"/>
          <w:left w:w="0" w:type="dxa"/>
          <w:bottom w:w="0" w:type="dxa"/>
          <w:right w:w="0" w:type="dxa"/>
        </w:tblCellMar>
      </w:tblPr>
      <w:tr>
        <w:trPr>
          <w:trHeight w:val="276"/>
        </w:trPr>
        <w:tc>
          <w:tcPr>
            <w:tcW w:w="61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2900" w:type="dxa"/>
            <w:vAlign w:val="bottom"/>
            <w:tcBorders>
              <w:bottom w:val="single" w:sz="8" w:color="auto"/>
            </w:tcBorders>
            <w:gridSpan w:val="8"/>
          </w:tcPr>
          <w:p>
            <w:pPr>
              <w:jc w:val="right"/>
              <w:ind w:right="20"/>
              <w:spacing w:after="0"/>
              <w:rPr>
                <w:sz w:val="20"/>
                <w:szCs w:val="20"/>
                <w:color w:val="auto"/>
              </w:rPr>
            </w:pPr>
            <w:r>
              <w:rPr>
                <w:rFonts w:ascii="Times New Roman" w:cs="Times New Roman" w:eastAsia="Times New Roman" w:hAnsi="Times New Roman"/>
                <w:sz w:val="20"/>
                <w:szCs w:val="20"/>
                <w:b w:val="1"/>
                <w:bCs w:val="1"/>
                <w:color w:val="auto"/>
              </w:rPr>
              <w:t>Years Ended December 31,</w:t>
            </w:r>
          </w:p>
        </w:tc>
        <w:tc>
          <w:tcPr>
            <w:tcW w:w="860" w:type="dxa"/>
            <w:vAlign w:val="bottom"/>
            <w:tcBorders>
              <w:bottom w:val="single" w:sz="8" w:color="auto"/>
            </w:tcBorders>
          </w:tcPr>
          <w:p>
            <w:pPr>
              <w:spacing w:after="0"/>
              <w:rPr>
                <w:sz w:val="24"/>
                <w:szCs w:val="24"/>
                <w:color w:val="auto"/>
              </w:rPr>
            </w:pPr>
          </w:p>
        </w:tc>
      </w:tr>
      <w:tr>
        <w:trPr>
          <w:trHeight w:val="297"/>
        </w:trPr>
        <w:tc>
          <w:tcPr>
            <w:tcW w:w="6180" w:type="dxa"/>
            <w:vAlign w:val="bottom"/>
            <w:tcBorders>
              <w:bottom w:val="single" w:sz="8" w:color="DDDDDD"/>
            </w:tcBorders>
          </w:tcPr>
          <w:p>
            <w:pPr>
              <w:spacing w:after="0"/>
              <w:rPr>
                <w:sz w:val="24"/>
                <w:szCs w:val="24"/>
                <w:color w:val="auto"/>
              </w:rPr>
            </w:pPr>
          </w:p>
        </w:tc>
        <w:tc>
          <w:tcPr>
            <w:tcW w:w="20" w:type="dxa"/>
            <w:vAlign w:val="bottom"/>
            <w:tcBorders>
              <w:bottom w:val="single" w:sz="8" w:color="DDDDDD"/>
            </w:tcBorders>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1000" w:type="dxa"/>
            <w:vAlign w:val="bottom"/>
            <w:tcBorders>
              <w:bottom w:val="single" w:sz="8" w:color="auto"/>
            </w:tcBorders>
          </w:tcPr>
          <w:p>
            <w:pPr>
              <w:jc w:val="right"/>
              <w:ind w:right="359"/>
              <w:spacing w:after="0"/>
              <w:rPr>
                <w:sz w:val="20"/>
                <w:szCs w:val="20"/>
                <w:color w:val="auto"/>
              </w:rPr>
            </w:pPr>
            <w:r>
              <w:rPr>
                <w:rFonts w:ascii="Times New Roman" w:cs="Times New Roman" w:eastAsia="Times New Roman" w:hAnsi="Times New Roman"/>
                <w:sz w:val="20"/>
                <w:szCs w:val="20"/>
                <w:b w:val="1"/>
                <w:bCs w:val="1"/>
                <w:color w:val="auto"/>
              </w:rPr>
              <w:t>2023</w:t>
            </w:r>
          </w:p>
        </w:tc>
        <w:tc>
          <w:tcPr>
            <w:tcW w:w="60" w:type="dxa"/>
            <w:vAlign w:val="bottom"/>
            <w:tcBorders>
              <w:bottom w:val="single" w:sz="8" w:color="DDDDDD"/>
            </w:tcBorders>
          </w:tcPr>
          <w:p>
            <w:pPr>
              <w:spacing w:after="0"/>
              <w:rPr>
                <w:sz w:val="24"/>
                <w:szCs w:val="24"/>
                <w:color w:val="auto"/>
              </w:rPr>
            </w:pPr>
          </w:p>
        </w:tc>
        <w:tc>
          <w:tcPr>
            <w:tcW w:w="20" w:type="dxa"/>
            <w:vAlign w:val="bottom"/>
            <w:tcBorders>
              <w:bottom w:val="single" w:sz="8" w:color="DDDDDD"/>
            </w:tcBorders>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1000" w:type="dxa"/>
            <w:vAlign w:val="bottom"/>
            <w:tcBorders>
              <w:bottom w:val="single" w:sz="8" w:color="auto"/>
            </w:tcBorders>
          </w:tcPr>
          <w:p>
            <w:pPr>
              <w:jc w:val="right"/>
              <w:ind w:right="359"/>
              <w:spacing w:after="0"/>
              <w:rPr>
                <w:sz w:val="20"/>
                <w:szCs w:val="20"/>
                <w:color w:val="auto"/>
              </w:rPr>
            </w:pPr>
            <w:r>
              <w:rPr>
                <w:rFonts w:ascii="Times New Roman" w:cs="Times New Roman" w:eastAsia="Times New Roman" w:hAnsi="Times New Roman"/>
                <w:sz w:val="20"/>
                <w:szCs w:val="20"/>
                <w:b w:val="1"/>
                <w:bCs w:val="1"/>
                <w:color w:val="auto"/>
              </w:rPr>
              <w:t>2022</w:t>
            </w:r>
          </w:p>
        </w:tc>
        <w:tc>
          <w:tcPr>
            <w:tcW w:w="60" w:type="dxa"/>
            <w:vAlign w:val="bottom"/>
            <w:tcBorders>
              <w:bottom w:val="single" w:sz="8" w:color="DDDDDD"/>
            </w:tcBorders>
          </w:tcPr>
          <w:p>
            <w:pPr>
              <w:spacing w:after="0"/>
              <w:rPr>
                <w:sz w:val="24"/>
                <w:szCs w:val="24"/>
                <w:color w:val="auto"/>
              </w:rPr>
            </w:pPr>
          </w:p>
        </w:tc>
        <w:tc>
          <w:tcPr>
            <w:tcW w:w="20" w:type="dxa"/>
            <w:vAlign w:val="bottom"/>
            <w:tcBorders>
              <w:bottom w:val="single" w:sz="8" w:color="DDDDDD"/>
            </w:tcBorders>
          </w:tcPr>
          <w:p>
            <w:pPr>
              <w:spacing w:after="0"/>
              <w:rPr>
                <w:sz w:val="24"/>
                <w:szCs w:val="24"/>
                <w:color w:val="auto"/>
              </w:rPr>
            </w:pPr>
          </w:p>
        </w:tc>
        <w:tc>
          <w:tcPr>
            <w:tcW w:w="440" w:type="dxa"/>
            <w:vAlign w:val="bottom"/>
            <w:tcBorders>
              <w:bottom w:val="single" w:sz="8" w:color="auto"/>
            </w:tcBorders>
          </w:tcPr>
          <w:p>
            <w:pPr>
              <w:spacing w:after="0"/>
              <w:rPr>
                <w:sz w:val="24"/>
                <w:szCs w:val="24"/>
                <w:color w:val="auto"/>
              </w:rPr>
            </w:pPr>
          </w:p>
        </w:tc>
        <w:tc>
          <w:tcPr>
            <w:tcW w:w="860" w:type="dxa"/>
            <w:vAlign w:val="bottom"/>
            <w:tcBorders>
              <w:bottom w:val="single" w:sz="8" w:color="auto"/>
            </w:tcBorders>
          </w:tcPr>
          <w:p>
            <w:pPr>
              <w:jc w:val="right"/>
              <w:ind w:right="359"/>
              <w:spacing w:after="0"/>
              <w:rPr>
                <w:sz w:val="20"/>
                <w:szCs w:val="20"/>
                <w:color w:val="auto"/>
              </w:rPr>
            </w:pPr>
            <w:r>
              <w:rPr>
                <w:rFonts w:ascii="Times New Roman" w:cs="Times New Roman" w:eastAsia="Times New Roman" w:hAnsi="Times New Roman"/>
                <w:sz w:val="20"/>
                <w:szCs w:val="20"/>
                <w:b w:val="1"/>
                <w:bCs w:val="1"/>
                <w:color w:val="auto"/>
                <w:w w:val="94"/>
              </w:rPr>
              <w:t>2021</w:t>
            </w:r>
          </w:p>
        </w:tc>
      </w:tr>
      <w:tr>
        <w:trPr>
          <w:trHeight w:val="268"/>
        </w:trPr>
        <w:tc>
          <w:tcPr>
            <w:tcW w:w="6200" w:type="dxa"/>
            <w:vAlign w:val="bottom"/>
            <w:gridSpan w:val="2"/>
            <w:shd w:val="clear" w:color="auto" w:fill="DDDDDD"/>
          </w:tcPr>
          <w:p>
            <w:pPr>
              <w:ind w:left="40"/>
              <w:spacing w:after="0"/>
              <w:rPr>
                <w:sz w:val="20"/>
                <w:szCs w:val="20"/>
                <w:color w:val="auto"/>
              </w:rPr>
            </w:pPr>
            <w:r>
              <w:rPr>
                <w:rFonts w:ascii="Times New Roman" w:cs="Times New Roman" w:eastAsia="Times New Roman" w:hAnsi="Times New Roman"/>
                <w:sz w:val="20"/>
                <w:szCs w:val="20"/>
                <w:b w:val="1"/>
                <w:bCs w:val="1"/>
                <w:color w:val="auto"/>
              </w:rPr>
              <w:t>Cash flows from operating activities</w:t>
            </w:r>
          </w:p>
        </w:tc>
        <w:tc>
          <w:tcPr>
            <w:tcW w:w="300" w:type="dxa"/>
            <w:vAlign w:val="bottom"/>
            <w:shd w:val="clear" w:color="auto" w:fill="DDDDDD"/>
          </w:tcPr>
          <w:p>
            <w:pPr>
              <w:spacing w:after="0"/>
              <w:rPr>
                <w:sz w:val="23"/>
                <w:szCs w:val="23"/>
                <w:color w:val="auto"/>
              </w:rPr>
            </w:pPr>
          </w:p>
        </w:tc>
        <w:tc>
          <w:tcPr>
            <w:tcW w:w="1000" w:type="dxa"/>
            <w:vAlign w:val="bottom"/>
            <w:shd w:val="clear" w:color="auto" w:fill="DDDDDD"/>
          </w:tcPr>
          <w:p>
            <w:pPr>
              <w:spacing w:after="0"/>
              <w:rPr>
                <w:sz w:val="23"/>
                <w:szCs w:val="23"/>
                <w:color w:val="auto"/>
              </w:rPr>
            </w:pPr>
          </w:p>
        </w:tc>
        <w:tc>
          <w:tcPr>
            <w:tcW w:w="60" w:type="dxa"/>
            <w:vAlign w:val="bottom"/>
            <w:shd w:val="clear" w:color="auto" w:fill="DDDDDD"/>
          </w:tcPr>
          <w:p>
            <w:pPr>
              <w:spacing w:after="0"/>
              <w:rPr>
                <w:sz w:val="23"/>
                <w:szCs w:val="23"/>
                <w:color w:val="auto"/>
              </w:rPr>
            </w:pPr>
          </w:p>
        </w:tc>
        <w:tc>
          <w:tcPr>
            <w:tcW w:w="20" w:type="dxa"/>
            <w:vAlign w:val="bottom"/>
            <w:shd w:val="clear" w:color="auto" w:fill="DDDDDD"/>
          </w:tcPr>
          <w:p>
            <w:pPr>
              <w:spacing w:after="0"/>
              <w:rPr>
                <w:sz w:val="23"/>
                <w:szCs w:val="23"/>
                <w:color w:val="auto"/>
              </w:rPr>
            </w:pPr>
          </w:p>
        </w:tc>
        <w:tc>
          <w:tcPr>
            <w:tcW w:w="300" w:type="dxa"/>
            <w:vAlign w:val="bottom"/>
            <w:shd w:val="clear" w:color="auto" w:fill="DDDDDD"/>
          </w:tcPr>
          <w:p>
            <w:pPr>
              <w:spacing w:after="0"/>
              <w:rPr>
                <w:sz w:val="23"/>
                <w:szCs w:val="23"/>
                <w:color w:val="auto"/>
              </w:rPr>
            </w:pPr>
          </w:p>
        </w:tc>
        <w:tc>
          <w:tcPr>
            <w:tcW w:w="1000" w:type="dxa"/>
            <w:vAlign w:val="bottom"/>
            <w:shd w:val="clear" w:color="auto" w:fill="DDDDDD"/>
          </w:tcPr>
          <w:p>
            <w:pPr>
              <w:spacing w:after="0"/>
              <w:rPr>
                <w:sz w:val="23"/>
                <w:szCs w:val="23"/>
                <w:color w:val="auto"/>
              </w:rPr>
            </w:pPr>
          </w:p>
        </w:tc>
        <w:tc>
          <w:tcPr>
            <w:tcW w:w="60" w:type="dxa"/>
            <w:vAlign w:val="bottom"/>
            <w:shd w:val="clear" w:color="auto" w:fill="DDDDDD"/>
          </w:tcPr>
          <w:p>
            <w:pPr>
              <w:spacing w:after="0"/>
              <w:rPr>
                <w:sz w:val="23"/>
                <w:szCs w:val="23"/>
                <w:color w:val="auto"/>
              </w:rPr>
            </w:pPr>
          </w:p>
        </w:tc>
        <w:tc>
          <w:tcPr>
            <w:tcW w:w="20" w:type="dxa"/>
            <w:vAlign w:val="bottom"/>
            <w:shd w:val="clear" w:color="auto" w:fill="DDDDDD"/>
          </w:tcPr>
          <w:p>
            <w:pPr>
              <w:spacing w:after="0"/>
              <w:rPr>
                <w:sz w:val="23"/>
                <w:szCs w:val="23"/>
                <w:color w:val="auto"/>
              </w:rPr>
            </w:pPr>
          </w:p>
        </w:tc>
        <w:tc>
          <w:tcPr>
            <w:tcW w:w="440" w:type="dxa"/>
            <w:vAlign w:val="bottom"/>
            <w:shd w:val="clear" w:color="auto" w:fill="DDDDDD"/>
          </w:tcPr>
          <w:p>
            <w:pPr>
              <w:spacing w:after="0"/>
              <w:rPr>
                <w:sz w:val="23"/>
                <w:szCs w:val="23"/>
                <w:color w:val="auto"/>
              </w:rPr>
            </w:pPr>
          </w:p>
        </w:tc>
        <w:tc>
          <w:tcPr>
            <w:tcW w:w="860" w:type="dxa"/>
            <w:vAlign w:val="bottom"/>
            <w:shd w:val="clear" w:color="auto" w:fill="DDDDDD"/>
          </w:tcPr>
          <w:p>
            <w:pPr>
              <w:spacing w:after="0"/>
              <w:rPr>
                <w:sz w:val="23"/>
                <w:szCs w:val="23"/>
                <w:color w:val="auto"/>
              </w:rPr>
            </w:pPr>
          </w:p>
        </w:tc>
      </w:tr>
      <w:tr>
        <w:trPr>
          <w:trHeight w:val="281"/>
        </w:trPr>
        <w:tc>
          <w:tcPr>
            <w:tcW w:w="6200" w:type="dxa"/>
            <w:vAlign w:val="bottom"/>
            <w:gridSpan w:val="2"/>
          </w:tcPr>
          <w:p>
            <w:pPr>
              <w:ind w:left="40"/>
              <w:spacing w:after="0"/>
              <w:rPr>
                <w:sz w:val="20"/>
                <w:szCs w:val="20"/>
                <w:color w:val="auto"/>
              </w:rPr>
            </w:pPr>
            <w:r>
              <w:rPr>
                <w:rFonts w:ascii="Times New Roman" w:cs="Times New Roman" w:eastAsia="Times New Roman" w:hAnsi="Times New Roman"/>
                <w:sz w:val="20"/>
                <w:szCs w:val="20"/>
                <w:color w:val="auto"/>
              </w:rPr>
              <w:t>Net income (loss)</w:t>
            </w:r>
          </w:p>
        </w:tc>
        <w:tc>
          <w:tcPr>
            <w:tcW w:w="300" w:type="dxa"/>
            <w:vAlign w:val="bottom"/>
          </w:tcPr>
          <w:p>
            <w:pPr>
              <w:jc w:val="right"/>
              <w:ind w:right="39"/>
              <w:spacing w:after="0"/>
              <w:rPr>
                <w:sz w:val="20"/>
                <w:szCs w:val="20"/>
                <w:color w:val="auto"/>
              </w:rPr>
            </w:pPr>
            <w:r>
              <w:rPr>
                <w:rFonts w:ascii="Times New Roman" w:cs="Times New Roman" w:eastAsia="Times New Roman" w:hAnsi="Times New Roman"/>
                <w:sz w:val="20"/>
                <w:szCs w:val="20"/>
                <w:color w:val="auto"/>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(15,727)</w:t>
            </w:r>
          </w:p>
        </w:tc>
        <w:tc>
          <w:tcPr>
            <w:tcW w:w="380" w:type="dxa"/>
            <w:vAlign w:val="bottom"/>
            <w:gridSpan w:val="3"/>
          </w:tcPr>
          <w:p>
            <w:pPr>
              <w:jc w:val="right"/>
              <w:ind w:right="140"/>
              <w:spacing w:after="0"/>
              <w:rPr>
                <w:sz w:val="20"/>
                <w:szCs w:val="20"/>
                <w:color w:val="auto"/>
              </w:rPr>
            </w:pPr>
            <w:r>
              <w:rPr>
                <w:rFonts w:ascii="Times New Roman" w:cs="Times New Roman" w:eastAsia="Times New Roman" w:hAnsi="Times New Roman"/>
                <w:sz w:val="20"/>
                <w:szCs w:val="20"/>
                <w:color w:val="auto"/>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(82,651)</w:t>
            </w:r>
          </w:p>
        </w:tc>
        <w:tc>
          <w:tcPr>
            <w:tcW w:w="520" w:type="dxa"/>
            <w:vAlign w:val="bottom"/>
            <w:gridSpan w:val="3"/>
          </w:tcPr>
          <w:p>
            <w:pPr>
              <w:jc w:val="right"/>
              <w:ind w:right="300"/>
              <w:spacing w:after="0"/>
              <w:rPr>
                <w:sz w:val="20"/>
                <w:szCs w:val="20"/>
                <w:color w:val="auto"/>
              </w:rPr>
            </w:pPr>
            <w:r>
              <w:rPr>
                <w:rFonts w:ascii="Times New Roman" w:cs="Times New Roman" w:eastAsia="Times New Roman" w:hAnsi="Times New Roman"/>
                <w:sz w:val="20"/>
                <w:szCs w:val="20"/>
                <w:color w:val="auto"/>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152,218</w:t>
            </w:r>
          </w:p>
        </w:tc>
      </w:tr>
      <w:tr>
        <w:trPr>
          <w:trHeight w:val="266"/>
        </w:trPr>
        <w:tc>
          <w:tcPr>
            <w:tcW w:w="6200" w:type="dxa"/>
            <w:vAlign w:val="bottom"/>
            <w:gridSpan w:val="2"/>
            <w:shd w:val="clear" w:color="auto" w:fill="DDDDDD"/>
          </w:tcPr>
          <w:p>
            <w:pPr>
              <w:ind w:left="40"/>
              <w:spacing w:after="0"/>
              <w:rPr>
                <w:sz w:val="20"/>
                <w:szCs w:val="20"/>
                <w:color w:val="auto"/>
              </w:rPr>
            </w:pPr>
            <w:r>
              <w:rPr>
                <w:rFonts w:ascii="Times New Roman" w:cs="Times New Roman" w:eastAsia="Times New Roman" w:hAnsi="Times New Roman"/>
                <w:sz w:val="20"/>
                <w:szCs w:val="20"/>
                <w:color w:val="auto"/>
              </w:rPr>
              <w:t>Adjustments to reconcile net income (loss) to net cash (used in) provided</w:t>
            </w:r>
          </w:p>
        </w:tc>
        <w:tc>
          <w:tcPr>
            <w:tcW w:w="300" w:type="dxa"/>
            <w:vAlign w:val="bottom"/>
            <w:shd w:val="clear" w:color="auto" w:fill="DDDDDD"/>
          </w:tcPr>
          <w:p>
            <w:pPr>
              <w:spacing w:after="0"/>
              <w:rPr>
                <w:sz w:val="23"/>
                <w:szCs w:val="23"/>
                <w:color w:val="auto"/>
              </w:rPr>
            </w:pPr>
          </w:p>
        </w:tc>
        <w:tc>
          <w:tcPr>
            <w:tcW w:w="1000" w:type="dxa"/>
            <w:vAlign w:val="bottom"/>
            <w:shd w:val="clear" w:color="auto" w:fill="DDDDDD"/>
          </w:tcPr>
          <w:p>
            <w:pPr>
              <w:spacing w:after="0"/>
              <w:rPr>
                <w:sz w:val="23"/>
                <w:szCs w:val="23"/>
                <w:color w:val="auto"/>
              </w:rPr>
            </w:pPr>
          </w:p>
        </w:tc>
        <w:tc>
          <w:tcPr>
            <w:tcW w:w="60" w:type="dxa"/>
            <w:vAlign w:val="bottom"/>
            <w:shd w:val="clear" w:color="auto" w:fill="DDDDDD"/>
          </w:tcPr>
          <w:p>
            <w:pPr>
              <w:spacing w:after="0"/>
              <w:rPr>
                <w:sz w:val="23"/>
                <w:szCs w:val="23"/>
                <w:color w:val="auto"/>
              </w:rPr>
            </w:pPr>
          </w:p>
        </w:tc>
        <w:tc>
          <w:tcPr>
            <w:tcW w:w="20" w:type="dxa"/>
            <w:vAlign w:val="bottom"/>
            <w:shd w:val="clear" w:color="auto" w:fill="DDDDDD"/>
          </w:tcPr>
          <w:p>
            <w:pPr>
              <w:spacing w:after="0"/>
              <w:rPr>
                <w:sz w:val="23"/>
                <w:szCs w:val="23"/>
                <w:color w:val="auto"/>
              </w:rPr>
            </w:pPr>
          </w:p>
        </w:tc>
        <w:tc>
          <w:tcPr>
            <w:tcW w:w="300" w:type="dxa"/>
            <w:vAlign w:val="bottom"/>
            <w:shd w:val="clear" w:color="auto" w:fill="DDDDDD"/>
          </w:tcPr>
          <w:p>
            <w:pPr>
              <w:spacing w:after="0"/>
              <w:rPr>
                <w:sz w:val="23"/>
                <w:szCs w:val="23"/>
                <w:color w:val="auto"/>
              </w:rPr>
            </w:pPr>
          </w:p>
        </w:tc>
        <w:tc>
          <w:tcPr>
            <w:tcW w:w="1000" w:type="dxa"/>
            <w:vAlign w:val="bottom"/>
            <w:shd w:val="clear" w:color="auto" w:fill="DDDDDD"/>
          </w:tcPr>
          <w:p>
            <w:pPr>
              <w:spacing w:after="0"/>
              <w:rPr>
                <w:sz w:val="23"/>
                <w:szCs w:val="23"/>
                <w:color w:val="auto"/>
              </w:rPr>
            </w:pPr>
          </w:p>
        </w:tc>
        <w:tc>
          <w:tcPr>
            <w:tcW w:w="60" w:type="dxa"/>
            <w:vAlign w:val="bottom"/>
            <w:shd w:val="clear" w:color="auto" w:fill="DDDDDD"/>
          </w:tcPr>
          <w:p>
            <w:pPr>
              <w:spacing w:after="0"/>
              <w:rPr>
                <w:sz w:val="23"/>
                <w:szCs w:val="23"/>
                <w:color w:val="auto"/>
              </w:rPr>
            </w:pPr>
          </w:p>
        </w:tc>
        <w:tc>
          <w:tcPr>
            <w:tcW w:w="20" w:type="dxa"/>
            <w:vAlign w:val="bottom"/>
            <w:shd w:val="clear" w:color="auto" w:fill="DDDDDD"/>
          </w:tcPr>
          <w:p>
            <w:pPr>
              <w:spacing w:after="0"/>
              <w:rPr>
                <w:sz w:val="23"/>
                <w:szCs w:val="23"/>
                <w:color w:val="auto"/>
              </w:rPr>
            </w:pPr>
          </w:p>
        </w:tc>
        <w:tc>
          <w:tcPr>
            <w:tcW w:w="440" w:type="dxa"/>
            <w:vAlign w:val="bottom"/>
            <w:shd w:val="clear" w:color="auto" w:fill="DDDDDD"/>
          </w:tcPr>
          <w:p>
            <w:pPr>
              <w:spacing w:after="0"/>
              <w:rPr>
                <w:sz w:val="23"/>
                <w:szCs w:val="23"/>
                <w:color w:val="auto"/>
              </w:rPr>
            </w:pPr>
          </w:p>
        </w:tc>
        <w:tc>
          <w:tcPr>
            <w:tcW w:w="860" w:type="dxa"/>
            <w:vAlign w:val="bottom"/>
            <w:shd w:val="clear" w:color="auto" w:fill="DDDDDD"/>
          </w:tcPr>
          <w:p>
            <w:pPr>
              <w:spacing w:after="0"/>
              <w:rPr>
                <w:sz w:val="23"/>
                <w:szCs w:val="23"/>
                <w:color w:val="auto"/>
              </w:rPr>
            </w:pPr>
          </w:p>
        </w:tc>
      </w:tr>
      <w:tr>
        <w:trPr>
          <w:trHeight w:val="202"/>
        </w:trPr>
        <w:tc>
          <w:tcPr>
            <w:tcW w:w="6200" w:type="dxa"/>
            <w:vAlign w:val="bottom"/>
            <w:gridSpan w:val="2"/>
            <w:shd w:val="clear" w:color="auto" w:fill="DDDDDD"/>
          </w:tcPr>
          <w:p>
            <w:pPr>
              <w:ind w:left="40"/>
              <w:spacing w:after="0" w:line="183" w:lineRule="exact"/>
              <w:rPr>
                <w:sz w:val="20"/>
                <w:szCs w:val="20"/>
                <w:color w:val="auto"/>
              </w:rPr>
            </w:pPr>
            <w:r>
              <w:rPr>
                <w:rFonts w:ascii="Times New Roman" w:cs="Times New Roman" w:eastAsia="Times New Roman" w:hAnsi="Times New Roman"/>
                <w:sz w:val="20"/>
                <w:szCs w:val="20"/>
                <w:color w:val="auto"/>
              </w:rPr>
              <w:t>by operating activities:</w:t>
            </w:r>
          </w:p>
        </w:tc>
        <w:tc>
          <w:tcPr>
            <w:tcW w:w="300" w:type="dxa"/>
            <w:vAlign w:val="bottom"/>
            <w:shd w:val="clear" w:color="auto" w:fill="DDDDDD"/>
          </w:tcPr>
          <w:p>
            <w:pPr>
              <w:spacing w:after="0"/>
              <w:rPr>
                <w:sz w:val="17"/>
                <w:szCs w:val="17"/>
                <w:color w:val="auto"/>
              </w:rPr>
            </w:pPr>
          </w:p>
        </w:tc>
        <w:tc>
          <w:tcPr>
            <w:tcW w:w="1000" w:type="dxa"/>
            <w:vAlign w:val="bottom"/>
            <w:shd w:val="clear" w:color="auto" w:fill="DDDDDD"/>
          </w:tcPr>
          <w:p>
            <w:pPr>
              <w:spacing w:after="0"/>
              <w:rPr>
                <w:sz w:val="17"/>
                <w:szCs w:val="17"/>
                <w:color w:val="auto"/>
              </w:rPr>
            </w:pPr>
          </w:p>
        </w:tc>
        <w:tc>
          <w:tcPr>
            <w:tcW w:w="60" w:type="dxa"/>
            <w:vAlign w:val="bottom"/>
            <w:shd w:val="clear" w:color="auto" w:fill="DDDDDD"/>
          </w:tcPr>
          <w:p>
            <w:pPr>
              <w:spacing w:after="0"/>
              <w:rPr>
                <w:sz w:val="17"/>
                <w:szCs w:val="17"/>
                <w:color w:val="auto"/>
              </w:rPr>
            </w:pPr>
          </w:p>
        </w:tc>
        <w:tc>
          <w:tcPr>
            <w:tcW w:w="20" w:type="dxa"/>
            <w:vAlign w:val="bottom"/>
            <w:shd w:val="clear" w:color="auto" w:fill="DDDDDD"/>
          </w:tcPr>
          <w:p>
            <w:pPr>
              <w:spacing w:after="0"/>
              <w:rPr>
                <w:sz w:val="17"/>
                <w:szCs w:val="17"/>
                <w:color w:val="auto"/>
              </w:rPr>
            </w:pPr>
          </w:p>
        </w:tc>
        <w:tc>
          <w:tcPr>
            <w:tcW w:w="300" w:type="dxa"/>
            <w:vAlign w:val="bottom"/>
            <w:shd w:val="clear" w:color="auto" w:fill="DDDDDD"/>
          </w:tcPr>
          <w:p>
            <w:pPr>
              <w:spacing w:after="0"/>
              <w:rPr>
                <w:sz w:val="17"/>
                <w:szCs w:val="17"/>
                <w:color w:val="auto"/>
              </w:rPr>
            </w:pPr>
          </w:p>
        </w:tc>
        <w:tc>
          <w:tcPr>
            <w:tcW w:w="1000" w:type="dxa"/>
            <w:vAlign w:val="bottom"/>
            <w:shd w:val="clear" w:color="auto" w:fill="DDDDDD"/>
          </w:tcPr>
          <w:p>
            <w:pPr>
              <w:spacing w:after="0"/>
              <w:rPr>
                <w:sz w:val="17"/>
                <w:szCs w:val="17"/>
                <w:color w:val="auto"/>
              </w:rPr>
            </w:pPr>
          </w:p>
        </w:tc>
        <w:tc>
          <w:tcPr>
            <w:tcW w:w="60" w:type="dxa"/>
            <w:vAlign w:val="bottom"/>
            <w:shd w:val="clear" w:color="auto" w:fill="DDDDDD"/>
          </w:tcPr>
          <w:p>
            <w:pPr>
              <w:spacing w:after="0"/>
              <w:rPr>
                <w:sz w:val="17"/>
                <w:szCs w:val="17"/>
                <w:color w:val="auto"/>
              </w:rPr>
            </w:pPr>
          </w:p>
        </w:tc>
        <w:tc>
          <w:tcPr>
            <w:tcW w:w="20" w:type="dxa"/>
            <w:vAlign w:val="bottom"/>
            <w:shd w:val="clear" w:color="auto" w:fill="DDDDDD"/>
          </w:tcPr>
          <w:p>
            <w:pPr>
              <w:spacing w:after="0"/>
              <w:rPr>
                <w:sz w:val="17"/>
                <w:szCs w:val="17"/>
                <w:color w:val="auto"/>
              </w:rPr>
            </w:pPr>
          </w:p>
        </w:tc>
        <w:tc>
          <w:tcPr>
            <w:tcW w:w="440" w:type="dxa"/>
            <w:vAlign w:val="bottom"/>
            <w:shd w:val="clear" w:color="auto" w:fill="DDDDDD"/>
          </w:tcPr>
          <w:p>
            <w:pPr>
              <w:spacing w:after="0"/>
              <w:rPr>
                <w:sz w:val="17"/>
                <w:szCs w:val="17"/>
                <w:color w:val="auto"/>
              </w:rPr>
            </w:pPr>
          </w:p>
        </w:tc>
        <w:tc>
          <w:tcPr>
            <w:tcW w:w="860" w:type="dxa"/>
            <w:vAlign w:val="bottom"/>
            <w:shd w:val="clear" w:color="auto" w:fill="DDDDDD"/>
          </w:tcPr>
          <w:p>
            <w:pPr>
              <w:spacing w:after="0"/>
              <w:rPr>
                <w:sz w:val="17"/>
                <w:szCs w:val="17"/>
                <w:color w:val="auto"/>
              </w:rPr>
            </w:pPr>
          </w:p>
        </w:tc>
      </w:tr>
      <w:tr>
        <w:trPr>
          <w:trHeight w:val="281"/>
        </w:trPr>
        <w:tc>
          <w:tcPr>
            <w:tcW w:w="6200" w:type="dxa"/>
            <w:vAlign w:val="bottom"/>
            <w:gridSpan w:val="2"/>
          </w:tcPr>
          <w:p>
            <w:pPr>
              <w:ind w:left="280"/>
              <w:spacing w:after="0"/>
              <w:rPr>
                <w:sz w:val="20"/>
                <w:szCs w:val="20"/>
                <w:color w:val="auto"/>
              </w:rPr>
            </w:pPr>
            <w:r>
              <w:rPr>
                <w:rFonts w:ascii="Times New Roman" w:cs="Times New Roman" w:eastAsia="Times New Roman" w:hAnsi="Times New Roman"/>
                <w:sz w:val="20"/>
                <w:szCs w:val="20"/>
                <w:color w:val="auto"/>
              </w:rPr>
              <w:t>Depreciation and amortization</w:t>
            </w:r>
          </w:p>
        </w:tc>
        <w:tc>
          <w:tcPr>
            <w:tcW w:w="300" w:type="dxa"/>
            <w:vAlign w:val="bottom"/>
          </w:tcPr>
          <w:p>
            <w:pPr>
              <w:spacing w:after="0"/>
              <w:rPr>
                <w:sz w:val="24"/>
                <w:szCs w:val="24"/>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12,133</w:t>
            </w: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11,498</w:t>
            </w: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4,425</w:t>
            </w:r>
          </w:p>
        </w:tc>
      </w:tr>
      <w:tr>
        <w:trPr>
          <w:trHeight w:val="288"/>
        </w:trPr>
        <w:tc>
          <w:tcPr>
            <w:tcW w:w="6200" w:type="dxa"/>
            <w:vAlign w:val="bottom"/>
            <w:gridSpan w:val="2"/>
            <w:shd w:val="clear" w:color="auto" w:fill="DDDDDD"/>
          </w:tcPr>
          <w:p>
            <w:pPr>
              <w:ind w:left="280"/>
              <w:spacing w:after="0"/>
              <w:rPr>
                <w:sz w:val="20"/>
                <w:szCs w:val="20"/>
                <w:color w:val="auto"/>
              </w:rPr>
            </w:pPr>
            <w:r>
              <w:rPr>
                <w:rFonts w:ascii="Times New Roman" w:cs="Times New Roman" w:eastAsia="Times New Roman" w:hAnsi="Times New Roman"/>
                <w:sz w:val="20"/>
                <w:szCs w:val="20"/>
                <w:color w:val="auto"/>
              </w:rPr>
              <w:t>Change in fair value of warrant liability</w:t>
            </w:r>
          </w:p>
        </w:tc>
        <w:tc>
          <w:tcPr>
            <w:tcW w:w="300" w:type="dxa"/>
            <w:vAlign w:val="bottom"/>
            <w:shd w:val="clear" w:color="auto" w:fill="DDDDDD"/>
          </w:tcPr>
          <w:p>
            <w:pPr>
              <w:spacing w:after="0"/>
              <w:rPr>
                <w:sz w:val="24"/>
                <w:szCs w:val="24"/>
                <w:color w:val="auto"/>
              </w:rPr>
            </w:pPr>
          </w:p>
        </w:tc>
        <w:tc>
          <w:tcPr>
            <w:tcW w:w="1000" w:type="dxa"/>
            <w:vAlign w:val="bottom"/>
            <w:shd w:val="clear" w:color="auto" w:fill="DDDDDD"/>
          </w:tcPr>
          <w:p>
            <w:pPr>
              <w:jc w:val="right"/>
              <w:spacing w:after="0"/>
              <w:rPr>
                <w:sz w:val="20"/>
                <w:szCs w:val="20"/>
                <w:color w:val="auto"/>
              </w:rPr>
            </w:pPr>
            <w:r>
              <w:rPr>
                <w:rFonts w:ascii="Times New Roman" w:cs="Times New Roman" w:eastAsia="Times New Roman" w:hAnsi="Times New Roman"/>
                <w:sz w:val="20"/>
                <w:szCs w:val="20"/>
                <w:color w:val="auto"/>
              </w:rPr>
              <w:t>(1,505)</w:t>
            </w:r>
          </w:p>
        </w:tc>
        <w:tc>
          <w:tcPr>
            <w:tcW w:w="60" w:type="dxa"/>
            <w:vAlign w:val="bottom"/>
            <w:shd w:val="clear" w:color="auto" w:fill="DDDDDD"/>
          </w:tcPr>
          <w:p>
            <w:pPr>
              <w:spacing w:after="0"/>
              <w:rPr>
                <w:sz w:val="24"/>
                <w:szCs w:val="24"/>
                <w:color w:val="auto"/>
              </w:rPr>
            </w:pPr>
          </w:p>
        </w:tc>
        <w:tc>
          <w:tcPr>
            <w:tcW w:w="20" w:type="dxa"/>
            <w:vAlign w:val="bottom"/>
            <w:shd w:val="clear" w:color="auto" w:fill="DDDDDD"/>
          </w:tcPr>
          <w:p>
            <w:pPr>
              <w:spacing w:after="0"/>
              <w:rPr>
                <w:sz w:val="24"/>
                <w:szCs w:val="24"/>
                <w:color w:val="auto"/>
              </w:rPr>
            </w:pPr>
          </w:p>
        </w:tc>
        <w:tc>
          <w:tcPr>
            <w:tcW w:w="300" w:type="dxa"/>
            <w:vAlign w:val="bottom"/>
            <w:shd w:val="clear" w:color="auto" w:fill="DDDDDD"/>
          </w:tcPr>
          <w:p>
            <w:pPr>
              <w:spacing w:after="0"/>
              <w:rPr>
                <w:sz w:val="24"/>
                <w:szCs w:val="24"/>
                <w:color w:val="auto"/>
              </w:rPr>
            </w:pPr>
          </w:p>
        </w:tc>
        <w:tc>
          <w:tcPr>
            <w:tcW w:w="1000" w:type="dxa"/>
            <w:vAlign w:val="bottom"/>
            <w:shd w:val="clear" w:color="auto" w:fill="DDDDDD"/>
          </w:tcPr>
          <w:p>
            <w:pPr>
              <w:jc w:val="right"/>
              <w:spacing w:after="0"/>
              <w:rPr>
                <w:sz w:val="20"/>
                <w:szCs w:val="20"/>
                <w:color w:val="auto"/>
              </w:rPr>
            </w:pPr>
            <w:r>
              <w:rPr>
                <w:rFonts w:ascii="Times New Roman" w:cs="Times New Roman" w:eastAsia="Times New Roman" w:hAnsi="Times New Roman"/>
                <w:sz w:val="20"/>
                <w:szCs w:val="20"/>
                <w:color w:val="auto"/>
              </w:rPr>
              <w:t>(25,370)</w:t>
            </w:r>
          </w:p>
        </w:tc>
        <w:tc>
          <w:tcPr>
            <w:tcW w:w="60" w:type="dxa"/>
            <w:vAlign w:val="bottom"/>
            <w:shd w:val="clear" w:color="auto" w:fill="DDDDDD"/>
          </w:tcPr>
          <w:p>
            <w:pPr>
              <w:spacing w:after="0"/>
              <w:rPr>
                <w:sz w:val="24"/>
                <w:szCs w:val="24"/>
                <w:color w:val="auto"/>
              </w:rPr>
            </w:pPr>
          </w:p>
        </w:tc>
        <w:tc>
          <w:tcPr>
            <w:tcW w:w="20" w:type="dxa"/>
            <w:vAlign w:val="bottom"/>
            <w:shd w:val="clear" w:color="auto" w:fill="DDDDDD"/>
          </w:tcPr>
          <w:p>
            <w:pPr>
              <w:spacing w:after="0"/>
              <w:rPr>
                <w:sz w:val="24"/>
                <w:szCs w:val="24"/>
                <w:color w:val="auto"/>
              </w:rPr>
            </w:pPr>
          </w:p>
        </w:tc>
        <w:tc>
          <w:tcPr>
            <w:tcW w:w="440" w:type="dxa"/>
            <w:vAlign w:val="bottom"/>
            <w:shd w:val="clear" w:color="auto" w:fill="DDDDDD"/>
          </w:tcPr>
          <w:p>
            <w:pPr>
              <w:spacing w:after="0"/>
              <w:rPr>
                <w:sz w:val="24"/>
                <w:szCs w:val="24"/>
                <w:color w:val="auto"/>
              </w:rPr>
            </w:pPr>
          </w:p>
        </w:tc>
        <w:tc>
          <w:tcPr>
            <w:tcW w:w="860" w:type="dxa"/>
            <w:vAlign w:val="bottom"/>
            <w:shd w:val="clear" w:color="auto" w:fill="DDDDDD"/>
          </w:tcPr>
          <w:p>
            <w:pPr>
              <w:jc w:val="right"/>
              <w:spacing w:after="0"/>
              <w:rPr>
                <w:sz w:val="20"/>
                <w:szCs w:val="20"/>
                <w:color w:val="auto"/>
              </w:rPr>
            </w:pPr>
            <w:r>
              <w:rPr>
                <w:rFonts w:ascii="Times New Roman" w:cs="Times New Roman" w:eastAsia="Times New Roman" w:hAnsi="Times New Roman"/>
                <w:sz w:val="20"/>
                <w:szCs w:val="20"/>
                <w:color w:val="auto"/>
              </w:rPr>
              <w:t>(166,518)</w:t>
            </w:r>
          </w:p>
        </w:tc>
      </w:tr>
      <w:tr>
        <w:trPr>
          <w:trHeight w:val="288"/>
        </w:trPr>
        <w:tc>
          <w:tcPr>
            <w:tcW w:w="6200" w:type="dxa"/>
            <w:vAlign w:val="bottom"/>
            <w:gridSpan w:val="2"/>
          </w:tcPr>
          <w:p>
            <w:pPr>
              <w:ind w:left="280"/>
              <w:spacing w:after="0"/>
              <w:rPr>
                <w:sz w:val="20"/>
                <w:szCs w:val="20"/>
                <w:color w:val="auto"/>
              </w:rPr>
            </w:pPr>
            <w:r>
              <w:rPr>
                <w:rFonts w:ascii="Times New Roman" w:cs="Times New Roman" w:eastAsia="Times New Roman" w:hAnsi="Times New Roman"/>
                <w:sz w:val="20"/>
                <w:szCs w:val="20"/>
                <w:color w:val="auto"/>
              </w:rPr>
              <w:t>Change in tax receivable agreement liability</w:t>
            </w:r>
          </w:p>
        </w:tc>
        <w:tc>
          <w:tcPr>
            <w:tcW w:w="300" w:type="dxa"/>
            <w:vAlign w:val="bottom"/>
          </w:tcPr>
          <w:p>
            <w:pPr>
              <w:spacing w:after="0"/>
              <w:rPr>
                <w:sz w:val="24"/>
                <w:szCs w:val="24"/>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1,256</w:t>
            </w: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(142,352)</w:t>
            </w: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w:t>
            </w:r>
          </w:p>
        </w:tc>
      </w:tr>
      <w:tr>
        <w:trPr>
          <w:trHeight w:val="281"/>
        </w:trPr>
        <w:tc>
          <w:tcPr>
            <w:tcW w:w="6200" w:type="dxa"/>
            <w:vAlign w:val="bottom"/>
            <w:gridSpan w:val="2"/>
            <w:shd w:val="clear" w:color="auto" w:fill="DDDDDD"/>
          </w:tcPr>
          <w:p>
            <w:pPr>
              <w:ind w:left="280"/>
              <w:spacing w:after="0"/>
              <w:rPr>
                <w:sz w:val="20"/>
                <w:szCs w:val="20"/>
                <w:color w:val="auto"/>
              </w:rPr>
            </w:pPr>
            <w:r>
              <w:rPr>
                <w:rFonts w:ascii="Times New Roman" w:cs="Times New Roman" w:eastAsia="Times New Roman" w:hAnsi="Times New Roman"/>
                <w:sz w:val="20"/>
                <w:szCs w:val="20"/>
                <w:color w:val="auto"/>
              </w:rPr>
              <w:t>Amortization of right-of -use lease assets</w:t>
            </w:r>
          </w:p>
        </w:tc>
        <w:tc>
          <w:tcPr>
            <w:tcW w:w="300" w:type="dxa"/>
            <w:vAlign w:val="bottom"/>
            <w:shd w:val="clear" w:color="auto" w:fill="DDDDDD"/>
          </w:tcPr>
          <w:p>
            <w:pPr>
              <w:spacing w:after="0"/>
              <w:rPr>
                <w:sz w:val="24"/>
                <w:szCs w:val="24"/>
                <w:color w:val="auto"/>
              </w:rPr>
            </w:pPr>
          </w:p>
        </w:tc>
        <w:tc>
          <w:tcPr>
            <w:tcW w:w="1000" w:type="dxa"/>
            <w:vAlign w:val="bottom"/>
            <w:shd w:val="clear" w:color="auto" w:fill="DDDDDD"/>
          </w:tcPr>
          <w:p>
            <w:pPr>
              <w:jc w:val="right"/>
              <w:spacing w:after="0"/>
              <w:rPr>
                <w:sz w:val="20"/>
                <w:szCs w:val="20"/>
                <w:color w:val="auto"/>
              </w:rPr>
            </w:pPr>
            <w:r>
              <w:rPr>
                <w:rFonts w:ascii="Times New Roman" w:cs="Times New Roman" w:eastAsia="Times New Roman" w:hAnsi="Times New Roman"/>
                <w:sz w:val="20"/>
                <w:szCs w:val="20"/>
                <w:color w:val="auto"/>
              </w:rPr>
              <w:t>4,930</w:t>
            </w:r>
          </w:p>
        </w:tc>
        <w:tc>
          <w:tcPr>
            <w:tcW w:w="60" w:type="dxa"/>
            <w:vAlign w:val="bottom"/>
            <w:shd w:val="clear" w:color="auto" w:fill="DDDDDD"/>
          </w:tcPr>
          <w:p>
            <w:pPr>
              <w:spacing w:after="0"/>
              <w:rPr>
                <w:sz w:val="24"/>
                <w:szCs w:val="24"/>
                <w:color w:val="auto"/>
              </w:rPr>
            </w:pPr>
          </w:p>
        </w:tc>
        <w:tc>
          <w:tcPr>
            <w:tcW w:w="20" w:type="dxa"/>
            <w:vAlign w:val="bottom"/>
            <w:shd w:val="clear" w:color="auto" w:fill="DDDDDD"/>
          </w:tcPr>
          <w:p>
            <w:pPr>
              <w:spacing w:after="0"/>
              <w:rPr>
                <w:sz w:val="24"/>
                <w:szCs w:val="24"/>
                <w:color w:val="auto"/>
              </w:rPr>
            </w:pPr>
          </w:p>
        </w:tc>
        <w:tc>
          <w:tcPr>
            <w:tcW w:w="300" w:type="dxa"/>
            <w:vAlign w:val="bottom"/>
            <w:shd w:val="clear" w:color="auto" w:fill="DDDDDD"/>
          </w:tcPr>
          <w:p>
            <w:pPr>
              <w:spacing w:after="0"/>
              <w:rPr>
                <w:sz w:val="24"/>
                <w:szCs w:val="24"/>
                <w:color w:val="auto"/>
              </w:rPr>
            </w:pPr>
          </w:p>
        </w:tc>
        <w:tc>
          <w:tcPr>
            <w:tcW w:w="1000" w:type="dxa"/>
            <w:vAlign w:val="bottom"/>
            <w:shd w:val="clear" w:color="auto" w:fill="DDDDDD"/>
          </w:tcPr>
          <w:p>
            <w:pPr>
              <w:jc w:val="right"/>
              <w:spacing w:after="0"/>
              <w:rPr>
                <w:sz w:val="20"/>
                <w:szCs w:val="20"/>
                <w:color w:val="auto"/>
              </w:rPr>
            </w:pPr>
            <w:r>
              <w:rPr>
                <w:rFonts w:ascii="Times New Roman" w:cs="Times New Roman" w:eastAsia="Times New Roman" w:hAnsi="Times New Roman"/>
                <w:sz w:val="20"/>
                <w:szCs w:val="20"/>
                <w:color w:val="auto"/>
              </w:rPr>
              <w:t>4,655</w:t>
            </w:r>
          </w:p>
        </w:tc>
        <w:tc>
          <w:tcPr>
            <w:tcW w:w="60" w:type="dxa"/>
            <w:vAlign w:val="bottom"/>
            <w:shd w:val="clear" w:color="auto" w:fill="DDDDDD"/>
          </w:tcPr>
          <w:p>
            <w:pPr>
              <w:spacing w:after="0"/>
              <w:rPr>
                <w:sz w:val="24"/>
                <w:szCs w:val="24"/>
                <w:color w:val="auto"/>
              </w:rPr>
            </w:pPr>
          </w:p>
        </w:tc>
        <w:tc>
          <w:tcPr>
            <w:tcW w:w="20" w:type="dxa"/>
            <w:vAlign w:val="bottom"/>
            <w:shd w:val="clear" w:color="auto" w:fill="DDDDDD"/>
          </w:tcPr>
          <w:p>
            <w:pPr>
              <w:spacing w:after="0"/>
              <w:rPr>
                <w:sz w:val="24"/>
                <w:szCs w:val="24"/>
                <w:color w:val="auto"/>
              </w:rPr>
            </w:pPr>
          </w:p>
        </w:tc>
        <w:tc>
          <w:tcPr>
            <w:tcW w:w="440" w:type="dxa"/>
            <w:vAlign w:val="bottom"/>
            <w:shd w:val="clear" w:color="auto" w:fill="DDDDDD"/>
          </w:tcPr>
          <w:p>
            <w:pPr>
              <w:spacing w:after="0"/>
              <w:rPr>
                <w:sz w:val="24"/>
                <w:szCs w:val="24"/>
                <w:color w:val="auto"/>
              </w:rPr>
            </w:pPr>
          </w:p>
        </w:tc>
        <w:tc>
          <w:tcPr>
            <w:tcW w:w="860" w:type="dxa"/>
            <w:vAlign w:val="bottom"/>
            <w:shd w:val="clear" w:color="auto" w:fill="DDDDDD"/>
          </w:tcPr>
          <w:p>
            <w:pPr>
              <w:jc w:val="right"/>
              <w:spacing w:after="0"/>
              <w:rPr>
                <w:sz w:val="20"/>
                <w:szCs w:val="20"/>
                <w:color w:val="auto"/>
              </w:rPr>
            </w:pPr>
            <w:r>
              <w:rPr>
                <w:rFonts w:ascii="Times New Roman" w:cs="Times New Roman" w:eastAsia="Times New Roman" w:hAnsi="Times New Roman"/>
                <w:sz w:val="20"/>
                <w:szCs w:val="20"/>
                <w:color w:val="auto"/>
              </w:rPr>
              <w:t>4,402</w:t>
            </w:r>
          </w:p>
        </w:tc>
      </w:tr>
      <w:tr>
        <w:trPr>
          <w:trHeight w:val="288"/>
        </w:trPr>
        <w:tc>
          <w:tcPr>
            <w:tcW w:w="6200" w:type="dxa"/>
            <w:vAlign w:val="bottom"/>
            <w:gridSpan w:val="2"/>
          </w:tcPr>
          <w:p>
            <w:pPr>
              <w:ind w:left="280"/>
              <w:spacing w:after="0"/>
              <w:rPr>
                <w:sz w:val="20"/>
                <w:szCs w:val="20"/>
                <w:color w:val="auto"/>
              </w:rPr>
            </w:pPr>
            <w:r>
              <w:rPr>
                <w:rFonts w:ascii="Times New Roman" w:cs="Times New Roman" w:eastAsia="Times New Roman" w:hAnsi="Times New Roman"/>
                <w:sz w:val="20"/>
                <w:szCs w:val="20"/>
                <w:color w:val="auto"/>
              </w:rPr>
              <w:t>Asset impairment charges</w:t>
            </w:r>
          </w:p>
        </w:tc>
        <w:tc>
          <w:tcPr>
            <w:tcW w:w="300" w:type="dxa"/>
            <w:vAlign w:val="bottom"/>
          </w:tcPr>
          <w:p>
            <w:pPr>
              <w:spacing w:after="0"/>
              <w:rPr>
                <w:sz w:val="24"/>
                <w:szCs w:val="24"/>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24,403</w:t>
            </w: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4,317</w:t>
            </w: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2,372</w:t>
            </w:r>
          </w:p>
        </w:tc>
      </w:tr>
      <w:tr>
        <w:trPr>
          <w:trHeight w:val="281"/>
        </w:trPr>
        <w:tc>
          <w:tcPr>
            <w:tcW w:w="6200" w:type="dxa"/>
            <w:vAlign w:val="bottom"/>
            <w:gridSpan w:val="2"/>
            <w:shd w:val="clear" w:color="auto" w:fill="DDDDDD"/>
          </w:tcPr>
          <w:p>
            <w:pPr>
              <w:ind w:left="280"/>
              <w:spacing w:after="0"/>
              <w:rPr>
                <w:sz w:val="20"/>
                <w:szCs w:val="20"/>
                <w:color w:val="auto"/>
              </w:rPr>
            </w:pPr>
            <w:r>
              <w:rPr>
                <w:rFonts w:ascii="Times New Roman" w:cs="Times New Roman" w:eastAsia="Times New Roman" w:hAnsi="Times New Roman"/>
                <w:sz w:val="20"/>
                <w:szCs w:val="20"/>
                <w:color w:val="auto"/>
              </w:rPr>
              <w:t>Stock-based compensation</w:t>
            </w:r>
          </w:p>
        </w:tc>
        <w:tc>
          <w:tcPr>
            <w:tcW w:w="300" w:type="dxa"/>
            <w:vAlign w:val="bottom"/>
            <w:shd w:val="clear" w:color="auto" w:fill="DDDDDD"/>
          </w:tcPr>
          <w:p>
            <w:pPr>
              <w:spacing w:after="0"/>
              <w:rPr>
                <w:sz w:val="24"/>
                <w:szCs w:val="24"/>
                <w:color w:val="auto"/>
              </w:rPr>
            </w:pPr>
          </w:p>
        </w:tc>
        <w:tc>
          <w:tcPr>
            <w:tcW w:w="1000" w:type="dxa"/>
            <w:vAlign w:val="bottom"/>
            <w:shd w:val="clear" w:color="auto" w:fill="DDDDDD"/>
          </w:tcPr>
          <w:p>
            <w:pPr>
              <w:jc w:val="right"/>
              <w:spacing w:after="0"/>
              <w:rPr>
                <w:sz w:val="20"/>
                <w:szCs w:val="20"/>
                <w:color w:val="auto"/>
              </w:rPr>
            </w:pPr>
            <w:r>
              <w:rPr>
                <w:rFonts w:ascii="Times New Roman" w:cs="Times New Roman" w:eastAsia="Times New Roman" w:hAnsi="Times New Roman"/>
                <w:sz w:val="20"/>
                <w:szCs w:val="20"/>
                <w:color w:val="auto"/>
              </w:rPr>
              <w:t>13,515</w:t>
            </w:r>
          </w:p>
        </w:tc>
        <w:tc>
          <w:tcPr>
            <w:tcW w:w="60" w:type="dxa"/>
            <w:vAlign w:val="bottom"/>
            <w:shd w:val="clear" w:color="auto" w:fill="DDDDDD"/>
          </w:tcPr>
          <w:p>
            <w:pPr>
              <w:spacing w:after="0"/>
              <w:rPr>
                <w:sz w:val="24"/>
                <w:szCs w:val="24"/>
                <w:color w:val="auto"/>
              </w:rPr>
            </w:pPr>
          </w:p>
        </w:tc>
        <w:tc>
          <w:tcPr>
            <w:tcW w:w="20" w:type="dxa"/>
            <w:vAlign w:val="bottom"/>
            <w:shd w:val="clear" w:color="auto" w:fill="DDDDDD"/>
          </w:tcPr>
          <w:p>
            <w:pPr>
              <w:spacing w:after="0"/>
              <w:rPr>
                <w:sz w:val="24"/>
                <w:szCs w:val="24"/>
                <w:color w:val="auto"/>
              </w:rPr>
            </w:pPr>
          </w:p>
        </w:tc>
        <w:tc>
          <w:tcPr>
            <w:tcW w:w="300" w:type="dxa"/>
            <w:vAlign w:val="bottom"/>
            <w:shd w:val="clear" w:color="auto" w:fill="DDDDDD"/>
          </w:tcPr>
          <w:p>
            <w:pPr>
              <w:spacing w:after="0"/>
              <w:rPr>
                <w:sz w:val="24"/>
                <w:szCs w:val="24"/>
                <w:color w:val="auto"/>
              </w:rPr>
            </w:pPr>
          </w:p>
        </w:tc>
        <w:tc>
          <w:tcPr>
            <w:tcW w:w="1000" w:type="dxa"/>
            <w:vAlign w:val="bottom"/>
            <w:shd w:val="clear" w:color="auto" w:fill="DDDDDD"/>
          </w:tcPr>
          <w:p>
            <w:pPr>
              <w:jc w:val="right"/>
              <w:spacing w:after="0"/>
              <w:rPr>
                <w:sz w:val="20"/>
                <w:szCs w:val="20"/>
                <w:color w:val="auto"/>
              </w:rPr>
            </w:pPr>
            <w:r>
              <w:rPr>
                <w:rFonts w:ascii="Times New Roman" w:cs="Times New Roman" w:eastAsia="Times New Roman" w:hAnsi="Times New Roman"/>
                <w:sz w:val="20"/>
                <w:szCs w:val="20"/>
                <w:color w:val="auto"/>
              </w:rPr>
              <w:t>23,493</w:t>
            </w:r>
          </w:p>
        </w:tc>
        <w:tc>
          <w:tcPr>
            <w:tcW w:w="60" w:type="dxa"/>
            <w:vAlign w:val="bottom"/>
            <w:shd w:val="clear" w:color="auto" w:fill="DDDDDD"/>
          </w:tcPr>
          <w:p>
            <w:pPr>
              <w:spacing w:after="0"/>
              <w:rPr>
                <w:sz w:val="24"/>
                <w:szCs w:val="24"/>
                <w:color w:val="auto"/>
              </w:rPr>
            </w:pPr>
          </w:p>
        </w:tc>
        <w:tc>
          <w:tcPr>
            <w:tcW w:w="20" w:type="dxa"/>
            <w:vAlign w:val="bottom"/>
            <w:shd w:val="clear" w:color="auto" w:fill="DDDDDD"/>
          </w:tcPr>
          <w:p>
            <w:pPr>
              <w:spacing w:after="0"/>
              <w:rPr>
                <w:sz w:val="24"/>
                <w:szCs w:val="24"/>
                <w:color w:val="auto"/>
              </w:rPr>
            </w:pPr>
          </w:p>
        </w:tc>
        <w:tc>
          <w:tcPr>
            <w:tcW w:w="440" w:type="dxa"/>
            <w:vAlign w:val="bottom"/>
            <w:shd w:val="clear" w:color="auto" w:fill="DDDDDD"/>
          </w:tcPr>
          <w:p>
            <w:pPr>
              <w:spacing w:after="0"/>
              <w:rPr>
                <w:sz w:val="24"/>
                <w:szCs w:val="24"/>
                <w:color w:val="auto"/>
              </w:rPr>
            </w:pPr>
          </w:p>
        </w:tc>
        <w:tc>
          <w:tcPr>
            <w:tcW w:w="860" w:type="dxa"/>
            <w:vAlign w:val="bottom"/>
            <w:shd w:val="clear" w:color="auto" w:fill="DDDDDD"/>
          </w:tcPr>
          <w:p>
            <w:pPr>
              <w:jc w:val="right"/>
              <w:spacing w:after="0"/>
              <w:rPr>
                <w:sz w:val="20"/>
                <w:szCs w:val="20"/>
                <w:color w:val="auto"/>
              </w:rPr>
            </w:pPr>
            <w:r>
              <w:rPr>
                <w:rFonts w:ascii="Times New Roman" w:cs="Times New Roman" w:eastAsia="Times New Roman" w:hAnsi="Times New Roman"/>
                <w:sz w:val="20"/>
                <w:szCs w:val="20"/>
                <w:color w:val="auto"/>
              </w:rPr>
              <w:t>29,324</w:t>
            </w:r>
          </w:p>
        </w:tc>
      </w:tr>
      <w:tr>
        <w:trPr>
          <w:trHeight w:val="288"/>
        </w:trPr>
        <w:tc>
          <w:tcPr>
            <w:tcW w:w="6200" w:type="dxa"/>
            <w:vAlign w:val="bottom"/>
            <w:gridSpan w:val="2"/>
          </w:tcPr>
          <w:p>
            <w:pPr>
              <w:ind w:left="280"/>
              <w:spacing w:after="0"/>
              <w:rPr>
                <w:sz w:val="20"/>
                <w:szCs w:val="20"/>
                <w:color w:val="auto"/>
              </w:rPr>
            </w:pPr>
            <w:r>
              <w:rPr>
                <w:rFonts w:ascii="Times New Roman" w:cs="Times New Roman" w:eastAsia="Times New Roman" w:hAnsi="Times New Roman"/>
                <w:sz w:val="20"/>
                <w:szCs w:val="20"/>
                <w:color w:val="auto"/>
              </w:rPr>
              <w:t>Deferred tax asset</w:t>
            </w:r>
          </w:p>
        </w:tc>
        <w:tc>
          <w:tcPr>
            <w:tcW w:w="300" w:type="dxa"/>
            <w:vAlign w:val="bottom"/>
          </w:tcPr>
          <w:p>
            <w:pPr>
              <w:spacing w:after="0"/>
              <w:rPr>
                <w:sz w:val="24"/>
                <w:szCs w:val="24"/>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179,077</w:t>
            </w: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(842)</w:t>
            </w:r>
          </w:p>
        </w:tc>
      </w:tr>
      <w:tr>
        <w:trPr>
          <w:trHeight w:val="288"/>
        </w:trPr>
        <w:tc>
          <w:tcPr>
            <w:tcW w:w="6200" w:type="dxa"/>
            <w:vAlign w:val="bottom"/>
            <w:gridSpan w:val="2"/>
            <w:shd w:val="clear" w:color="auto" w:fill="DDDDDD"/>
          </w:tcPr>
          <w:p>
            <w:pPr>
              <w:ind w:left="280"/>
              <w:spacing w:after="0"/>
              <w:rPr>
                <w:sz w:val="20"/>
                <w:szCs w:val="20"/>
                <w:color w:val="auto"/>
              </w:rPr>
            </w:pPr>
            <w:r>
              <w:rPr>
                <w:rFonts w:ascii="Times New Roman" w:cs="Times New Roman" w:eastAsia="Times New Roman" w:hAnsi="Times New Roman"/>
                <w:sz w:val="20"/>
                <w:szCs w:val="20"/>
                <w:color w:val="auto"/>
              </w:rPr>
              <w:t>Discharge of holdback obligation related to prior acquisition</w:t>
            </w:r>
          </w:p>
        </w:tc>
        <w:tc>
          <w:tcPr>
            <w:tcW w:w="300" w:type="dxa"/>
            <w:vAlign w:val="bottom"/>
            <w:shd w:val="clear" w:color="auto" w:fill="DDDDDD"/>
          </w:tcPr>
          <w:p>
            <w:pPr>
              <w:spacing w:after="0"/>
              <w:rPr>
                <w:sz w:val="24"/>
                <w:szCs w:val="24"/>
                <w:color w:val="auto"/>
              </w:rPr>
            </w:pPr>
          </w:p>
        </w:tc>
        <w:tc>
          <w:tcPr>
            <w:tcW w:w="1000" w:type="dxa"/>
            <w:vAlign w:val="bottom"/>
            <w:shd w:val="clear" w:color="auto" w:fill="DDDDDD"/>
          </w:tcPr>
          <w:p>
            <w:pPr>
              <w:jc w:val="right"/>
              <w:spacing w:after="0"/>
              <w:rPr>
                <w:sz w:val="20"/>
                <w:szCs w:val="20"/>
                <w:color w:val="auto"/>
              </w:rPr>
            </w:pPr>
            <w:r>
              <w:rPr>
                <w:rFonts w:ascii="Times New Roman" w:cs="Times New Roman" w:eastAsia="Times New Roman" w:hAnsi="Times New Roman"/>
                <w:sz w:val="20"/>
                <w:szCs w:val="20"/>
                <w:color w:val="auto"/>
              </w:rPr>
              <w:t>(3,705)</w:t>
            </w:r>
          </w:p>
        </w:tc>
        <w:tc>
          <w:tcPr>
            <w:tcW w:w="60" w:type="dxa"/>
            <w:vAlign w:val="bottom"/>
            <w:shd w:val="clear" w:color="auto" w:fill="DDDDDD"/>
          </w:tcPr>
          <w:p>
            <w:pPr>
              <w:spacing w:after="0"/>
              <w:rPr>
                <w:sz w:val="24"/>
                <w:szCs w:val="24"/>
                <w:color w:val="auto"/>
              </w:rPr>
            </w:pPr>
          </w:p>
        </w:tc>
        <w:tc>
          <w:tcPr>
            <w:tcW w:w="20" w:type="dxa"/>
            <w:vAlign w:val="bottom"/>
            <w:shd w:val="clear" w:color="auto" w:fill="DDDDDD"/>
          </w:tcPr>
          <w:p>
            <w:pPr>
              <w:spacing w:after="0"/>
              <w:rPr>
                <w:sz w:val="24"/>
                <w:szCs w:val="24"/>
                <w:color w:val="auto"/>
              </w:rPr>
            </w:pPr>
          </w:p>
        </w:tc>
        <w:tc>
          <w:tcPr>
            <w:tcW w:w="300" w:type="dxa"/>
            <w:vAlign w:val="bottom"/>
            <w:shd w:val="clear" w:color="auto" w:fill="DDDDDD"/>
          </w:tcPr>
          <w:p>
            <w:pPr>
              <w:spacing w:after="0"/>
              <w:rPr>
                <w:sz w:val="24"/>
                <w:szCs w:val="24"/>
                <w:color w:val="auto"/>
              </w:rPr>
            </w:pPr>
          </w:p>
        </w:tc>
        <w:tc>
          <w:tcPr>
            <w:tcW w:w="1000" w:type="dxa"/>
            <w:vAlign w:val="bottom"/>
            <w:shd w:val="clear" w:color="auto" w:fill="DDDDDD"/>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60" w:type="dxa"/>
            <w:vAlign w:val="bottom"/>
            <w:shd w:val="clear" w:color="auto" w:fill="DDDDDD"/>
          </w:tcPr>
          <w:p>
            <w:pPr>
              <w:spacing w:after="0"/>
              <w:rPr>
                <w:sz w:val="24"/>
                <w:szCs w:val="24"/>
                <w:color w:val="auto"/>
              </w:rPr>
            </w:pPr>
          </w:p>
        </w:tc>
        <w:tc>
          <w:tcPr>
            <w:tcW w:w="20" w:type="dxa"/>
            <w:vAlign w:val="bottom"/>
            <w:shd w:val="clear" w:color="auto" w:fill="DDDDDD"/>
          </w:tcPr>
          <w:p>
            <w:pPr>
              <w:spacing w:after="0"/>
              <w:rPr>
                <w:sz w:val="24"/>
                <w:szCs w:val="24"/>
                <w:color w:val="auto"/>
              </w:rPr>
            </w:pPr>
          </w:p>
        </w:tc>
        <w:tc>
          <w:tcPr>
            <w:tcW w:w="440" w:type="dxa"/>
            <w:vAlign w:val="bottom"/>
            <w:shd w:val="clear" w:color="auto" w:fill="DDDDDD"/>
          </w:tcPr>
          <w:p>
            <w:pPr>
              <w:spacing w:after="0"/>
              <w:rPr>
                <w:sz w:val="24"/>
                <w:szCs w:val="24"/>
                <w:color w:val="auto"/>
              </w:rPr>
            </w:pPr>
          </w:p>
        </w:tc>
        <w:tc>
          <w:tcPr>
            <w:tcW w:w="860" w:type="dxa"/>
            <w:vAlign w:val="bottom"/>
            <w:shd w:val="clear" w:color="auto" w:fill="DDDDDD"/>
          </w:tcPr>
          <w:p>
            <w:pPr>
              <w:jc w:val="right"/>
              <w:spacing w:after="0"/>
              <w:rPr>
                <w:sz w:val="20"/>
                <w:szCs w:val="20"/>
                <w:color w:val="auto"/>
              </w:rPr>
            </w:pPr>
            <w:r>
              <w:rPr>
                <w:rFonts w:ascii="Times New Roman" w:cs="Times New Roman" w:eastAsia="Times New Roman" w:hAnsi="Times New Roman"/>
                <w:sz w:val="20"/>
                <w:szCs w:val="20"/>
                <w:color w:val="auto"/>
              </w:rPr>
              <w:t>—</w:t>
            </w:r>
          </w:p>
        </w:tc>
      </w:tr>
      <w:tr>
        <w:trPr>
          <w:trHeight w:val="281"/>
        </w:trPr>
        <w:tc>
          <w:tcPr>
            <w:tcW w:w="6200" w:type="dxa"/>
            <w:vAlign w:val="bottom"/>
            <w:gridSpan w:val="2"/>
          </w:tcPr>
          <w:p>
            <w:pPr>
              <w:ind w:left="280"/>
              <w:spacing w:after="0"/>
              <w:rPr>
                <w:sz w:val="20"/>
                <w:szCs w:val="20"/>
                <w:color w:val="auto"/>
              </w:rPr>
            </w:pPr>
            <w:r>
              <w:rPr>
                <w:rFonts w:ascii="Times New Roman" w:cs="Times New Roman" w:eastAsia="Times New Roman" w:hAnsi="Times New Roman"/>
                <w:sz w:val="20"/>
                <w:szCs w:val="20"/>
                <w:color w:val="auto"/>
              </w:rPr>
              <w:t>Provision for credit losses</w:t>
            </w:r>
          </w:p>
        </w:tc>
        <w:tc>
          <w:tcPr>
            <w:tcW w:w="300" w:type="dxa"/>
            <w:vAlign w:val="bottom"/>
          </w:tcPr>
          <w:p>
            <w:pPr>
              <w:spacing w:after="0"/>
              <w:rPr>
                <w:sz w:val="24"/>
                <w:szCs w:val="24"/>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1,792</w:t>
            </w: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17,216</w:t>
            </w: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5,487</w:t>
            </w:r>
          </w:p>
        </w:tc>
      </w:tr>
      <w:tr>
        <w:trPr>
          <w:trHeight w:val="288"/>
        </w:trPr>
        <w:tc>
          <w:tcPr>
            <w:tcW w:w="6200" w:type="dxa"/>
            <w:vAlign w:val="bottom"/>
            <w:gridSpan w:val="2"/>
            <w:shd w:val="clear" w:color="auto" w:fill="DDDDDD"/>
          </w:tcPr>
          <w:p>
            <w:pPr>
              <w:ind w:left="40"/>
              <w:spacing w:after="0"/>
              <w:rPr>
                <w:sz w:val="20"/>
                <w:szCs w:val="20"/>
                <w:color w:val="auto"/>
              </w:rPr>
            </w:pPr>
            <w:r>
              <w:rPr>
                <w:rFonts w:ascii="Times New Roman" w:cs="Times New Roman" w:eastAsia="Times New Roman" w:hAnsi="Times New Roman"/>
                <w:sz w:val="20"/>
                <w:szCs w:val="20"/>
                <w:color w:val="auto"/>
              </w:rPr>
              <w:t>Changes in operating assets and liabilities:</w:t>
            </w:r>
          </w:p>
        </w:tc>
        <w:tc>
          <w:tcPr>
            <w:tcW w:w="300" w:type="dxa"/>
            <w:vAlign w:val="bottom"/>
            <w:shd w:val="clear" w:color="auto" w:fill="DDDDDD"/>
          </w:tcPr>
          <w:p>
            <w:pPr>
              <w:spacing w:after="0"/>
              <w:rPr>
                <w:sz w:val="24"/>
                <w:szCs w:val="24"/>
                <w:color w:val="auto"/>
              </w:rPr>
            </w:pPr>
          </w:p>
        </w:tc>
        <w:tc>
          <w:tcPr>
            <w:tcW w:w="1000" w:type="dxa"/>
            <w:vAlign w:val="bottom"/>
            <w:shd w:val="clear" w:color="auto" w:fill="DDDDDD"/>
          </w:tcPr>
          <w:p>
            <w:pPr>
              <w:spacing w:after="0"/>
              <w:rPr>
                <w:sz w:val="24"/>
                <w:szCs w:val="24"/>
                <w:color w:val="auto"/>
              </w:rPr>
            </w:pPr>
          </w:p>
        </w:tc>
        <w:tc>
          <w:tcPr>
            <w:tcW w:w="60" w:type="dxa"/>
            <w:vAlign w:val="bottom"/>
            <w:shd w:val="clear" w:color="auto" w:fill="DDDDDD"/>
          </w:tcPr>
          <w:p>
            <w:pPr>
              <w:spacing w:after="0"/>
              <w:rPr>
                <w:sz w:val="24"/>
                <w:szCs w:val="24"/>
                <w:color w:val="auto"/>
              </w:rPr>
            </w:pPr>
          </w:p>
        </w:tc>
        <w:tc>
          <w:tcPr>
            <w:tcW w:w="20" w:type="dxa"/>
            <w:vAlign w:val="bottom"/>
            <w:shd w:val="clear" w:color="auto" w:fill="DDDDDD"/>
          </w:tcPr>
          <w:p>
            <w:pPr>
              <w:spacing w:after="0"/>
              <w:rPr>
                <w:sz w:val="24"/>
                <w:szCs w:val="24"/>
                <w:color w:val="auto"/>
              </w:rPr>
            </w:pPr>
          </w:p>
        </w:tc>
        <w:tc>
          <w:tcPr>
            <w:tcW w:w="300" w:type="dxa"/>
            <w:vAlign w:val="bottom"/>
            <w:shd w:val="clear" w:color="auto" w:fill="DDDDDD"/>
          </w:tcPr>
          <w:p>
            <w:pPr>
              <w:spacing w:after="0"/>
              <w:rPr>
                <w:sz w:val="24"/>
                <w:szCs w:val="24"/>
                <w:color w:val="auto"/>
              </w:rPr>
            </w:pPr>
          </w:p>
        </w:tc>
        <w:tc>
          <w:tcPr>
            <w:tcW w:w="1000" w:type="dxa"/>
            <w:vAlign w:val="bottom"/>
            <w:shd w:val="clear" w:color="auto" w:fill="DDDDDD"/>
          </w:tcPr>
          <w:p>
            <w:pPr>
              <w:spacing w:after="0"/>
              <w:rPr>
                <w:sz w:val="24"/>
                <w:szCs w:val="24"/>
                <w:color w:val="auto"/>
              </w:rPr>
            </w:pPr>
          </w:p>
        </w:tc>
        <w:tc>
          <w:tcPr>
            <w:tcW w:w="60" w:type="dxa"/>
            <w:vAlign w:val="bottom"/>
            <w:shd w:val="clear" w:color="auto" w:fill="DDDDDD"/>
          </w:tcPr>
          <w:p>
            <w:pPr>
              <w:spacing w:after="0"/>
              <w:rPr>
                <w:sz w:val="24"/>
                <w:szCs w:val="24"/>
                <w:color w:val="auto"/>
              </w:rPr>
            </w:pPr>
          </w:p>
        </w:tc>
        <w:tc>
          <w:tcPr>
            <w:tcW w:w="20" w:type="dxa"/>
            <w:vAlign w:val="bottom"/>
            <w:shd w:val="clear" w:color="auto" w:fill="DDDDDD"/>
          </w:tcPr>
          <w:p>
            <w:pPr>
              <w:spacing w:after="0"/>
              <w:rPr>
                <w:sz w:val="24"/>
                <w:szCs w:val="24"/>
                <w:color w:val="auto"/>
              </w:rPr>
            </w:pPr>
          </w:p>
        </w:tc>
        <w:tc>
          <w:tcPr>
            <w:tcW w:w="440" w:type="dxa"/>
            <w:vAlign w:val="bottom"/>
            <w:shd w:val="clear" w:color="auto" w:fill="DDDDDD"/>
          </w:tcPr>
          <w:p>
            <w:pPr>
              <w:spacing w:after="0"/>
              <w:rPr>
                <w:sz w:val="24"/>
                <w:szCs w:val="24"/>
                <w:color w:val="auto"/>
              </w:rPr>
            </w:pPr>
          </w:p>
        </w:tc>
        <w:tc>
          <w:tcPr>
            <w:tcW w:w="860" w:type="dxa"/>
            <w:vAlign w:val="bottom"/>
            <w:shd w:val="clear" w:color="auto" w:fill="DDDDDD"/>
          </w:tcPr>
          <w:p>
            <w:pPr>
              <w:spacing w:after="0"/>
              <w:rPr>
                <w:sz w:val="24"/>
                <w:szCs w:val="24"/>
                <w:color w:val="auto"/>
              </w:rPr>
            </w:pPr>
          </w:p>
        </w:tc>
      </w:tr>
      <w:tr>
        <w:trPr>
          <w:trHeight w:val="281"/>
        </w:trPr>
        <w:tc>
          <w:tcPr>
            <w:tcW w:w="6200" w:type="dxa"/>
            <w:vAlign w:val="bottom"/>
            <w:gridSpan w:val="2"/>
          </w:tcPr>
          <w:p>
            <w:pPr>
              <w:ind w:left="280"/>
              <w:spacing w:after="0"/>
              <w:rPr>
                <w:sz w:val="20"/>
                <w:szCs w:val="20"/>
                <w:color w:val="auto"/>
              </w:rPr>
            </w:pPr>
            <w:r>
              <w:rPr>
                <w:rFonts w:ascii="Times New Roman" w:cs="Times New Roman" w:eastAsia="Times New Roman" w:hAnsi="Times New Roman"/>
                <w:sz w:val="20"/>
                <w:szCs w:val="20"/>
                <w:color w:val="auto"/>
              </w:rPr>
              <w:t>Accounts receivable</w:t>
            </w:r>
          </w:p>
        </w:tc>
        <w:tc>
          <w:tcPr>
            <w:tcW w:w="300" w:type="dxa"/>
            <w:vAlign w:val="bottom"/>
          </w:tcPr>
          <w:p>
            <w:pPr>
              <w:spacing w:after="0"/>
              <w:rPr>
                <w:sz w:val="24"/>
                <w:szCs w:val="24"/>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4,488</w:t>
            </w: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(16,270)</w:t>
            </w: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(13,609)</w:t>
            </w:r>
          </w:p>
        </w:tc>
      </w:tr>
      <w:tr>
        <w:trPr>
          <w:trHeight w:val="288"/>
        </w:trPr>
        <w:tc>
          <w:tcPr>
            <w:tcW w:w="6200" w:type="dxa"/>
            <w:vAlign w:val="bottom"/>
            <w:gridSpan w:val="2"/>
            <w:shd w:val="clear" w:color="auto" w:fill="DDDDDD"/>
          </w:tcPr>
          <w:p>
            <w:pPr>
              <w:ind w:left="280"/>
              <w:spacing w:after="0"/>
              <w:rPr>
                <w:sz w:val="20"/>
                <w:szCs w:val="20"/>
                <w:color w:val="auto"/>
              </w:rPr>
            </w:pPr>
            <w:r>
              <w:rPr>
                <w:rFonts w:ascii="Times New Roman" w:cs="Times New Roman" w:eastAsia="Times New Roman" w:hAnsi="Times New Roman"/>
                <w:sz w:val="20"/>
                <w:szCs w:val="20"/>
                <w:color w:val="auto"/>
              </w:rPr>
              <w:t>Operating lease right-of-use assets</w:t>
            </w:r>
          </w:p>
        </w:tc>
        <w:tc>
          <w:tcPr>
            <w:tcW w:w="300" w:type="dxa"/>
            <w:vAlign w:val="bottom"/>
            <w:shd w:val="clear" w:color="auto" w:fill="DDDDDD"/>
          </w:tcPr>
          <w:p>
            <w:pPr>
              <w:spacing w:after="0"/>
              <w:rPr>
                <w:sz w:val="24"/>
                <w:szCs w:val="24"/>
                <w:color w:val="auto"/>
              </w:rPr>
            </w:pPr>
          </w:p>
        </w:tc>
        <w:tc>
          <w:tcPr>
            <w:tcW w:w="1000" w:type="dxa"/>
            <w:vAlign w:val="bottom"/>
            <w:shd w:val="clear" w:color="auto" w:fill="DDDDDD"/>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60" w:type="dxa"/>
            <w:vAlign w:val="bottom"/>
            <w:shd w:val="clear" w:color="auto" w:fill="DDDDDD"/>
          </w:tcPr>
          <w:p>
            <w:pPr>
              <w:spacing w:after="0"/>
              <w:rPr>
                <w:sz w:val="24"/>
                <w:szCs w:val="24"/>
                <w:color w:val="auto"/>
              </w:rPr>
            </w:pPr>
          </w:p>
        </w:tc>
        <w:tc>
          <w:tcPr>
            <w:tcW w:w="20" w:type="dxa"/>
            <w:vAlign w:val="bottom"/>
            <w:shd w:val="clear" w:color="auto" w:fill="DDDDDD"/>
          </w:tcPr>
          <w:p>
            <w:pPr>
              <w:spacing w:after="0"/>
              <w:rPr>
                <w:sz w:val="24"/>
                <w:szCs w:val="24"/>
                <w:color w:val="auto"/>
              </w:rPr>
            </w:pPr>
          </w:p>
        </w:tc>
        <w:tc>
          <w:tcPr>
            <w:tcW w:w="300" w:type="dxa"/>
            <w:vAlign w:val="bottom"/>
            <w:shd w:val="clear" w:color="auto" w:fill="DDDDDD"/>
          </w:tcPr>
          <w:p>
            <w:pPr>
              <w:spacing w:after="0"/>
              <w:rPr>
                <w:sz w:val="24"/>
                <w:szCs w:val="24"/>
                <w:color w:val="auto"/>
              </w:rPr>
            </w:pPr>
          </w:p>
        </w:tc>
        <w:tc>
          <w:tcPr>
            <w:tcW w:w="1000" w:type="dxa"/>
            <w:vAlign w:val="bottom"/>
            <w:shd w:val="clear" w:color="auto" w:fill="DDDDDD"/>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60" w:type="dxa"/>
            <w:vAlign w:val="bottom"/>
            <w:shd w:val="clear" w:color="auto" w:fill="DDDDDD"/>
          </w:tcPr>
          <w:p>
            <w:pPr>
              <w:spacing w:after="0"/>
              <w:rPr>
                <w:sz w:val="24"/>
                <w:szCs w:val="24"/>
                <w:color w:val="auto"/>
              </w:rPr>
            </w:pPr>
          </w:p>
        </w:tc>
        <w:tc>
          <w:tcPr>
            <w:tcW w:w="20" w:type="dxa"/>
            <w:vAlign w:val="bottom"/>
            <w:shd w:val="clear" w:color="auto" w:fill="DDDDDD"/>
          </w:tcPr>
          <w:p>
            <w:pPr>
              <w:spacing w:after="0"/>
              <w:rPr>
                <w:sz w:val="24"/>
                <w:szCs w:val="24"/>
                <w:color w:val="auto"/>
              </w:rPr>
            </w:pPr>
          </w:p>
        </w:tc>
        <w:tc>
          <w:tcPr>
            <w:tcW w:w="440" w:type="dxa"/>
            <w:vAlign w:val="bottom"/>
            <w:shd w:val="clear" w:color="auto" w:fill="DDDDDD"/>
          </w:tcPr>
          <w:p>
            <w:pPr>
              <w:spacing w:after="0"/>
              <w:rPr>
                <w:sz w:val="24"/>
                <w:szCs w:val="24"/>
                <w:color w:val="auto"/>
              </w:rPr>
            </w:pPr>
          </w:p>
        </w:tc>
        <w:tc>
          <w:tcPr>
            <w:tcW w:w="860" w:type="dxa"/>
            <w:vAlign w:val="bottom"/>
            <w:shd w:val="clear" w:color="auto" w:fill="DDDDDD"/>
          </w:tcPr>
          <w:p>
            <w:pPr>
              <w:jc w:val="right"/>
              <w:spacing w:after="0"/>
              <w:rPr>
                <w:sz w:val="20"/>
                <w:szCs w:val="20"/>
                <w:color w:val="auto"/>
              </w:rPr>
            </w:pPr>
            <w:r>
              <w:rPr>
                <w:rFonts w:ascii="Times New Roman" w:cs="Times New Roman" w:eastAsia="Times New Roman" w:hAnsi="Times New Roman"/>
                <w:sz w:val="20"/>
                <w:szCs w:val="20"/>
                <w:color w:val="auto"/>
              </w:rPr>
              <w:t>(43,323)</w:t>
            </w:r>
          </w:p>
        </w:tc>
      </w:tr>
      <w:tr>
        <w:trPr>
          <w:trHeight w:val="281"/>
        </w:trPr>
        <w:tc>
          <w:tcPr>
            <w:tcW w:w="6200" w:type="dxa"/>
            <w:vAlign w:val="bottom"/>
            <w:gridSpan w:val="2"/>
          </w:tcPr>
          <w:p>
            <w:pPr>
              <w:ind w:left="280"/>
              <w:spacing w:after="0"/>
              <w:rPr>
                <w:sz w:val="20"/>
                <w:szCs w:val="20"/>
                <w:color w:val="auto"/>
              </w:rPr>
            </w:pPr>
            <w:r>
              <w:rPr>
                <w:rFonts w:ascii="Times New Roman" w:cs="Times New Roman" w:eastAsia="Times New Roman" w:hAnsi="Times New Roman"/>
                <w:sz w:val="20"/>
                <w:szCs w:val="20"/>
                <w:color w:val="auto"/>
              </w:rPr>
              <w:t>Prepaid expenses and other current assets</w:t>
            </w:r>
          </w:p>
        </w:tc>
        <w:tc>
          <w:tcPr>
            <w:tcW w:w="300" w:type="dxa"/>
            <w:vAlign w:val="bottom"/>
          </w:tcPr>
          <w:p>
            <w:pPr>
              <w:spacing w:after="0"/>
              <w:rPr>
                <w:sz w:val="24"/>
                <w:szCs w:val="24"/>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3,335</w:t>
            </w: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7,461</w:t>
            </w: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8,235</w:t>
            </w:r>
          </w:p>
        </w:tc>
      </w:tr>
      <w:tr>
        <w:trPr>
          <w:trHeight w:val="288"/>
        </w:trPr>
        <w:tc>
          <w:tcPr>
            <w:tcW w:w="6200" w:type="dxa"/>
            <w:vAlign w:val="bottom"/>
            <w:gridSpan w:val="2"/>
            <w:shd w:val="clear" w:color="auto" w:fill="DDDDDD"/>
          </w:tcPr>
          <w:p>
            <w:pPr>
              <w:ind w:left="280"/>
              <w:spacing w:after="0"/>
              <w:rPr>
                <w:sz w:val="20"/>
                <w:szCs w:val="20"/>
                <w:color w:val="auto"/>
              </w:rPr>
            </w:pPr>
            <w:r>
              <w:rPr>
                <w:rFonts w:ascii="Times New Roman" w:cs="Times New Roman" w:eastAsia="Times New Roman" w:hAnsi="Times New Roman"/>
                <w:sz w:val="20"/>
                <w:szCs w:val="20"/>
                <w:color w:val="auto"/>
              </w:rPr>
              <w:t>Other assets</w:t>
            </w:r>
          </w:p>
        </w:tc>
        <w:tc>
          <w:tcPr>
            <w:tcW w:w="300" w:type="dxa"/>
            <w:vAlign w:val="bottom"/>
            <w:shd w:val="clear" w:color="auto" w:fill="DDDDDD"/>
          </w:tcPr>
          <w:p>
            <w:pPr>
              <w:spacing w:after="0"/>
              <w:rPr>
                <w:sz w:val="24"/>
                <w:szCs w:val="24"/>
                <w:color w:val="auto"/>
              </w:rPr>
            </w:pPr>
          </w:p>
        </w:tc>
        <w:tc>
          <w:tcPr>
            <w:tcW w:w="1000" w:type="dxa"/>
            <w:vAlign w:val="bottom"/>
            <w:shd w:val="clear" w:color="auto" w:fill="DDDDDD"/>
          </w:tcPr>
          <w:p>
            <w:pPr>
              <w:jc w:val="right"/>
              <w:spacing w:after="0"/>
              <w:rPr>
                <w:sz w:val="20"/>
                <w:szCs w:val="20"/>
                <w:color w:val="auto"/>
              </w:rPr>
            </w:pPr>
            <w:r>
              <w:rPr>
                <w:rFonts w:ascii="Times New Roman" w:cs="Times New Roman" w:eastAsia="Times New Roman" w:hAnsi="Times New Roman"/>
                <w:sz w:val="20"/>
                <w:szCs w:val="20"/>
                <w:color w:val="auto"/>
              </w:rPr>
              <w:t>(40)</w:t>
            </w:r>
          </w:p>
        </w:tc>
        <w:tc>
          <w:tcPr>
            <w:tcW w:w="60" w:type="dxa"/>
            <w:vAlign w:val="bottom"/>
            <w:shd w:val="clear" w:color="auto" w:fill="DDDDDD"/>
          </w:tcPr>
          <w:p>
            <w:pPr>
              <w:spacing w:after="0"/>
              <w:rPr>
                <w:sz w:val="24"/>
                <w:szCs w:val="24"/>
                <w:color w:val="auto"/>
              </w:rPr>
            </w:pPr>
          </w:p>
        </w:tc>
        <w:tc>
          <w:tcPr>
            <w:tcW w:w="20" w:type="dxa"/>
            <w:vAlign w:val="bottom"/>
            <w:shd w:val="clear" w:color="auto" w:fill="DDDDDD"/>
          </w:tcPr>
          <w:p>
            <w:pPr>
              <w:spacing w:after="0"/>
              <w:rPr>
                <w:sz w:val="24"/>
                <w:szCs w:val="24"/>
                <w:color w:val="auto"/>
              </w:rPr>
            </w:pPr>
          </w:p>
        </w:tc>
        <w:tc>
          <w:tcPr>
            <w:tcW w:w="300" w:type="dxa"/>
            <w:vAlign w:val="bottom"/>
            <w:shd w:val="clear" w:color="auto" w:fill="DDDDDD"/>
          </w:tcPr>
          <w:p>
            <w:pPr>
              <w:spacing w:after="0"/>
              <w:rPr>
                <w:sz w:val="24"/>
                <w:szCs w:val="24"/>
                <w:color w:val="auto"/>
              </w:rPr>
            </w:pPr>
          </w:p>
        </w:tc>
        <w:tc>
          <w:tcPr>
            <w:tcW w:w="1000" w:type="dxa"/>
            <w:vAlign w:val="bottom"/>
            <w:shd w:val="clear" w:color="auto" w:fill="DDDDDD"/>
          </w:tcPr>
          <w:p>
            <w:pPr>
              <w:jc w:val="right"/>
              <w:spacing w:after="0"/>
              <w:rPr>
                <w:sz w:val="20"/>
                <w:szCs w:val="20"/>
                <w:color w:val="auto"/>
              </w:rPr>
            </w:pPr>
            <w:r>
              <w:rPr>
                <w:rFonts w:ascii="Times New Roman" w:cs="Times New Roman" w:eastAsia="Times New Roman" w:hAnsi="Times New Roman"/>
                <w:sz w:val="20"/>
                <w:szCs w:val="20"/>
                <w:color w:val="auto"/>
              </w:rPr>
              <w:t>(229)</w:t>
            </w:r>
          </w:p>
        </w:tc>
        <w:tc>
          <w:tcPr>
            <w:tcW w:w="60" w:type="dxa"/>
            <w:vAlign w:val="bottom"/>
            <w:shd w:val="clear" w:color="auto" w:fill="DDDDDD"/>
          </w:tcPr>
          <w:p>
            <w:pPr>
              <w:spacing w:after="0"/>
              <w:rPr>
                <w:sz w:val="24"/>
                <w:szCs w:val="24"/>
                <w:color w:val="auto"/>
              </w:rPr>
            </w:pPr>
          </w:p>
        </w:tc>
        <w:tc>
          <w:tcPr>
            <w:tcW w:w="20" w:type="dxa"/>
            <w:vAlign w:val="bottom"/>
            <w:shd w:val="clear" w:color="auto" w:fill="DDDDDD"/>
          </w:tcPr>
          <w:p>
            <w:pPr>
              <w:spacing w:after="0"/>
              <w:rPr>
                <w:sz w:val="24"/>
                <w:szCs w:val="24"/>
                <w:color w:val="auto"/>
              </w:rPr>
            </w:pPr>
          </w:p>
        </w:tc>
        <w:tc>
          <w:tcPr>
            <w:tcW w:w="440" w:type="dxa"/>
            <w:vAlign w:val="bottom"/>
            <w:shd w:val="clear" w:color="auto" w:fill="DDDDDD"/>
          </w:tcPr>
          <w:p>
            <w:pPr>
              <w:spacing w:after="0"/>
              <w:rPr>
                <w:sz w:val="24"/>
                <w:szCs w:val="24"/>
                <w:color w:val="auto"/>
              </w:rPr>
            </w:pPr>
          </w:p>
        </w:tc>
        <w:tc>
          <w:tcPr>
            <w:tcW w:w="860" w:type="dxa"/>
            <w:vAlign w:val="bottom"/>
            <w:shd w:val="clear" w:color="auto" w:fill="DDDDDD"/>
          </w:tcPr>
          <w:p>
            <w:pPr>
              <w:jc w:val="right"/>
              <w:spacing w:after="0"/>
              <w:rPr>
                <w:sz w:val="20"/>
                <w:szCs w:val="20"/>
                <w:color w:val="auto"/>
              </w:rPr>
            </w:pPr>
            <w:r>
              <w:rPr>
                <w:rFonts w:ascii="Times New Roman" w:cs="Times New Roman" w:eastAsia="Times New Roman" w:hAnsi="Times New Roman"/>
                <w:sz w:val="20"/>
                <w:szCs w:val="20"/>
                <w:color w:val="auto"/>
              </w:rPr>
              <w:t>(313)</w:t>
            </w:r>
          </w:p>
        </w:tc>
      </w:tr>
      <w:tr>
        <w:trPr>
          <w:trHeight w:val="288"/>
        </w:trPr>
        <w:tc>
          <w:tcPr>
            <w:tcW w:w="6200" w:type="dxa"/>
            <w:vAlign w:val="bottom"/>
            <w:gridSpan w:val="2"/>
          </w:tcPr>
          <w:p>
            <w:pPr>
              <w:ind w:left="280"/>
              <w:spacing w:after="0"/>
              <w:rPr>
                <w:sz w:val="20"/>
                <w:szCs w:val="20"/>
                <w:color w:val="auto"/>
              </w:rPr>
            </w:pPr>
            <w:r>
              <w:rPr>
                <w:rFonts w:ascii="Times New Roman" w:cs="Times New Roman" w:eastAsia="Times New Roman" w:hAnsi="Times New Roman"/>
                <w:sz w:val="20"/>
                <w:szCs w:val="20"/>
                <w:color w:val="auto"/>
              </w:rPr>
              <w:t>Accounts payable and accrued expenses</w:t>
            </w:r>
          </w:p>
        </w:tc>
        <w:tc>
          <w:tcPr>
            <w:tcW w:w="300" w:type="dxa"/>
            <w:vAlign w:val="bottom"/>
          </w:tcPr>
          <w:p>
            <w:pPr>
              <w:spacing w:after="0"/>
              <w:rPr>
                <w:sz w:val="24"/>
                <w:szCs w:val="24"/>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(15,275)</w:t>
            </w: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14,892</w:t>
            </w: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699</w:t>
            </w:r>
          </w:p>
        </w:tc>
      </w:tr>
      <w:tr>
        <w:trPr>
          <w:trHeight w:val="281"/>
        </w:trPr>
        <w:tc>
          <w:tcPr>
            <w:tcW w:w="6200" w:type="dxa"/>
            <w:vAlign w:val="bottom"/>
            <w:gridSpan w:val="2"/>
            <w:shd w:val="clear" w:color="auto" w:fill="DDDDDD"/>
          </w:tcPr>
          <w:p>
            <w:pPr>
              <w:ind w:left="280"/>
              <w:spacing w:after="0"/>
              <w:rPr>
                <w:sz w:val="20"/>
                <w:szCs w:val="20"/>
                <w:color w:val="auto"/>
              </w:rPr>
            </w:pPr>
            <w:r>
              <w:rPr>
                <w:rFonts w:ascii="Times New Roman" w:cs="Times New Roman" w:eastAsia="Times New Roman" w:hAnsi="Times New Roman"/>
                <w:sz w:val="20"/>
                <w:szCs w:val="20"/>
                <w:color w:val="auto"/>
              </w:rPr>
              <w:t>Deferred revenue</w:t>
            </w:r>
          </w:p>
        </w:tc>
        <w:tc>
          <w:tcPr>
            <w:tcW w:w="300" w:type="dxa"/>
            <w:vAlign w:val="bottom"/>
            <w:shd w:val="clear" w:color="auto" w:fill="DDDDDD"/>
          </w:tcPr>
          <w:p>
            <w:pPr>
              <w:spacing w:after="0"/>
              <w:rPr>
                <w:sz w:val="24"/>
                <w:szCs w:val="24"/>
                <w:color w:val="auto"/>
              </w:rPr>
            </w:pPr>
          </w:p>
        </w:tc>
        <w:tc>
          <w:tcPr>
            <w:tcW w:w="1000" w:type="dxa"/>
            <w:vAlign w:val="bottom"/>
            <w:shd w:val="clear" w:color="auto" w:fill="DDDDDD"/>
          </w:tcPr>
          <w:p>
            <w:pPr>
              <w:jc w:val="right"/>
              <w:spacing w:after="0"/>
              <w:rPr>
                <w:sz w:val="20"/>
                <w:szCs w:val="20"/>
                <w:color w:val="auto"/>
              </w:rPr>
            </w:pPr>
            <w:r>
              <w:rPr>
                <w:rFonts w:ascii="Times New Roman" w:cs="Times New Roman" w:eastAsia="Times New Roman" w:hAnsi="Times New Roman"/>
                <w:sz w:val="20"/>
                <w:szCs w:val="20"/>
                <w:color w:val="auto"/>
              </w:rPr>
              <w:t>(338)</w:t>
            </w:r>
          </w:p>
        </w:tc>
        <w:tc>
          <w:tcPr>
            <w:tcW w:w="60" w:type="dxa"/>
            <w:vAlign w:val="bottom"/>
            <w:shd w:val="clear" w:color="auto" w:fill="DDDDDD"/>
          </w:tcPr>
          <w:p>
            <w:pPr>
              <w:spacing w:after="0"/>
              <w:rPr>
                <w:sz w:val="24"/>
                <w:szCs w:val="24"/>
                <w:color w:val="auto"/>
              </w:rPr>
            </w:pPr>
          </w:p>
        </w:tc>
        <w:tc>
          <w:tcPr>
            <w:tcW w:w="20" w:type="dxa"/>
            <w:vAlign w:val="bottom"/>
            <w:shd w:val="clear" w:color="auto" w:fill="DDDDDD"/>
          </w:tcPr>
          <w:p>
            <w:pPr>
              <w:spacing w:after="0"/>
              <w:rPr>
                <w:sz w:val="24"/>
                <w:szCs w:val="24"/>
                <w:color w:val="auto"/>
              </w:rPr>
            </w:pPr>
          </w:p>
        </w:tc>
        <w:tc>
          <w:tcPr>
            <w:tcW w:w="300" w:type="dxa"/>
            <w:vAlign w:val="bottom"/>
            <w:shd w:val="clear" w:color="auto" w:fill="DDDDDD"/>
          </w:tcPr>
          <w:p>
            <w:pPr>
              <w:spacing w:after="0"/>
              <w:rPr>
                <w:sz w:val="24"/>
                <w:szCs w:val="24"/>
                <w:color w:val="auto"/>
              </w:rPr>
            </w:pPr>
          </w:p>
        </w:tc>
        <w:tc>
          <w:tcPr>
            <w:tcW w:w="1000" w:type="dxa"/>
            <w:vAlign w:val="bottom"/>
            <w:shd w:val="clear" w:color="auto" w:fill="DDDDDD"/>
          </w:tcPr>
          <w:p>
            <w:pPr>
              <w:jc w:val="right"/>
              <w:spacing w:after="0"/>
              <w:rPr>
                <w:sz w:val="20"/>
                <w:szCs w:val="20"/>
                <w:color w:val="auto"/>
              </w:rPr>
            </w:pPr>
            <w:r>
              <w:rPr>
                <w:rFonts w:ascii="Times New Roman" w:cs="Times New Roman" w:eastAsia="Times New Roman" w:hAnsi="Times New Roman"/>
                <w:sz w:val="20"/>
                <w:szCs w:val="20"/>
                <w:color w:val="auto"/>
              </w:rPr>
              <w:t>(1,895)</w:t>
            </w:r>
          </w:p>
        </w:tc>
        <w:tc>
          <w:tcPr>
            <w:tcW w:w="60" w:type="dxa"/>
            <w:vAlign w:val="bottom"/>
            <w:shd w:val="clear" w:color="auto" w:fill="DDDDDD"/>
          </w:tcPr>
          <w:p>
            <w:pPr>
              <w:spacing w:after="0"/>
              <w:rPr>
                <w:sz w:val="24"/>
                <w:szCs w:val="24"/>
                <w:color w:val="auto"/>
              </w:rPr>
            </w:pPr>
          </w:p>
        </w:tc>
        <w:tc>
          <w:tcPr>
            <w:tcW w:w="20" w:type="dxa"/>
            <w:vAlign w:val="bottom"/>
            <w:shd w:val="clear" w:color="auto" w:fill="DDDDDD"/>
          </w:tcPr>
          <w:p>
            <w:pPr>
              <w:spacing w:after="0"/>
              <w:rPr>
                <w:sz w:val="24"/>
                <w:szCs w:val="24"/>
                <w:color w:val="auto"/>
              </w:rPr>
            </w:pPr>
          </w:p>
        </w:tc>
        <w:tc>
          <w:tcPr>
            <w:tcW w:w="440" w:type="dxa"/>
            <w:vAlign w:val="bottom"/>
            <w:shd w:val="clear" w:color="auto" w:fill="DDDDDD"/>
          </w:tcPr>
          <w:p>
            <w:pPr>
              <w:spacing w:after="0"/>
              <w:rPr>
                <w:sz w:val="24"/>
                <w:szCs w:val="24"/>
                <w:color w:val="auto"/>
              </w:rPr>
            </w:pPr>
          </w:p>
        </w:tc>
        <w:tc>
          <w:tcPr>
            <w:tcW w:w="860" w:type="dxa"/>
            <w:vAlign w:val="bottom"/>
            <w:shd w:val="clear" w:color="auto" w:fill="DDDDDD"/>
          </w:tcPr>
          <w:p>
            <w:pPr>
              <w:jc w:val="right"/>
              <w:spacing w:after="0"/>
              <w:rPr>
                <w:sz w:val="20"/>
                <w:szCs w:val="20"/>
                <w:color w:val="auto"/>
              </w:rPr>
            </w:pPr>
            <w:r>
              <w:rPr>
                <w:rFonts w:ascii="Times New Roman" w:cs="Times New Roman" w:eastAsia="Times New Roman" w:hAnsi="Times New Roman"/>
                <w:sz w:val="20"/>
                <w:szCs w:val="20"/>
                <w:color w:val="auto"/>
              </w:rPr>
              <w:t>2,793</w:t>
            </w:r>
          </w:p>
        </w:tc>
      </w:tr>
      <w:tr>
        <w:trPr>
          <w:trHeight w:val="288"/>
        </w:trPr>
        <w:tc>
          <w:tcPr>
            <w:tcW w:w="6200" w:type="dxa"/>
            <w:vAlign w:val="bottom"/>
            <w:tcBorders>
              <w:bottom w:val="single" w:sz="8" w:color="DDDDDD"/>
            </w:tcBorders>
            <w:gridSpan w:val="2"/>
          </w:tcPr>
          <w:p>
            <w:pPr>
              <w:ind w:left="280"/>
              <w:spacing w:after="0"/>
              <w:rPr>
                <w:sz w:val="20"/>
                <w:szCs w:val="20"/>
                <w:color w:val="auto"/>
              </w:rPr>
            </w:pPr>
            <w:r>
              <w:rPr>
                <w:rFonts w:ascii="Times New Roman" w:cs="Times New Roman" w:eastAsia="Times New Roman" w:hAnsi="Times New Roman"/>
                <w:sz w:val="20"/>
                <w:szCs w:val="20"/>
                <w:color w:val="auto"/>
              </w:rPr>
              <w:t>Operating lease liabilities</w:t>
            </w:r>
          </w:p>
        </w:tc>
        <w:tc>
          <w:tcPr>
            <w:tcW w:w="300" w:type="dxa"/>
            <w:vAlign w:val="bottom"/>
            <w:tcBorders>
              <w:bottom w:val="single" w:sz="8" w:color="auto"/>
            </w:tcBorders>
          </w:tcPr>
          <w:p>
            <w:pPr>
              <w:spacing w:after="0"/>
              <w:rPr>
                <w:sz w:val="24"/>
                <w:szCs w:val="24"/>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(6,334)</w:t>
            </w:r>
          </w:p>
        </w:tc>
        <w:tc>
          <w:tcPr>
            <w:tcW w:w="60" w:type="dxa"/>
            <w:vAlign w:val="bottom"/>
            <w:tcBorders>
              <w:bottom w:val="single" w:sz="8" w:color="DDDDDD"/>
            </w:tcBorders>
          </w:tcPr>
          <w:p>
            <w:pPr>
              <w:spacing w:after="0"/>
              <w:rPr>
                <w:sz w:val="24"/>
                <w:szCs w:val="24"/>
                <w:color w:val="auto"/>
              </w:rPr>
            </w:pPr>
          </w:p>
        </w:tc>
        <w:tc>
          <w:tcPr>
            <w:tcW w:w="20" w:type="dxa"/>
            <w:vAlign w:val="bottom"/>
            <w:tcBorders>
              <w:bottom w:val="single" w:sz="8" w:color="DDDDDD"/>
            </w:tcBorders>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(5,463)</w:t>
            </w:r>
          </w:p>
        </w:tc>
        <w:tc>
          <w:tcPr>
            <w:tcW w:w="60" w:type="dxa"/>
            <w:vAlign w:val="bottom"/>
            <w:tcBorders>
              <w:bottom w:val="single" w:sz="8" w:color="DDDDDD"/>
            </w:tcBorders>
          </w:tcPr>
          <w:p>
            <w:pPr>
              <w:spacing w:after="0"/>
              <w:rPr>
                <w:sz w:val="24"/>
                <w:szCs w:val="24"/>
                <w:color w:val="auto"/>
              </w:rPr>
            </w:pPr>
          </w:p>
        </w:tc>
        <w:tc>
          <w:tcPr>
            <w:tcW w:w="20" w:type="dxa"/>
            <w:vAlign w:val="bottom"/>
            <w:tcBorders>
              <w:bottom w:val="single" w:sz="8" w:color="DDDDDD"/>
            </w:tcBorders>
          </w:tcPr>
          <w:p>
            <w:pPr>
              <w:spacing w:after="0"/>
              <w:rPr>
                <w:sz w:val="24"/>
                <w:szCs w:val="24"/>
                <w:color w:val="auto"/>
              </w:rPr>
            </w:pPr>
          </w:p>
        </w:tc>
        <w:tc>
          <w:tcPr>
            <w:tcW w:w="440" w:type="dxa"/>
            <w:vAlign w:val="bottom"/>
            <w:tcBorders>
              <w:bottom w:val="single" w:sz="8" w:color="auto"/>
            </w:tcBorders>
          </w:tcPr>
          <w:p>
            <w:pPr>
              <w:spacing w:after="0"/>
              <w:rPr>
                <w:sz w:val="24"/>
                <w:szCs w:val="24"/>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44,840</w:t>
            </w:r>
          </w:p>
        </w:tc>
      </w:tr>
      <w:tr>
        <w:trPr>
          <w:trHeight w:val="261"/>
        </w:trPr>
        <w:tc>
          <w:tcPr>
            <w:tcW w:w="6200" w:type="dxa"/>
            <w:vAlign w:val="bottom"/>
            <w:gridSpan w:val="2"/>
            <w:shd w:val="clear" w:color="auto" w:fill="DDDDDD"/>
          </w:tcPr>
          <w:p>
            <w:pPr>
              <w:ind w:left="40"/>
              <w:spacing w:after="0"/>
              <w:rPr>
                <w:sz w:val="20"/>
                <w:szCs w:val="20"/>
                <w:color w:val="auto"/>
              </w:rPr>
            </w:pPr>
            <w:r>
              <w:rPr>
                <w:rFonts w:ascii="Times New Roman" w:cs="Times New Roman" w:eastAsia="Times New Roman" w:hAnsi="Times New Roman"/>
                <w:sz w:val="20"/>
                <w:szCs w:val="20"/>
                <w:color w:val="auto"/>
              </w:rPr>
              <w:t>Net cash provided by (used in) operating activities</w:t>
            </w:r>
          </w:p>
        </w:tc>
        <w:tc>
          <w:tcPr>
            <w:tcW w:w="300" w:type="dxa"/>
            <w:vAlign w:val="bottom"/>
            <w:tcBorders>
              <w:bottom w:val="single" w:sz="8" w:color="auto"/>
            </w:tcBorders>
            <w:shd w:val="clear" w:color="auto" w:fill="DDDDDD"/>
          </w:tcPr>
          <w:p>
            <w:pPr>
              <w:spacing w:after="0"/>
              <w:rPr>
                <w:sz w:val="22"/>
                <w:szCs w:val="22"/>
                <w:color w:val="auto"/>
              </w:rPr>
            </w:pPr>
          </w:p>
        </w:tc>
        <w:tc>
          <w:tcPr>
            <w:tcW w:w="1000" w:type="dxa"/>
            <w:vAlign w:val="bottom"/>
            <w:tcBorders>
              <w:bottom w:val="single" w:sz="8" w:color="auto"/>
            </w:tcBorders>
            <w:shd w:val="clear" w:color="auto" w:fill="DDDDDD"/>
          </w:tcPr>
          <w:p>
            <w:pPr>
              <w:jc w:val="right"/>
              <w:spacing w:after="0"/>
              <w:rPr>
                <w:sz w:val="20"/>
                <w:szCs w:val="20"/>
                <w:color w:val="auto"/>
              </w:rPr>
            </w:pPr>
            <w:r>
              <w:rPr>
                <w:rFonts w:ascii="Times New Roman" w:cs="Times New Roman" w:eastAsia="Times New Roman" w:hAnsi="Times New Roman"/>
                <w:sz w:val="20"/>
                <w:szCs w:val="20"/>
                <w:color w:val="auto"/>
              </w:rPr>
              <w:t>22,928</w:t>
            </w:r>
          </w:p>
        </w:tc>
        <w:tc>
          <w:tcPr>
            <w:tcW w:w="60" w:type="dxa"/>
            <w:vAlign w:val="bottom"/>
            <w:shd w:val="clear" w:color="auto" w:fill="DDDDDD"/>
          </w:tcPr>
          <w:p>
            <w:pPr>
              <w:spacing w:after="0"/>
              <w:rPr>
                <w:sz w:val="22"/>
                <w:szCs w:val="22"/>
                <w:color w:val="auto"/>
              </w:rPr>
            </w:pPr>
          </w:p>
        </w:tc>
        <w:tc>
          <w:tcPr>
            <w:tcW w:w="20" w:type="dxa"/>
            <w:vAlign w:val="bottom"/>
            <w:shd w:val="clear" w:color="auto" w:fill="DDDDDD"/>
          </w:tcPr>
          <w:p>
            <w:pPr>
              <w:spacing w:after="0"/>
              <w:rPr>
                <w:sz w:val="22"/>
                <w:szCs w:val="22"/>
                <w:color w:val="auto"/>
              </w:rPr>
            </w:pPr>
          </w:p>
        </w:tc>
        <w:tc>
          <w:tcPr>
            <w:tcW w:w="300" w:type="dxa"/>
            <w:vAlign w:val="bottom"/>
            <w:tcBorders>
              <w:bottom w:val="single" w:sz="8" w:color="auto"/>
            </w:tcBorders>
            <w:shd w:val="clear" w:color="auto" w:fill="DDDDDD"/>
          </w:tcPr>
          <w:p>
            <w:pPr>
              <w:spacing w:after="0"/>
              <w:rPr>
                <w:sz w:val="22"/>
                <w:szCs w:val="22"/>
                <w:color w:val="auto"/>
              </w:rPr>
            </w:pPr>
          </w:p>
        </w:tc>
        <w:tc>
          <w:tcPr>
            <w:tcW w:w="1000" w:type="dxa"/>
            <w:vAlign w:val="bottom"/>
            <w:tcBorders>
              <w:bottom w:val="single" w:sz="8" w:color="auto"/>
            </w:tcBorders>
            <w:shd w:val="clear" w:color="auto" w:fill="DDDDDD"/>
          </w:tcPr>
          <w:p>
            <w:pPr>
              <w:jc w:val="right"/>
              <w:spacing w:after="0"/>
              <w:rPr>
                <w:sz w:val="20"/>
                <w:szCs w:val="20"/>
                <w:color w:val="auto"/>
              </w:rPr>
            </w:pPr>
            <w:r>
              <w:rPr>
                <w:rFonts w:ascii="Times New Roman" w:cs="Times New Roman" w:eastAsia="Times New Roman" w:hAnsi="Times New Roman"/>
                <w:sz w:val="20"/>
                <w:szCs w:val="20"/>
                <w:color w:val="auto"/>
              </w:rPr>
              <w:t>(11,621)</w:t>
            </w:r>
          </w:p>
        </w:tc>
        <w:tc>
          <w:tcPr>
            <w:tcW w:w="60" w:type="dxa"/>
            <w:vAlign w:val="bottom"/>
            <w:shd w:val="clear" w:color="auto" w:fill="DDDDDD"/>
          </w:tcPr>
          <w:p>
            <w:pPr>
              <w:spacing w:after="0"/>
              <w:rPr>
                <w:sz w:val="22"/>
                <w:szCs w:val="22"/>
                <w:color w:val="auto"/>
              </w:rPr>
            </w:pPr>
          </w:p>
        </w:tc>
        <w:tc>
          <w:tcPr>
            <w:tcW w:w="20" w:type="dxa"/>
            <w:vAlign w:val="bottom"/>
            <w:shd w:val="clear" w:color="auto" w:fill="DDDDDD"/>
          </w:tcPr>
          <w:p>
            <w:pPr>
              <w:spacing w:after="0"/>
              <w:rPr>
                <w:sz w:val="22"/>
                <w:szCs w:val="22"/>
                <w:color w:val="auto"/>
              </w:rPr>
            </w:pPr>
          </w:p>
        </w:tc>
        <w:tc>
          <w:tcPr>
            <w:tcW w:w="440" w:type="dxa"/>
            <w:vAlign w:val="bottom"/>
            <w:tcBorders>
              <w:bottom w:val="single" w:sz="8" w:color="auto"/>
            </w:tcBorders>
            <w:shd w:val="clear" w:color="auto" w:fill="DDDDDD"/>
          </w:tcPr>
          <w:p>
            <w:pPr>
              <w:spacing w:after="0"/>
              <w:rPr>
                <w:sz w:val="22"/>
                <w:szCs w:val="22"/>
                <w:color w:val="auto"/>
              </w:rPr>
            </w:pPr>
          </w:p>
        </w:tc>
        <w:tc>
          <w:tcPr>
            <w:tcW w:w="860" w:type="dxa"/>
            <w:vAlign w:val="bottom"/>
            <w:tcBorders>
              <w:bottom w:val="single" w:sz="8" w:color="auto"/>
            </w:tcBorders>
            <w:shd w:val="clear" w:color="auto" w:fill="DDDDDD"/>
          </w:tcPr>
          <w:p>
            <w:pPr>
              <w:jc w:val="right"/>
              <w:spacing w:after="0"/>
              <w:rPr>
                <w:sz w:val="20"/>
                <w:szCs w:val="20"/>
                <w:color w:val="auto"/>
              </w:rPr>
            </w:pPr>
            <w:r>
              <w:rPr>
                <w:rFonts w:ascii="Times New Roman" w:cs="Times New Roman" w:eastAsia="Times New Roman" w:hAnsi="Times New Roman"/>
                <w:sz w:val="20"/>
                <w:szCs w:val="20"/>
                <w:color w:val="auto"/>
              </w:rPr>
              <w:t>30,190</w:t>
            </w:r>
          </w:p>
        </w:tc>
      </w:tr>
      <w:tr>
        <w:trPr>
          <w:trHeight w:val="268"/>
        </w:trPr>
        <w:tc>
          <w:tcPr>
            <w:tcW w:w="618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100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100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440" w:type="dxa"/>
            <w:vAlign w:val="bottom"/>
          </w:tcPr>
          <w:p>
            <w:pPr>
              <w:spacing w:after="0"/>
              <w:rPr>
                <w:sz w:val="23"/>
                <w:szCs w:val="23"/>
                <w:color w:val="auto"/>
              </w:rPr>
            </w:pPr>
          </w:p>
        </w:tc>
        <w:tc>
          <w:tcPr>
            <w:tcW w:w="860" w:type="dxa"/>
            <w:vAlign w:val="bottom"/>
          </w:tcPr>
          <w:p>
            <w:pPr>
              <w:spacing w:after="0"/>
              <w:rPr>
                <w:sz w:val="23"/>
                <w:szCs w:val="23"/>
                <w:color w:val="auto"/>
              </w:rPr>
            </w:pPr>
          </w:p>
        </w:tc>
      </w:tr>
      <w:tr>
        <w:trPr>
          <w:trHeight w:val="288"/>
        </w:trPr>
        <w:tc>
          <w:tcPr>
            <w:tcW w:w="6200" w:type="dxa"/>
            <w:vAlign w:val="bottom"/>
            <w:gridSpan w:val="2"/>
            <w:shd w:val="clear" w:color="auto" w:fill="DDDDDD"/>
          </w:tcPr>
          <w:p>
            <w:pPr>
              <w:ind w:left="40"/>
              <w:spacing w:after="0"/>
              <w:rPr>
                <w:sz w:val="20"/>
                <w:szCs w:val="20"/>
                <w:color w:val="auto"/>
              </w:rPr>
            </w:pPr>
            <w:r>
              <w:rPr>
                <w:rFonts w:ascii="Times New Roman" w:cs="Times New Roman" w:eastAsia="Times New Roman" w:hAnsi="Times New Roman"/>
                <w:sz w:val="20"/>
                <w:szCs w:val="20"/>
                <w:b w:val="1"/>
                <w:bCs w:val="1"/>
                <w:color w:val="auto"/>
              </w:rPr>
              <w:t>Cash flows from investing activities</w:t>
            </w:r>
          </w:p>
        </w:tc>
        <w:tc>
          <w:tcPr>
            <w:tcW w:w="300" w:type="dxa"/>
            <w:vAlign w:val="bottom"/>
            <w:shd w:val="clear" w:color="auto" w:fill="DDDDDD"/>
          </w:tcPr>
          <w:p>
            <w:pPr>
              <w:spacing w:after="0"/>
              <w:rPr>
                <w:sz w:val="24"/>
                <w:szCs w:val="24"/>
                <w:color w:val="auto"/>
              </w:rPr>
            </w:pPr>
          </w:p>
        </w:tc>
        <w:tc>
          <w:tcPr>
            <w:tcW w:w="1000" w:type="dxa"/>
            <w:vAlign w:val="bottom"/>
            <w:shd w:val="clear" w:color="auto" w:fill="DDDDDD"/>
          </w:tcPr>
          <w:p>
            <w:pPr>
              <w:spacing w:after="0"/>
              <w:rPr>
                <w:sz w:val="24"/>
                <w:szCs w:val="24"/>
                <w:color w:val="auto"/>
              </w:rPr>
            </w:pPr>
          </w:p>
        </w:tc>
        <w:tc>
          <w:tcPr>
            <w:tcW w:w="60" w:type="dxa"/>
            <w:vAlign w:val="bottom"/>
            <w:shd w:val="clear" w:color="auto" w:fill="DDDDDD"/>
          </w:tcPr>
          <w:p>
            <w:pPr>
              <w:spacing w:after="0"/>
              <w:rPr>
                <w:sz w:val="24"/>
                <w:szCs w:val="24"/>
                <w:color w:val="auto"/>
              </w:rPr>
            </w:pPr>
          </w:p>
        </w:tc>
        <w:tc>
          <w:tcPr>
            <w:tcW w:w="20" w:type="dxa"/>
            <w:vAlign w:val="bottom"/>
            <w:shd w:val="clear" w:color="auto" w:fill="DDDDDD"/>
          </w:tcPr>
          <w:p>
            <w:pPr>
              <w:spacing w:after="0"/>
              <w:rPr>
                <w:sz w:val="24"/>
                <w:szCs w:val="24"/>
                <w:color w:val="auto"/>
              </w:rPr>
            </w:pPr>
          </w:p>
        </w:tc>
        <w:tc>
          <w:tcPr>
            <w:tcW w:w="300" w:type="dxa"/>
            <w:vAlign w:val="bottom"/>
            <w:shd w:val="clear" w:color="auto" w:fill="DDDDDD"/>
          </w:tcPr>
          <w:p>
            <w:pPr>
              <w:spacing w:after="0"/>
              <w:rPr>
                <w:sz w:val="24"/>
                <w:szCs w:val="24"/>
                <w:color w:val="auto"/>
              </w:rPr>
            </w:pPr>
          </w:p>
        </w:tc>
        <w:tc>
          <w:tcPr>
            <w:tcW w:w="1000" w:type="dxa"/>
            <w:vAlign w:val="bottom"/>
            <w:shd w:val="clear" w:color="auto" w:fill="DDDDDD"/>
          </w:tcPr>
          <w:p>
            <w:pPr>
              <w:spacing w:after="0"/>
              <w:rPr>
                <w:sz w:val="24"/>
                <w:szCs w:val="24"/>
                <w:color w:val="auto"/>
              </w:rPr>
            </w:pPr>
          </w:p>
        </w:tc>
        <w:tc>
          <w:tcPr>
            <w:tcW w:w="60" w:type="dxa"/>
            <w:vAlign w:val="bottom"/>
            <w:shd w:val="clear" w:color="auto" w:fill="DDDDDD"/>
          </w:tcPr>
          <w:p>
            <w:pPr>
              <w:spacing w:after="0"/>
              <w:rPr>
                <w:sz w:val="24"/>
                <w:szCs w:val="24"/>
                <w:color w:val="auto"/>
              </w:rPr>
            </w:pPr>
          </w:p>
        </w:tc>
        <w:tc>
          <w:tcPr>
            <w:tcW w:w="20" w:type="dxa"/>
            <w:vAlign w:val="bottom"/>
            <w:shd w:val="clear" w:color="auto" w:fill="DDDDDD"/>
          </w:tcPr>
          <w:p>
            <w:pPr>
              <w:spacing w:after="0"/>
              <w:rPr>
                <w:sz w:val="24"/>
                <w:szCs w:val="24"/>
                <w:color w:val="auto"/>
              </w:rPr>
            </w:pPr>
          </w:p>
        </w:tc>
        <w:tc>
          <w:tcPr>
            <w:tcW w:w="440" w:type="dxa"/>
            <w:vAlign w:val="bottom"/>
            <w:shd w:val="clear" w:color="auto" w:fill="DDDDDD"/>
          </w:tcPr>
          <w:p>
            <w:pPr>
              <w:spacing w:after="0"/>
              <w:rPr>
                <w:sz w:val="24"/>
                <w:szCs w:val="24"/>
                <w:color w:val="auto"/>
              </w:rPr>
            </w:pPr>
          </w:p>
        </w:tc>
        <w:tc>
          <w:tcPr>
            <w:tcW w:w="860" w:type="dxa"/>
            <w:vAlign w:val="bottom"/>
            <w:shd w:val="clear" w:color="auto" w:fill="DDDDDD"/>
          </w:tcPr>
          <w:p>
            <w:pPr>
              <w:spacing w:after="0"/>
              <w:rPr>
                <w:sz w:val="24"/>
                <w:szCs w:val="24"/>
                <w:color w:val="auto"/>
              </w:rPr>
            </w:pPr>
          </w:p>
        </w:tc>
      </w:tr>
      <w:tr>
        <w:trPr>
          <w:trHeight w:val="288"/>
        </w:trPr>
        <w:tc>
          <w:tcPr>
            <w:tcW w:w="6200" w:type="dxa"/>
            <w:vAlign w:val="bottom"/>
            <w:gridSpan w:val="2"/>
          </w:tcPr>
          <w:p>
            <w:pPr>
              <w:ind w:left="280"/>
              <w:spacing w:after="0"/>
              <w:rPr>
                <w:sz w:val="20"/>
                <w:szCs w:val="20"/>
                <w:color w:val="auto"/>
              </w:rPr>
            </w:pPr>
            <w:r>
              <w:rPr>
                <w:rFonts w:ascii="Times New Roman" w:cs="Times New Roman" w:eastAsia="Times New Roman" w:hAnsi="Times New Roman"/>
                <w:sz w:val="20"/>
                <w:szCs w:val="20"/>
                <w:color w:val="auto"/>
              </w:rPr>
              <w:t>Capitalized software and expenditures</w:t>
            </w:r>
          </w:p>
        </w:tc>
        <w:tc>
          <w:tcPr>
            <w:tcW w:w="300" w:type="dxa"/>
            <w:vAlign w:val="bottom"/>
          </w:tcPr>
          <w:p>
            <w:pPr>
              <w:spacing w:after="0"/>
              <w:rPr>
                <w:sz w:val="24"/>
                <w:szCs w:val="24"/>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(11,871)</w:t>
            </w: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(16,055)</w:t>
            </w: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(7,935)</w:t>
            </w:r>
          </w:p>
        </w:tc>
      </w:tr>
      <w:tr>
        <w:trPr>
          <w:trHeight w:val="281"/>
        </w:trPr>
        <w:tc>
          <w:tcPr>
            <w:tcW w:w="6200" w:type="dxa"/>
            <w:vAlign w:val="bottom"/>
            <w:gridSpan w:val="2"/>
            <w:shd w:val="clear" w:color="auto" w:fill="DDDDDD"/>
          </w:tcPr>
          <w:p>
            <w:pPr>
              <w:ind w:left="280"/>
              <w:spacing w:after="0"/>
              <w:rPr>
                <w:sz w:val="20"/>
                <w:szCs w:val="20"/>
                <w:color w:val="auto"/>
              </w:rPr>
            </w:pPr>
            <w:r>
              <w:rPr>
                <w:rFonts w:ascii="Times New Roman" w:cs="Times New Roman" w:eastAsia="Times New Roman" w:hAnsi="Times New Roman"/>
                <w:sz w:val="20"/>
                <w:szCs w:val="20"/>
                <w:color w:val="auto"/>
              </w:rPr>
              <w:t>Cash paid for acquisitions, net of cash acquired</w:t>
            </w:r>
          </w:p>
        </w:tc>
        <w:tc>
          <w:tcPr>
            <w:tcW w:w="300" w:type="dxa"/>
            <w:vAlign w:val="bottom"/>
            <w:shd w:val="clear" w:color="auto" w:fill="DDDDDD"/>
          </w:tcPr>
          <w:p>
            <w:pPr>
              <w:spacing w:after="0"/>
              <w:rPr>
                <w:sz w:val="24"/>
                <w:szCs w:val="24"/>
                <w:color w:val="auto"/>
              </w:rPr>
            </w:pPr>
          </w:p>
        </w:tc>
        <w:tc>
          <w:tcPr>
            <w:tcW w:w="1000" w:type="dxa"/>
            <w:vAlign w:val="bottom"/>
            <w:shd w:val="clear" w:color="auto" w:fill="DDDDDD"/>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60" w:type="dxa"/>
            <w:vAlign w:val="bottom"/>
            <w:shd w:val="clear" w:color="auto" w:fill="DDDDDD"/>
          </w:tcPr>
          <w:p>
            <w:pPr>
              <w:spacing w:after="0"/>
              <w:rPr>
                <w:sz w:val="24"/>
                <w:szCs w:val="24"/>
                <w:color w:val="auto"/>
              </w:rPr>
            </w:pPr>
          </w:p>
        </w:tc>
        <w:tc>
          <w:tcPr>
            <w:tcW w:w="20" w:type="dxa"/>
            <w:vAlign w:val="bottom"/>
            <w:shd w:val="clear" w:color="auto" w:fill="DDDDDD"/>
          </w:tcPr>
          <w:p>
            <w:pPr>
              <w:spacing w:after="0"/>
              <w:rPr>
                <w:sz w:val="24"/>
                <w:szCs w:val="24"/>
                <w:color w:val="auto"/>
              </w:rPr>
            </w:pPr>
          </w:p>
        </w:tc>
        <w:tc>
          <w:tcPr>
            <w:tcW w:w="300" w:type="dxa"/>
            <w:vAlign w:val="bottom"/>
            <w:shd w:val="clear" w:color="auto" w:fill="DDDDDD"/>
          </w:tcPr>
          <w:p>
            <w:pPr>
              <w:spacing w:after="0"/>
              <w:rPr>
                <w:sz w:val="24"/>
                <w:szCs w:val="24"/>
                <w:color w:val="auto"/>
              </w:rPr>
            </w:pPr>
          </w:p>
        </w:tc>
        <w:tc>
          <w:tcPr>
            <w:tcW w:w="1000" w:type="dxa"/>
            <w:vAlign w:val="bottom"/>
            <w:shd w:val="clear" w:color="auto" w:fill="DDDDDD"/>
          </w:tcPr>
          <w:p>
            <w:pPr>
              <w:jc w:val="right"/>
              <w:spacing w:after="0"/>
              <w:rPr>
                <w:sz w:val="20"/>
                <w:szCs w:val="20"/>
                <w:color w:val="auto"/>
              </w:rPr>
            </w:pPr>
            <w:r>
              <w:rPr>
                <w:rFonts w:ascii="Times New Roman" w:cs="Times New Roman" w:eastAsia="Times New Roman" w:hAnsi="Times New Roman"/>
                <w:sz w:val="20"/>
                <w:szCs w:val="20"/>
                <w:color w:val="auto"/>
              </w:rPr>
              <w:t>(713)</w:t>
            </w:r>
          </w:p>
        </w:tc>
        <w:tc>
          <w:tcPr>
            <w:tcW w:w="60" w:type="dxa"/>
            <w:vAlign w:val="bottom"/>
            <w:shd w:val="clear" w:color="auto" w:fill="DDDDDD"/>
          </w:tcPr>
          <w:p>
            <w:pPr>
              <w:spacing w:after="0"/>
              <w:rPr>
                <w:sz w:val="24"/>
                <w:szCs w:val="24"/>
                <w:color w:val="auto"/>
              </w:rPr>
            </w:pPr>
          </w:p>
        </w:tc>
        <w:tc>
          <w:tcPr>
            <w:tcW w:w="20" w:type="dxa"/>
            <w:vAlign w:val="bottom"/>
            <w:shd w:val="clear" w:color="auto" w:fill="DDDDDD"/>
          </w:tcPr>
          <w:p>
            <w:pPr>
              <w:spacing w:after="0"/>
              <w:rPr>
                <w:sz w:val="24"/>
                <w:szCs w:val="24"/>
                <w:color w:val="auto"/>
              </w:rPr>
            </w:pPr>
          </w:p>
        </w:tc>
        <w:tc>
          <w:tcPr>
            <w:tcW w:w="440" w:type="dxa"/>
            <w:vAlign w:val="bottom"/>
            <w:shd w:val="clear" w:color="auto" w:fill="DDDDDD"/>
          </w:tcPr>
          <w:p>
            <w:pPr>
              <w:spacing w:after="0"/>
              <w:rPr>
                <w:sz w:val="24"/>
                <w:szCs w:val="24"/>
                <w:color w:val="auto"/>
              </w:rPr>
            </w:pPr>
          </w:p>
        </w:tc>
        <w:tc>
          <w:tcPr>
            <w:tcW w:w="860" w:type="dxa"/>
            <w:vAlign w:val="bottom"/>
            <w:shd w:val="clear" w:color="auto" w:fill="DDDDDD"/>
          </w:tcPr>
          <w:p>
            <w:pPr>
              <w:jc w:val="right"/>
              <w:spacing w:after="0"/>
              <w:rPr>
                <w:sz w:val="20"/>
                <w:szCs w:val="20"/>
                <w:color w:val="auto"/>
              </w:rPr>
            </w:pPr>
            <w:r>
              <w:rPr>
                <w:rFonts w:ascii="Times New Roman" w:cs="Times New Roman" w:eastAsia="Times New Roman" w:hAnsi="Times New Roman"/>
                <w:sz w:val="20"/>
                <w:szCs w:val="20"/>
                <w:color w:val="auto"/>
              </w:rPr>
              <w:t>(16,000)</w:t>
            </w:r>
          </w:p>
        </w:tc>
      </w:tr>
      <w:tr>
        <w:trPr>
          <w:trHeight w:val="288"/>
        </w:trPr>
        <w:tc>
          <w:tcPr>
            <w:tcW w:w="6200" w:type="dxa"/>
            <w:vAlign w:val="bottom"/>
            <w:gridSpan w:val="2"/>
          </w:tcPr>
          <w:p>
            <w:pPr>
              <w:ind w:left="280"/>
              <w:spacing w:after="0"/>
              <w:rPr>
                <w:sz w:val="20"/>
                <w:szCs w:val="20"/>
                <w:color w:val="auto"/>
              </w:rPr>
            </w:pPr>
            <w:r>
              <w:rPr>
                <w:rFonts w:ascii="Times New Roman" w:cs="Times New Roman" w:eastAsia="Times New Roman" w:hAnsi="Times New Roman"/>
                <w:sz w:val="20"/>
                <w:szCs w:val="20"/>
                <w:color w:val="auto"/>
              </w:rPr>
              <w:t>Cash paid for acquisition holdback release</w:t>
            </w:r>
          </w:p>
        </w:tc>
        <w:tc>
          <w:tcPr>
            <w:tcW w:w="300" w:type="dxa"/>
            <w:vAlign w:val="bottom"/>
          </w:tcPr>
          <w:p>
            <w:pPr>
              <w:spacing w:after="0"/>
              <w:rPr>
                <w:sz w:val="24"/>
                <w:szCs w:val="24"/>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(1,000)</w:t>
            </w: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w:t>
            </w:r>
          </w:p>
        </w:tc>
      </w:tr>
      <w:tr>
        <w:trPr>
          <w:trHeight w:val="281"/>
        </w:trPr>
        <w:tc>
          <w:tcPr>
            <w:tcW w:w="6200" w:type="dxa"/>
            <w:vAlign w:val="bottom"/>
            <w:gridSpan w:val="2"/>
            <w:shd w:val="clear" w:color="auto" w:fill="DDDDDD"/>
          </w:tcPr>
          <w:p>
            <w:pPr>
              <w:ind w:left="280"/>
              <w:spacing w:after="0"/>
              <w:rPr>
                <w:sz w:val="20"/>
                <w:szCs w:val="20"/>
                <w:color w:val="auto"/>
              </w:rPr>
            </w:pPr>
            <w:r>
              <w:rPr>
                <w:rFonts w:ascii="Times New Roman" w:cs="Times New Roman" w:eastAsia="Times New Roman" w:hAnsi="Times New Roman"/>
                <w:sz w:val="20"/>
                <w:szCs w:val="20"/>
                <w:color w:val="auto"/>
              </w:rPr>
              <w:t>Cash paid for other investments</w:t>
            </w:r>
          </w:p>
        </w:tc>
        <w:tc>
          <w:tcPr>
            <w:tcW w:w="300" w:type="dxa"/>
            <w:vAlign w:val="bottom"/>
            <w:tcBorders>
              <w:bottom w:val="single" w:sz="8" w:color="auto"/>
            </w:tcBorders>
            <w:shd w:val="clear" w:color="auto" w:fill="DDDDDD"/>
          </w:tcPr>
          <w:p>
            <w:pPr>
              <w:spacing w:after="0"/>
              <w:rPr>
                <w:sz w:val="24"/>
                <w:szCs w:val="24"/>
                <w:color w:val="auto"/>
              </w:rPr>
            </w:pPr>
          </w:p>
        </w:tc>
        <w:tc>
          <w:tcPr>
            <w:tcW w:w="1000" w:type="dxa"/>
            <w:vAlign w:val="bottom"/>
            <w:tcBorders>
              <w:bottom w:val="single" w:sz="8" w:color="auto"/>
            </w:tcBorders>
            <w:shd w:val="clear" w:color="auto" w:fill="DDDDDD"/>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60" w:type="dxa"/>
            <w:vAlign w:val="bottom"/>
            <w:shd w:val="clear" w:color="auto" w:fill="DDDDDD"/>
          </w:tcPr>
          <w:p>
            <w:pPr>
              <w:spacing w:after="0"/>
              <w:rPr>
                <w:sz w:val="24"/>
                <w:szCs w:val="24"/>
                <w:color w:val="auto"/>
              </w:rPr>
            </w:pPr>
          </w:p>
        </w:tc>
        <w:tc>
          <w:tcPr>
            <w:tcW w:w="20" w:type="dxa"/>
            <w:vAlign w:val="bottom"/>
            <w:shd w:val="clear" w:color="auto" w:fill="DDDDDD"/>
          </w:tcPr>
          <w:p>
            <w:pPr>
              <w:spacing w:after="0"/>
              <w:rPr>
                <w:sz w:val="24"/>
                <w:szCs w:val="24"/>
                <w:color w:val="auto"/>
              </w:rPr>
            </w:pPr>
          </w:p>
        </w:tc>
        <w:tc>
          <w:tcPr>
            <w:tcW w:w="300" w:type="dxa"/>
            <w:vAlign w:val="bottom"/>
            <w:tcBorders>
              <w:bottom w:val="single" w:sz="8" w:color="auto"/>
            </w:tcBorders>
            <w:shd w:val="clear" w:color="auto" w:fill="DDDDDD"/>
          </w:tcPr>
          <w:p>
            <w:pPr>
              <w:spacing w:after="0"/>
              <w:rPr>
                <w:sz w:val="24"/>
                <w:szCs w:val="24"/>
                <w:color w:val="auto"/>
              </w:rPr>
            </w:pPr>
          </w:p>
        </w:tc>
        <w:tc>
          <w:tcPr>
            <w:tcW w:w="1000" w:type="dxa"/>
            <w:vAlign w:val="bottom"/>
            <w:tcBorders>
              <w:bottom w:val="single" w:sz="8" w:color="auto"/>
            </w:tcBorders>
            <w:shd w:val="clear" w:color="auto" w:fill="DDDDDD"/>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60" w:type="dxa"/>
            <w:vAlign w:val="bottom"/>
            <w:shd w:val="clear" w:color="auto" w:fill="DDDDDD"/>
          </w:tcPr>
          <w:p>
            <w:pPr>
              <w:spacing w:after="0"/>
              <w:rPr>
                <w:sz w:val="24"/>
                <w:szCs w:val="24"/>
                <w:color w:val="auto"/>
              </w:rPr>
            </w:pPr>
          </w:p>
        </w:tc>
        <w:tc>
          <w:tcPr>
            <w:tcW w:w="20" w:type="dxa"/>
            <w:vAlign w:val="bottom"/>
            <w:shd w:val="clear" w:color="auto" w:fill="DDDDDD"/>
          </w:tcPr>
          <w:p>
            <w:pPr>
              <w:spacing w:after="0"/>
              <w:rPr>
                <w:sz w:val="24"/>
                <w:szCs w:val="24"/>
                <w:color w:val="auto"/>
              </w:rPr>
            </w:pPr>
          </w:p>
        </w:tc>
        <w:tc>
          <w:tcPr>
            <w:tcW w:w="440" w:type="dxa"/>
            <w:vAlign w:val="bottom"/>
            <w:tcBorders>
              <w:bottom w:val="single" w:sz="8" w:color="auto"/>
            </w:tcBorders>
            <w:shd w:val="clear" w:color="auto" w:fill="DDDDDD"/>
          </w:tcPr>
          <w:p>
            <w:pPr>
              <w:spacing w:after="0"/>
              <w:rPr>
                <w:sz w:val="24"/>
                <w:szCs w:val="24"/>
                <w:color w:val="auto"/>
              </w:rPr>
            </w:pPr>
          </w:p>
        </w:tc>
        <w:tc>
          <w:tcPr>
            <w:tcW w:w="860" w:type="dxa"/>
            <w:vAlign w:val="bottom"/>
            <w:tcBorders>
              <w:bottom w:val="single" w:sz="8" w:color="auto"/>
            </w:tcBorders>
            <w:shd w:val="clear" w:color="auto" w:fill="DDDDDD"/>
          </w:tcPr>
          <w:p>
            <w:pPr>
              <w:jc w:val="right"/>
              <w:spacing w:after="0"/>
              <w:rPr>
                <w:sz w:val="20"/>
                <w:szCs w:val="20"/>
                <w:color w:val="auto"/>
              </w:rPr>
            </w:pPr>
            <w:r>
              <w:rPr>
                <w:rFonts w:ascii="Times New Roman" w:cs="Times New Roman" w:eastAsia="Times New Roman" w:hAnsi="Times New Roman"/>
                <w:sz w:val="20"/>
                <w:szCs w:val="20"/>
                <w:color w:val="auto"/>
              </w:rPr>
              <w:t>(6,500)</w:t>
            </w:r>
          </w:p>
        </w:tc>
      </w:tr>
      <w:tr>
        <w:trPr>
          <w:trHeight w:val="268"/>
        </w:trPr>
        <w:tc>
          <w:tcPr>
            <w:tcW w:w="6200" w:type="dxa"/>
            <w:vAlign w:val="bottom"/>
            <w:tcBorders>
              <w:bottom w:val="single" w:sz="8" w:color="DDDDDD"/>
            </w:tcBorders>
            <w:gridSpan w:val="2"/>
          </w:tcPr>
          <w:p>
            <w:pPr>
              <w:ind w:left="40"/>
              <w:spacing w:after="0"/>
              <w:rPr>
                <w:sz w:val="20"/>
                <w:szCs w:val="20"/>
                <w:color w:val="auto"/>
              </w:rPr>
            </w:pPr>
            <w:r>
              <w:rPr>
                <w:rFonts w:ascii="Times New Roman" w:cs="Times New Roman" w:eastAsia="Times New Roman" w:hAnsi="Times New Roman"/>
                <w:sz w:val="20"/>
                <w:szCs w:val="20"/>
                <w:color w:val="auto"/>
              </w:rPr>
              <w:t>Net cash used in investing activities</w:t>
            </w:r>
          </w:p>
        </w:tc>
        <w:tc>
          <w:tcPr>
            <w:tcW w:w="300" w:type="dxa"/>
            <w:vAlign w:val="bottom"/>
            <w:tcBorders>
              <w:bottom w:val="single" w:sz="8" w:color="auto"/>
            </w:tcBorders>
          </w:tcPr>
          <w:p>
            <w:pPr>
              <w:spacing w:after="0"/>
              <w:rPr>
                <w:sz w:val="23"/>
                <w:szCs w:val="23"/>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(11,871)</w:t>
            </w:r>
          </w:p>
        </w:tc>
        <w:tc>
          <w:tcPr>
            <w:tcW w:w="60" w:type="dxa"/>
            <w:vAlign w:val="bottom"/>
            <w:tcBorders>
              <w:bottom w:val="single" w:sz="8" w:color="DDDDDD"/>
            </w:tcBorders>
          </w:tcPr>
          <w:p>
            <w:pPr>
              <w:spacing w:after="0"/>
              <w:rPr>
                <w:sz w:val="23"/>
                <w:szCs w:val="23"/>
                <w:color w:val="auto"/>
              </w:rPr>
            </w:pPr>
          </w:p>
        </w:tc>
        <w:tc>
          <w:tcPr>
            <w:tcW w:w="20" w:type="dxa"/>
            <w:vAlign w:val="bottom"/>
            <w:tcBorders>
              <w:bottom w:val="single" w:sz="8" w:color="DDDDDD"/>
            </w:tcBorders>
          </w:tcPr>
          <w:p>
            <w:pPr>
              <w:spacing w:after="0"/>
              <w:rPr>
                <w:sz w:val="23"/>
                <w:szCs w:val="23"/>
                <w:color w:val="auto"/>
              </w:rPr>
            </w:pPr>
          </w:p>
        </w:tc>
        <w:tc>
          <w:tcPr>
            <w:tcW w:w="300" w:type="dxa"/>
            <w:vAlign w:val="bottom"/>
            <w:tcBorders>
              <w:bottom w:val="single" w:sz="8" w:color="auto"/>
            </w:tcBorders>
          </w:tcPr>
          <w:p>
            <w:pPr>
              <w:spacing w:after="0"/>
              <w:rPr>
                <w:sz w:val="23"/>
                <w:szCs w:val="23"/>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(17,768)</w:t>
            </w:r>
          </w:p>
        </w:tc>
        <w:tc>
          <w:tcPr>
            <w:tcW w:w="60" w:type="dxa"/>
            <w:vAlign w:val="bottom"/>
            <w:tcBorders>
              <w:bottom w:val="single" w:sz="8" w:color="DDDDDD"/>
            </w:tcBorders>
          </w:tcPr>
          <w:p>
            <w:pPr>
              <w:spacing w:after="0"/>
              <w:rPr>
                <w:sz w:val="23"/>
                <w:szCs w:val="23"/>
                <w:color w:val="auto"/>
              </w:rPr>
            </w:pPr>
          </w:p>
        </w:tc>
        <w:tc>
          <w:tcPr>
            <w:tcW w:w="20" w:type="dxa"/>
            <w:vAlign w:val="bottom"/>
            <w:tcBorders>
              <w:bottom w:val="single" w:sz="8" w:color="DDDDDD"/>
            </w:tcBorders>
          </w:tcPr>
          <w:p>
            <w:pPr>
              <w:spacing w:after="0"/>
              <w:rPr>
                <w:sz w:val="23"/>
                <w:szCs w:val="23"/>
                <w:color w:val="auto"/>
              </w:rPr>
            </w:pPr>
          </w:p>
        </w:tc>
        <w:tc>
          <w:tcPr>
            <w:tcW w:w="440" w:type="dxa"/>
            <w:vAlign w:val="bottom"/>
            <w:tcBorders>
              <w:bottom w:val="single" w:sz="8" w:color="auto"/>
            </w:tcBorders>
          </w:tcPr>
          <w:p>
            <w:pPr>
              <w:spacing w:after="0"/>
              <w:rPr>
                <w:sz w:val="23"/>
                <w:szCs w:val="23"/>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(30,435)</w:t>
            </w:r>
          </w:p>
        </w:tc>
      </w:tr>
      <w:tr>
        <w:trPr>
          <w:trHeight w:val="268"/>
        </w:trPr>
        <w:tc>
          <w:tcPr>
            <w:tcW w:w="6180" w:type="dxa"/>
            <w:vAlign w:val="bottom"/>
            <w:shd w:val="clear" w:color="auto" w:fill="DDDDDD"/>
          </w:tcPr>
          <w:p>
            <w:pPr>
              <w:spacing w:after="0"/>
              <w:rPr>
                <w:sz w:val="23"/>
                <w:szCs w:val="23"/>
                <w:color w:val="auto"/>
              </w:rPr>
            </w:pPr>
          </w:p>
        </w:tc>
        <w:tc>
          <w:tcPr>
            <w:tcW w:w="20" w:type="dxa"/>
            <w:vAlign w:val="bottom"/>
            <w:shd w:val="clear" w:color="auto" w:fill="DDDDDD"/>
          </w:tcPr>
          <w:p>
            <w:pPr>
              <w:spacing w:after="0"/>
              <w:rPr>
                <w:sz w:val="23"/>
                <w:szCs w:val="23"/>
                <w:color w:val="auto"/>
              </w:rPr>
            </w:pPr>
          </w:p>
        </w:tc>
        <w:tc>
          <w:tcPr>
            <w:tcW w:w="300" w:type="dxa"/>
            <w:vAlign w:val="bottom"/>
            <w:shd w:val="clear" w:color="auto" w:fill="DDDDDD"/>
          </w:tcPr>
          <w:p>
            <w:pPr>
              <w:spacing w:after="0"/>
              <w:rPr>
                <w:sz w:val="23"/>
                <w:szCs w:val="23"/>
                <w:color w:val="auto"/>
              </w:rPr>
            </w:pPr>
          </w:p>
        </w:tc>
        <w:tc>
          <w:tcPr>
            <w:tcW w:w="1000" w:type="dxa"/>
            <w:vAlign w:val="bottom"/>
            <w:shd w:val="clear" w:color="auto" w:fill="DDDDDD"/>
          </w:tcPr>
          <w:p>
            <w:pPr>
              <w:spacing w:after="0"/>
              <w:rPr>
                <w:sz w:val="23"/>
                <w:szCs w:val="23"/>
                <w:color w:val="auto"/>
              </w:rPr>
            </w:pPr>
          </w:p>
        </w:tc>
        <w:tc>
          <w:tcPr>
            <w:tcW w:w="60" w:type="dxa"/>
            <w:vAlign w:val="bottom"/>
            <w:shd w:val="clear" w:color="auto" w:fill="DDDDDD"/>
          </w:tcPr>
          <w:p>
            <w:pPr>
              <w:spacing w:after="0"/>
              <w:rPr>
                <w:sz w:val="23"/>
                <w:szCs w:val="23"/>
                <w:color w:val="auto"/>
              </w:rPr>
            </w:pPr>
          </w:p>
        </w:tc>
        <w:tc>
          <w:tcPr>
            <w:tcW w:w="20" w:type="dxa"/>
            <w:vAlign w:val="bottom"/>
            <w:shd w:val="clear" w:color="auto" w:fill="DDDDDD"/>
          </w:tcPr>
          <w:p>
            <w:pPr>
              <w:spacing w:after="0"/>
              <w:rPr>
                <w:sz w:val="23"/>
                <w:szCs w:val="23"/>
                <w:color w:val="auto"/>
              </w:rPr>
            </w:pPr>
          </w:p>
        </w:tc>
        <w:tc>
          <w:tcPr>
            <w:tcW w:w="300" w:type="dxa"/>
            <w:vAlign w:val="bottom"/>
            <w:shd w:val="clear" w:color="auto" w:fill="DDDDDD"/>
          </w:tcPr>
          <w:p>
            <w:pPr>
              <w:spacing w:after="0"/>
              <w:rPr>
                <w:sz w:val="23"/>
                <w:szCs w:val="23"/>
                <w:color w:val="auto"/>
              </w:rPr>
            </w:pPr>
          </w:p>
        </w:tc>
        <w:tc>
          <w:tcPr>
            <w:tcW w:w="1000" w:type="dxa"/>
            <w:vAlign w:val="bottom"/>
            <w:shd w:val="clear" w:color="auto" w:fill="DDDDDD"/>
          </w:tcPr>
          <w:p>
            <w:pPr>
              <w:spacing w:after="0"/>
              <w:rPr>
                <w:sz w:val="23"/>
                <w:szCs w:val="23"/>
                <w:color w:val="auto"/>
              </w:rPr>
            </w:pPr>
          </w:p>
        </w:tc>
        <w:tc>
          <w:tcPr>
            <w:tcW w:w="60" w:type="dxa"/>
            <w:vAlign w:val="bottom"/>
            <w:shd w:val="clear" w:color="auto" w:fill="DDDDDD"/>
          </w:tcPr>
          <w:p>
            <w:pPr>
              <w:spacing w:after="0"/>
              <w:rPr>
                <w:sz w:val="23"/>
                <w:szCs w:val="23"/>
                <w:color w:val="auto"/>
              </w:rPr>
            </w:pPr>
          </w:p>
        </w:tc>
        <w:tc>
          <w:tcPr>
            <w:tcW w:w="20" w:type="dxa"/>
            <w:vAlign w:val="bottom"/>
            <w:shd w:val="clear" w:color="auto" w:fill="DDDDDD"/>
          </w:tcPr>
          <w:p>
            <w:pPr>
              <w:spacing w:after="0"/>
              <w:rPr>
                <w:sz w:val="23"/>
                <w:szCs w:val="23"/>
                <w:color w:val="auto"/>
              </w:rPr>
            </w:pPr>
          </w:p>
        </w:tc>
        <w:tc>
          <w:tcPr>
            <w:tcW w:w="440" w:type="dxa"/>
            <w:vAlign w:val="bottom"/>
            <w:shd w:val="clear" w:color="auto" w:fill="DDDDDD"/>
          </w:tcPr>
          <w:p>
            <w:pPr>
              <w:spacing w:after="0"/>
              <w:rPr>
                <w:sz w:val="23"/>
                <w:szCs w:val="23"/>
                <w:color w:val="auto"/>
              </w:rPr>
            </w:pPr>
          </w:p>
        </w:tc>
        <w:tc>
          <w:tcPr>
            <w:tcW w:w="860" w:type="dxa"/>
            <w:vAlign w:val="bottom"/>
            <w:shd w:val="clear" w:color="auto" w:fill="DDDDDD"/>
          </w:tcPr>
          <w:p>
            <w:pPr>
              <w:spacing w:after="0"/>
              <w:rPr>
                <w:sz w:val="23"/>
                <w:szCs w:val="23"/>
                <w:color w:val="auto"/>
              </w:rPr>
            </w:pPr>
          </w:p>
        </w:tc>
      </w:tr>
      <w:tr>
        <w:trPr>
          <w:trHeight w:val="281"/>
        </w:trPr>
        <w:tc>
          <w:tcPr>
            <w:tcW w:w="6200" w:type="dxa"/>
            <w:vAlign w:val="bottom"/>
            <w:gridSpan w:val="2"/>
          </w:tcPr>
          <w:p>
            <w:pPr>
              <w:ind w:left="40"/>
              <w:spacing w:after="0"/>
              <w:rPr>
                <w:sz w:val="20"/>
                <w:szCs w:val="20"/>
                <w:color w:val="auto"/>
              </w:rPr>
            </w:pPr>
            <w:r>
              <w:rPr>
                <w:rFonts w:ascii="Times New Roman" w:cs="Times New Roman" w:eastAsia="Times New Roman" w:hAnsi="Times New Roman"/>
                <w:sz w:val="20"/>
                <w:szCs w:val="20"/>
                <w:b w:val="1"/>
                <w:bCs w:val="1"/>
                <w:color w:val="auto"/>
              </w:rPr>
              <w:t>Cash flows from financing activities</w:t>
            </w:r>
          </w:p>
        </w:tc>
        <w:tc>
          <w:tcPr>
            <w:tcW w:w="30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860" w:type="dxa"/>
            <w:vAlign w:val="bottom"/>
          </w:tcPr>
          <w:p>
            <w:pPr>
              <w:spacing w:after="0"/>
              <w:rPr>
                <w:sz w:val="24"/>
                <w:szCs w:val="24"/>
                <w:color w:val="auto"/>
              </w:rPr>
            </w:pPr>
          </w:p>
        </w:tc>
      </w:tr>
      <w:tr>
        <w:trPr>
          <w:trHeight w:val="288"/>
        </w:trPr>
        <w:tc>
          <w:tcPr>
            <w:tcW w:w="6200" w:type="dxa"/>
            <w:vAlign w:val="bottom"/>
            <w:gridSpan w:val="2"/>
            <w:shd w:val="clear" w:color="auto" w:fill="DDDDDD"/>
          </w:tcPr>
          <w:p>
            <w:pPr>
              <w:ind w:left="280"/>
              <w:spacing w:after="0"/>
              <w:rPr>
                <w:sz w:val="20"/>
                <w:szCs w:val="20"/>
                <w:color w:val="auto"/>
              </w:rPr>
            </w:pPr>
            <w:r>
              <w:rPr>
                <w:rFonts w:ascii="Times New Roman" w:cs="Times New Roman" w:eastAsia="Times New Roman" w:hAnsi="Times New Roman"/>
                <w:sz w:val="20"/>
                <w:szCs w:val="20"/>
                <w:color w:val="auto"/>
              </w:rPr>
              <w:t>Distributions</w:t>
            </w:r>
          </w:p>
        </w:tc>
        <w:tc>
          <w:tcPr>
            <w:tcW w:w="300" w:type="dxa"/>
            <w:vAlign w:val="bottom"/>
            <w:shd w:val="clear" w:color="auto" w:fill="DDDDDD"/>
          </w:tcPr>
          <w:p>
            <w:pPr>
              <w:spacing w:after="0"/>
              <w:rPr>
                <w:sz w:val="24"/>
                <w:szCs w:val="24"/>
                <w:color w:val="auto"/>
              </w:rPr>
            </w:pPr>
          </w:p>
        </w:tc>
        <w:tc>
          <w:tcPr>
            <w:tcW w:w="1000" w:type="dxa"/>
            <w:vAlign w:val="bottom"/>
            <w:shd w:val="clear" w:color="auto" w:fill="DDDDDD"/>
          </w:tcPr>
          <w:p>
            <w:pPr>
              <w:jc w:val="right"/>
              <w:spacing w:after="0"/>
              <w:rPr>
                <w:sz w:val="20"/>
                <w:szCs w:val="20"/>
                <w:color w:val="auto"/>
              </w:rPr>
            </w:pPr>
            <w:r>
              <w:rPr>
                <w:rFonts w:ascii="Times New Roman" w:cs="Times New Roman" w:eastAsia="Times New Roman" w:hAnsi="Times New Roman"/>
                <w:sz w:val="20"/>
                <w:szCs w:val="20"/>
                <w:color w:val="auto"/>
              </w:rPr>
              <w:t>(4,218)</w:t>
            </w:r>
          </w:p>
        </w:tc>
        <w:tc>
          <w:tcPr>
            <w:tcW w:w="60" w:type="dxa"/>
            <w:vAlign w:val="bottom"/>
            <w:shd w:val="clear" w:color="auto" w:fill="DDDDDD"/>
          </w:tcPr>
          <w:p>
            <w:pPr>
              <w:spacing w:after="0"/>
              <w:rPr>
                <w:sz w:val="24"/>
                <w:szCs w:val="24"/>
                <w:color w:val="auto"/>
              </w:rPr>
            </w:pPr>
          </w:p>
        </w:tc>
        <w:tc>
          <w:tcPr>
            <w:tcW w:w="20" w:type="dxa"/>
            <w:vAlign w:val="bottom"/>
            <w:shd w:val="clear" w:color="auto" w:fill="DDDDDD"/>
          </w:tcPr>
          <w:p>
            <w:pPr>
              <w:spacing w:after="0"/>
              <w:rPr>
                <w:sz w:val="24"/>
                <w:szCs w:val="24"/>
                <w:color w:val="auto"/>
              </w:rPr>
            </w:pPr>
          </w:p>
        </w:tc>
        <w:tc>
          <w:tcPr>
            <w:tcW w:w="300" w:type="dxa"/>
            <w:vAlign w:val="bottom"/>
            <w:shd w:val="clear" w:color="auto" w:fill="DDDDDD"/>
          </w:tcPr>
          <w:p>
            <w:pPr>
              <w:spacing w:after="0"/>
              <w:rPr>
                <w:sz w:val="24"/>
                <w:szCs w:val="24"/>
                <w:color w:val="auto"/>
              </w:rPr>
            </w:pPr>
          </w:p>
        </w:tc>
        <w:tc>
          <w:tcPr>
            <w:tcW w:w="1000" w:type="dxa"/>
            <w:vAlign w:val="bottom"/>
            <w:shd w:val="clear" w:color="auto" w:fill="DDDDDD"/>
          </w:tcPr>
          <w:p>
            <w:pPr>
              <w:jc w:val="right"/>
              <w:spacing w:after="0"/>
              <w:rPr>
                <w:sz w:val="20"/>
                <w:szCs w:val="20"/>
                <w:color w:val="auto"/>
              </w:rPr>
            </w:pPr>
            <w:r>
              <w:rPr>
                <w:rFonts w:ascii="Times New Roman" w:cs="Times New Roman" w:eastAsia="Times New Roman" w:hAnsi="Times New Roman"/>
                <w:sz w:val="20"/>
                <w:szCs w:val="20"/>
                <w:color w:val="auto"/>
              </w:rPr>
              <w:t>(2,448)</w:t>
            </w:r>
          </w:p>
        </w:tc>
        <w:tc>
          <w:tcPr>
            <w:tcW w:w="60" w:type="dxa"/>
            <w:vAlign w:val="bottom"/>
            <w:shd w:val="clear" w:color="auto" w:fill="DDDDDD"/>
          </w:tcPr>
          <w:p>
            <w:pPr>
              <w:spacing w:after="0"/>
              <w:rPr>
                <w:sz w:val="24"/>
                <w:szCs w:val="24"/>
                <w:color w:val="auto"/>
              </w:rPr>
            </w:pPr>
          </w:p>
        </w:tc>
        <w:tc>
          <w:tcPr>
            <w:tcW w:w="20" w:type="dxa"/>
            <w:vAlign w:val="bottom"/>
            <w:shd w:val="clear" w:color="auto" w:fill="DDDDDD"/>
          </w:tcPr>
          <w:p>
            <w:pPr>
              <w:spacing w:after="0"/>
              <w:rPr>
                <w:sz w:val="24"/>
                <w:szCs w:val="24"/>
                <w:color w:val="auto"/>
              </w:rPr>
            </w:pPr>
          </w:p>
        </w:tc>
        <w:tc>
          <w:tcPr>
            <w:tcW w:w="440" w:type="dxa"/>
            <w:vAlign w:val="bottom"/>
            <w:shd w:val="clear" w:color="auto" w:fill="DDDDDD"/>
          </w:tcPr>
          <w:p>
            <w:pPr>
              <w:spacing w:after="0"/>
              <w:rPr>
                <w:sz w:val="24"/>
                <w:szCs w:val="24"/>
                <w:color w:val="auto"/>
              </w:rPr>
            </w:pPr>
          </w:p>
        </w:tc>
        <w:tc>
          <w:tcPr>
            <w:tcW w:w="860" w:type="dxa"/>
            <w:vAlign w:val="bottom"/>
            <w:shd w:val="clear" w:color="auto" w:fill="DDDDDD"/>
          </w:tcPr>
          <w:p>
            <w:pPr>
              <w:jc w:val="right"/>
              <w:spacing w:after="0"/>
              <w:rPr>
                <w:sz w:val="20"/>
                <w:szCs w:val="20"/>
                <w:color w:val="auto"/>
              </w:rPr>
            </w:pPr>
            <w:r>
              <w:rPr>
                <w:rFonts w:ascii="Times New Roman" w:cs="Times New Roman" w:eastAsia="Times New Roman" w:hAnsi="Times New Roman"/>
                <w:sz w:val="20"/>
                <w:szCs w:val="20"/>
                <w:color w:val="auto"/>
              </w:rPr>
              <w:t>(18,998)</w:t>
            </w:r>
          </w:p>
        </w:tc>
      </w:tr>
      <w:tr>
        <w:trPr>
          <w:trHeight w:val="288"/>
        </w:trPr>
        <w:tc>
          <w:tcPr>
            <w:tcW w:w="6200" w:type="dxa"/>
            <w:vAlign w:val="bottom"/>
            <w:gridSpan w:val="2"/>
          </w:tcPr>
          <w:p>
            <w:pPr>
              <w:ind w:left="280"/>
              <w:spacing w:after="0"/>
              <w:rPr>
                <w:sz w:val="20"/>
                <w:szCs w:val="20"/>
                <w:color w:val="auto"/>
              </w:rPr>
            </w:pPr>
            <w:r>
              <w:rPr>
                <w:rFonts w:ascii="Times New Roman" w:cs="Times New Roman" w:eastAsia="Times New Roman" w:hAnsi="Times New Roman"/>
                <w:sz w:val="20"/>
                <w:szCs w:val="20"/>
                <w:color w:val="auto"/>
              </w:rPr>
              <w:t>Repayment of insurance premium financing</w:t>
            </w:r>
          </w:p>
        </w:tc>
        <w:tc>
          <w:tcPr>
            <w:tcW w:w="300" w:type="dxa"/>
            <w:vAlign w:val="bottom"/>
          </w:tcPr>
          <w:p>
            <w:pPr>
              <w:spacing w:after="0"/>
              <w:rPr>
                <w:sz w:val="24"/>
                <w:szCs w:val="24"/>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(1,450)</w:t>
            </w: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(7,344)</w:t>
            </w: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(7,098)</w:t>
            </w:r>
          </w:p>
        </w:tc>
      </w:tr>
      <w:tr>
        <w:trPr>
          <w:trHeight w:val="281"/>
        </w:trPr>
        <w:tc>
          <w:tcPr>
            <w:tcW w:w="6200" w:type="dxa"/>
            <w:vAlign w:val="bottom"/>
            <w:gridSpan w:val="2"/>
            <w:shd w:val="clear" w:color="auto" w:fill="DDDDDD"/>
          </w:tcPr>
          <w:p>
            <w:pPr>
              <w:ind w:left="280"/>
              <w:spacing w:after="0"/>
              <w:rPr>
                <w:sz w:val="20"/>
                <w:szCs w:val="20"/>
                <w:color w:val="auto"/>
              </w:rPr>
            </w:pPr>
            <w:r>
              <w:rPr>
                <w:rFonts w:ascii="Times New Roman" w:cs="Times New Roman" w:eastAsia="Times New Roman" w:hAnsi="Times New Roman"/>
                <w:sz w:val="20"/>
                <w:szCs w:val="20"/>
                <w:color w:val="auto"/>
              </w:rPr>
              <w:t>Taxes paid related to net share settlement of equity awards</w:t>
            </w:r>
          </w:p>
        </w:tc>
        <w:tc>
          <w:tcPr>
            <w:tcW w:w="300" w:type="dxa"/>
            <w:vAlign w:val="bottom"/>
            <w:shd w:val="clear" w:color="auto" w:fill="DDDDDD"/>
          </w:tcPr>
          <w:p>
            <w:pPr>
              <w:spacing w:after="0"/>
              <w:rPr>
                <w:sz w:val="24"/>
                <w:szCs w:val="24"/>
                <w:color w:val="auto"/>
              </w:rPr>
            </w:pPr>
          </w:p>
        </w:tc>
        <w:tc>
          <w:tcPr>
            <w:tcW w:w="1000" w:type="dxa"/>
            <w:vAlign w:val="bottom"/>
            <w:shd w:val="clear" w:color="auto" w:fill="DDDDDD"/>
          </w:tcPr>
          <w:p>
            <w:pPr>
              <w:jc w:val="right"/>
              <w:spacing w:after="0"/>
              <w:rPr>
                <w:sz w:val="20"/>
                <w:szCs w:val="20"/>
                <w:color w:val="auto"/>
              </w:rPr>
            </w:pPr>
            <w:r>
              <w:rPr>
                <w:rFonts w:ascii="Times New Roman" w:cs="Times New Roman" w:eastAsia="Times New Roman" w:hAnsi="Times New Roman"/>
                <w:sz w:val="20"/>
                <w:szCs w:val="20"/>
                <w:color w:val="auto"/>
              </w:rPr>
              <w:t>(6)</w:t>
            </w:r>
          </w:p>
        </w:tc>
        <w:tc>
          <w:tcPr>
            <w:tcW w:w="60" w:type="dxa"/>
            <w:vAlign w:val="bottom"/>
            <w:shd w:val="clear" w:color="auto" w:fill="DDDDDD"/>
          </w:tcPr>
          <w:p>
            <w:pPr>
              <w:spacing w:after="0"/>
              <w:rPr>
                <w:sz w:val="24"/>
                <w:szCs w:val="24"/>
                <w:color w:val="auto"/>
              </w:rPr>
            </w:pPr>
          </w:p>
        </w:tc>
        <w:tc>
          <w:tcPr>
            <w:tcW w:w="20" w:type="dxa"/>
            <w:vAlign w:val="bottom"/>
            <w:shd w:val="clear" w:color="auto" w:fill="DDDDDD"/>
          </w:tcPr>
          <w:p>
            <w:pPr>
              <w:spacing w:after="0"/>
              <w:rPr>
                <w:sz w:val="24"/>
                <w:szCs w:val="24"/>
                <w:color w:val="auto"/>
              </w:rPr>
            </w:pPr>
          </w:p>
        </w:tc>
        <w:tc>
          <w:tcPr>
            <w:tcW w:w="300" w:type="dxa"/>
            <w:vAlign w:val="bottom"/>
            <w:shd w:val="clear" w:color="auto" w:fill="DDDDDD"/>
          </w:tcPr>
          <w:p>
            <w:pPr>
              <w:spacing w:after="0"/>
              <w:rPr>
                <w:sz w:val="24"/>
                <w:szCs w:val="24"/>
                <w:color w:val="auto"/>
              </w:rPr>
            </w:pPr>
          </w:p>
        </w:tc>
        <w:tc>
          <w:tcPr>
            <w:tcW w:w="1000" w:type="dxa"/>
            <w:vAlign w:val="bottom"/>
            <w:shd w:val="clear" w:color="auto" w:fill="DDDDDD"/>
          </w:tcPr>
          <w:p>
            <w:pPr>
              <w:jc w:val="right"/>
              <w:spacing w:after="0"/>
              <w:rPr>
                <w:sz w:val="20"/>
                <w:szCs w:val="20"/>
                <w:color w:val="auto"/>
              </w:rPr>
            </w:pPr>
            <w:r>
              <w:rPr>
                <w:rFonts w:ascii="Times New Roman" w:cs="Times New Roman" w:eastAsia="Times New Roman" w:hAnsi="Times New Roman"/>
                <w:sz w:val="20"/>
                <w:szCs w:val="20"/>
                <w:color w:val="auto"/>
              </w:rPr>
              <w:t>(13)</w:t>
            </w:r>
          </w:p>
        </w:tc>
        <w:tc>
          <w:tcPr>
            <w:tcW w:w="60" w:type="dxa"/>
            <w:vAlign w:val="bottom"/>
            <w:shd w:val="clear" w:color="auto" w:fill="DDDDDD"/>
          </w:tcPr>
          <w:p>
            <w:pPr>
              <w:spacing w:after="0"/>
              <w:rPr>
                <w:sz w:val="24"/>
                <w:szCs w:val="24"/>
                <w:color w:val="auto"/>
              </w:rPr>
            </w:pPr>
          </w:p>
        </w:tc>
        <w:tc>
          <w:tcPr>
            <w:tcW w:w="20" w:type="dxa"/>
            <w:vAlign w:val="bottom"/>
            <w:shd w:val="clear" w:color="auto" w:fill="DDDDDD"/>
          </w:tcPr>
          <w:p>
            <w:pPr>
              <w:spacing w:after="0"/>
              <w:rPr>
                <w:sz w:val="24"/>
                <w:szCs w:val="24"/>
                <w:color w:val="auto"/>
              </w:rPr>
            </w:pPr>
          </w:p>
        </w:tc>
        <w:tc>
          <w:tcPr>
            <w:tcW w:w="440" w:type="dxa"/>
            <w:vAlign w:val="bottom"/>
            <w:shd w:val="clear" w:color="auto" w:fill="DDDDDD"/>
          </w:tcPr>
          <w:p>
            <w:pPr>
              <w:spacing w:after="0"/>
              <w:rPr>
                <w:sz w:val="24"/>
                <w:szCs w:val="24"/>
                <w:color w:val="auto"/>
              </w:rPr>
            </w:pPr>
          </w:p>
        </w:tc>
        <w:tc>
          <w:tcPr>
            <w:tcW w:w="860" w:type="dxa"/>
            <w:vAlign w:val="bottom"/>
            <w:shd w:val="clear" w:color="auto" w:fill="DDDDDD"/>
          </w:tcPr>
          <w:p>
            <w:pPr>
              <w:jc w:val="right"/>
              <w:spacing w:after="0"/>
              <w:rPr>
                <w:sz w:val="20"/>
                <w:szCs w:val="20"/>
                <w:color w:val="auto"/>
              </w:rPr>
            </w:pPr>
            <w:r>
              <w:rPr>
                <w:rFonts w:ascii="Times New Roman" w:cs="Times New Roman" w:eastAsia="Times New Roman" w:hAnsi="Times New Roman"/>
                <w:sz w:val="20"/>
                <w:szCs w:val="20"/>
                <w:color w:val="auto"/>
              </w:rPr>
              <w:t>—</w:t>
            </w:r>
          </w:p>
        </w:tc>
      </w:tr>
      <w:tr>
        <w:trPr>
          <w:trHeight w:val="288"/>
        </w:trPr>
        <w:tc>
          <w:tcPr>
            <w:tcW w:w="6200" w:type="dxa"/>
            <w:vAlign w:val="bottom"/>
            <w:gridSpan w:val="2"/>
          </w:tcPr>
          <w:p>
            <w:pPr>
              <w:ind w:left="280"/>
              <w:spacing w:after="0"/>
              <w:rPr>
                <w:sz w:val="20"/>
                <w:szCs w:val="20"/>
                <w:color w:val="auto"/>
              </w:rPr>
            </w:pPr>
            <w:r>
              <w:rPr>
                <w:rFonts w:ascii="Times New Roman" w:cs="Times New Roman" w:eastAsia="Times New Roman" w:hAnsi="Times New Roman"/>
                <w:sz w:val="20"/>
                <w:szCs w:val="20"/>
                <w:color w:val="auto"/>
              </w:rPr>
              <w:t>Proceeds from collection of related party note receivable</w:t>
            </w:r>
          </w:p>
        </w:tc>
        <w:tc>
          <w:tcPr>
            <w:tcW w:w="300" w:type="dxa"/>
            <w:vAlign w:val="bottom"/>
          </w:tcPr>
          <w:p>
            <w:pPr>
              <w:spacing w:after="0"/>
              <w:rPr>
                <w:sz w:val="24"/>
                <w:szCs w:val="24"/>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384</w:t>
            </w: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w:t>
            </w:r>
          </w:p>
        </w:tc>
      </w:tr>
      <w:tr>
        <w:trPr>
          <w:trHeight w:val="281"/>
        </w:trPr>
        <w:tc>
          <w:tcPr>
            <w:tcW w:w="6200" w:type="dxa"/>
            <w:vAlign w:val="bottom"/>
            <w:gridSpan w:val="2"/>
            <w:shd w:val="clear" w:color="auto" w:fill="DDDDDD"/>
          </w:tcPr>
          <w:p>
            <w:pPr>
              <w:ind w:left="280"/>
              <w:spacing w:after="0"/>
              <w:rPr>
                <w:sz w:val="20"/>
                <w:szCs w:val="20"/>
                <w:color w:val="auto"/>
              </w:rPr>
            </w:pPr>
            <w:r>
              <w:rPr>
                <w:rFonts w:ascii="Times New Roman" w:cs="Times New Roman" w:eastAsia="Times New Roman" w:hAnsi="Times New Roman"/>
                <w:sz w:val="20"/>
                <w:szCs w:val="20"/>
                <w:color w:val="auto"/>
              </w:rPr>
              <w:t>Proceeds from business combination</w:t>
            </w:r>
          </w:p>
        </w:tc>
        <w:tc>
          <w:tcPr>
            <w:tcW w:w="300" w:type="dxa"/>
            <w:vAlign w:val="bottom"/>
            <w:shd w:val="clear" w:color="auto" w:fill="DDDDDD"/>
          </w:tcPr>
          <w:p>
            <w:pPr>
              <w:spacing w:after="0"/>
              <w:rPr>
                <w:sz w:val="24"/>
                <w:szCs w:val="24"/>
                <w:color w:val="auto"/>
              </w:rPr>
            </w:pPr>
          </w:p>
        </w:tc>
        <w:tc>
          <w:tcPr>
            <w:tcW w:w="1000" w:type="dxa"/>
            <w:vAlign w:val="bottom"/>
            <w:shd w:val="clear" w:color="auto" w:fill="DDDDDD"/>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60" w:type="dxa"/>
            <w:vAlign w:val="bottom"/>
            <w:shd w:val="clear" w:color="auto" w:fill="DDDDDD"/>
          </w:tcPr>
          <w:p>
            <w:pPr>
              <w:spacing w:after="0"/>
              <w:rPr>
                <w:sz w:val="24"/>
                <w:szCs w:val="24"/>
                <w:color w:val="auto"/>
              </w:rPr>
            </w:pPr>
          </w:p>
        </w:tc>
        <w:tc>
          <w:tcPr>
            <w:tcW w:w="20" w:type="dxa"/>
            <w:vAlign w:val="bottom"/>
            <w:shd w:val="clear" w:color="auto" w:fill="DDDDDD"/>
          </w:tcPr>
          <w:p>
            <w:pPr>
              <w:spacing w:after="0"/>
              <w:rPr>
                <w:sz w:val="24"/>
                <w:szCs w:val="24"/>
                <w:color w:val="auto"/>
              </w:rPr>
            </w:pPr>
          </w:p>
        </w:tc>
        <w:tc>
          <w:tcPr>
            <w:tcW w:w="300" w:type="dxa"/>
            <w:vAlign w:val="bottom"/>
            <w:shd w:val="clear" w:color="auto" w:fill="DDDDDD"/>
          </w:tcPr>
          <w:p>
            <w:pPr>
              <w:spacing w:after="0"/>
              <w:rPr>
                <w:sz w:val="24"/>
                <w:szCs w:val="24"/>
                <w:color w:val="auto"/>
              </w:rPr>
            </w:pPr>
          </w:p>
        </w:tc>
        <w:tc>
          <w:tcPr>
            <w:tcW w:w="1000" w:type="dxa"/>
            <w:vAlign w:val="bottom"/>
            <w:shd w:val="clear" w:color="auto" w:fill="DDDDDD"/>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60" w:type="dxa"/>
            <w:vAlign w:val="bottom"/>
            <w:shd w:val="clear" w:color="auto" w:fill="DDDDDD"/>
          </w:tcPr>
          <w:p>
            <w:pPr>
              <w:spacing w:after="0"/>
              <w:rPr>
                <w:sz w:val="24"/>
                <w:szCs w:val="24"/>
                <w:color w:val="auto"/>
              </w:rPr>
            </w:pPr>
          </w:p>
        </w:tc>
        <w:tc>
          <w:tcPr>
            <w:tcW w:w="20" w:type="dxa"/>
            <w:vAlign w:val="bottom"/>
            <w:shd w:val="clear" w:color="auto" w:fill="DDDDDD"/>
          </w:tcPr>
          <w:p>
            <w:pPr>
              <w:spacing w:after="0"/>
              <w:rPr>
                <w:sz w:val="24"/>
                <w:szCs w:val="24"/>
                <w:color w:val="auto"/>
              </w:rPr>
            </w:pPr>
          </w:p>
        </w:tc>
        <w:tc>
          <w:tcPr>
            <w:tcW w:w="440" w:type="dxa"/>
            <w:vAlign w:val="bottom"/>
            <w:shd w:val="clear" w:color="auto" w:fill="DDDDDD"/>
          </w:tcPr>
          <w:p>
            <w:pPr>
              <w:spacing w:after="0"/>
              <w:rPr>
                <w:sz w:val="24"/>
                <w:szCs w:val="24"/>
                <w:color w:val="auto"/>
              </w:rPr>
            </w:pPr>
          </w:p>
        </w:tc>
        <w:tc>
          <w:tcPr>
            <w:tcW w:w="860" w:type="dxa"/>
            <w:vAlign w:val="bottom"/>
            <w:shd w:val="clear" w:color="auto" w:fill="DDDDDD"/>
          </w:tcPr>
          <w:p>
            <w:pPr>
              <w:jc w:val="right"/>
              <w:spacing w:after="0"/>
              <w:rPr>
                <w:sz w:val="20"/>
                <w:szCs w:val="20"/>
                <w:color w:val="auto"/>
              </w:rPr>
            </w:pPr>
            <w:r>
              <w:rPr>
                <w:rFonts w:ascii="Times New Roman" w:cs="Times New Roman" w:eastAsia="Times New Roman" w:hAnsi="Times New Roman"/>
                <w:sz w:val="20"/>
                <w:szCs w:val="20"/>
                <w:color w:val="auto"/>
              </w:rPr>
              <w:t>79,969</w:t>
            </w:r>
          </w:p>
        </w:tc>
      </w:tr>
      <w:tr>
        <w:trPr>
          <w:trHeight w:val="288"/>
        </w:trPr>
        <w:tc>
          <w:tcPr>
            <w:tcW w:w="6200" w:type="dxa"/>
            <w:vAlign w:val="bottom"/>
            <w:gridSpan w:val="2"/>
          </w:tcPr>
          <w:p>
            <w:pPr>
              <w:ind w:left="280"/>
              <w:spacing w:after="0"/>
              <w:rPr>
                <w:sz w:val="20"/>
                <w:szCs w:val="20"/>
                <w:color w:val="auto"/>
              </w:rPr>
            </w:pPr>
            <w:r>
              <w:rPr>
                <w:rFonts w:ascii="Times New Roman" w:cs="Times New Roman" w:eastAsia="Times New Roman" w:hAnsi="Times New Roman"/>
                <w:sz w:val="20"/>
                <w:szCs w:val="20"/>
                <w:color w:val="auto"/>
              </w:rPr>
              <w:t>Payment of note payable</w:t>
            </w:r>
          </w:p>
        </w:tc>
        <w:tc>
          <w:tcPr>
            <w:tcW w:w="300" w:type="dxa"/>
            <w:vAlign w:val="bottom"/>
          </w:tcPr>
          <w:p>
            <w:pPr>
              <w:spacing w:after="0"/>
              <w:rPr>
                <w:sz w:val="24"/>
                <w:szCs w:val="24"/>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(205)</w:t>
            </w:r>
          </w:p>
        </w:tc>
      </w:tr>
      <w:tr>
        <w:trPr>
          <w:trHeight w:val="288"/>
        </w:trPr>
        <w:tc>
          <w:tcPr>
            <w:tcW w:w="6200" w:type="dxa"/>
            <w:vAlign w:val="bottom"/>
            <w:tcBorders>
              <w:bottom w:val="single" w:sz="8" w:color="DDDDDD"/>
            </w:tcBorders>
            <w:gridSpan w:val="2"/>
            <w:shd w:val="clear" w:color="auto" w:fill="DDDDDD"/>
          </w:tcPr>
          <w:p>
            <w:pPr>
              <w:ind w:left="280"/>
              <w:spacing w:after="0"/>
              <w:rPr>
                <w:sz w:val="20"/>
                <w:szCs w:val="20"/>
                <w:color w:val="auto"/>
              </w:rPr>
            </w:pPr>
            <w:r>
              <w:rPr>
                <w:rFonts w:ascii="Times New Roman" w:cs="Times New Roman" w:eastAsia="Times New Roman" w:hAnsi="Times New Roman"/>
                <w:sz w:val="20"/>
                <w:szCs w:val="20"/>
                <w:color w:val="auto"/>
              </w:rPr>
              <w:t>Repurchase of Class B Units</w:t>
            </w:r>
          </w:p>
        </w:tc>
        <w:tc>
          <w:tcPr>
            <w:tcW w:w="300" w:type="dxa"/>
            <w:vAlign w:val="bottom"/>
            <w:tcBorders>
              <w:bottom w:val="single" w:sz="8" w:color="auto"/>
            </w:tcBorders>
            <w:shd w:val="clear" w:color="auto" w:fill="DDDDDD"/>
          </w:tcPr>
          <w:p>
            <w:pPr>
              <w:spacing w:after="0"/>
              <w:rPr>
                <w:sz w:val="24"/>
                <w:szCs w:val="24"/>
                <w:color w:val="auto"/>
              </w:rPr>
            </w:pPr>
          </w:p>
        </w:tc>
        <w:tc>
          <w:tcPr>
            <w:tcW w:w="1000" w:type="dxa"/>
            <w:vAlign w:val="bottom"/>
            <w:tcBorders>
              <w:bottom w:val="single" w:sz="8" w:color="auto"/>
            </w:tcBorders>
            <w:shd w:val="clear" w:color="auto" w:fill="DDDDDD"/>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60" w:type="dxa"/>
            <w:vAlign w:val="bottom"/>
            <w:tcBorders>
              <w:bottom w:val="single" w:sz="8" w:color="DDDDDD"/>
            </w:tcBorders>
            <w:shd w:val="clear" w:color="auto" w:fill="DDDDDD"/>
          </w:tcPr>
          <w:p>
            <w:pPr>
              <w:spacing w:after="0"/>
              <w:rPr>
                <w:sz w:val="24"/>
                <w:szCs w:val="24"/>
                <w:color w:val="auto"/>
              </w:rPr>
            </w:pPr>
          </w:p>
        </w:tc>
        <w:tc>
          <w:tcPr>
            <w:tcW w:w="20" w:type="dxa"/>
            <w:vAlign w:val="bottom"/>
            <w:tcBorders>
              <w:bottom w:val="single" w:sz="8" w:color="DDDDDD"/>
            </w:tcBorders>
            <w:shd w:val="clear" w:color="auto" w:fill="DDDDDD"/>
          </w:tcPr>
          <w:p>
            <w:pPr>
              <w:spacing w:after="0"/>
              <w:rPr>
                <w:sz w:val="24"/>
                <w:szCs w:val="24"/>
                <w:color w:val="auto"/>
              </w:rPr>
            </w:pPr>
          </w:p>
        </w:tc>
        <w:tc>
          <w:tcPr>
            <w:tcW w:w="300" w:type="dxa"/>
            <w:vAlign w:val="bottom"/>
            <w:tcBorders>
              <w:bottom w:val="single" w:sz="8" w:color="auto"/>
            </w:tcBorders>
            <w:shd w:val="clear" w:color="auto" w:fill="DDDDDD"/>
          </w:tcPr>
          <w:p>
            <w:pPr>
              <w:spacing w:after="0"/>
              <w:rPr>
                <w:sz w:val="24"/>
                <w:szCs w:val="24"/>
                <w:color w:val="auto"/>
              </w:rPr>
            </w:pPr>
          </w:p>
        </w:tc>
        <w:tc>
          <w:tcPr>
            <w:tcW w:w="1000" w:type="dxa"/>
            <w:vAlign w:val="bottom"/>
            <w:tcBorders>
              <w:bottom w:val="single" w:sz="8" w:color="auto"/>
            </w:tcBorders>
            <w:shd w:val="clear" w:color="auto" w:fill="DDDDDD"/>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60" w:type="dxa"/>
            <w:vAlign w:val="bottom"/>
            <w:tcBorders>
              <w:bottom w:val="single" w:sz="8" w:color="DDDDDD"/>
            </w:tcBorders>
            <w:shd w:val="clear" w:color="auto" w:fill="DDDDDD"/>
          </w:tcPr>
          <w:p>
            <w:pPr>
              <w:spacing w:after="0"/>
              <w:rPr>
                <w:sz w:val="24"/>
                <w:szCs w:val="24"/>
                <w:color w:val="auto"/>
              </w:rPr>
            </w:pPr>
          </w:p>
        </w:tc>
        <w:tc>
          <w:tcPr>
            <w:tcW w:w="20" w:type="dxa"/>
            <w:vAlign w:val="bottom"/>
            <w:tcBorders>
              <w:bottom w:val="single" w:sz="8" w:color="DDDDDD"/>
            </w:tcBorders>
            <w:shd w:val="clear" w:color="auto" w:fill="DDDDDD"/>
          </w:tcPr>
          <w:p>
            <w:pPr>
              <w:spacing w:after="0"/>
              <w:rPr>
                <w:sz w:val="24"/>
                <w:szCs w:val="24"/>
                <w:color w:val="auto"/>
              </w:rPr>
            </w:pPr>
          </w:p>
        </w:tc>
        <w:tc>
          <w:tcPr>
            <w:tcW w:w="440" w:type="dxa"/>
            <w:vAlign w:val="bottom"/>
            <w:tcBorders>
              <w:bottom w:val="single" w:sz="8" w:color="auto"/>
            </w:tcBorders>
            <w:shd w:val="clear" w:color="auto" w:fill="DDDDDD"/>
          </w:tcPr>
          <w:p>
            <w:pPr>
              <w:spacing w:after="0"/>
              <w:rPr>
                <w:sz w:val="24"/>
                <w:szCs w:val="24"/>
                <w:color w:val="auto"/>
              </w:rPr>
            </w:pPr>
          </w:p>
        </w:tc>
        <w:tc>
          <w:tcPr>
            <w:tcW w:w="860" w:type="dxa"/>
            <w:vAlign w:val="bottom"/>
            <w:tcBorders>
              <w:bottom w:val="single" w:sz="8" w:color="auto"/>
            </w:tcBorders>
            <w:shd w:val="clear" w:color="auto" w:fill="DDDDDD"/>
          </w:tcPr>
          <w:p>
            <w:pPr>
              <w:jc w:val="right"/>
              <w:spacing w:after="0"/>
              <w:rPr>
                <w:sz w:val="20"/>
                <w:szCs w:val="20"/>
                <w:color w:val="auto"/>
              </w:rPr>
            </w:pPr>
            <w:r>
              <w:rPr>
                <w:rFonts w:ascii="Times New Roman" w:cs="Times New Roman" w:eastAsia="Times New Roman" w:hAnsi="Times New Roman"/>
                <w:sz w:val="20"/>
                <w:szCs w:val="20"/>
                <w:color w:val="auto"/>
              </w:rPr>
              <w:t>(5,565)</w:t>
            </w:r>
          </w:p>
        </w:tc>
      </w:tr>
      <w:tr>
        <w:trPr>
          <w:trHeight w:val="261"/>
        </w:trPr>
        <w:tc>
          <w:tcPr>
            <w:tcW w:w="6200" w:type="dxa"/>
            <w:vAlign w:val="bottom"/>
            <w:tcBorders>
              <w:bottom w:val="single" w:sz="8" w:color="DDDDDD"/>
            </w:tcBorders>
            <w:gridSpan w:val="2"/>
          </w:tcPr>
          <w:p>
            <w:pPr>
              <w:ind w:left="40"/>
              <w:spacing w:after="0"/>
              <w:rPr>
                <w:sz w:val="20"/>
                <w:szCs w:val="20"/>
                <w:color w:val="auto"/>
              </w:rPr>
            </w:pPr>
            <w:r>
              <w:rPr>
                <w:rFonts w:ascii="Times New Roman" w:cs="Times New Roman" w:eastAsia="Times New Roman" w:hAnsi="Times New Roman"/>
                <w:sz w:val="20"/>
                <w:szCs w:val="20"/>
                <w:color w:val="auto"/>
              </w:rPr>
              <w:t>Net cash (used in) provided by financing activities</w:t>
            </w:r>
          </w:p>
        </w:tc>
        <w:tc>
          <w:tcPr>
            <w:tcW w:w="300" w:type="dxa"/>
            <w:vAlign w:val="bottom"/>
            <w:tcBorders>
              <w:bottom w:val="single" w:sz="8" w:color="auto"/>
            </w:tcBorders>
          </w:tcPr>
          <w:p>
            <w:pPr>
              <w:spacing w:after="0"/>
              <w:rPr>
                <w:sz w:val="22"/>
                <w:szCs w:val="22"/>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(5,290)</w:t>
            </w:r>
          </w:p>
        </w:tc>
        <w:tc>
          <w:tcPr>
            <w:tcW w:w="60" w:type="dxa"/>
            <w:vAlign w:val="bottom"/>
            <w:tcBorders>
              <w:bottom w:val="single" w:sz="8" w:color="DDDDDD"/>
            </w:tcBorders>
          </w:tcPr>
          <w:p>
            <w:pPr>
              <w:spacing w:after="0"/>
              <w:rPr>
                <w:sz w:val="22"/>
                <w:szCs w:val="22"/>
                <w:color w:val="auto"/>
              </w:rPr>
            </w:pPr>
          </w:p>
        </w:tc>
        <w:tc>
          <w:tcPr>
            <w:tcW w:w="20" w:type="dxa"/>
            <w:vAlign w:val="bottom"/>
            <w:tcBorders>
              <w:bottom w:val="single" w:sz="8" w:color="DDDDDD"/>
            </w:tcBorders>
          </w:tcPr>
          <w:p>
            <w:pPr>
              <w:spacing w:after="0"/>
              <w:rPr>
                <w:sz w:val="22"/>
                <w:szCs w:val="22"/>
                <w:color w:val="auto"/>
              </w:rPr>
            </w:pPr>
          </w:p>
        </w:tc>
        <w:tc>
          <w:tcPr>
            <w:tcW w:w="300" w:type="dxa"/>
            <w:vAlign w:val="bottom"/>
            <w:tcBorders>
              <w:bottom w:val="single" w:sz="8" w:color="auto"/>
            </w:tcBorders>
          </w:tcPr>
          <w:p>
            <w:pPr>
              <w:spacing w:after="0"/>
              <w:rPr>
                <w:sz w:val="22"/>
                <w:szCs w:val="22"/>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(9,805)</w:t>
            </w:r>
          </w:p>
        </w:tc>
        <w:tc>
          <w:tcPr>
            <w:tcW w:w="60" w:type="dxa"/>
            <w:vAlign w:val="bottom"/>
            <w:tcBorders>
              <w:bottom w:val="single" w:sz="8" w:color="DDDDDD"/>
            </w:tcBorders>
          </w:tcPr>
          <w:p>
            <w:pPr>
              <w:spacing w:after="0"/>
              <w:rPr>
                <w:sz w:val="22"/>
                <w:szCs w:val="22"/>
                <w:color w:val="auto"/>
              </w:rPr>
            </w:pPr>
          </w:p>
        </w:tc>
        <w:tc>
          <w:tcPr>
            <w:tcW w:w="20" w:type="dxa"/>
            <w:vAlign w:val="bottom"/>
            <w:tcBorders>
              <w:bottom w:val="single" w:sz="8" w:color="DDDDDD"/>
            </w:tcBorders>
          </w:tcPr>
          <w:p>
            <w:pPr>
              <w:spacing w:after="0"/>
              <w:rPr>
                <w:sz w:val="22"/>
                <w:szCs w:val="22"/>
                <w:color w:val="auto"/>
              </w:rPr>
            </w:pPr>
          </w:p>
        </w:tc>
        <w:tc>
          <w:tcPr>
            <w:tcW w:w="440" w:type="dxa"/>
            <w:vAlign w:val="bottom"/>
            <w:tcBorders>
              <w:bottom w:val="single" w:sz="8" w:color="auto"/>
            </w:tcBorders>
          </w:tcPr>
          <w:p>
            <w:pPr>
              <w:spacing w:after="0"/>
              <w:rPr>
                <w:sz w:val="22"/>
                <w:szCs w:val="22"/>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48,103</w:t>
            </w:r>
          </w:p>
        </w:tc>
      </w:tr>
      <w:tr>
        <w:trPr>
          <w:trHeight w:val="268"/>
        </w:trPr>
        <w:tc>
          <w:tcPr>
            <w:tcW w:w="6180" w:type="dxa"/>
            <w:vAlign w:val="bottom"/>
            <w:shd w:val="clear" w:color="auto" w:fill="DDDDDD"/>
          </w:tcPr>
          <w:p>
            <w:pPr>
              <w:spacing w:after="0"/>
              <w:rPr>
                <w:sz w:val="23"/>
                <w:szCs w:val="23"/>
                <w:color w:val="auto"/>
              </w:rPr>
            </w:pPr>
          </w:p>
        </w:tc>
        <w:tc>
          <w:tcPr>
            <w:tcW w:w="20" w:type="dxa"/>
            <w:vAlign w:val="bottom"/>
            <w:shd w:val="clear" w:color="auto" w:fill="DDDDDD"/>
          </w:tcPr>
          <w:p>
            <w:pPr>
              <w:spacing w:after="0"/>
              <w:rPr>
                <w:sz w:val="23"/>
                <w:szCs w:val="23"/>
                <w:color w:val="auto"/>
              </w:rPr>
            </w:pPr>
          </w:p>
        </w:tc>
        <w:tc>
          <w:tcPr>
            <w:tcW w:w="300" w:type="dxa"/>
            <w:vAlign w:val="bottom"/>
            <w:shd w:val="clear" w:color="auto" w:fill="DDDDDD"/>
          </w:tcPr>
          <w:p>
            <w:pPr>
              <w:spacing w:after="0"/>
              <w:rPr>
                <w:sz w:val="23"/>
                <w:szCs w:val="23"/>
                <w:color w:val="auto"/>
              </w:rPr>
            </w:pPr>
          </w:p>
        </w:tc>
        <w:tc>
          <w:tcPr>
            <w:tcW w:w="1000" w:type="dxa"/>
            <w:vAlign w:val="bottom"/>
            <w:shd w:val="clear" w:color="auto" w:fill="DDDDDD"/>
          </w:tcPr>
          <w:p>
            <w:pPr>
              <w:spacing w:after="0"/>
              <w:rPr>
                <w:sz w:val="23"/>
                <w:szCs w:val="23"/>
                <w:color w:val="auto"/>
              </w:rPr>
            </w:pPr>
          </w:p>
        </w:tc>
        <w:tc>
          <w:tcPr>
            <w:tcW w:w="60" w:type="dxa"/>
            <w:vAlign w:val="bottom"/>
            <w:shd w:val="clear" w:color="auto" w:fill="DDDDDD"/>
          </w:tcPr>
          <w:p>
            <w:pPr>
              <w:spacing w:after="0"/>
              <w:rPr>
                <w:sz w:val="23"/>
                <w:szCs w:val="23"/>
                <w:color w:val="auto"/>
              </w:rPr>
            </w:pPr>
          </w:p>
        </w:tc>
        <w:tc>
          <w:tcPr>
            <w:tcW w:w="20" w:type="dxa"/>
            <w:vAlign w:val="bottom"/>
            <w:shd w:val="clear" w:color="auto" w:fill="DDDDDD"/>
          </w:tcPr>
          <w:p>
            <w:pPr>
              <w:spacing w:after="0"/>
              <w:rPr>
                <w:sz w:val="23"/>
                <w:szCs w:val="23"/>
                <w:color w:val="auto"/>
              </w:rPr>
            </w:pPr>
          </w:p>
        </w:tc>
        <w:tc>
          <w:tcPr>
            <w:tcW w:w="300" w:type="dxa"/>
            <w:vAlign w:val="bottom"/>
            <w:shd w:val="clear" w:color="auto" w:fill="DDDDDD"/>
          </w:tcPr>
          <w:p>
            <w:pPr>
              <w:spacing w:after="0"/>
              <w:rPr>
                <w:sz w:val="23"/>
                <w:szCs w:val="23"/>
                <w:color w:val="auto"/>
              </w:rPr>
            </w:pPr>
          </w:p>
        </w:tc>
        <w:tc>
          <w:tcPr>
            <w:tcW w:w="1000" w:type="dxa"/>
            <w:vAlign w:val="bottom"/>
            <w:shd w:val="clear" w:color="auto" w:fill="DDDDDD"/>
          </w:tcPr>
          <w:p>
            <w:pPr>
              <w:spacing w:after="0"/>
              <w:rPr>
                <w:sz w:val="23"/>
                <w:szCs w:val="23"/>
                <w:color w:val="auto"/>
              </w:rPr>
            </w:pPr>
          </w:p>
        </w:tc>
        <w:tc>
          <w:tcPr>
            <w:tcW w:w="60" w:type="dxa"/>
            <w:vAlign w:val="bottom"/>
            <w:shd w:val="clear" w:color="auto" w:fill="DDDDDD"/>
          </w:tcPr>
          <w:p>
            <w:pPr>
              <w:spacing w:after="0"/>
              <w:rPr>
                <w:sz w:val="23"/>
                <w:szCs w:val="23"/>
                <w:color w:val="auto"/>
              </w:rPr>
            </w:pPr>
          </w:p>
        </w:tc>
        <w:tc>
          <w:tcPr>
            <w:tcW w:w="20" w:type="dxa"/>
            <w:vAlign w:val="bottom"/>
            <w:shd w:val="clear" w:color="auto" w:fill="DDDDDD"/>
          </w:tcPr>
          <w:p>
            <w:pPr>
              <w:spacing w:after="0"/>
              <w:rPr>
                <w:sz w:val="23"/>
                <w:szCs w:val="23"/>
                <w:color w:val="auto"/>
              </w:rPr>
            </w:pPr>
          </w:p>
        </w:tc>
        <w:tc>
          <w:tcPr>
            <w:tcW w:w="440" w:type="dxa"/>
            <w:vAlign w:val="bottom"/>
            <w:shd w:val="clear" w:color="auto" w:fill="DDDDDD"/>
          </w:tcPr>
          <w:p>
            <w:pPr>
              <w:spacing w:after="0"/>
              <w:rPr>
                <w:sz w:val="23"/>
                <w:szCs w:val="23"/>
                <w:color w:val="auto"/>
              </w:rPr>
            </w:pPr>
          </w:p>
        </w:tc>
        <w:tc>
          <w:tcPr>
            <w:tcW w:w="860" w:type="dxa"/>
            <w:vAlign w:val="bottom"/>
            <w:shd w:val="clear" w:color="auto" w:fill="DDDDDD"/>
          </w:tcPr>
          <w:p>
            <w:pPr>
              <w:spacing w:after="0"/>
              <w:rPr>
                <w:sz w:val="23"/>
                <w:szCs w:val="23"/>
                <w:color w:val="auto"/>
              </w:rPr>
            </w:pPr>
          </w:p>
        </w:tc>
      </w:tr>
      <w:tr>
        <w:trPr>
          <w:trHeight w:val="288"/>
        </w:trPr>
        <w:tc>
          <w:tcPr>
            <w:tcW w:w="6200" w:type="dxa"/>
            <w:vAlign w:val="bottom"/>
            <w:gridSpan w:val="2"/>
          </w:tcPr>
          <w:p>
            <w:pPr>
              <w:ind w:left="40"/>
              <w:spacing w:after="0"/>
              <w:rPr>
                <w:sz w:val="20"/>
                <w:szCs w:val="20"/>
                <w:color w:val="auto"/>
              </w:rPr>
            </w:pPr>
            <w:r>
              <w:rPr>
                <w:rFonts w:ascii="Times New Roman" w:cs="Times New Roman" w:eastAsia="Times New Roman" w:hAnsi="Times New Roman"/>
                <w:sz w:val="20"/>
                <w:szCs w:val="20"/>
                <w:color w:val="auto"/>
              </w:rPr>
              <w:t>Net increase (decrease) in cash</w:t>
            </w:r>
          </w:p>
        </w:tc>
        <w:tc>
          <w:tcPr>
            <w:tcW w:w="300" w:type="dxa"/>
            <w:vAlign w:val="bottom"/>
          </w:tcPr>
          <w:p>
            <w:pPr>
              <w:spacing w:after="0"/>
              <w:rPr>
                <w:sz w:val="24"/>
                <w:szCs w:val="24"/>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5,767</w:t>
            </w: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(39,194)</w:t>
            </w: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47,858</w:t>
            </w:r>
          </w:p>
        </w:tc>
      </w:tr>
      <w:tr>
        <w:trPr>
          <w:trHeight w:val="281"/>
        </w:trPr>
        <w:tc>
          <w:tcPr>
            <w:tcW w:w="6200" w:type="dxa"/>
            <w:vAlign w:val="bottom"/>
            <w:gridSpan w:val="2"/>
            <w:shd w:val="clear" w:color="auto" w:fill="DDDDDD"/>
          </w:tcPr>
          <w:p>
            <w:pPr>
              <w:ind w:left="40"/>
              <w:spacing w:after="0"/>
              <w:rPr>
                <w:sz w:val="20"/>
                <w:szCs w:val="20"/>
                <w:color w:val="auto"/>
              </w:rPr>
            </w:pPr>
            <w:r>
              <w:rPr>
                <w:rFonts w:ascii="Times New Roman" w:cs="Times New Roman" w:eastAsia="Times New Roman" w:hAnsi="Times New Roman"/>
                <w:sz w:val="20"/>
                <w:szCs w:val="20"/>
                <w:color w:val="auto"/>
              </w:rPr>
              <w:t>Cash – beginning of year</w:t>
            </w:r>
          </w:p>
        </w:tc>
        <w:tc>
          <w:tcPr>
            <w:tcW w:w="300" w:type="dxa"/>
            <w:vAlign w:val="bottom"/>
            <w:tcBorders>
              <w:bottom w:val="single" w:sz="8" w:color="auto"/>
            </w:tcBorders>
            <w:shd w:val="clear" w:color="auto" w:fill="DDDDDD"/>
          </w:tcPr>
          <w:p>
            <w:pPr>
              <w:spacing w:after="0"/>
              <w:rPr>
                <w:sz w:val="24"/>
                <w:szCs w:val="24"/>
                <w:color w:val="auto"/>
              </w:rPr>
            </w:pPr>
          </w:p>
        </w:tc>
        <w:tc>
          <w:tcPr>
            <w:tcW w:w="1000" w:type="dxa"/>
            <w:vAlign w:val="bottom"/>
            <w:tcBorders>
              <w:bottom w:val="single" w:sz="8" w:color="auto"/>
            </w:tcBorders>
            <w:shd w:val="clear" w:color="auto" w:fill="DDDDDD"/>
          </w:tcPr>
          <w:p>
            <w:pPr>
              <w:jc w:val="right"/>
              <w:spacing w:after="0"/>
              <w:rPr>
                <w:sz w:val="20"/>
                <w:szCs w:val="20"/>
                <w:color w:val="auto"/>
              </w:rPr>
            </w:pPr>
            <w:r>
              <w:rPr>
                <w:rFonts w:ascii="Times New Roman" w:cs="Times New Roman" w:eastAsia="Times New Roman" w:hAnsi="Times New Roman"/>
                <w:sz w:val="20"/>
                <w:szCs w:val="20"/>
                <w:color w:val="auto"/>
              </w:rPr>
              <w:t>28,583</w:t>
            </w:r>
          </w:p>
        </w:tc>
        <w:tc>
          <w:tcPr>
            <w:tcW w:w="60" w:type="dxa"/>
            <w:vAlign w:val="bottom"/>
            <w:shd w:val="clear" w:color="auto" w:fill="DDDDDD"/>
          </w:tcPr>
          <w:p>
            <w:pPr>
              <w:spacing w:after="0"/>
              <w:rPr>
                <w:sz w:val="24"/>
                <w:szCs w:val="24"/>
                <w:color w:val="auto"/>
              </w:rPr>
            </w:pPr>
          </w:p>
        </w:tc>
        <w:tc>
          <w:tcPr>
            <w:tcW w:w="20" w:type="dxa"/>
            <w:vAlign w:val="bottom"/>
            <w:shd w:val="clear" w:color="auto" w:fill="DDDDDD"/>
          </w:tcPr>
          <w:p>
            <w:pPr>
              <w:spacing w:after="0"/>
              <w:rPr>
                <w:sz w:val="24"/>
                <w:szCs w:val="24"/>
                <w:color w:val="auto"/>
              </w:rPr>
            </w:pPr>
          </w:p>
        </w:tc>
        <w:tc>
          <w:tcPr>
            <w:tcW w:w="300" w:type="dxa"/>
            <w:vAlign w:val="bottom"/>
            <w:tcBorders>
              <w:bottom w:val="single" w:sz="8" w:color="auto"/>
            </w:tcBorders>
            <w:shd w:val="clear" w:color="auto" w:fill="DDDDDD"/>
          </w:tcPr>
          <w:p>
            <w:pPr>
              <w:spacing w:after="0"/>
              <w:rPr>
                <w:sz w:val="24"/>
                <w:szCs w:val="24"/>
                <w:color w:val="auto"/>
              </w:rPr>
            </w:pPr>
          </w:p>
        </w:tc>
        <w:tc>
          <w:tcPr>
            <w:tcW w:w="1000" w:type="dxa"/>
            <w:vAlign w:val="bottom"/>
            <w:tcBorders>
              <w:bottom w:val="single" w:sz="8" w:color="auto"/>
            </w:tcBorders>
            <w:shd w:val="clear" w:color="auto" w:fill="DDDDDD"/>
          </w:tcPr>
          <w:p>
            <w:pPr>
              <w:jc w:val="right"/>
              <w:spacing w:after="0"/>
              <w:rPr>
                <w:sz w:val="20"/>
                <w:szCs w:val="20"/>
                <w:color w:val="auto"/>
              </w:rPr>
            </w:pPr>
            <w:r>
              <w:rPr>
                <w:rFonts w:ascii="Times New Roman" w:cs="Times New Roman" w:eastAsia="Times New Roman" w:hAnsi="Times New Roman"/>
                <w:sz w:val="20"/>
                <w:szCs w:val="20"/>
                <w:color w:val="auto"/>
              </w:rPr>
              <w:t>67,777</w:t>
            </w:r>
          </w:p>
        </w:tc>
        <w:tc>
          <w:tcPr>
            <w:tcW w:w="60" w:type="dxa"/>
            <w:vAlign w:val="bottom"/>
            <w:shd w:val="clear" w:color="auto" w:fill="DDDDDD"/>
          </w:tcPr>
          <w:p>
            <w:pPr>
              <w:spacing w:after="0"/>
              <w:rPr>
                <w:sz w:val="24"/>
                <w:szCs w:val="24"/>
                <w:color w:val="auto"/>
              </w:rPr>
            </w:pPr>
          </w:p>
        </w:tc>
        <w:tc>
          <w:tcPr>
            <w:tcW w:w="20" w:type="dxa"/>
            <w:vAlign w:val="bottom"/>
            <w:shd w:val="clear" w:color="auto" w:fill="DDDDDD"/>
          </w:tcPr>
          <w:p>
            <w:pPr>
              <w:spacing w:after="0"/>
              <w:rPr>
                <w:sz w:val="24"/>
                <w:szCs w:val="24"/>
                <w:color w:val="auto"/>
              </w:rPr>
            </w:pPr>
          </w:p>
        </w:tc>
        <w:tc>
          <w:tcPr>
            <w:tcW w:w="440" w:type="dxa"/>
            <w:vAlign w:val="bottom"/>
            <w:tcBorders>
              <w:bottom w:val="single" w:sz="8" w:color="auto"/>
            </w:tcBorders>
            <w:shd w:val="clear" w:color="auto" w:fill="DDDDDD"/>
          </w:tcPr>
          <w:p>
            <w:pPr>
              <w:spacing w:after="0"/>
              <w:rPr>
                <w:sz w:val="24"/>
                <w:szCs w:val="24"/>
                <w:color w:val="auto"/>
              </w:rPr>
            </w:pPr>
          </w:p>
        </w:tc>
        <w:tc>
          <w:tcPr>
            <w:tcW w:w="860" w:type="dxa"/>
            <w:vAlign w:val="bottom"/>
            <w:tcBorders>
              <w:bottom w:val="single" w:sz="8" w:color="auto"/>
            </w:tcBorders>
            <w:shd w:val="clear" w:color="auto" w:fill="DDDDDD"/>
          </w:tcPr>
          <w:p>
            <w:pPr>
              <w:jc w:val="right"/>
              <w:spacing w:after="0"/>
              <w:rPr>
                <w:sz w:val="20"/>
                <w:szCs w:val="20"/>
                <w:color w:val="auto"/>
              </w:rPr>
            </w:pPr>
            <w:r>
              <w:rPr>
                <w:rFonts w:ascii="Times New Roman" w:cs="Times New Roman" w:eastAsia="Times New Roman" w:hAnsi="Times New Roman"/>
                <w:sz w:val="20"/>
                <w:szCs w:val="20"/>
                <w:color w:val="auto"/>
              </w:rPr>
              <w:t>19,919</w:t>
            </w:r>
          </w:p>
        </w:tc>
      </w:tr>
      <w:tr>
        <w:trPr>
          <w:trHeight w:val="282"/>
        </w:trPr>
        <w:tc>
          <w:tcPr>
            <w:tcW w:w="6200" w:type="dxa"/>
            <w:vAlign w:val="bottom"/>
            <w:gridSpan w:val="2"/>
          </w:tcPr>
          <w:p>
            <w:pPr>
              <w:ind w:left="40"/>
              <w:spacing w:after="0"/>
              <w:rPr>
                <w:sz w:val="20"/>
                <w:szCs w:val="20"/>
                <w:color w:val="auto"/>
              </w:rPr>
            </w:pPr>
            <w:r>
              <w:rPr>
                <w:rFonts w:ascii="Times New Roman" w:cs="Times New Roman" w:eastAsia="Times New Roman" w:hAnsi="Times New Roman"/>
                <w:sz w:val="20"/>
                <w:szCs w:val="20"/>
                <w:color w:val="auto"/>
              </w:rPr>
              <w:t>Cash – end of year</w:t>
            </w:r>
          </w:p>
        </w:tc>
        <w:tc>
          <w:tcPr>
            <w:tcW w:w="300" w:type="dxa"/>
            <w:vAlign w:val="bottom"/>
          </w:tcPr>
          <w:p>
            <w:pPr>
              <w:jc w:val="right"/>
              <w:ind w:right="59"/>
              <w:spacing w:after="0"/>
              <w:rPr>
                <w:sz w:val="20"/>
                <w:szCs w:val="20"/>
                <w:color w:val="auto"/>
              </w:rPr>
            </w:pPr>
            <w:r>
              <w:rPr>
                <w:rFonts w:ascii="Times New Roman" w:cs="Times New Roman" w:eastAsia="Times New Roman" w:hAnsi="Times New Roman"/>
                <w:sz w:val="20"/>
                <w:szCs w:val="20"/>
                <w:color w:val="auto"/>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34,350</w:t>
            </w:r>
          </w:p>
        </w:tc>
        <w:tc>
          <w:tcPr>
            <w:tcW w:w="380" w:type="dxa"/>
            <w:vAlign w:val="bottom"/>
            <w:gridSpan w:val="3"/>
          </w:tcPr>
          <w:p>
            <w:pPr>
              <w:jc w:val="right"/>
              <w:ind w:right="160"/>
              <w:spacing w:after="0"/>
              <w:rPr>
                <w:sz w:val="20"/>
                <w:szCs w:val="20"/>
                <w:color w:val="auto"/>
              </w:rPr>
            </w:pPr>
            <w:r>
              <w:rPr>
                <w:rFonts w:ascii="Times New Roman" w:cs="Times New Roman" w:eastAsia="Times New Roman" w:hAnsi="Times New Roman"/>
                <w:sz w:val="20"/>
                <w:szCs w:val="20"/>
                <w:color w:val="auto"/>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28,583</w:t>
            </w:r>
          </w:p>
        </w:tc>
        <w:tc>
          <w:tcPr>
            <w:tcW w:w="520" w:type="dxa"/>
            <w:vAlign w:val="bottom"/>
            <w:gridSpan w:val="3"/>
          </w:tcPr>
          <w:p>
            <w:pPr>
              <w:jc w:val="right"/>
              <w:ind w:right="300"/>
              <w:spacing w:after="0"/>
              <w:rPr>
                <w:sz w:val="20"/>
                <w:szCs w:val="20"/>
                <w:color w:val="auto"/>
              </w:rPr>
            </w:pPr>
            <w:r>
              <w:rPr>
                <w:rFonts w:ascii="Times New Roman" w:cs="Times New Roman" w:eastAsia="Times New Roman" w:hAnsi="Times New Roman"/>
                <w:sz w:val="20"/>
                <w:szCs w:val="20"/>
                <w:color w:val="auto"/>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67,777</w:t>
            </w:r>
          </w:p>
        </w:tc>
      </w:tr>
      <w:tr>
        <w:trPr>
          <w:trHeight w:val="20"/>
        </w:trPr>
        <w:tc>
          <w:tcPr>
            <w:tcW w:w="6180" w:type="dxa"/>
            <w:vAlign w:val="bottom"/>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r>
    </w:tbl>
    <w:p>
      <w:pPr>
        <w:spacing w:after="0" w:line="10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The accompanying notes are an integral part of these consolidated financial statements.</w:t>
      </w:r>
    </w:p>
    <w:p>
      <w:pPr>
        <w:spacing w:after="0" w:line="40"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20"/>
          <w:szCs w:val="20"/>
          <w:color w:val="auto"/>
        </w:rPr>
        <w:t>F-4</w:t>
      </w:r>
    </w:p>
    <w:p>
      <w:pPr>
        <w:sectPr>
          <w:pgSz w:w="12240" w:h="15840" w:orient="portrait"/>
          <w:cols w:equalWidth="0" w:num="1">
            <w:col w:w="10260"/>
          </w:cols>
          <w:pgMar w:left="1000" w:top="882" w:right="980" w:bottom="197" w:gutter="0" w:footer="0" w:header="0"/>
        </w:sectPr>
      </w:pPr>
    </w:p>
    <w:bookmarkStart w:id="124" w:name="page125"/>
    <w:bookmarkEnd w:id="124"/>
    <w:p>
      <w:pPr>
        <w:jc w:val="center"/>
        <w:ind w:right="20"/>
        <w:spacing w:after="0"/>
        <w:rPr>
          <w:sz w:val="20"/>
          <w:szCs w:val="20"/>
          <w:color w:val="auto"/>
        </w:rPr>
      </w:pPr>
      <w:r>
        <w:rPr>
          <w:rFonts w:ascii="Times New Roman" w:cs="Times New Roman" w:eastAsia="Times New Roman" w:hAnsi="Times New Roman"/>
          <w:sz w:val="20"/>
          <w:szCs w:val="20"/>
          <w:b w:val="1"/>
          <w:bCs w:val="1"/>
          <w:color w:val="auto"/>
        </w:rPr>
        <w:t>WM TECHNOLOGY, INC. AND SUBSIDIARIES</w:t>
      </w:r>
    </w:p>
    <w:p>
      <w:pPr>
        <w:spacing w:after="0" w:line="48"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20"/>
          <w:szCs w:val="20"/>
          <w:b w:val="1"/>
          <w:bCs w:val="1"/>
          <w:color w:val="auto"/>
        </w:rPr>
        <w:t>CONSOLIDATED STATEMENTS OF CASH FLOWS</w:t>
      </w:r>
    </w:p>
    <w:p>
      <w:pPr>
        <w:spacing w:after="0" w:line="47"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20"/>
          <w:szCs w:val="20"/>
          <w:b w:val="1"/>
          <w:bCs w:val="1"/>
          <w:color w:val="auto"/>
        </w:rPr>
        <w:t>(In thousands)</w:t>
      </w:r>
    </w:p>
    <w:p>
      <w:pPr>
        <w:spacing w:after="0" w:line="48"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20"/>
          <w:szCs w:val="20"/>
          <w:b w:val="1"/>
          <w:bCs w:val="1"/>
          <w:color w:val="auto"/>
        </w:rPr>
        <w:t>(Continued)</w:t>
      </w:r>
    </w:p>
    <w:p>
      <w:pPr>
        <w:spacing w:after="0" w:line="212" w:lineRule="exact"/>
        <w:rPr>
          <w:sz w:val="20"/>
          <w:szCs w:val="20"/>
          <w:color w:val="auto"/>
        </w:rPr>
      </w:pPr>
    </w:p>
    <w:tbl>
      <w:tblPr>
        <w:tblLayout w:type="fixed"/>
        <w:tblInd w:w="0" w:type="dxa"/>
        <w:tblCellMar>
          <w:top w:w="0" w:type="dxa"/>
          <w:left w:w="0" w:type="dxa"/>
          <w:bottom w:w="0" w:type="dxa"/>
          <w:right w:w="0" w:type="dxa"/>
        </w:tblCellMar>
      </w:tblPr>
      <w:tr>
        <w:trPr>
          <w:trHeight w:val="281"/>
        </w:trPr>
        <w:tc>
          <w:tcPr>
            <w:tcW w:w="6200" w:type="dxa"/>
            <w:vAlign w:val="bottom"/>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2880" w:type="dxa"/>
            <w:vAlign w:val="bottom"/>
            <w:tcBorders>
              <w:bottom w:val="single" w:sz="8" w:color="auto"/>
            </w:tcBorders>
            <w:gridSpan w:val="6"/>
          </w:tcPr>
          <w:p>
            <w:pPr>
              <w:jc w:val="right"/>
              <w:spacing w:after="0"/>
              <w:rPr>
                <w:sz w:val="20"/>
                <w:szCs w:val="20"/>
                <w:color w:val="auto"/>
              </w:rPr>
            </w:pPr>
            <w:r>
              <w:rPr>
                <w:rFonts w:ascii="Times New Roman" w:cs="Times New Roman" w:eastAsia="Times New Roman" w:hAnsi="Times New Roman"/>
                <w:sz w:val="20"/>
                <w:szCs w:val="20"/>
                <w:b w:val="1"/>
                <w:bCs w:val="1"/>
                <w:color w:val="auto"/>
              </w:rPr>
              <w:t>Years Ended December 31,</w:t>
            </w:r>
          </w:p>
        </w:tc>
        <w:tc>
          <w:tcPr>
            <w:tcW w:w="88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301"/>
        </w:trPr>
        <w:tc>
          <w:tcPr>
            <w:tcW w:w="6200" w:type="dxa"/>
            <w:vAlign w:val="bottom"/>
            <w:tcBorders>
              <w:bottom w:val="single" w:sz="8" w:color="DDDDDD"/>
            </w:tcBorders>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1020" w:type="dxa"/>
            <w:vAlign w:val="bottom"/>
            <w:tcBorders>
              <w:bottom w:val="single" w:sz="8" w:color="auto"/>
            </w:tcBorders>
          </w:tcPr>
          <w:p>
            <w:pPr>
              <w:jc w:val="right"/>
              <w:ind w:right="359"/>
              <w:spacing w:after="0"/>
              <w:rPr>
                <w:sz w:val="20"/>
                <w:szCs w:val="20"/>
                <w:color w:val="auto"/>
              </w:rPr>
            </w:pPr>
            <w:r>
              <w:rPr>
                <w:rFonts w:ascii="Times New Roman" w:cs="Times New Roman" w:eastAsia="Times New Roman" w:hAnsi="Times New Roman"/>
                <w:sz w:val="20"/>
                <w:szCs w:val="20"/>
                <w:b w:val="1"/>
                <w:bCs w:val="1"/>
                <w:color w:val="auto"/>
              </w:rPr>
              <w:t>2023</w:t>
            </w:r>
          </w:p>
        </w:tc>
        <w:tc>
          <w:tcPr>
            <w:tcW w:w="60" w:type="dxa"/>
            <w:vAlign w:val="bottom"/>
            <w:tcBorders>
              <w:bottom w:val="single" w:sz="8" w:color="DDDDDD"/>
            </w:tcBorders>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1000" w:type="dxa"/>
            <w:vAlign w:val="bottom"/>
            <w:tcBorders>
              <w:bottom w:val="single" w:sz="8" w:color="auto"/>
            </w:tcBorders>
          </w:tcPr>
          <w:p>
            <w:pPr>
              <w:jc w:val="right"/>
              <w:ind w:right="359"/>
              <w:spacing w:after="0"/>
              <w:rPr>
                <w:sz w:val="20"/>
                <w:szCs w:val="20"/>
                <w:color w:val="auto"/>
              </w:rPr>
            </w:pPr>
            <w:r>
              <w:rPr>
                <w:rFonts w:ascii="Times New Roman" w:cs="Times New Roman" w:eastAsia="Times New Roman" w:hAnsi="Times New Roman"/>
                <w:sz w:val="20"/>
                <w:szCs w:val="20"/>
                <w:b w:val="1"/>
                <w:bCs w:val="1"/>
                <w:color w:val="auto"/>
              </w:rPr>
              <w:t>2022</w:t>
            </w:r>
          </w:p>
        </w:tc>
        <w:tc>
          <w:tcPr>
            <w:tcW w:w="60" w:type="dxa"/>
            <w:vAlign w:val="bottom"/>
          </w:tcPr>
          <w:p>
            <w:pPr>
              <w:spacing w:after="0"/>
              <w:rPr>
                <w:sz w:val="24"/>
                <w:szCs w:val="24"/>
                <w:color w:val="auto"/>
              </w:rPr>
            </w:pPr>
          </w:p>
        </w:tc>
        <w:tc>
          <w:tcPr>
            <w:tcW w:w="42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tcPr>
          <w:p>
            <w:pPr>
              <w:jc w:val="right"/>
              <w:ind w:right="359"/>
              <w:spacing w:after="0"/>
              <w:rPr>
                <w:sz w:val="20"/>
                <w:szCs w:val="20"/>
                <w:color w:val="auto"/>
              </w:rPr>
            </w:pPr>
            <w:r>
              <w:rPr>
                <w:rFonts w:ascii="Times New Roman" w:cs="Times New Roman" w:eastAsia="Times New Roman" w:hAnsi="Times New Roman"/>
                <w:sz w:val="20"/>
                <w:szCs w:val="20"/>
                <w:b w:val="1"/>
                <w:bCs w:val="1"/>
                <w:color w:val="auto"/>
                <w:w w:val="99"/>
              </w:rPr>
              <w:t>2021</w:t>
            </w:r>
          </w:p>
        </w:tc>
        <w:tc>
          <w:tcPr>
            <w:tcW w:w="0" w:type="dxa"/>
            <w:vAlign w:val="bottom"/>
          </w:tcPr>
          <w:p>
            <w:pPr>
              <w:spacing w:after="0"/>
              <w:rPr>
                <w:sz w:val="1"/>
                <w:szCs w:val="1"/>
                <w:color w:val="auto"/>
              </w:rPr>
            </w:pPr>
          </w:p>
        </w:tc>
      </w:tr>
      <w:tr>
        <w:trPr>
          <w:trHeight w:val="259"/>
        </w:trPr>
        <w:tc>
          <w:tcPr>
            <w:tcW w:w="6200" w:type="dxa"/>
            <w:vAlign w:val="bottom"/>
            <w:shd w:val="clear" w:color="auto" w:fill="DDDDDD"/>
          </w:tcPr>
          <w:p>
            <w:pPr>
              <w:ind w:left="40"/>
              <w:spacing w:after="0"/>
              <w:rPr>
                <w:sz w:val="20"/>
                <w:szCs w:val="20"/>
                <w:color w:val="auto"/>
              </w:rPr>
            </w:pPr>
            <w:r>
              <w:rPr>
                <w:rFonts w:ascii="Times New Roman" w:cs="Times New Roman" w:eastAsia="Times New Roman" w:hAnsi="Times New Roman"/>
                <w:sz w:val="20"/>
                <w:szCs w:val="20"/>
                <w:b w:val="1"/>
                <w:bCs w:val="1"/>
                <w:color w:val="auto"/>
              </w:rPr>
              <w:t>Supplemental disclosure of cash flow information</w:t>
            </w:r>
          </w:p>
        </w:tc>
        <w:tc>
          <w:tcPr>
            <w:tcW w:w="300" w:type="dxa"/>
            <w:vAlign w:val="bottom"/>
            <w:shd w:val="clear" w:color="auto" w:fill="DDDDDD"/>
          </w:tcPr>
          <w:p>
            <w:pPr>
              <w:spacing w:after="0"/>
              <w:rPr>
                <w:sz w:val="22"/>
                <w:szCs w:val="22"/>
                <w:color w:val="auto"/>
              </w:rPr>
            </w:pPr>
          </w:p>
        </w:tc>
        <w:tc>
          <w:tcPr>
            <w:tcW w:w="1020" w:type="dxa"/>
            <w:vAlign w:val="bottom"/>
            <w:shd w:val="clear" w:color="auto" w:fill="DDDDDD"/>
          </w:tcPr>
          <w:p>
            <w:pPr>
              <w:spacing w:after="0"/>
              <w:rPr>
                <w:sz w:val="22"/>
                <w:szCs w:val="22"/>
                <w:color w:val="auto"/>
              </w:rPr>
            </w:pPr>
          </w:p>
        </w:tc>
        <w:tc>
          <w:tcPr>
            <w:tcW w:w="60" w:type="dxa"/>
            <w:vAlign w:val="bottom"/>
            <w:shd w:val="clear" w:color="auto" w:fill="DDDDDD"/>
          </w:tcPr>
          <w:p>
            <w:pPr>
              <w:spacing w:after="0"/>
              <w:rPr>
                <w:sz w:val="22"/>
                <w:szCs w:val="22"/>
                <w:color w:val="auto"/>
              </w:rPr>
            </w:pPr>
          </w:p>
        </w:tc>
        <w:tc>
          <w:tcPr>
            <w:tcW w:w="320" w:type="dxa"/>
            <w:vAlign w:val="bottom"/>
            <w:shd w:val="clear" w:color="auto" w:fill="DDDDDD"/>
          </w:tcPr>
          <w:p>
            <w:pPr>
              <w:spacing w:after="0"/>
              <w:rPr>
                <w:sz w:val="22"/>
                <w:szCs w:val="22"/>
                <w:color w:val="auto"/>
              </w:rPr>
            </w:pPr>
          </w:p>
        </w:tc>
        <w:tc>
          <w:tcPr>
            <w:tcW w:w="1000" w:type="dxa"/>
            <w:vAlign w:val="bottom"/>
            <w:shd w:val="clear" w:color="auto" w:fill="DDDDDD"/>
          </w:tcPr>
          <w:p>
            <w:pPr>
              <w:spacing w:after="0"/>
              <w:rPr>
                <w:sz w:val="22"/>
                <w:szCs w:val="22"/>
                <w:color w:val="auto"/>
              </w:rPr>
            </w:pPr>
          </w:p>
        </w:tc>
        <w:tc>
          <w:tcPr>
            <w:tcW w:w="60" w:type="dxa"/>
            <w:vAlign w:val="bottom"/>
            <w:shd w:val="clear" w:color="auto" w:fill="DDDDDD"/>
          </w:tcPr>
          <w:p>
            <w:pPr>
              <w:spacing w:after="0"/>
              <w:rPr>
                <w:sz w:val="22"/>
                <w:szCs w:val="22"/>
                <w:color w:val="auto"/>
              </w:rPr>
            </w:pPr>
          </w:p>
        </w:tc>
        <w:tc>
          <w:tcPr>
            <w:tcW w:w="420" w:type="dxa"/>
            <w:vAlign w:val="bottom"/>
            <w:shd w:val="clear" w:color="auto" w:fill="DDDDDD"/>
          </w:tcPr>
          <w:p>
            <w:pPr>
              <w:spacing w:after="0"/>
              <w:rPr>
                <w:sz w:val="22"/>
                <w:szCs w:val="22"/>
                <w:color w:val="auto"/>
              </w:rPr>
            </w:pPr>
          </w:p>
        </w:tc>
        <w:tc>
          <w:tcPr>
            <w:tcW w:w="880" w:type="dxa"/>
            <w:vAlign w:val="bottom"/>
            <w:shd w:val="clear" w:color="auto" w:fill="DDDDDD"/>
          </w:tcPr>
          <w:p>
            <w:pPr>
              <w:spacing w:after="0"/>
              <w:rPr>
                <w:sz w:val="22"/>
                <w:szCs w:val="22"/>
                <w:color w:val="auto"/>
              </w:rPr>
            </w:pPr>
          </w:p>
        </w:tc>
        <w:tc>
          <w:tcPr>
            <w:tcW w:w="0" w:type="dxa"/>
            <w:vAlign w:val="bottom"/>
          </w:tcPr>
          <w:p>
            <w:pPr>
              <w:spacing w:after="0"/>
              <w:rPr>
                <w:sz w:val="1"/>
                <w:szCs w:val="1"/>
                <w:color w:val="auto"/>
              </w:rPr>
            </w:pPr>
          </w:p>
        </w:tc>
      </w:tr>
      <w:tr>
        <w:trPr>
          <w:trHeight w:val="288"/>
        </w:trPr>
        <w:tc>
          <w:tcPr>
            <w:tcW w:w="62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380" w:type="dxa"/>
            <w:vAlign w:val="bottom"/>
            <w:gridSpan w:val="2"/>
          </w:tcPr>
          <w:p>
            <w:pPr>
              <w:spacing w:after="0"/>
              <w:rPr>
                <w:sz w:val="24"/>
                <w:szCs w:val="24"/>
                <w:color w:val="auto"/>
              </w:rPr>
            </w:pPr>
          </w:p>
        </w:tc>
        <w:tc>
          <w:tcPr>
            <w:tcW w:w="1000" w:type="dxa"/>
            <w:vAlign w:val="bottom"/>
          </w:tcPr>
          <w:p>
            <w:pPr>
              <w:spacing w:after="0"/>
              <w:rPr>
                <w:sz w:val="24"/>
                <w:szCs w:val="24"/>
                <w:color w:val="auto"/>
              </w:rPr>
            </w:pPr>
          </w:p>
        </w:tc>
        <w:tc>
          <w:tcPr>
            <w:tcW w:w="480" w:type="dxa"/>
            <w:vAlign w:val="bottom"/>
            <w:gridSpan w:val="2"/>
          </w:tcPr>
          <w:p>
            <w:pPr>
              <w:spacing w:after="0"/>
              <w:rPr>
                <w:sz w:val="24"/>
                <w:szCs w:val="24"/>
                <w:color w:val="auto"/>
              </w:rPr>
            </w:pPr>
          </w:p>
        </w:tc>
        <w:tc>
          <w:tcPr>
            <w:tcW w:w="8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88"/>
        </w:trPr>
        <w:tc>
          <w:tcPr>
            <w:tcW w:w="6200" w:type="dxa"/>
            <w:vAlign w:val="bottom"/>
            <w:shd w:val="clear" w:color="auto" w:fill="DDDDDD"/>
          </w:tcPr>
          <w:p>
            <w:pPr>
              <w:ind w:left="160"/>
              <w:spacing w:after="0"/>
              <w:rPr>
                <w:sz w:val="20"/>
                <w:szCs w:val="20"/>
                <w:color w:val="auto"/>
              </w:rPr>
            </w:pPr>
            <w:r>
              <w:rPr>
                <w:rFonts w:ascii="Times New Roman" w:cs="Times New Roman" w:eastAsia="Times New Roman" w:hAnsi="Times New Roman"/>
                <w:sz w:val="20"/>
                <w:szCs w:val="20"/>
                <w:color w:val="auto"/>
              </w:rPr>
              <w:t>Cash (refunded from) paid for income taxes</w:t>
            </w:r>
          </w:p>
        </w:tc>
        <w:tc>
          <w:tcPr>
            <w:tcW w:w="300" w:type="dxa"/>
            <w:vAlign w:val="bottom"/>
            <w:shd w:val="clear" w:color="auto" w:fill="DDDDDD"/>
          </w:tcPr>
          <w:p>
            <w:pPr>
              <w:jc w:val="right"/>
              <w:ind w:right="39"/>
              <w:spacing w:after="0"/>
              <w:rPr>
                <w:sz w:val="20"/>
                <w:szCs w:val="20"/>
                <w:color w:val="auto"/>
              </w:rPr>
            </w:pPr>
            <w:r>
              <w:rPr>
                <w:rFonts w:ascii="Times New Roman" w:cs="Times New Roman" w:eastAsia="Times New Roman" w:hAnsi="Times New Roman"/>
                <w:sz w:val="20"/>
                <w:szCs w:val="20"/>
                <w:color w:val="auto"/>
              </w:rPr>
              <w:t>$</w:t>
            </w:r>
          </w:p>
        </w:tc>
        <w:tc>
          <w:tcPr>
            <w:tcW w:w="1020" w:type="dxa"/>
            <w:vAlign w:val="bottom"/>
            <w:shd w:val="clear" w:color="auto" w:fill="DDDDDD"/>
          </w:tcPr>
          <w:p>
            <w:pPr>
              <w:jc w:val="right"/>
              <w:spacing w:after="0"/>
              <w:rPr>
                <w:sz w:val="20"/>
                <w:szCs w:val="20"/>
                <w:color w:val="auto"/>
              </w:rPr>
            </w:pPr>
            <w:r>
              <w:rPr>
                <w:rFonts w:ascii="Times New Roman" w:cs="Times New Roman" w:eastAsia="Times New Roman" w:hAnsi="Times New Roman"/>
                <w:sz w:val="20"/>
                <w:szCs w:val="20"/>
                <w:color w:val="auto"/>
              </w:rPr>
              <w:t>38</w:t>
            </w:r>
          </w:p>
        </w:tc>
        <w:tc>
          <w:tcPr>
            <w:tcW w:w="60" w:type="dxa"/>
            <w:vAlign w:val="bottom"/>
            <w:shd w:val="clear" w:color="auto" w:fill="DDDDDD"/>
          </w:tcPr>
          <w:p>
            <w:pPr>
              <w:spacing w:after="0"/>
              <w:rPr>
                <w:sz w:val="24"/>
                <w:szCs w:val="24"/>
                <w:color w:val="auto"/>
              </w:rPr>
            </w:pPr>
          </w:p>
        </w:tc>
        <w:tc>
          <w:tcPr>
            <w:tcW w:w="320" w:type="dxa"/>
            <w:vAlign w:val="bottom"/>
            <w:shd w:val="clear" w:color="auto" w:fill="DDDDDD"/>
          </w:tcPr>
          <w:p>
            <w:pPr>
              <w:jc w:val="right"/>
              <w:ind w:right="39"/>
              <w:spacing w:after="0"/>
              <w:rPr>
                <w:sz w:val="20"/>
                <w:szCs w:val="20"/>
                <w:color w:val="auto"/>
              </w:rPr>
            </w:pPr>
            <w:r>
              <w:rPr>
                <w:rFonts w:ascii="Times New Roman" w:cs="Times New Roman" w:eastAsia="Times New Roman" w:hAnsi="Times New Roman"/>
                <w:sz w:val="20"/>
                <w:szCs w:val="20"/>
                <w:color w:val="auto"/>
              </w:rPr>
              <w:t>$</w:t>
            </w:r>
          </w:p>
        </w:tc>
        <w:tc>
          <w:tcPr>
            <w:tcW w:w="1000" w:type="dxa"/>
            <w:vAlign w:val="bottom"/>
            <w:shd w:val="clear" w:color="auto" w:fill="DDDDDD"/>
          </w:tcPr>
          <w:p>
            <w:pPr>
              <w:jc w:val="right"/>
              <w:spacing w:after="0"/>
              <w:rPr>
                <w:sz w:val="20"/>
                <w:szCs w:val="20"/>
                <w:color w:val="auto"/>
              </w:rPr>
            </w:pPr>
            <w:r>
              <w:rPr>
                <w:rFonts w:ascii="Times New Roman" w:cs="Times New Roman" w:eastAsia="Times New Roman" w:hAnsi="Times New Roman"/>
                <w:sz w:val="20"/>
                <w:szCs w:val="20"/>
                <w:color w:val="auto"/>
              </w:rPr>
              <w:t>(94)</w:t>
            </w:r>
          </w:p>
        </w:tc>
        <w:tc>
          <w:tcPr>
            <w:tcW w:w="60" w:type="dxa"/>
            <w:vAlign w:val="bottom"/>
            <w:shd w:val="clear" w:color="auto" w:fill="DDDDDD"/>
          </w:tcPr>
          <w:p>
            <w:pPr>
              <w:spacing w:after="0"/>
              <w:rPr>
                <w:sz w:val="24"/>
                <w:szCs w:val="24"/>
                <w:color w:val="auto"/>
              </w:rPr>
            </w:pPr>
          </w:p>
        </w:tc>
        <w:tc>
          <w:tcPr>
            <w:tcW w:w="420" w:type="dxa"/>
            <w:vAlign w:val="bottom"/>
            <w:shd w:val="clear" w:color="auto" w:fill="DDDDDD"/>
          </w:tcPr>
          <w:p>
            <w:pPr>
              <w:jc w:val="right"/>
              <w:ind w:right="179"/>
              <w:spacing w:after="0"/>
              <w:rPr>
                <w:sz w:val="20"/>
                <w:szCs w:val="20"/>
                <w:color w:val="auto"/>
              </w:rPr>
            </w:pPr>
            <w:r>
              <w:rPr>
                <w:rFonts w:ascii="Times New Roman" w:cs="Times New Roman" w:eastAsia="Times New Roman" w:hAnsi="Times New Roman"/>
                <w:sz w:val="20"/>
                <w:szCs w:val="20"/>
                <w:color w:val="auto"/>
              </w:rPr>
              <w:t>$</w:t>
            </w:r>
          </w:p>
        </w:tc>
        <w:tc>
          <w:tcPr>
            <w:tcW w:w="880" w:type="dxa"/>
            <w:vAlign w:val="bottom"/>
            <w:shd w:val="clear" w:color="auto" w:fill="DDDDDD"/>
          </w:tcPr>
          <w:p>
            <w:pPr>
              <w:jc w:val="right"/>
              <w:spacing w:after="0"/>
              <w:rPr>
                <w:sz w:val="20"/>
                <w:szCs w:val="20"/>
                <w:color w:val="auto"/>
              </w:rPr>
            </w:pPr>
            <w:r>
              <w:rPr>
                <w:rFonts w:ascii="Times New Roman" w:cs="Times New Roman" w:eastAsia="Times New Roman" w:hAnsi="Times New Roman"/>
                <w:sz w:val="20"/>
                <w:szCs w:val="20"/>
                <w:color w:val="auto"/>
              </w:rPr>
              <w:t>242</w:t>
            </w:r>
          </w:p>
        </w:tc>
        <w:tc>
          <w:tcPr>
            <w:tcW w:w="0" w:type="dxa"/>
            <w:vAlign w:val="bottom"/>
          </w:tcPr>
          <w:p>
            <w:pPr>
              <w:spacing w:after="0"/>
              <w:rPr>
                <w:sz w:val="1"/>
                <w:szCs w:val="1"/>
                <w:color w:val="auto"/>
              </w:rPr>
            </w:pPr>
          </w:p>
        </w:tc>
      </w:tr>
      <w:tr>
        <w:trPr>
          <w:trHeight w:val="281"/>
        </w:trPr>
        <w:tc>
          <w:tcPr>
            <w:tcW w:w="62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88"/>
        </w:trPr>
        <w:tc>
          <w:tcPr>
            <w:tcW w:w="6200" w:type="dxa"/>
            <w:vAlign w:val="bottom"/>
            <w:shd w:val="clear" w:color="auto" w:fill="DDDDDD"/>
          </w:tcPr>
          <w:p>
            <w:pPr>
              <w:ind w:left="40"/>
              <w:spacing w:after="0"/>
              <w:rPr>
                <w:sz w:val="20"/>
                <w:szCs w:val="20"/>
                <w:color w:val="auto"/>
              </w:rPr>
            </w:pPr>
            <w:r>
              <w:rPr>
                <w:rFonts w:ascii="Times New Roman" w:cs="Times New Roman" w:eastAsia="Times New Roman" w:hAnsi="Times New Roman"/>
                <w:sz w:val="20"/>
                <w:szCs w:val="20"/>
                <w:b w:val="1"/>
                <w:bCs w:val="1"/>
                <w:color w:val="auto"/>
              </w:rPr>
              <w:t>Supplemental disclosures of noncash investing and financing activities</w:t>
            </w:r>
          </w:p>
        </w:tc>
        <w:tc>
          <w:tcPr>
            <w:tcW w:w="300" w:type="dxa"/>
            <w:vAlign w:val="bottom"/>
            <w:shd w:val="clear" w:color="auto" w:fill="DDDDDD"/>
          </w:tcPr>
          <w:p>
            <w:pPr>
              <w:spacing w:after="0"/>
              <w:rPr>
                <w:sz w:val="24"/>
                <w:szCs w:val="24"/>
                <w:color w:val="auto"/>
              </w:rPr>
            </w:pPr>
          </w:p>
        </w:tc>
        <w:tc>
          <w:tcPr>
            <w:tcW w:w="1020" w:type="dxa"/>
            <w:vAlign w:val="bottom"/>
            <w:shd w:val="clear" w:color="auto" w:fill="DDDDDD"/>
          </w:tcPr>
          <w:p>
            <w:pPr>
              <w:spacing w:after="0"/>
              <w:rPr>
                <w:sz w:val="24"/>
                <w:szCs w:val="24"/>
                <w:color w:val="auto"/>
              </w:rPr>
            </w:pPr>
          </w:p>
        </w:tc>
        <w:tc>
          <w:tcPr>
            <w:tcW w:w="60" w:type="dxa"/>
            <w:vAlign w:val="bottom"/>
            <w:shd w:val="clear" w:color="auto" w:fill="DDDDDD"/>
          </w:tcPr>
          <w:p>
            <w:pPr>
              <w:spacing w:after="0"/>
              <w:rPr>
                <w:sz w:val="24"/>
                <w:szCs w:val="24"/>
                <w:color w:val="auto"/>
              </w:rPr>
            </w:pPr>
          </w:p>
        </w:tc>
        <w:tc>
          <w:tcPr>
            <w:tcW w:w="320" w:type="dxa"/>
            <w:vAlign w:val="bottom"/>
            <w:shd w:val="clear" w:color="auto" w:fill="DDDDDD"/>
          </w:tcPr>
          <w:p>
            <w:pPr>
              <w:spacing w:after="0"/>
              <w:rPr>
                <w:sz w:val="24"/>
                <w:szCs w:val="24"/>
                <w:color w:val="auto"/>
              </w:rPr>
            </w:pPr>
          </w:p>
        </w:tc>
        <w:tc>
          <w:tcPr>
            <w:tcW w:w="1000" w:type="dxa"/>
            <w:vAlign w:val="bottom"/>
            <w:shd w:val="clear" w:color="auto" w:fill="DDDDDD"/>
          </w:tcPr>
          <w:p>
            <w:pPr>
              <w:spacing w:after="0"/>
              <w:rPr>
                <w:sz w:val="24"/>
                <w:szCs w:val="24"/>
                <w:color w:val="auto"/>
              </w:rPr>
            </w:pPr>
          </w:p>
        </w:tc>
        <w:tc>
          <w:tcPr>
            <w:tcW w:w="60" w:type="dxa"/>
            <w:vAlign w:val="bottom"/>
            <w:shd w:val="clear" w:color="auto" w:fill="DDDDDD"/>
          </w:tcPr>
          <w:p>
            <w:pPr>
              <w:spacing w:after="0"/>
              <w:rPr>
                <w:sz w:val="24"/>
                <w:szCs w:val="24"/>
                <w:color w:val="auto"/>
              </w:rPr>
            </w:pPr>
          </w:p>
        </w:tc>
        <w:tc>
          <w:tcPr>
            <w:tcW w:w="420" w:type="dxa"/>
            <w:vAlign w:val="bottom"/>
            <w:shd w:val="clear" w:color="auto" w:fill="DDDDDD"/>
          </w:tcPr>
          <w:p>
            <w:pPr>
              <w:spacing w:after="0"/>
              <w:rPr>
                <w:sz w:val="24"/>
                <w:szCs w:val="24"/>
                <w:color w:val="auto"/>
              </w:rPr>
            </w:pPr>
          </w:p>
        </w:tc>
        <w:tc>
          <w:tcPr>
            <w:tcW w:w="880" w:type="dxa"/>
            <w:vAlign w:val="bottom"/>
            <w:shd w:val="clear" w:color="auto" w:fill="DDDDDD"/>
          </w:tcPr>
          <w:p>
            <w:pPr>
              <w:spacing w:after="0"/>
              <w:rPr>
                <w:sz w:val="24"/>
                <w:szCs w:val="24"/>
                <w:color w:val="auto"/>
              </w:rPr>
            </w:pPr>
          </w:p>
        </w:tc>
        <w:tc>
          <w:tcPr>
            <w:tcW w:w="0" w:type="dxa"/>
            <w:vAlign w:val="bottom"/>
          </w:tcPr>
          <w:p>
            <w:pPr>
              <w:spacing w:after="0"/>
              <w:rPr>
                <w:sz w:val="1"/>
                <w:szCs w:val="1"/>
                <w:color w:val="auto"/>
              </w:rPr>
            </w:pPr>
          </w:p>
        </w:tc>
      </w:tr>
      <w:tr>
        <w:trPr>
          <w:trHeight w:val="281"/>
        </w:trPr>
        <w:tc>
          <w:tcPr>
            <w:tcW w:w="6200" w:type="dxa"/>
            <w:vAlign w:val="bottom"/>
          </w:tcPr>
          <w:p>
            <w:pPr>
              <w:ind w:left="160"/>
              <w:spacing w:after="0"/>
              <w:rPr>
                <w:sz w:val="20"/>
                <w:szCs w:val="20"/>
                <w:color w:val="auto"/>
              </w:rPr>
            </w:pPr>
            <w:r>
              <w:rPr>
                <w:rFonts w:ascii="Times New Roman" w:cs="Times New Roman" w:eastAsia="Times New Roman" w:hAnsi="Times New Roman"/>
                <w:sz w:val="20"/>
                <w:szCs w:val="20"/>
                <w:color w:val="auto"/>
              </w:rPr>
              <w:t>Issuance of equity for acquisitions</w:t>
            </w:r>
          </w:p>
        </w:tc>
        <w:tc>
          <w:tcPr>
            <w:tcW w:w="300" w:type="dxa"/>
            <w:vAlign w:val="bottom"/>
          </w:tcPr>
          <w:p>
            <w:pPr>
              <w:jc w:val="right"/>
              <w:ind w:right="39"/>
              <w:spacing w:after="0"/>
              <w:rPr>
                <w:sz w:val="20"/>
                <w:szCs w:val="20"/>
                <w:color w:val="auto"/>
              </w:rPr>
            </w:pPr>
            <w:r>
              <w:rPr>
                <w:rFonts w:ascii="Times New Roman" w:cs="Times New Roman" w:eastAsia="Times New Roman" w:hAnsi="Times New Roman"/>
                <w:sz w:val="20"/>
                <w:szCs w:val="20"/>
                <w:color w:val="auto"/>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380" w:type="dxa"/>
            <w:vAlign w:val="bottom"/>
            <w:gridSpan w:val="2"/>
          </w:tcPr>
          <w:p>
            <w:pPr>
              <w:jc w:val="right"/>
              <w:ind w:right="59"/>
              <w:spacing w:after="0"/>
              <w:rPr>
                <w:sz w:val="20"/>
                <w:szCs w:val="20"/>
                <w:color w:val="auto"/>
              </w:rPr>
            </w:pPr>
            <w:r>
              <w:rPr>
                <w:rFonts w:ascii="Times New Roman" w:cs="Times New Roman" w:eastAsia="Times New Roman" w:hAnsi="Times New Roman"/>
                <w:sz w:val="20"/>
                <w:szCs w:val="20"/>
                <w:color w:val="auto"/>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28,725</w:t>
            </w:r>
          </w:p>
        </w:tc>
        <w:tc>
          <w:tcPr>
            <w:tcW w:w="480" w:type="dxa"/>
            <w:vAlign w:val="bottom"/>
            <w:gridSpan w:val="2"/>
          </w:tcPr>
          <w:p>
            <w:pPr>
              <w:jc w:val="right"/>
              <w:ind w:right="179"/>
              <w:spacing w:after="0"/>
              <w:rPr>
                <w:sz w:val="20"/>
                <w:szCs w:val="20"/>
                <w:color w:val="auto"/>
              </w:rPr>
            </w:pPr>
            <w:r>
              <w:rPr>
                <w:rFonts w:ascii="Times New Roman" w:cs="Times New Roman" w:eastAsia="Times New Roman" w:hAnsi="Times New Roman"/>
                <w:sz w:val="20"/>
                <w:szCs w:val="20"/>
                <w:color w:val="auto"/>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29,312</w:t>
            </w:r>
          </w:p>
        </w:tc>
        <w:tc>
          <w:tcPr>
            <w:tcW w:w="0" w:type="dxa"/>
            <w:vAlign w:val="bottom"/>
          </w:tcPr>
          <w:p>
            <w:pPr>
              <w:spacing w:after="0"/>
              <w:rPr>
                <w:sz w:val="1"/>
                <w:szCs w:val="1"/>
                <w:color w:val="auto"/>
              </w:rPr>
            </w:pPr>
          </w:p>
        </w:tc>
      </w:tr>
      <w:tr>
        <w:trPr>
          <w:trHeight w:val="288"/>
        </w:trPr>
        <w:tc>
          <w:tcPr>
            <w:tcW w:w="6200" w:type="dxa"/>
            <w:vAlign w:val="bottom"/>
            <w:shd w:val="clear" w:color="auto" w:fill="DDDDDD"/>
          </w:tcPr>
          <w:p>
            <w:pPr>
              <w:ind w:left="160"/>
              <w:spacing w:after="0"/>
              <w:rPr>
                <w:sz w:val="20"/>
                <w:szCs w:val="20"/>
                <w:color w:val="auto"/>
              </w:rPr>
            </w:pPr>
            <w:r>
              <w:rPr>
                <w:rFonts w:ascii="Times New Roman" w:cs="Times New Roman" w:eastAsia="Times New Roman" w:hAnsi="Times New Roman"/>
                <w:sz w:val="20"/>
                <w:szCs w:val="20"/>
                <w:color w:val="auto"/>
              </w:rPr>
              <w:t>Insurance premium financing</w:t>
            </w:r>
          </w:p>
        </w:tc>
        <w:tc>
          <w:tcPr>
            <w:tcW w:w="300" w:type="dxa"/>
            <w:vAlign w:val="bottom"/>
            <w:shd w:val="clear" w:color="auto" w:fill="DDDDDD"/>
          </w:tcPr>
          <w:p>
            <w:pPr>
              <w:jc w:val="right"/>
              <w:ind w:right="39"/>
              <w:spacing w:after="0"/>
              <w:rPr>
                <w:sz w:val="20"/>
                <w:szCs w:val="20"/>
                <w:color w:val="auto"/>
              </w:rPr>
            </w:pPr>
            <w:r>
              <w:rPr>
                <w:rFonts w:ascii="Times New Roman" w:cs="Times New Roman" w:eastAsia="Times New Roman" w:hAnsi="Times New Roman"/>
                <w:sz w:val="20"/>
                <w:szCs w:val="20"/>
                <w:color w:val="auto"/>
              </w:rPr>
              <w:t>$</w:t>
            </w:r>
          </w:p>
        </w:tc>
        <w:tc>
          <w:tcPr>
            <w:tcW w:w="1020" w:type="dxa"/>
            <w:vAlign w:val="bottom"/>
            <w:shd w:val="clear" w:color="auto" w:fill="DDDDDD"/>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60" w:type="dxa"/>
            <w:vAlign w:val="bottom"/>
            <w:shd w:val="clear" w:color="auto" w:fill="DDDDDD"/>
          </w:tcPr>
          <w:p>
            <w:pPr>
              <w:spacing w:after="0"/>
              <w:rPr>
                <w:sz w:val="24"/>
                <w:szCs w:val="24"/>
                <w:color w:val="auto"/>
              </w:rPr>
            </w:pPr>
          </w:p>
        </w:tc>
        <w:tc>
          <w:tcPr>
            <w:tcW w:w="320" w:type="dxa"/>
            <w:vAlign w:val="bottom"/>
            <w:shd w:val="clear" w:color="auto" w:fill="DDDDDD"/>
          </w:tcPr>
          <w:p>
            <w:pPr>
              <w:jc w:val="right"/>
              <w:ind w:right="59"/>
              <w:spacing w:after="0"/>
              <w:rPr>
                <w:sz w:val="20"/>
                <w:szCs w:val="20"/>
                <w:color w:val="auto"/>
              </w:rPr>
            </w:pPr>
            <w:r>
              <w:rPr>
                <w:rFonts w:ascii="Times New Roman" w:cs="Times New Roman" w:eastAsia="Times New Roman" w:hAnsi="Times New Roman"/>
                <w:sz w:val="20"/>
                <w:szCs w:val="20"/>
                <w:color w:val="auto"/>
              </w:rPr>
              <w:t>$</w:t>
            </w:r>
          </w:p>
        </w:tc>
        <w:tc>
          <w:tcPr>
            <w:tcW w:w="1000" w:type="dxa"/>
            <w:vAlign w:val="bottom"/>
            <w:shd w:val="clear" w:color="auto" w:fill="DDDDDD"/>
          </w:tcPr>
          <w:p>
            <w:pPr>
              <w:jc w:val="right"/>
              <w:spacing w:after="0"/>
              <w:rPr>
                <w:sz w:val="20"/>
                <w:szCs w:val="20"/>
                <w:color w:val="auto"/>
              </w:rPr>
            </w:pPr>
            <w:r>
              <w:rPr>
                <w:rFonts w:ascii="Times New Roman" w:cs="Times New Roman" w:eastAsia="Times New Roman" w:hAnsi="Times New Roman"/>
                <w:sz w:val="20"/>
                <w:szCs w:val="20"/>
                <w:color w:val="auto"/>
              </w:rPr>
              <w:t>4,598</w:t>
            </w:r>
          </w:p>
        </w:tc>
        <w:tc>
          <w:tcPr>
            <w:tcW w:w="60" w:type="dxa"/>
            <w:vAlign w:val="bottom"/>
            <w:shd w:val="clear" w:color="auto" w:fill="DDDDDD"/>
          </w:tcPr>
          <w:p>
            <w:pPr>
              <w:spacing w:after="0"/>
              <w:rPr>
                <w:sz w:val="24"/>
                <w:szCs w:val="24"/>
                <w:color w:val="auto"/>
              </w:rPr>
            </w:pPr>
          </w:p>
        </w:tc>
        <w:tc>
          <w:tcPr>
            <w:tcW w:w="420" w:type="dxa"/>
            <w:vAlign w:val="bottom"/>
            <w:shd w:val="clear" w:color="auto" w:fill="DDDDDD"/>
          </w:tcPr>
          <w:p>
            <w:pPr>
              <w:jc w:val="right"/>
              <w:ind w:right="179"/>
              <w:spacing w:after="0"/>
              <w:rPr>
                <w:sz w:val="20"/>
                <w:szCs w:val="20"/>
                <w:color w:val="auto"/>
              </w:rPr>
            </w:pPr>
            <w:r>
              <w:rPr>
                <w:rFonts w:ascii="Times New Roman" w:cs="Times New Roman" w:eastAsia="Times New Roman" w:hAnsi="Times New Roman"/>
                <w:sz w:val="20"/>
                <w:szCs w:val="20"/>
                <w:color w:val="auto"/>
              </w:rPr>
              <w:t>$</w:t>
            </w:r>
          </w:p>
        </w:tc>
        <w:tc>
          <w:tcPr>
            <w:tcW w:w="880" w:type="dxa"/>
            <w:vAlign w:val="bottom"/>
            <w:shd w:val="clear" w:color="auto" w:fill="DDDDDD"/>
          </w:tcPr>
          <w:p>
            <w:pPr>
              <w:jc w:val="right"/>
              <w:spacing w:after="0"/>
              <w:rPr>
                <w:sz w:val="20"/>
                <w:szCs w:val="20"/>
                <w:color w:val="auto"/>
              </w:rPr>
            </w:pPr>
            <w:r>
              <w:rPr>
                <w:rFonts w:ascii="Times New Roman" w:cs="Times New Roman" w:eastAsia="Times New Roman" w:hAnsi="Times New Roman"/>
                <w:sz w:val="20"/>
                <w:szCs w:val="20"/>
                <w:color w:val="auto"/>
              </w:rPr>
              <w:t>11,205</w:t>
            </w:r>
          </w:p>
        </w:tc>
        <w:tc>
          <w:tcPr>
            <w:tcW w:w="0" w:type="dxa"/>
            <w:vAlign w:val="bottom"/>
          </w:tcPr>
          <w:p>
            <w:pPr>
              <w:spacing w:after="0"/>
              <w:rPr>
                <w:sz w:val="1"/>
                <w:szCs w:val="1"/>
                <w:color w:val="auto"/>
              </w:rPr>
            </w:pPr>
          </w:p>
        </w:tc>
      </w:tr>
      <w:tr>
        <w:trPr>
          <w:trHeight w:val="288"/>
        </w:trPr>
        <w:tc>
          <w:tcPr>
            <w:tcW w:w="6200" w:type="dxa"/>
            <w:vAlign w:val="bottom"/>
          </w:tcPr>
          <w:p>
            <w:pPr>
              <w:ind w:left="160"/>
              <w:spacing w:after="0"/>
              <w:rPr>
                <w:sz w:val="20"/>
                <w:szCs w:val="20"/>
                <w:color w:val="auto"/>
              </w:rPr>
            </w:pPr>
            <w:r>
              <w:rPr>
                <w:rFonts w:ascii="Times New Roman" w:cs="Times New Roman" w:eastAsia="Times New Roman" w:hAnsi="Times New Roman"/>
                <w:sz w:val="20"/>
                <w:szCs w:val="20"/>
                <w:color w:val="auto"/>
              </w:rPr>
              <w:t>Accrued liabilities assumed in connection with acquisition</w:t>
            </w:r>
          </w:p>
        </w:tc>
        <w:tc>
          <w:tcPr>
            <w:tcW w:w="300" w:type="dxa"/>
            <w:vAlign w:val="bottom"/>
          </w:tcPr>
          <w:p>
            <w:pPr>
              <w:jc w:val="right"/>
              <w:ind w:right="39"/>
              <w:spacing w:after="0"/>
              <w:rPr>
                <w:sz w:val="20"/>
                <w:szCs w:val="20"/>
                <w:color w:val="auto"/>
              </w:rPr>
            </w:pPr>
            <w:r>
              <w:rPr>
                <w:rFonts w:ascii="Times New Roman" w:cs="Times New Roman" w:eastAsia="Times New Roman" w:hAnsi="Times New Roman"/>
                <w:sz w:val="20"/>
                <w:szCs w:val="20"/>
                <w:color w:val="auto"/>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380" w:type="dxa"/>
            <w:vAlign w:val="bottom"/>
            <w:gridSpan w:val="2"/>
          </w:tcPr>
          <w:p>
            <w:pPr>
              <w:jc w:val="right"/>
              <w:ind w:right="59"/>
              <w:spacing w:after="0"/>
              <w:rPr>
                <w:sz w:val="20"/>
                <w:szCs w:val="20"/>
                <w:color w:val="auto"/>
              </w:rPr>
            </w:pPr>
            <w:r>
              <w:rPr>
                <w:rFonts w:ascii="Times New Roman" w:cs="Times New Roman" w:eastAsia="Times New Roman" w:hAnsi="Times New Roman"/>
                <w:sz w:val="20"/>
                <w:szCs w:val="20"/>
                <w:color w:val="auto"/>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2,236</w:t>
            </w:r>
          </w:p>
        </w:tc>
        <w:tc>
          <w:tcPr>
            <w:tcW w:w="480" w:type="dxa"/>
            <w:vAlign w:val="bottom"/>
            <w:gridSpan w:val="2"/>
          </w:tcPr>
          <w:p>
            <w:pPr>
              <w:jc w:val="right"/>
              <w:ind w:right="179"/>
              <w:spacing w:after="0"/>
              <w:rPr>
                <w:sz w:val="20"/>
                <w:szCs w:val="20"/>
                <w:color w:val="auto"/>
              </w:rPr>
            </w:pPr>
            <w:r>
              <w:rPr>
                <w:rFonts w:ascii="Times New Roman" w:cs="Times New Roman" w:eastAsia="Times New Roman" w:hAnsi="Times New Roman"/>
                <w:sz w:val="20"/>
                <w:szCs w:val="20"/>
                <w:color w:val="auto"/>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100</w:t>
            </w:r>
          </w:p>
        </w:tc>
        <w:tc>
          <w:tcPr>
            <w:tcW w:w="0" w:type="dxa"/>
            <w:vAlign w:val="bottom"/>
          </w:tcPr>
          <w:p>
            <w:pPr>
              <w:spacing w:after="0"/>
              <w:rPr>
                <w:sz w:val="1"/>
                <w:szCs w:val="1"/>
                <w:color w:val="auto"/>
              </w:rPr>
            </w:pPr>
          </w:p>
        </w:tc>
      </w:tr>
      <w:tr>
        <w:trPr>
          <w:trHeight w:val="281"/>
        </w:trPr>
        <w:tc>
          <w:tcPr>
            <w:tcW w:w="6200" w:type="dxa"/>
            <w:vAlign w:val="bottom"/>
            <w:shd w:val="clear" w:color="auto" w:fill="DDDDDD"/>
          </w:tcPr>
          <w:p>
            <w:pPr>
              <w:ind w:left="160"/>
              <w:spacing w:after="0"/>
              <w:rPr>
                <w:sz w:val="20"/>
                <w:szCs w:val="20"/>
                <w:color w:val="auto"/>
              </w:rPr>
            </w:pPr>
            <w:r>
              <w:rPr>
                <w:rFonts w:ascii="Times New Roman" w:cs="Times New Roman" w:eastAsia="Times New Roman" w:hAnsi="Times New Roman"/>
                <w:sz w:val="20"/>
                <w:szCs w:val="20"/>
                <w:color w:val="auto"/>
              </w:rPr>
              <w:t>Stock-based compensation capitalized for software development</w:t>
            </w:r>
          </w:p>
        </w:tc>
        <w:tc>
          <w:tcPr>
            <w:tcW w:w="300" w:type="dxa"/>
            <w:vAlign w:val="bottom"/>
            <w:shd w:val="clear" w:color="auto" w:fill="DDDDDD"/>
          </w:tcPr>
          <w:p>
            <w:pPr>
              <w:jc w:val="right"/>
              <w:ind w:right="39"/>
              <w:spacing w:after="0"/>
              <w:rPr>
                <w:sz w:val="20"/>
                <w:szCs w:val="20"/>
                <w:color w:val="auto"/>
              </w:rPr>
            </w:pPr>
            <w:r>
              <w:rPr>
                <w:rFonts w:ascii="Times New Roman" w:cs="Times New Roman" w:eastAsia="Times New Roman" w:hAnsi="Times New Roman"/>
                <w:sz w:val="20"/>
                <w:szCs w:val="20"/>
                <w:color w:val="auto"/>
              </w:rPr>
              <w:t>$</w:t>
            </w:r>
          </w:p>
        </w:tc>
        <w:tc>
          <w:tcPr>
            <w:tcW w:w="1020" w:type="dxa"/>
            <w:vAlign w:val="bottom"/>
            <w:shd w:val="clear" w:color="auto" w:fill="DDDDDD"/>
          </w:tcPr>
          <w:p>
            <w:pPr>
              <w:jc w:val="right"/>
              <w:spacing w:after="0"/>
              <w:rPr>
                <w:sz w:val="20"/>
                <w:szCs w:val="20"/>
                <w:color w:val="auto"/>
              </w:rPr>
            </w:pPr>
            <w:r>
              <w:rPr>
                <w:rFonts w:ascii="Times New Roman" w:cs="Times New Roman" w:eastAsia="Times New Roman" w:hAnsi="Times New Roman"/>
                <w:sz w:val="20"/>
                <w:szCs w:val="20"/>
                <w:color w:val="auto"/>
              </w:rPr>
              <w:t>1,386</w:t>
            </w:r>
          </w:p>
        </w:tc>
        <w:tc>
          <w:tcPr>
            <w:tcW w:w="60" w:type="dxa"/>
            <w:vAlign w:val="bottom"/>
            <w:shd w:val="clear" w:color="auto" w:fill="DDDDDD"/>
          </w:tcPr>
          <w:p>
            <w:pPr>
              <w:spacing w:after="0"/>
              <w:rPr>
                <w:sz w:val="24"/>
                <w:szCs w:val="24"/>
                <w:color w:val="auto"/>
              </w:rPr>
            </w:pPr>
          </w:p>
        </w:tc>
        <w:tc>
          <w:tcPr>
            <w:tcW w:w="320" w:type="dxa"/>
            <w:vAlign w:val="bottom"/>
            <w:shd w:val="clear" w:color="auto" w:fill="DDDDDD"/>
          </w:tcPr>
          <w:p>
            <w:pPr>
              <w:jc w:val="right"/>
              <w:ind w:right="59"/>
              <w:spacing w:after="0"/>
              <w:rPr>
                <w:sz w:val="20"/>
                <w:szCs w:val="20"/>
                <w:color w:val="auto"/>
              </w:rPr>
            </w:pPr>
            <w:r>
              <w:rPr>
                <w:rFonts w:ascii="Times New Roman" w:cs="Times New Roman" w:eastAsia="Times New Roman" w:hAnsi="Times New Roman"/>
                <w:sz w:val="20"/>
                <w:szCs w:val="20"/>
                <w:color w:val="auto"/>
              </w:rPr>
              <w:t>$</w:t>
            </w:r>
          </w:p>
        </w:tc>
        <w:tc>
          <w:tcPr>
            <w:tcW w:w="1000" w:type="dxa"/>
            <w:vAlign w:val="bottom"/>
            <w:shd w:val="clear" w:color="auto" w:fill="DDDDDD"/>
          </w:tcPr>
          <w:p>
            <w:pPr>
              <w:jc w:val="right"/>
              <w:spacing w:after="0"/>
              <w:rPr>
                <w:sz w:val="20"/>
                <w:szCs w:val="20"/>
                <w:color w:val="auto"/>
              </w:rPr>
            </w:pPr>
            <w:r>
              <w:rPr>
                <w:rFonts w:ascii="Times New Roman" w:cs="Times New Roman" w:eastAsia="Times New Roman" w:hAnsi="Times New Roman"/>
                <w:sz w:val="20"/>
                <w:szCs w:val="20"/>
                <w:color w:val="auto"/>
              </w:rPr>
              <w:t>1,667</w:t>
            </w:r>
          </w:p>
        </w:tc>
        <w:tc>
          <w:tcPr>
            <w:tcW w:w="60" w:type="dxa"/>
            <w:vAlign w:val="bottom"/>
            <w:shd w:val="clear" w:color="auto" w:fill="DDDDDD"/>
          </w:tcPr>
          <w:p>
            <w:pPr>
              <w:spacing w:after="0"/>
              <w:rPr>
                <w:sz w:val="24"/>
                <w:szCs w:val="24"/>
                <w:color w:val="auto"/>
              </w:rPr>
            </w:pPr>
          </w:p>
        </w:tc>
        <w:tc>
          <w:tcPr>
            <w:tcW w:w="420" w:type="dxa"/>
            <w:vAlign w:val="bottom"/>
            <w:shd w:val="clear" w:color="auto" w:fill="DDDDDD"/>
          </w:tcPr>
          <w:p>
            <w:pPr>
              <w:jc w:val="right"/>
              <w:ind w:right="179"/>
              <w:spacing w:after="0"/>
              <w:rPr>
                <w:sz w:val="20"/>
                <w:szCs w:val="20"/>
                <w:color w:val="auto"/>
              </w:rPr>
            </w:pPr>
            <w:r>
              <w:rPr>
                <w:rFonts w:ascii="Times New Roman" w:cs="Times New Roman" w:eastAsia="Times New Roman" w:hAnsi="Times New Roman"/>
                <w:sz w:val="20"/>
                <w:szCs w:val="20"/>
                <w:color w:val="auto"/>
              </w:rPr>
              <w:t>$</w:t>
            </w:r>
          </w:p>
        </w:tc>
        <w:tc>
          <w:tcPr>
            <w:tcW w:w="880" w:type="dxa"/>
            <w:vAlign w:val="bottom"/>
            <w:shd w:val="clear" w:color="auto" w:fill="DDDDDD"/>
          </w:tcPr>
          <w:p>
            <w:pPr>
              <w:jc w:val="right"/>
              <w:spacing w:after="0"/>
              <w:rPr>
                <w:sz w:val="20"/>
                <w:szCs w:val="20"/>
                <w:color w:val="auto"/>
              </w:rPr>
            </w:pPr>
            <w:r>
              <w:rPr>
                <w:rFonts w:ascii="Times New Roman" w:cs="Times New Roman" w:eastAsia="Times New Roman" w:hAnsi="Times New Roman"/>
                <w:sz w:val="20"/>
                <w:szCs w:val="20"/>
                <w:color w:val="auto"/>
              </w:rPr>
              <w:t>1,099</w:t>
            </w:r>
          </w:p>
        </w:tc>
        <w:tc>
          <w:tcPr>
            <w:tcW w:w="0" w:type="dxa"/>
            <w:vAlign w:val="bottom"/>
          </w:tcPr>
          <w:p>
            <w:pPr>
              <w:spacing w:after="0"/>
              <w:rPr>
                <w:sz w:val="1"/>
                <w:szCs w:val="1"/>
                <w:color w:val="auto"/>
              </w:rPr>
            </w:pPr>
          </w:p>
        </w:tc>
      </w:tr>
      <w:tr>
        <w:trPr>
          <w:trHeight w:val="288"/>
        </w:trPr>
        <w:tc>
          <w:tcPr>
            <w:tcW w:w="6200" w:type="dxa"/>
            <w:vAlign w:val="bottom"/>
          </w:tcPr>
          <w:p>
            <w:pPr>
              <w:ind w:left="160"/>
              <w:spacing w:after="0"/>
              <w:rPr>
                <w:sz w:val="20"/>
                <w:szCs w:val="20"/>
                <w:color w:val="auto"/>
              </w:rPr>
            </w:pPr>
            <w:r>
              <w:rPr>
                <w:rFonts w:ascii="Times New Roman" w:cs="Times New Roman" w:eastAsia="Times New Roman" w:hAnsi="Times New Roman"/>
                <w:sz w:val="20"/>
                <w:szCs w:val="20"/>
                <w:color w:val="auto"/>
              </w:rPr>
              <w:t>Capitalized assets included in accounts payable and accrued expenses</w:t>
            </w:r>
          </w:p>
        </w:tc>
        <w:tc>
          <w:tcPr>
            <w:tcW w:w="300" w:type="dxa"/>
            <w:vAlign w:val="bottom"/>
          </w:tcPr>
          <w:p>
            <w:pPr>
              <w:jc w:val="right"/>
              <w:ind w:right="39"/>
              <w:spacing w:after="0"/>
              <w:rPr>
                <w:sz w:val="20"/>
                <w:szCs w:val="20"/>
                <w:color w:val="auto"/>
              </w:rPr>
            </w:pPr>
            <w:r>
              <w:rPr>
                <w:rFonts w:ascii="Times New Roman" w:cs="Times New Roman" w:eastAsia="Times New Roman" w:hAnsi="Times New Roman"/>
                <w:sz w:val="20"/>
                <w:szCs w:val="20"/>
                <w:color w:val="auto"/>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1,041</w:t>
            </w:r>
          </w:p>
        </w:tc>
        <w:tc>
          <w:tcPr>
            <w:tcW w:w="380" w:type="dxa"/>
            <w:vAlign w:val="bottom"/>
            <w:gridSpan w:val="2"/>
          </w:tcPr>
          <w:p>
            <w:pPr>
              <w:jc w:val="right"/>
              <w:ind w:right="59"/>
              <w:spacing w:after="0"/>
              <w:rPr>
                <w:sz w:val="20"/>
                <w:szCs w:val="20"/>
                <w:color w:val="auto"/>
              </w:rPr>
            </w:pPr>
            <w:r>
              <w:rPr>
                <w:rFonts w:ascii="Times New Roman" w:cs="Times New Roman" w:eastAsia="Times New Roman" w:hAnsi="Times New Roman"/>
                <w:sz w:val="20"/>
                <w:szCs w:val="20"/>
                <w:color w:val="auto"/>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654</w:t>
            </w:r>
          </w:p>
        </w:tc>
        <w:tc>
          <w:tcPr>
            <w:tcW w:w="480" w:type="dxa"/>
            <w:vAlign w:val="bottom"/>
            <w:gridSpan w:val="2"/>
          </w:tcPr>
          <w:p>
            <w:pPr>
              <w:jc w:val="right"/>
              <w:ind w:right="179"/>
              <w:spacing w:after="0"/>
              <w:rPr>
                <w:sz w:val="20"/>
                <w:szCs w:val="20"/>
                <w:color w:val="auto"/>
              </w:rPr>
            </w:pPr>
            <w:r>
              <w:rPr>
                <w:rFonts w:ascii="Times New Roman" w:cs="Times New Roman" w:eastAsia="Times New Roman" w:hAnsi="Times New Roman"/>
                <w:sz w:val="20"/>
                <w:szCs w:val="20"/>
                <w:color w:val="auto"/>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781</w:t>
            </w:r>
          </w:p>
        </w:tc>
        <w:tc>
          <w:tcPr>
            <w:tcW w:w="0" w:type="dxa"/>
            <w:vAlign w:val="bottom"/>
          </w:tcPr>
          <w:p>
            <w:pPr>
              <w:spacing w:after="0"/>
              <w:rPr>
                <w:sz w:val="1"/>
                <w:szCs w:val="1"/>
                <w:color w:val="auto"/>
              </w:rPr>
            </w:pPr>
          </w:p>
        </w:tc>
      </w:tr>
      <w:tr>
        <w:trPr>
          <w:trHeight w:val="281"/>
        </w:trPr>
        <w:tc>
          <w:tcPr>
            <w:tcW w:w="6200" w:type="dxa"/>
            <w:vAlign w:val="bottom"/>
            <w:shd w:val="clear" w:color="auto" w:fill="DDDDDD"/>
          </w:tcPr>
          <w:p>
            <w:pPr>
              <w:ind w:left="160"/>
              <w:spacing w:after="0"/>
              <w:rPr>
                <w:sz w:val="20"/>
                <w:szCs w:val="20"/>
                <w:color w:val="auto"/>
              </w:rPr>
            </w:pPr>
            <w:r>
              <w:rPr>
                <w:rFonts w:ascii="Times New Roman" w:cs="Times New Roman" w:eastAsia="Times New Roman" w:hAnsi="Times New Roman"/>
                <w:sz w:val="20"/>
                <w:szCs w:val="20"/>
                <w:color w:val="auto"/>
              </w:rPr>
              <w:t>Holdback liability recognized in connection with acquisition</w:t>
            </w:r>
          </w:p>
        </w:tc>
        <w:tc>
          <w:tcPr>
            <w:tcW w:w="300" w:type="dxa"/>
            <w:vAlign w:val="bottom"/>
            <w:shd w:val="clear" w:color="auto" w:fill="DDDDDD"/>
          </w:tcPr>
          <w:p>
            <w:pPr>
              <w:jc w:val="right"/>
              <w:ind w:right="39"/>
              <w:spacing w:after="0"/>
              <w:rPr>
                <w:sz w:val="20"/>
                <w:szCs w:val="20"/>
                <w:color w:val="auto"/>
              </w:rPr>
            </w:pPr>
            <w:r>
              <w:rPr>
                <w:rFonts w:ascii="Times New Roman" w:cs="Times New Roman" w:eastAsia="Times New Roman" w:hAnsi="Times New Roman"/>
                <w:sz w:val="20"/>
                <w:szCs w:val="20"/>
                <w:color w:val="auto"/>
              </w:rPr>
              <w:t>$</w:t>
            </w:r>
          </w:p>
        </w:tc>
        <w:tc>
          <w:tcPr>
            <w:tcW w:w="1020" w:type="dxa"/>
            <w:vAlign w:val="bottom"/>
            <w:shd w:val="clear" w:color="auto" w:fill="DDDDDD"/>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60" w:type="dxa"/>
            <w:vAlign w:val="bottom"/>
            <w:shd w:val="clear" w:color="auto" w:fill="DDDDDD"/>
          </w:tcPr>
          <w:p>
            <w:pPr>
              <w:spacing w:after="0"/>
              <w:rPr>
                <w:sz w:val="24"/>
                <w:szCs w:val="24"/>
                <w:color w:val="auto"/>
              </w:rPr>
            </w:pPr>
          </w:p>
        </w:tc>
        <w:tc>
          <w:tcPr>
            <w:tcW w:w="320" w:type="dxa"/>
            <w:vAlign w:val="bottom"/>
            <w:shd w:val="clear" w:color="auto" w:fill="DDDDDD"/>
          </w:tcPr>
          <w:p>
            <w:pPr>
              <w:jc w:val="right"/>
              <w:ind w:right="59"/>
              <w:spacing w:after="0"/>
              <w:rPr>
                <w:sz w:val="20"/>
                <w:szCs w:val="20"/>
                <w:color w:val="auto"/>
              </w:rPr>
            </w:pPr>
            <w:r>
              <w:rPr>
                <w:rFonts w:ascii="Times New Roman" w:cs="Times New Roman" w:eastAsia="Times New Roman" w:hAnsi="Times New Roman"/>
                <w:sz w:val="20"/>
                <w:szCs w:val="20"/>
                <w:color w:val="auto"/>
              </w:rPr>
              <w:t>$</w:t>
            </w:r>
          </w:p>
        </w:tc>
        <w:tc>
          <w:tcPr>
            <w:tcW w:w="1000" w:type="dxa"/>
            <w:vAlign w:val="bottom"/>
            <w:shd w:val="clear" w:color="auto" w:fill="DDDDDD"/>
          </w:tcPr>
          <w:p>
            <w:pPr>
              <w:jc w:val="right"/>
              <w:spacing w:after="0"/>
              <w:rPr>
                <w:sz w:val="20"/>
                <w:szCs w:val="20"/>
                <w:color w:val="auto"/>
              </w:rPr>
            </w:pPr>
            <w:r>
              <w:rPr>
                <w:rFonts w:ascii="Times New Roman" w:cs="Times New Roman" w:eastAsia="Times New Roman" w:hAnsi="Times New Roman"/>
                <w:sz w:val="20"/>
                <w:szCs w:val="20"/>
                <w:color w:val="auto"/>
              </w:rPr>
              <w:t>98</w:t>
            </w:r>
          </w:p>
        </w:tc>
        <w:tc>
          <w:tcPr>
            <w:tcW w:w="60" w:type="dxa"/>
            <w:vAlign w:val="bottom"/>
            <w:shd w:val="clear" w:color="auto" w:fill="DDDDDD"/>
          </w:tcPr>
          <w:p>
            <w:pPr>
              <w:spacing w:after="0"/>
              <w:rPr>
                <w:sz w:val="24"/>
                <w:szCs w:val="24"/>
                <w:color w:val="auto"/>
              </w:rPr>
            </w:pPr>
          </w:p>
        </w:tc>
        <w:tc>
          <w:tcPr>
            <w:tcW w:w="420" w:type="dxa"/>
            <w:vAlign w:val="bottom"/>
            <w:shd w:val="clear" w:color="auto" w:fill="DDDDDD"/>
          </w:tcPr>
          <w:p>
            <w:pPr>
              <w:jc w:val="right"/>
              <w:ind w:right="179"/>
              <w:spacing w:after="0"/>
              <w:rPr>
                <w:sz w:val="20"/>
                <w:szCs w:val="20"/>
                <w:color w:val="auto"/>
              </w:rPr>
            </w:pPr>
            <w:r>
              <w:rPr>
                <w:rFonts w:ascii="Times New Roman" w:cs="Times New Roman" w:eastAsia="Times New Roman" w:hAnsi="Times New Roman"/>
                <w:sz w:val="20"/>
                <w:szCs w:val="20"/>
                <w:color w:val="auto"/>
              </w:rPr>
              <w:t>$</w:t>
            </w:r>
          </w:p>
        </w:tc>
        <w:tc>
          <w:tcPr>
            <w:tcW w:w="880" w:type="dxa"/>
            <w:vAlign w:val="bottom"/>
            <w:shd w:val="clear" w:color="auto" w:fill="DDDDDD"/>
          </w:tcPr>
          <w:p>
            <w:pPr>
              <w:jc w:val="right"/>
              <w:spacing w:after="0"/>
              <w:rPr>
                <w:sz w:val="20"/>
                <w:szCs w:val="20"/>
                <w:color w:val="auto"/>
              </w:rPr>
            </w:pPr>
            <w:r>
              <w:rPr>
                <w:rFonts w:ascii="Times New Roman" w:cs="Times New Roman" w:eastAsia="Times New Roman" w:hAnsi="Times New Roman"/>
                <w:sz w:val="20"/>
                <w:szCs w:val="20"/>
                <w:color w:val="auto"/>
              </w:rPr>
              <w:t>1,000</w:t>
            </w:r>
          </w:p>
        </w:tc>
        <w:tc>
          <w:tcPr>
            <w:tcW w:w="0" w:type="dxa"/>
            <w:vAlign w:val="bottom"/>
          </w:tcPr>
          <w:p>
            <w:pPr>
              <w:spacing w:after="0"/>
              <w:rPr>
                <w:sz w:val="1"/>
                <w:szCs w:val="1"/>
                <w:color w:val="auto"/>
              </w:rPr>
            </w:pPr>
          </w:p>
        </w:tc>
      </w:tr>
      <w:tr>
        <w:trPr>
          <w:trHeight w:val="288"/>
        </w:trPr>
        <w:tc>
          <w:tcPr>
            <w:tcW w:w="6200" w:type="dxa"/>
            <w:vAlign w:val="bottom"/>
          </w:tcPr>
          <w:p>
            <w:pPr>
              <w:ind w:left="160"/>
              <w:spacing w:after="0"/>
              <w:rPr>
                <w:sz w:val="20"/>
                <w:szCs w:val="20"/>
                <w:color w:val="auto"/>
              </w:rPr>
            </w:pPr>
            <w:r>
              <w:rPr>
                <w:rFonts w:ascii="Times New Roman" w:cs="Times New Roman" w:eastAsia="Times New Roman" w:hAnsi="Times New Roman"/>
                <w:sz w:val="20"/>
                <w:szCs w:val="20"/>
                <w:color w:val="auto"/>
              </w:rPr>
              <w:t>Warranty liability assumed from the Business Combination</w:t>
            </w:r>
          </w:p>
        </w:tc>
        <w:tc>
          <w:tcPr>
            <w:tcW w:w="300" w:type="dxa"/>
            <w:vAlign w:val="bottom"/>
          </w:tcPr>
          <w:p>
            <w:pPr>
              <w:jc w:val="right"/>
              <w:ind w:right="39"/>
              <w:spacing w:after="0"/>
              <w:rPr>
                <w:sz w:val="20"/>
                <w:szCs w:val="20"/>
                <w:color w:val="auto"/>
              </w:rPr>
            </w:pPr>
            <w:r>
              <w:rPr>
                <w:rFonts w:ascii="Times New Roman" w:cs="Times New Roman" w:eastAsia="Times New Roman" w:hAnsi="Times New Roman"/>
                <w:sz w:val="20"/>
                <w:szCs w:val="20"/>
                <w:color w:val="auto"/>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380" w:type="dxa"/>
            <w:vAlign w:val="bottom"/>
            <w:gridSpan w:val="2"/>
          </w:tcPr>
          <w:p>
            <w:pPr>
              <w:jc w:val="right"/>
              <w:ind w:right="59"/>
              <w:spacing w:after="0"/>
              <w:rPr>
                <w:sz w:val="20"/>
                <w:szCs w:val="20"/>
                <w:color w:val="auto"/>
              </w:rPr>
            </w:pPr>
            <w:r>
              <w:rPr>
                <w:rFonts w:ascii="Times New Roman" w:cs="Times New Roman" w:eastAsia="Times New Roman" w:hAnsi="Times New Roman"/>
                <w:sz w:val="20"/>
                <w:szCs w:val="20"/>
                <w:color w:val="auto"/>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480" w:type="dxa"/>
            <w:vAlign w:val="bottom"/>
            <w:gridSpan w:val="2"/>
          </w:tcPr>
          <w:p>
            <w:pPr>
              <w:jc w:val="right"/>
              <w:ind w:right="179"/>
              <w:spacing w:after="0"/>
              <w:rPr>
                <w:sz w:val="20"/>
                <w:szCs w:val="20"/>
                <w:color w:val="auto"/>
              </w:rPr>
            </w:pPr>
            <w:r>
              <w:rPr>
                <w:rFonts w:ascii="Times New Roman" w:cs="Times New Roman" w:eastAsia="Times New Roman" w:hAnsi="Times New Roman"/>
                <w:sz w:val="20"/>
                <w:szCs w:val="20"/>
                <w:color w:val="auto"/>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193,978</w:t>
            </w:r>
          </w:p>
        </w:tc>
        <w:tc>
          <w:tcPr>
            <w:tcW w:w="0" w:type="dxa"/>
            <w:vAlign w:val="bottom"/>
          </w:tcPr>
          <w:p>
            <w:pPr>
              <w:spacing w:after="0"/>
              <w:rPr>
                <w:sz w:val="1"/>
                <w:szCs w:val="1"/>
                <w:color w:val="auto"/>
              </w:rPr>
            </w:pPr>
          </w:p>
        </w:tc>
      </w:tr>
      <w:tr>
        <w:trPr>
          <w:trHeight w:val="258"/>
        </w:trPr>
        <w:tc>
          <w:tcPr>
            <w:tcW w:w="6200" w:type="dxa"/>
            <w:vAlign w:val="bottom"/>
            <w:shd w:val="clear" w:color="auto" w:fill="DDDDDD"/>
          </w:tcPr>
          <w:p>
            <w:pPr>
              <w:ind w:left="160"/>
              <w:spacing w:after="0"/>
              <w:rPr>
                <w:sz w:val="20"/>
                <w:szCs w:val="20"/>
                <w:color w:val="auto"/>
              </w:rPr>
            </w:pPr>
            <w:r>
              <w:rPr>
                <w:rFonts w:ascii="Times New Roman" w:cs="Times New Roman" w:eastAsia="Times New Roman" w:hAnsi="Times New Roman"/>
                <w:sz w:val="20"/>
                <w:szCs w:val="20"/>
                <w:color w:val="auto"/>
              </w:rPr>
              <w:t>Tax receivable agreement liability recognized in connection with the</w:t>
            </w:r>
          </w:p>
        </w:tc>
        <w:tc>
          <w:tcPr>
            <w:tcW w:w="300" w:type="dxa"/>
            <w:vAlign w:val="bottom"/>
            <w:vMerge w:val="restart"/>
            <w:shd w:val="clear" w:color="auto" w:fill="DDDDDD"/>
          </w:tcPr>
          <w:p>
            <w:pPr>
              <w:jc w:val="right"/>
              <w:ind w:right="39"/>
              <w:spacing w:after="0"/>
              <w:rPr>
                <w:sz w:val="20"/>
                <w:szCs w:val="20"/>
                <w:color w:val="auto"/>
              </w:rPr>
            </w:pPr>
            <w:r>
              <w:rPr>
                <w:rFonts w:ascii="Times New Roman" w:cs="Times New Roman" w:eastAsia="Times New Roman" w:hAnsi="Times New Roman"/>
                <w:sz w:val="20"/>
                <w:szCs w:val="20"/>
                <w:color w:val="auto"/>
              </w:rPr>
              <w:t>$</w:t>
            </w:r>
          </w:p>
        </w:tc>
        <w:tc>
          <w:tcPr>
            <w:tcW w:w="1020" w:type="dxa"/>
            <w:vAlign w:val="bottom"/>
            <w:vMerge w:val="restart"/>
            <w:shd w:val="clear" w:color="auto" w:fill="DDDDDD"/>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60" w:type="dxa"/>
            <w:vAlign w:val="bottom"/>
            <w:shd w:val="clear" w:color="auto" w:fill="DDDDDD"/>
          </w:tcPr>
          <w:p>
            <w:pPr>
              <w:spacing w:after="0"/>
              <w:rPr>
                <w:sz w:val="22"/>
                <w:szCs w:val="22"/>
                <w:color w:val="auto"/>
              </w:rPr>
            </w:pPr>
          </w:p>
        </w:tc>
        <w:tc>
          <w:tcPr>
            <w:tcW w:w="320" w:type="dxa"/>
            <w:vAlign w:val="bottom"/>
            <w:vMerge w:val="restart"/>
            <w:shd w:val="clear" w:color="auto" w:fill="DDDDDD"/>
          </w:tcPr>
          <w:p>
            <w:pPr>
              <w:jc w:val="right"/>
              <w:ind w:right="59"/>
              <w:spacing w:after="0"/>
              <w:rPr>
                <w:sz w:val="20"/>
                <w:szCs w:val="20"/>
                <w:color w:val="auto"/>
              </w:rPr>
            </w:pPr>
            <w:r>
              <w:rPr>
                <w:rFonts w:ascii="Times New Roman" w:cs="Times New Roman" w:eastAsia="Times New Roman" w:hAnsi="Times New Roman"/>
                <w:sz w:val="20"/>
                <w:szCs w:val="20"/>
                <w:color w:val="auto"/>
              </w:rPr>
              <w:t>$</w:t>
            </w:r>
          </w:p>
        </w:tc>
        <w:tc>
          <w:tcPr>
            <w:tcW w:w="1000" w:type="dxa"/>
            <w:vAlign w:val="bottom"/>
            <w:vMerge w:val="restart"/>
            <w:shd w:val="clear" w:color="auto" w:fill="DDDDDD"/>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60" w:type="dxa"/>
            <w:vAlign w:val="bottom"/>
            <w:shd w:val="clear" w:color="auto" w:fill="DDDDDD"/>
          </w:tcPr>
          <w:p>
            <w:pPr>
              <w:spacing w:after="0"/>
              <w:rPr>
                <w:sz w:val="22"/>
                <w:szCs w:val="22"/>
                <w:color w:val="auto"/>
              </w:rPr>
            </w:pPr>
          </w:p>
        </w:tc>
        <w:tc>
          <w:tcPr>
            <w:tcW w:w="420" w:type="dxa"/>
            <w:vAlign w:val="bottom"/>
            <w:vMerge w:val="restart"/>
            <w:shd w:val="clear" w:color="auto" w:fill="DDDDDD"/>
          </w:tcPr>
          <w:p>
            <w:pPr>
              <w:jc w:val="right"/>
              <w:ind w:right="179"/>
              <w:spacing w:after="0"/>
              <w:rPr>
                <w:sz w:val="20"/>
                <w:szCs w:val="20"/>
                <w:color w:val="auto"/>
              </w:rPr>
            </w:pPr>
            <w:r>
              <w:rPr>
                <w:rFonts w:ascii="Times New Roman" w:cs="Times New Roman" w:eastAsia="Times New Roman" w:hAnsi="Times New Roman"/>
                <w:sz w:val="20"/>
                <w:szCs w:val="20"/>
                <w:color w:val="auto"/>
              </w:rPr>
              <w:t>$</w:t>
            </w:r>
          </w:p>
        </w:tc>
        <w:tc>
          <w:tcPr>
            <w:tcW w:w="880" w:type="dxa"/>
            <w:vAlign w:val="bottom"/>
            <w:vMerge w:val="restart"/>
            <w:shd w:val="clear" w:color="auto" w:fill="DDDDDD"/>
          </w:tcPr>
          <w:p>
            <w:pPr>
              <w:jc w:val="right"/>
              <w:spacing w:after="0"/>
              <w:rPr>
                <w:sz w:val="20"/>
                <w:szCs w:val="20"/>
                <w:color w:val="auto"/>
              </w:rPr>
            </w:pPr>
            <w:r>
              <w:rPr>
                <w:rFonts w:ascii="Times New Roman" w:cs="Times New Roman" w:eastAsia="Times New Roman" w:hAnsi="Times New Roman"/>
                <w:sz w:val="20"/>
                <w:szCs w:val="20"/>
                <w:color w:val="auto"/>
              </w:rPr>
              <w:t>128,567</w:t>
            </w:r>
          </w:p>
        </w:tc>
        <w:tc>
          <w:tcPr>
            <w:tcW w:w="0" w:type="dxa"/>
            <w:vAlign w:val="bottom"/>
          </w:tcPr>
          <w:p>
            <w:pPr>
              <w:spacing w:after="0"/>
              <w:rPr>
                <w:sz w:val="1"/>
                <w:szCs w:val="1"/>
                <w:color w:val="auto"/>
              </w:rPr>
            </w:pPr>
          </w:p>
        </w:tc>
      </w:tr>
      <w:tr>
        <w:trPr>
          <w:trHeight w:val="202"/>
        </w:trPr>
        <w:tc>
          <w:tcPr>
            <w:tcW w:w="6200" w:type="dxa"/>
            <w:vAlign w:val="bottom"/>
            <w:shd w:val="clear" w:color="auto" w:fill="DDDDDD"/>
          </w:tcPr>
          <w:p>
            <w:pPr>
              <w:ind w:left="160"/>
              <w:spacing w:after="0" w:line="183" w:lineRule="exact"/>
              <w:rPr>
                <w:sz w:val="20"/>
                <w:szCs w:val="20"/>
                <w:color w:val="auto"/>
              </w:rPr>
            </w:pPr>
            <w:r>
              <w:rPr>
                <w:rFonts w:ascii="Times New Roman" w:cs="Times New Roman" w:eastAsia="Times New Roman" w:hAnsi="Times New Roman"/>
                <w:sz w:val="20"/>
                <w:szCs w:val="20"/>
                <w:color w:val="auto"/>
              </w:rPr>
              <w:t>Business Combination</w:t>
            </w:r>
          </w:p>
        </w:tc>
        <w:tc>
          <w:tcPr>
            <w:tcW w:w="300" w:type="dxa"/>
            <w:vAlign w:val="bottom"/>
            <w:vMerge w:val="continue"/>
            <w:shd w:val="clear" w:color="auto" w:fill="DDDDDD"/>
          </w:tcPr>
          <w:p>
            <w:pPr>
              <w:spacing w:after="0"/>
              <w:rPr>
                <w:sz w:val="17"/>
                <w:szCs w:val="17"/>
                <w:color w:val="auto"/>
              </w:rPr>
            </w:pPr>
          </w:p>
        </w:tc>
        <w:tc>
          <w:tcPr>
            <w:tcW w:w="1020" w:type="dxa"/>
            <w:vAlign w:val="bottom"/>
            <w:vMerge w:val="continue"/>
            <w:shd w:val="clear" w:color="auto" w:fill="DDDDDD"/>
          </w:tcPr>
          <w:p>
            <w:pPr>
              <w:spacing w:after="0"/>
              <w:rPr>
                <w:sz w:val="17"/>
                <w:szCs w:val="17"/>
                <w:color w:val="auto"/>
              </w:rPr>
            </w:pPr>
          </w:p>
        </w:tc>
        <w:tc>
          <w:tcPr>
            <w:tcW w:w="60" w:type="dxa"/>
            <w:vAlign w:val="bottom"/>
            <w:shd w:val="clear" w:color="auto" w:fill="DDDDDD"/>
          </w:tcPr>
          <w:p>
            <w:pPr>
              <w:spacing w:after="0"/>
              <w:rPr>
                <w:sz w:val="17"/>
                <w:szCs w:val="17"/>
                <w:color w:val="auto"/>
              </w:rPr>
            </w:pPr>
          </w:p>
        </w:tc>
        <w:tc>
          <w:tcPr>
            <w:tcW w:w="320" w:type="dxa"/>
            <w:vAlign w:val="bottom"/>
            <w:vMerge w:val="continue"/>
            <w:shd w:val="clear" w:color="auto" w:fill="DDDDDD"/>
          </w:tcPr>
          <w:p>
            <w:pPr>
              <w:spacing w:after="0"/>
              <w:rPr>
                <w:sz w:val="17"/>
                <w:szCs w:val="17"/>
                <w:color w:val="auto"/>
              </w:rPr>
            </w:pPr>
          </w:p>
        </w:tc>
        <w:tc>
          <w:tcPr>
            <w:tcW w:w="1000" w:type="dxa"/>
            <w:vAlign w:val="bottom"/>
            <w:vMerge w:val="continue"/>
            <w:shd w:val="clear" w:color="auto" w:fill="DDDDDD"/>
          </w:tcPr>
          <w:p>
            <w:pPr>
              <w:spacing w:after="0"/>
              <w:rPr>
                <w:sz w:val="17"/>
                <w:szCs w:val="17"/>
                <w:color w:val="auto"/>
              </w:rPr>
            </w:pPr>
          </w:p>
        </w:tc>
        <w:tc>
          <w:tcPr>
            <w:tcW w:w="60" w:type="dxa"/>
            <w:vAlign w:val="bottom"/>
            <w:shd w:val="clear" w:color="auto" w:fill="DDDDDD"/>
          </w:tcPr>
          <w:p>
            <w:pPr>
              <w:spacing w:after="0"/>
              <w:rPr>
                <w:sz w:val="17"/>
                <w:szCs w:val="17"/>
                <w:color w:val="auto"/>
              </w:rPr>
            </w:pPr>
          </w:p>
        </w:tc>
        <w:tc>
          <w:tcPr>
            <w:tcW w:w="420" w:type="dxa"/>
            <w:vAlign w:val="bottom"/>
            <w:vMerge w:val="continue"/>
            <w:shd w:val="clear" w:color="auto" w:fill="DDDDDD"/>
          </w:tcPr>
          <w:p>
            <w:pPr>
              <w:spacing w:after="0"/>
              <w:rPr>
                <w:sz w:val="17"/>
                <w:szCs w:val="17"/>
                <w:color w:val="auto"/>
              </w:rPr>
            </w:pPr>
          </w:p>
        </w:tc>
        <w:tc>
          <w:tcPr>
            <w:tcW w:w="880" w:type="dxa"/>
            <w:vAlign w:val="bottom"/>
            <w:vMerge w:val="continue"/>
            <w:shd w:val="clear" w:color="auto" w:fill="DDDDDD"/>
          </w:tcPr>
          <w:p>
            <w:pPr>
              <w:spacing w:after="0"/>
              <w:rPr>
                <w:sz w:val="17"/>
                <w:szCs w:val="17"/>
                <w:color w:val="auto"/>
              </w:rPr>
            </w:pPr>
          </w:p>
        </w:tc>
        <w:tc>
          <w:tcPr>
            <w:tcW w:w="0" w:type="dxa"/>
            <w:vAlign w:val="bottom"/>
          </w:tcPr>
          <w:p>
            <w:pPr>
              <w:spacing w:after="0"/>
              <w:rPr>
                <w:sz w:val="1"/>
                <w:szCs w:val="1"/>
                <w:color w:val="auto"/>
              </w:rPr>
            </w:pPr>
          </w:p>
        </w:tc>
      </w:tr>
      <w:tr>
        <w:trPr>
          <w:trHeight w:val="266"/>
        </w:trPr>
        <w:tc>
          <w:tcPr>
            <w:tcW w:w="6200" w:type="dxa"/>
            <w:vAlign w:val="bottom"/>
          </w:tcPr>
          <w:p>
            <w:pPr>
              <w:ind w:left="160"/>
              <w:spacing w:after="0"/>
              <w:rPr>
                <w:sz w:val="20"/>
                <w:szCs w:val="20"/>
                <w:color w:val="auto"/>
              </w:rPr>
            </w:pPr>
            <w:r>
              <w:rPr>
                <w:rFonts w:ascii="Times New Roman" w:cs="Times New Roman" w:eastAsia="Times New Roman" w:hAnsi="Times New Roman"/>
                <w:sz w:val="20"/>
                <w:szCs w:val="20"/>
                <w:color w:val="auto"/>
              </w:rPr>
              <w:t>Deferred tax assets recognized in connection with the Business</w:t>
            </w:r>
          </w:p>
        </w:tc>
        <w:tc>
          <w:tcPr>
            <w:tcW w:w="300" w:type="dxa"/>
            <w:vAlign w:val="bottom"/>
            <w:vMerge w:val="restart"/>
          </w:tcPr>
          <w:p>
            <w:pPr>
              <w:jc w:val="right"/>
              <w:ind w:right="39"/>
              <w:spacing w:after="0"/>
              <w:rPr>
                <w:sz w:val="20"/>
                <w:szCs w:val="20"/>
                <w:color w:val="auto"/>
              </w:rPr>
            </w:pPr>
            <w:r>
              <w:rPr>
                <w:rFonts w:ascii="Times New Roman" w:cs="Times New Roman" w:eastAsia="Times New Roman" w:hAnsi="Times New Roman"/>
                <w:sz w:val="20"/>
                <w:szCs w:val="20"/>
                <w:color w:val="auto"/>
              </w:rPr>
              <w:t>$</w:t>
            </w:r>
          </w:p>
        </w:tc>
        <w:tc>
          <w:tcPr>
            <w:tcW w:w="1020" w:type="dxa"/>
            <w:vAlign w:val="bottom"/>
            <w:vMerge w:val="restart"/>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380" w:type="dxa"/>
            <w:vAlign w:val="bottom"/>
            <w:gridSpan w:val="2"/>
            <w:vMerge w:val="restart"/>
          </w:tcPr>
          <w:p>
            <w:pPr>
              <w:jc w:val="right"/>
              <w:ind w:right="59"/>
              <w:spacing w:after="0"/>
              <w:rPr>
                <w:sz w:val="20"/>
                <w:szCs w:val="20"/>
                <w:color w:val="auto"/>
              </w:rPr>
            </w:pPr>
            <w:r>
              <w:rPr>
                <w:rFonts w:ascii="Times New Roman" w:cs="Times New Roman" w:eastAsia="Times New Roman" w:hAnsi="Times New Roman"/>
                <w:sz w:val="20"/>
                <w:szCs w:val="20"/>
                <w:color w:val="auto"/>
              </w:rPr>
              <w:t>$</w:t>
            </w:r>
          </w:p>
        </w:tc>
        <w:tc>
          <w:tcPr>
            <w:tcW w:w="1000" w:type="dxa"/>
            <w:vAlign w:val="bottom"/>
            <w:vMerge w:val="restart"/>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480" w:type="dxa"/>
            <w:vAlign w:val="bottom"/>
            <w:gridSpan w:val="2"/>
            <w:vMerge w:val="restart"/>
          </w:tcPr>
          <w:p>
            <w:pPr>
              <w:jc w:val="right"/>
              <w:ind w:right="179"/>
              <w:spacing w:after="0"/>
              <w:rPr>
                <w:sz w:val="20"/>
                <w:szCs w:val="20"/>
                <w:color w:val="auto"/>
              </w:rPr>
            </w:pPr>
            <w:r>
              <w:rPr>
                <w:rFonts w:ascii="Times New Roman" w:cs="Times New Roman" w:eastAsia="Times New Roman" w:hAnsi="Times New Roman"/>
                <w:sz w:val="20"/>
                <w:szCs w:val="20"/>
                <w:color w:val="auto"/>
              </w:rPr>
              <w:t>$</w:t>
            </w:r>
          </w:p>
        </w:tc>
        <w:tc>
          <w:tcPr>
            <w:tcW w:w="880" w:type="dxa"/>
            <w:vAlign w:val="bottom"/>
            <w:vMerge w:val="restart"/>
          </w:tcPr>
          <w:p>
            <w:pPr>
              <w:jc w:val="right"/>
              <w:spacing w:after="0"/>
              <w:rPr>
                <w:sz w:val="20"/>
                <w:szCs w:val="20"/>
                <w:color w:val="auto"/>
              </w:rPr>
            </w:pPr>
            <w:r>
              <w:rPr>
                <w:rFonts w:ascii="Times New Roman" w:cs="Times New Roman" w:eastAsia="Times New Roman" w:hAnsi="Times New Roman"/>
                <w:sz w:val="20"/>
                <w:szCs w:val="20"/>
                <w:color w:val="auto"/>
              </w:rPr>
              <w:t>151,255</w:t>
            </w:r>
          </w:p>
        </w:tc>
        <w:tc>
          <w:tcPr>
            <w:tcW w:w="0" w:type="dxa"/>
            <w:vAlign w:val="bottom"/>
          </w:tcPr>
          <w:p>
            <w:pPr>
              <w:spacing w:after="0"/>
              <w:rPr>
                <w:sz w:val="1"/>
                <w:szCs w:val="1"/>
                <w:color w:val="auto"/>
              </w:rPr>
            </w:pPr>
          </w:p>
        </w:tc>
      </w:tr>
      <w:tr>
        <w:trPr>
          <w:trHeight w:val="202"/>
        </w:trPr>
        <w:tc>
          <w:tcPr>
            <w:tcW w:w="6200" w:type="dxa"/>
            <w:vAlign w:val="bottom"/>
          </w:tcPr>
          <w:p>
            <w:pPr>
              <w:ind w:left="160"/>
              <w:spacing w:after="0" w:line="183" w:lineRule="exact"/>
              <w:rPr>
                <w:sz w:val="20"/>
                <w:szCs w:val="20"/>
                <w:color w:val="auto"/>
              </w:rPr>
            </w:pPr>
            <w:r>
              <w:rPr>
                <w:rFonts w:ascii="Times New Roman" w:cs="Times New Roman" w:eastAsia="Times New Roman" w:hAnsi="Times New Roman"/>
                <w:sz w:val="20"/>
                <w:szCs w:val="20"/>
                <w:color w:val="auto"/>
              </w:rPr>
              <w:t>Combination</w:t>
            </w:r>
          </w:p>
        </w:tc>
        <w:tc>
          <w:tcPr>
            <w:tcW w:w="300" w:type="dxa"/>
            <w:vAlign w:val="bottom"/>
            <w:vMerge w:val="continue"/>
          </w:tcPr>
          <w:p>
            <w:pPr>
              <w:spacing w:after="0"/>
              <w:rPr>
                <w:sz w:val="17"/>
                <w:szCs w:val="17"/>
                <w:color w:val="auto"/>
              </w:rPr>
            </w:pPr>
          </w:p>
        </w:tc>
        <w:tc>
          <w:tcPr>
            <w:tcW w:w="1020" w:type="dxa"/>
            <w:vAlign w:val="bottom"/>
            <w:vMerge w:val="continue"/>
          </w:tcPr>
          <w:p>
            <w:pPr>
              <w:spacing w:after="0"/>
              <w:rPr>
                <w:sz w:val="17"/>
                <w:szCs w:val="17"/>
                <w:color w:val="auto"/>
              </w:rPr>
            </w:pPr>
          </w:p>
        </w:tc>
        <w:tc>
          <w:tcPr>
            <w:tcW w:w="380" w:type="dxa"/>
            <w:vAlign w:val="bottom"/>
            <w:gridSpan w:val="2"/>
            <w:vMerge w:val="continue"/>
          </w:tcPr>
          <w:p>
            <w:pPr>
              <w:spacing w:after="0"/>
              <w:rPr>
                <w:sz w:val="17"/>
                <w:szCs w:val="17"/>
                <w:color w:val="auto"/>
              </w:rPr>
            </w:pPr>
          </w:p>
        </w:tc>
        <w:tc>
          <w:tcPr>
            <w:tcW w:w="1000" w:type="dxa"/>
            <w:vAlign w:val="bottom"/>
            <w:vMerge w:val="continue"/>
          </w:tcPr>
          <w:p>
            <w:pPr>
              <w:spacing w:after="0"/>
              <w:rPr>
                <w:sz w:val="17"/>
                <w:szCs w:val="17"/>
                <w:color w:val="auto"/>
              </w:rPr>
            </w:pPr>
          </w:p>
        </w:tc>
        <w:tc>
          <w:tcPr>
            <w:tcW w:w="480" w:type="dxa"/>
            <w:vAlign w:val="bottom"/>
            <w:gridSpan w:val="2"/>
            <w:vMerge w:val="continue"/>
          </w:tcPr>
          <w:p>
            <w:pPr>
              <w:spacing w:after="0"/>
              <w:rPr>
                <w:sz w:val="17"/>
                <w:szCs w:val="17"/>
                <w:color w:val="auto"/>
              </w:rPr>
            </w:pPr>
          </w:p>
        </w:tc>
        <w:tc>
          <w:tcPr>
            <w:tcW w:w="88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88"/>
        </w:trPr>
        <w:tc>
          <w:tcPr>
            <w:tcW w:w="6200" w:type="dxa"/>
            <w:vAlign w:val="bottom"/>
            <w:shd w:val="clear" w:color="auto" w:fill="DDDDDD"/>
          </w:tcPr>
          <w:p>
            <w:pPr>
              <w:ind w:left="160"/>
              <w:spacing w:after="0"/>
              <w:rPr>
                <w:sz w:val="20"/>
                <w:szCs w:val="20"/>
                <w:color w:val="auto"/>
              </w:rPr>
            </w:pPr>
            <w:r>
              <w:rPr>
                <w:rFonts w:ascii="Times New Roman" w:cs="Times New Roman" w:eastAsia="Times New Roman" w:hAnsi="Times New Roman"/>
                <w:sz w:val="20"/>
                <w:szCs w:val="20"/>
                <w:color w:val="auto"/>
              </w:rPr>
              <w:t>Other assets assumed from the Business Combination</w:t>
            </w:r>
          </w:p>
        </w:tc>
        <w:tc>
          <w:tcPr>
            <w:tcW w:w="300" w:type="dxa"/>
            <w:vAlign w:val="bottom"/>
            <w:shd w:val="clear" w:color="auto" w:fill="DDDDDD"/>
          </w:tcPr>
          <w:p>
            <w:pPr>
              <w:jc w:val="right"/>
              <w:ind w:right="39"/>
              <w:spacing w:after="0"/>
              <w:rPr>
                <w:sz w:val="20"/>
                <w:szCs w:val="20"/>
                <w:color w:val="auto"/>
              </w:rPr>
            </w:pPr>
            <w:r>
              <w:rPr>
                <w:rFonts w:ascii="Times New Roman" w:cs="Times New Roman" w:eastAsia="Times New Roman" w:hAnsi="Times New Roman"/>
                <w:sz w:val="20"/>
                <w:szCs w:val="20"/>
                <w:color w:val="auto"/>
              </w:rPr>
              <w:t>$</w:t>
            </w:r>
          </w:p>
        </w:tc>
        <w:tc>
          <w:tcPr>
            <w:tcW w:w="1020" w:type="dxa"/>
            <w:vAlign w:val="bottom"/>
            <w:shd w:val="clear" w:color="auto" w:fill="DDDDDD"/>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60" w:type="dxa"/>
            <w:vAlign w:val="bottom"/>
            <w:shd w:val="clear" w:color="auto" w:fill="DDDDDD"/>
          </w:tcPr>
          <w:p>
            <w:pPr>
              <w:spacing w:after="0"/>
              <w:rPr>
                <w:sz w:val="24"/>
                <w:szCs w:val="24"/>
                <w:color w:val="auto"/>
              </w:rPr>
            </w:pPr>
          </w:p>
        </w:tc>
        <w:tc>
          <w:tcPr>
            <w:tcW w:w="320" w:type="dxa"/>
            <w:vAlign w:val="bottom"/>
            <w:shd w:val="clear" w:color="auto" w:fill="DDDDDD"/>
          </w:tcPr>
          <w:p>
            <w:pPr>
              <w:jc w:val="right"/>
              <w:ind w:right="59"/>
              <w:spacing w:after="0"/>
              <w:rPr>
                <w:sz w:val="20"/>
                <w:szCs w:val="20"/>
                <w:color w:val="auto"/>
              </w:rPr>
            </w:pPr>
            <w:r>
              <w:rPr>
                <w:rFonts w:ascii="Times New Roman" w:cs="Times New Roman" w:eastAsia="Times New Roman" w:hAnsi="Times New Roman"/>
                <w:sz w:val="20"/>
                <w:szCs w:val="20"/>
                <w:color w:val="auto"/>
              </w:rPr>
              <w:t>$</w:t>
            </w:r>
          </w:p>
        </w:tc>
        <w:tc>
          <w:tcPr>
            <w:tcW w:w="1000" w:type="dxa"/>
            <w:vAlign w:val="bottom"/>
            <w:shd w:val="clear" w:color="auto" w:fill="DDDDDD"/>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60" w:type="dxa"/>
            <w:vAlign w:val="bottom"/>
            <w:shd w:val="clear" w:color="auto" w:fill="DDDDDD"/>
          </w:tcPr>
          <w:p>
            <w:pPr>
              <w:spacing w:after="0"/>
              <w:rPr>
                <w:sz w:val="24"/>
                <w:szCs w:val="24"/>
                <w:color w:val="auto"/>
              </w:rPr>
            </w:pPr>
          </w:p>
        </w:tc>
        <w:tc>
          <w:tcPr>
            <w:tcW w:w="420" w:type="dxa"/>
            <w:vAlign w:val="bottom"/>
            <w:shd w:val="clear" w:color="auto" w:fill="DDDDDD"/>
          </w:tcPr>
          <w:p>
            <w:pPr>
              <w:jc w:val="right"/>
              <w:ind w:right="179"/>
              <w:spacing w:after="0"/>
              <w:rPr>
                <w:sz w:val="20"/>
                <w:szCs w:val="20"/>
                <w:color w:val="auto"/>
              </w:rPr>
            </w:pPr>
            <w:r>
              <w:rPr>
                <w:rFonts w:ascii="Times New Roman" w:cs="Times New Roman" w:eastAsia="Times New Roman" w:hAnsi="Times New Roman"/>
                <w:sz w:val="20"/>
                <w:szCs w:val="20"/>
                <w:color w:val="auto"/>
              </w:rPr>
              <w:t>$</w:t>
            </w:r>
          </w:p>
        </w:tc>
        <w:tc>
          <w:tcPr>
            <w:tcW w:w="880" w:type="dxa"/>
            <w:vAlign w:val="bottom"/>
            <w:shd w:val="clear" w:color="auto" w:fill="DDDDDD"/>
          </w:tcPr>
          <w:p>
            <w:pPr>
              <w:jc w:val="right"/>
              <w:spacing w:after="0"/>
              <w:rPr>
                <w:sz w:val="20"/>
                <w:szCs w:val="20"/>
                <w:color w:val="auto"/>
              </w:rPr>
            </w:pPr>
            <w:r>
              <w:rPr>
                <w:rFonts w:ascii="Times New Roman" w:cs="Times New Roman" w:eastAsia="Times New Roman" w:hAnsi="Times New Roman"/>
                <w:sz w:val="20"/>
                <w:szCs w:val="20"/>
                <w:color w:val="auto"/>
              </w:rPr>
              <w:t>1,053</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5646420</wp:posOffset>
                </wp:positionH>
                <wp:positionV relativeFrom="paragraph">
                  <wp:posOffset>-2943860</wp:posOffset>
                </wp:positionV>
                <wp:extent cx="36830" cy="13335"/>
                <wp:wrapNone/>
                <wp:docPr id="72" name="Shape 72"/>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36830" cy="13335"/>
                        </a:xfrm>
                        <a:prstGeom prst="rect">
                          <a:avLst/>
                        </a:prstGeom>
                        <a:solidFill>
                          <a:srgbClr val="DDDDDD"/>
                        </a:solidFill>
                      </wps:spPr>
                      <wps:bodyPr/>
                    </wps:wsp>
                  </a:graphicData>
                </a:graphic>
              </wp:anchor>
            </w:drawing>
          </mc:Choice>
          <mc:Fallback>
            <w:pict>
              <v:rect id="Shape 72" o:spid="_x0000_s1097" style="position:absolute;margin-left:444.6pt;margin-top:-231.7999pt;width:2.9pt;height:1.05pt;z-index:-251657728;visibility:visible;mso-wrap-style:square;mso-width-percent:0;mso-height-percent:0;mso-wrap-distance-left:0pt;mso-wrap-distance-top:0;mso-wrap-distance-right:0pt;mso-wrap-distance-bottom:0;mso-position-horizontal:absolute;mso-position-horizontal-relative:text;mso-position-vertical:absolute;mso-position-vertical-relative:text;mso-width-percent:0;mso-height-percent:0;mso-width-relative:page;mso-height-relative:page;v-text-anchor:top" o:allowincell="f" fillcolor="#DDDDDD" stroked="f"/>
            </w:pict>
          </mc:Fallback>
        </mc:AlternateContent>
      </w:r>
    </w:p>
    <w:p>
      <w:pPr>
        <w:spacing w:after="0" w:line="200" w:lineRule="exact"/>
        <w:rPr>
          <w:sz w:val="20"/>
          <w:szCs w:val="20"/>
          <w:color w:val="auto"/>
        </w:rPr>
      </w:pPr>
    </w:p>
    <w:p>
      <w:pPr>
        <w:spacing w:after="0" w:line="26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The accompanying notes are an integral part of these consolidated financial statements.</w:t>
      </w:r>
    </w:p>
    <w:p>
      <w:pPr>
        <w:sectPr>
          <w:pgSz w:w="12240" w:h="15840" w:orient="portrait"/>
          <w:cols w:equalWidth="0" w:num="1">
            <w:col w:w="10260"/>
          </w:cols>
          <w:pgMar w:left="1000" w:top="1278" w:right="980" w:bottom="222"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5"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20"/>
          <w:szCs w:val="20"/>
          <w:color w:val="auto"/>
        </w:rPr>
        <w:t>F-5</w:t>
      </w:r>
    </w:p>
    <w:p>
      <w:pPr>
        <w:sectPr>
          <w:pgSz w:w="12240" w:h="15840" w:orient="portrait"/>
          <w:cols w:equalWidth="0" w:num="1">
            <w:col w:w="10260"/>
          </w:cols>
          <w:pgMar w:left="1000" w:top="1278" w:right="980" w:bottom="222" w:gutter="0" w:footer="0" w:header="0"/>
          <w:type w:val="continuous"/>
        </w:sectPr>
      </w:pPr>
    </w:p>
    <w:bookmarkStart w:id="125" w:name="page126"/>
    <w:bookmarkEnd w:id="125"/>
    <w:p>
      <w:pPr>
        <w:jc w:val="center"/>
        <w:ind w:right="-5"/>
        <w:spacing w:after="0"/>
        <w:rPr>
          <w:sz w:val="20"/>
          <w:szCs w:val="20"/>
          <w:color w:val="auto"/>
        </w:rPr>
      </w:pPr>
      <w:r>
        <w:rPr>
          <w:rFonts w:ascii="Times New Roman" w:cs="Times New Roman" w:eastAsia="Times New Roman" w:hAnsi="Times New Roman"/>
          <w:sz w:val="20"/>
          <w:szCs w:val="20"/>
          <w:b w:val="1"/>
          <w:bCs w:val="1"/>
          <w:color w:val="auto"/>
        </w:rPr>
        <w:t>WM TECHNOLOGY, INC. AND SUBSIDIARIES</w:t>
      </w:r>
    </w:p>
    <w:p>
      <w:pPr>
        <w:spacing w:after="0" w:line="48" w:lineRule="exact"/>
        <w:rPr>
          <w:sz w:val="20"/>
          <w:szCs w:val="20"/>
          <w:color w:val="auto"/>
        </w:rPr>
      </w:pPr>
    </w:p>
    <w:p>
      <w:pPr>
        <w:jc w:val="center"/>
        <w:ind w:right="-5"/>
        <w:spacing w:after="0"/>
        <w:rPr>
          <w:sz w:val="20"/>
          <w:szCs w:val="20"/>
          <w:color w:val="auto"/>
        </w:rPr>
      </w:pPr>
      <w:r>
        <w:rPr>
          <w:rFonts w:ascii="Times New Roman" w:cs="Times New Roman" w:eastAsia="Times New Roman" w:hAnsi="Times New Roman"/>
          <w:sz w:val="20"/>
          <w:szCs w:val="20"/>
          <w:b w:val="1"/>
          <w:bCs w:val="1"/>
          <w:color w:val="auto"/>
        </w:rPr>
        <w:t>NOTES TO CONSOLIDATED FINANCIAL STATEMENTS</w:t>
      </w:r>
    </w:p>
    <w:p>
      <w:pPr>
        <w:spacing w:after="0" w:line="200" w:lineRule="exact"/>
        <w:rPr>
          <w:sz w:val="20"/>
          <w:szCs w:val="20"/>
          <w:color w:val="auto"/>
        </w:rPr>
      </w:pPr>
    </w:p>
    <w:p>
      <w:pPr>
        <w:spacing w:after="0" w:line="279" w:lineRule="exact"/>
        <w:rPr>
          <w:sz w:val="20"/>
          <w:szCs w:val="20"/>
          <w:color w:val="auto"/>
        </w:rPr>
      </w:pPr>
    </w:p>
    <w:p>
      <w:pPr>
        <w:ind w:left="546" w:hanging="546"/>
        <w:spacing w:after="0"/>
        <w:tabs>
          <w:tab w:leader="none" w:pos="546" w:val="left"/>
        </w:tabs>
        <w:numPr>
          <w:ilvl w:val="0"/>
          <w:numId w:val="74"/>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b w:val="1"/>
          <w:bCs w:val="1"/>
          <w:color w:val="auto"/>
        </w:rPr>
        <w:t>Business and Organization</w:t>
      </w:r>
    </w:p>
    <w:p>
      <w:pPr>
        <w:spacing w:after="0" w:line="168" w:lineRule="exact"/>
        <w:rPr>
          <w:sz w:val="20"/>
          <w:szCs w:val="20"/>
          <w:color w:val="auto"/>
        </w:rPr>
      </w:pPr>
    </w:p>
    <w:p>
      <w:pPr>
        <w:jc w:val="both"/>
        <w:ind w:left="6"/>
        <w:spacing w:after="0" w:line="295" w:lineRule="auto"/>
        <w:rPr>
          <w:sz w:val="20"/>
          <w:szCs w:val="20"/>
          <w:color w:val="auto"/>
        </w:rPr>
      </w:pPr>
      <w:r>
        <w:rPr>
          <w:rFonts w:ascii="Times New Roman" w:cs="Times New Roman" w:eastAsia="Times New Roman" w:hAnsi="Times New Roman"/>
          <w:sz w:val="20"/>
          <w:szCs w:val="20"/>
          <w:color w:val="auto"/>
        </w:rPr>
        <w:t>Founded in 2008, and headquartered in Irvine, California, WM Technology, Inc. (the “Company”) operates a leading online cannabis marketplace for consumers together with a comprehensive set of eCommerce and compliance software solutions for cannabis businesses, which are sold to both storefront locations and delivery operators (“retailers”) and brands in the U.S. states and U.S. territories legalized cannabis markets. The Company’s comprehensive business-to-consumer and business-to-business suite of products afford cannabis retailers and brands of all sizes integrated tools to compliantly run their businesses and to reach, convert, and retain consumers.</w:t>
      </w:r>
    </w:p>
    <w:p>
      <w:pPr>
        <w:spacing w:after="0" w:line="75" w:lineRule="exact"/>
        <w:rPr>
          <w:sz w:val="20"/>
          <w:szCs w:val="20"/>
          <w:color w:val="auto"/>
        </w:rPr>
      </w:pPr>
    </w:p>
    <w:p>
      <w:pPr>
        <w:jc w:val="both"/>
        <w:ind w:left="6" w:firstLine="1"/>
        <w:spacing w:after="0" w:line="292" w:lineRule="auto"/>
        <w:rPr>
          <w:sz w:val="20"/>
          <w:szCs w:val="20"/>
          <w:color w:val="auto"/>
        </w:rPr>
      </w:pPr>
      <w:r>
        <w:rPr>
          <w:rFonts w:ascii="Times New Roman" w:cs="Times New Roman" w:eastAsia="Times New Roman" w:hAnsi="Times New Roman"/>
          <w:sz w:val="20"/>
          <w:szCs w:val="20"/>
          <w:color w:val="auto"/>
        </w:rPr>
        <w:t>The Company’s business primarily consists of its commerce-driven marketplace (“Weedmaps”), and its fully integrated suite of end-to-end Software-as-a-Service (“SaaS”) solutions software offering (“Weedmaps for Business”). The Weedmaps marketplace provides cannabis consumers with information regarding cannabis retailers and brands. In addition, the Weedmaps marketplace aggregates data from a variety of sources, including retailer point-of-sale solutions (“POS”), to provide consumers with the ability to browse by strain, price, cannabinoids and other information regarding locally available cannabis products, through the Company’s website and mobile apps. The marketplace provides consumers with product discovery, access to deals and discounts, and reservation of products for pickup by consumers or delivery to consumers by participating retailers (retailers complete orders and process payments outside of the Weedmaps marketplace as Weedmaps serves only as a portal, passing a consumer’s inquiry to the dispensary). The marketplace also provides education and learning information to help newer consumers learn about the types of products to purchase.</w:t>
      </w:r>
    </w:p>
    <w:p>
      <w:pPr>
        <w:spacing w:after="0" w:line="82" w:lineRule="exact"/>
        <w:rPr>
          <w:sz w:val="20"/>
          <w:szCs w:val="20"/>
          <w:color w:val="auto"/>
        </w:rPr>
      </w:pPr>
    </w:p>
    <w:p>
      <w:pPr>
        <w:jc w:val="both"/>
        <w:ind w:left="6"/>
        <w:spacing w:after="0" w:line="296" w:lineRule="auto"/>
        <w:rPr>
          <w:sz w:val="20"/>
          <w:szCs w:val="20"/>
          <w:color w:val="auto"/>
        </w:rPr>
      </w:pPr>
      <w:r>
        <w:rPr>
          <w:rFonts w:ascii="Times New Roman" w:cs="Times New Roman" w:eastAsia="Times New Roman" w:hAnsi="Times New Roman"/>
          <w:sz w:val="20"/>
          <w:szCs w:val="20"/>
          <w:color w:val="auto"/>
        </w:rPr>
        <w:t>Weedmaps for Business, the Company’s SaaS offering, is a comprehensive set of eCommerce and compliance software solutions catered towards cannabis retailers, delivery services and brands that streamline front and back-end operations and help manage compliance needs. With the development of Weedmaps for Business, the Company offers an end-to-end platform for licensed cannabis retailers to comply with state law. The Company sells a monthly subscription offering to storefront, delivery and brand clients as well as upsell and add-on offerings to licensed clients. The Company also offers other add-on products for additional fees.</w:t>
      </w:r>
    </w:p>
    <w:p>
      <w:pPr>
        <w:spacing w:after="0" w:line="76" w:lineRule="exact"/>
        <w:rPr>
          <w:sz w:val="20"/>
          <w:szCs w:val="20"/>
          <w:color w:val="auto"/>
        </w:rPr>
      </w:pPr>
    </w:p>
    <w:p>
      <w:pPr>
        <w:jc w:val="both"/>
        <w:ind w:left="6"/>
        <w:spacing w:after="0" w:line="291" w:lineRule="auto"/>
        <w:rPr>
          <w:sz w:val="20"/>
          <w:szCs w:val="20"/>
          <w:color w:val="auto"/>
        </w:rPr>
      </w:pPr>
      <w:r>
        <w:rPr>
          <w:rFonts w:ascii="Times New Roman" w:cs="Times New Roman" w:eastAsia="Times New Roman" w:hAnsi="Times New Roman"/>
          <w:sz w:val="20"/>
          <w:szCs w:val="20"/>
          <w:color w:val="auto"/>
        </w:rPr>
        <w:t>WM Technology, Inc. was initially incorporated in the Cayman Islands on June 7, 2019 under the name “Silver Spike Acquisition Corp” (“Silver Spike”). Silver Spike was formed for the purpose of effecting a merger, amalgamation, share exchange, asset acquisition, share purchase, reorganization or similar business combination with one or more businesses. On June 16, 2021 (the “Closing Date”), Silver Spike consummated the business combination (the “Business Combination”), pursuant to that certain Agreement and Plan of Merger, dated December 10, 2020 (the “Merger Agreement”), by and among Silver Spike, Silver Spike Merger Sub LLC, a Delaware limited liability company and a wholly owned direct subsidiary of Silver Spike Acquisition Corp., WM Holding Company, LLC, a Delaware limited liability company (when referred to in its pre-Business Combination capacity, “Legacy WMH” and following the Business Combination, “WMH LLC”), and Ghost Media Group, LLC, a Nevada limited liability company, solely in its capacity as the initial holder representative (the “Holder Representative”). On the Closing Date, and in connection with the closing of the Business Combination (the “Closing”), Silver Spike was domesticated and continues as a Delaware corporation, changing its name to WM Technology, Inc.</w:t>
      </w:r>
    </w:p>
    <w:p>
      <w:pPr>
        <w:spacing w:after="0" w:line="86" w:lineRule="exact"/>
        <w:rPr>
          <w:sz w:val="20"/>
          <w:szCs w:val="20"/>
          <w:color w:val="auto"/>
        </w:rPr>
      </w:pPr>
    </w:p>
    <w:p>
      <w:pPr>
        <w:jc w:val="both"/>
        <w:ind w:left="6"/>
        <w:spacing w:after="0" w:line="299" w:lineRule="auto"/>
        <w:rPr>
          <w:sz w:val="20"/>
          <w:szCs w:val="20"/>
          <w:color w:val="auto"/>
        </w:rPr>
      </w:pPr>
      <w:r>
        <w:rPr>
          <w:rFonts w:ascii="Times New Roman" w:cs="Times New Roman" w:eastAsia="Times New Roman" w:hAnsi="Times New Roman"/>
          <w:sz w:val="20"/>
          <w:szCs w:val="20"/>
          <w:color w:val="auto"/>
        </w:rPr>
        <w:t>Legacy WHM was reorganized into an Up-C structure, in which substantially all of the assets and business of Legacy WHM are held by WMH LLC and continue to operate through WMH LLC and its subsidiaries, and WM Technology, Inc.’s material assets are the equity interests of WMH LLC indirectly held by it. Legacy WMH was determined to be the accounting acquirer in the Business Combination, which was accounted for as a reverse recapitalization in accordance with accounting principles generally accepted in the United States of America (“GAAP”).</w:t>
      </w:r>
    </w:p>
    <w:p>
      <w:pPr>
        <w:spacing w:after="0" w:line="73" w:lineRule="exact"/>
        <w:rPr>
          <w:sz w:val="20"/>
          <w:szCs w:val="20"/>
          <w:color w:val="auto"/>
        </w:rPr>
      </w:pPr>
    </w:p>
    <w:p>
      <w:pPr>
        <w:jc w:val="both"/>
        <w:ind w:left="6"/>
        <w:spacing w:after="0" w:line="278" w:lineRule="auto"/>
        <w:rPr>
          <w:sz w:val="20"/>
          <w:szCs w:val="20"/>
          <w:color w:val="auto"/>
        </w:rPr>
      </w:pPr>
      <w:r>
        <w:rPr>
          <w:rFonts w:ascii="Times New Roman" w:cs="Times New Roman" w:eastAsia="Times New Roman" w:hAnsi="Times New Roman"/>
          <w:sz w:val="20"/>
          <w:szCs w:val="20"/>
          <w:color w:val="auto"/>
        </w:rPr>
        <w:t>As of December 31, 2023, the Company had an accumulated deficit of $64.5 million. The Company has funded its operations primarily with customer payments for its services and proceeds from the issuance of common stock in connection with its initial public offering (IPO) and follow-on offering. As of December 31, 2023, the Company had cash of $34.4 million. The Company believes that its existing sources of liquidity will satisfy its working capital and capital requirements for at least the next twelve months.</w:t>
      </w:r>
    </w:p>
    <w:p>
      <w:pPr>
        <w:spacing w:after="0" w:line="288" w:lineRule="exact"/>
        <w:rPr>
          <w:sz w:val="20"/>
          <w:szCs w:val="20"/>
          <w:color w:val="auto"/>
        </w:rPr>
      </w:pPr>
    </w:p>
    <w:p>
      <w:pPr>
        <w:jc w:val="center"/>
        <w:ind w:right="14"/>
        <w:spacing w:after="0"/>
        <w:rPr>
          <w:sz w:val="20"/>
          <w:szCs w:val="20"/>
          <w:color w:val="auto"/>
        </w:rPr>
      </w:pPr>
      <w:r>
        <w:rPr>
          <w:rFonts w:ascii="Times New Roman" w:cs="Times New Roman" w:eastAsia="Times New Roman" w:hAnsi="Times New Roman"/>
          <w:sz w:val="20"/>
          <w:szCs w:val="20"/>
          <w:color w:val="auto"/>
        </w:rPr>
        <w:t>F-6</w:t>
      </w:r>
    </w:p>
    <w:p>
      <w:pPr>
        <w:sectPr>
          <w:pgSz w:w="12240" w:h="15840" w:orient="portrait"/>
          <w:cols w:equalWidth="0" w:num="1">
            <w:col w:w="10266"/>
          </w:cols>
          <w:pgMar w:left="994" w:top="731" w:right="980" w:bottom="222" w:gutter="0" w:footer="0" w:header="0"/>
        </w:sectPr>
      </w:pPr>
    </w:p>
    <w:bookmarkStart w:id="126" w:name="page127"/>
    <w:bookmarkEnd w:id="126"/>
    <w:p>
      <w:pPr>
        <w:jc w:val="center"/>
        <w:ind w:right="13"/>
        <w:spacing w:after="0"/>
        <w:rPr>
          <w:sz w:val="20"/>
          <w:szCs w:val="20"/>
          <w:color w:val="auto"/>
        </w:rPr>
      </w:pPr>
      <w:r>
        <w:rPr>
          <w:rFonts w:ascii="Times New Roman" w:cs="Times New Roman" w:eastAsia="Times New Roman" w:hAnsi="Times New Roman"/>
          <w:sz w:val="20"/>
          <w:szCs w:val="20"/>
          <w:b w:val="1"/>
          <w:bCs w:val="1"/>
          <w:color w:val="auto"/>
        </w:rPr>
        <w:t>WM TECHNOLOGY, INC. AND SUBSIDIARIES</w:t>
      </w:r>
    </w:p>
    <w:p>
      <w:pPr>
        <w:spacing w:after="0" w:line="48" w:lineRule="exact"/>
        <w:rPr>
          <w:sz w:val="20"/>
          <w:szCs w:val="20"/>
          <w:color w:val="auto"/>
        </w:rPr>
      </w:pPr>
    </w:p>
    <w:p>
      <w:pPr>
        <w:jc w:val="center"/>
        <w:ind w:right="-6"/>
        <w:spacing w:after="0"/>
        <w:rPr>
          <w:sz w:val="20"/>
          <w:szCs w:val="20"/>
          <w:color w:val="auto"/>
        </w:rPr>
      </w:pPr>
      <w:r>
        <w:rPr>
          <w:rFonts w:ascii="Times New Roman" w:cs="Times New Roman" w:eastAsia="Times New Roman" w:hAnsi="Times New Roman"/>
          <w:sz w:val="20"/>
          <w:szCs w:val="20"/>
          <w:b w:val="1"/>
          <w:bCs w:val="1"/>
          <w:color w:val="auto"/>
        </w:rPr>
        <w:t>NOTES TO CONSOLIDATED FINANCIAL STATEMENTS</w:t>
      </w:r>
    </w:p>
    <w:p>
      <w:pPr>
        <w:spacing w:after="0" w:line="284" w:lineRule="exact"/>
        <w:rPr>
          <w:sz w:val="20"/>
          <w:szCs w:val="20"/>
          <w:color w:val="auto"/>
        </w:rPr>
      </w:pPr>
    </w:p>
    <w:p>
      <w:pPr>
        <w:ind w:left="587" w:hanging="587"/>
        <w:spacing w:after="0"/>
        <w:tabs>
          <w:tab w:leader="none" w:pos="587" w:val="left"/>
        </w:tabs>
        <w:numPr>
          <w:ilvl w:val="0"/>
          <w:numId w:val="75"/>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b w:val="1"/>
          <w:bCs w:val="1"/>
          <w:color w:val="auto"/>
        </w:rPr>
        <w:t>Summary of Significant Accounting Policies</w:t>
      </w:r>
    </w:p>
    <w:p>
      <w:pPr>
        <w:spacing w:after="0" w:line="170" w:lineRule="exact"/>
        <w:rPr>
          <w:sz w:val="20"/>
          <w:szCs w:val="20"/>
          <w:color w:val="auto"/>
        </w:rPr>
      </w:pPr>
    </w:p>
    <w:p>
      <w:pPr>
        <w:ind w:left="7"/>
        <w:spacing w:after="0"/>
        <w:rPr>
          <w:sz w:val="20"/>
          <w:szCs w:val="20"/>
          <w:color w:val="auto"/>
        </w:rPr>
      </w:pPr>
      <w:r>
        <w:rPr>
          <w:rFonts w:ascii="Times New Roman" w:cs="Times New Roman" w:eastAsia="Times New Roman" w:hAnsi="Times New Roman"/>
          <w:sz w:val="20"/>
          <w:szCs w:val="20"/>
          <w:b w:val="1"/>
          <w:bCs w:val="1"/>
          <w:i w:val="1"/>
          <w:iCs w:val="1"/>
          <w:color w:val="auto"/>
        </w:rPr>
        <w:t>Basis of Presentation</w:t>
      </w:r>
    </w:p>
    <w:p>
      <w:pPr>
        <w:spacing w:after="0" w:line="164" w:lineRule="exact"/>
        <w:rPr>
          <w:sz w:val="20"/>
          <w:szCs w:val="20"/>
          <w:color w:val="auto"/>
        </w:rPr>
      </w:pPr>
    </w:p>
    <w:p>
      <w:pPr>
        <w:jc w:val="both"/>
        <w:ind w:left="7"/>
        <w:spacing w:after="0" w:line="297" w:lineRule="auto"/>
        <w:rPr>
          <w:sz w:val="20"/>
          <w:szCs w:val="20"/>
          <w:color w:val="auto"/>
        </w:rPr>
      </w:pPr>
      <w:r>
        <w:rPr>
          <w:rFonts w:ascii="Times New Roman" w:cs="Times New Roman" w:eastAsia="Times New Roman" w:hAnsi="Times New Roman"/>
          <w:sz w:val="20"/>
          <w:szCs w:val="20"/>
          <w:color w:val="auto"/>
        </w:rPr>
        <w:t>The accompanying consolidated financial statements of the Company have been prepared in accordance with GAAP and the rules and regulations of the Securities and Exchange Commission (“SEC”). The consolidated financial statements reflect all adjustments considered necessary for a fair presentation of the consolidated results of operations and financial position for the fiscal years presented. All such adjustments are of a normal recurring nature. Certain prior year amounts have been reclassified to conform to the current year presentation.</w:t>
      </w:r>
    </w:p>
    <w:p>
      <w:pPr>
        <w:spacing w:after="0" w:line="84" w:lineRule="exact"/>
        <w:rPr>
          <w:sz w:val="20"/>
          <w:szCs w:val="20"/>
          <w:color w:val="auto"/>
        </w:rPr>
      </w:pPr>
    </w:p>
    <w:p>
      <w:pPr>
        <w:ind w:left="7"/>
        <w:spacing w:after="0"/>
        <w:rPr>
          <w:sz w:val="20"/>
          <w:szCs w:val="20"/>
          <w:color w:val="auto"/>
        </w:rPr>
      </w:pPr>
      <w:r>
        <w:rPr>
          <w:rFonts w:ascii="Times New Roman" w:cs="Times New Roman" w:eastAsia="Times New Roman" w:hAnsi="Times New Roman"/>
          <w:sz w:val="20"/>
          <w:szCs w:val="20"/>
          <w:b w:val="1"/>
          <w:bCs w:val="1"/>
          <w:i w:val="1"/>
          <w:iCs w:val="1"/>
          <w:color w:val="auto"/>
        </w:rPr>
        <w:t>Principles of Consolidation</w:t>
      </w:r>
    </w:p>
    <w:p>
      <w:pPr>
        <w:spacing w:after="0" w:line="164" w:lineRule="exact"/>
        <w:rPr>
          <w:sz w:val="20"/>
          <w:szCs w:val="20"/>
          <w:color w:val="auto"/>
        </w:rPr>
      </w:pPr>
    </w:p>
    <w:p>
      <w:pPr>
        <w:jc w:val="both"/>
        <w:ind w:left="7"/>
        <w:spacing w:after="0" w:line="306" w:lineRule="auto"/>
        <w:rPr>
          <w:sz w:val="20"/>
          <w:szCs w:val="20"/>
          <w:color w:val="auto"/>
        </w:rPr>
      </w:pPr>
      <w:r>
        <w:rPr>
          <w:rFonts w:ascii="Times New Roman" w:cs="Times New Roman" w:eastAsia="Times New Roman" w:hAnsi="Times New Roman"/>
          <w:sz w:val="20"/>
          <w:szCs w:val="20"/>
          <w:color w:val="auto"/>
        </w:rPr>
        <w:t>The consolidated financial statements include the accounts of WM Technology, Inc. and WMH LLC, including their wholly and majority owned subsidiaries. In conformity with GAAP, all significant intercompany accounts and transactions have been eliminated.</w:t>
      </w:r>
    </w:p>
    <w:p>
      <w:pPr>
        <w:spacing w:after="0" w:line="65" w:lineRule="exact"/>
        <w:rPr>
          <w:sz w:val="20"/>
          <w:szCs w:val="20"/>
          <w:color w:val="auto"/>
        </w:rPr>
      </w:pPr>
    </w:p>
    <w:p>
      <w:pPr>
        <w:ind w:left="7"/>
        <w:spacing w:after="0"/>
        <w:rPr>
          <w:sz w:val="20"/>
          <w:szCs w:val="20"/>
          <w:color w:val="auto"/>
        </w:rPr>
      </w:pPr>
      <w:r>
        <w:rPr>
          <w:rFonts w:ascii="Times New Roman" w:cs="Times New Roman" w:eastAsia="Times New Roman" w:hAnsi="Times New Roman"/>
          <w:sz w:val="20"/>
          <w:szCs w:val="20"/>
          <w:b w:val="1"/>
          <w:bCs w:val="1"/>
          <w:i w:val="1"/>
          <w:iCs w:val="1"/>
          <w:color w:val="auto"/>
        </w:rPr>
        <w:t>Restatement of Previously Reported 2023 Quarterly Revenue and Credit Losses</w:t>
      </w:r>
    </w:p>
    <w:p>
      <w:pPr>
        <w:spacing w:after="0" w:line="164" w:lineRule="exact"/>
        <w:rPr>
          <w:sz w:val="20"/>
          <w:szCs w:val="20"/>
          <w:color w:val="auto"/>
        </w:rPr>
      </w:pPr>
    </w:p>
    <w:p>
      <w:pPr>
        <w:jc w:val="both"/>
        <w:ind w:left="7"/>
        <w:spacing w:after="0" w:line="310" w:lineRule="auto"/>
        <w:rPr>
          <w:sz w:val="20"/>
          <w:szCs w:val="20"/>
          <w:color w:val="auto"/>
        </w:rPr>
      </w:pPr>
      <w:r>
        <w:rPr>
          <w:rFonts w:ascii="Times New Roman" w:cs="Times New Roman" w:eastAsia="Times New Roman" w:hAnsi="Times New Roman"/>
          <w:sz w:val="19"/>
          <w:szCs w:val="19"/>
          <w:color w:val="auto"/>
        </w:rPr>
        <w:t xml:space="preserve">In connection with the preparation of the Company's Consolidated Financial Statements as of and for the fiscal year ended December 31, 2023, the Company discovered that in 2023, it had an inadequate policy associated with its revenue recognition related to the cash collection of a certain subset of its customers that had been placed on cash basis. For these customers, because the determination had been made that there was significant collection risk and the Company had no ability to estimate the collectability of the consideration it was entitled to, revenue recognition was prohibited under Accounting Standards Codification, (“ASC”), Topic 606, </w:t>
      </w:r>
      <w:r>
        <w:rPr>
          <w:rFonts w:ascii="Times New Roman" w:cs="Times New Roman" w:eastAsia="Times New Roman" w:hAnsi="Times New Roman"/>
          <w:sz w:val="19"/>
          <w:szCs w:val="19"/>
          <w:i w:val="1"/>
          <w:iCs w:val="1"/>
          <w:color w:val="auto"/>
        </w:rPr>
        <w:t>“Revenue from Contracts with Customers</w:t>
      </w:r>
      <w:r>
        <w:rPr>
          <w:rFonts w:ascii="Times New Roman" w:cs="Times New Roman" w:eastAsia="Times New Roman" w:hAnsi="Times New Roman"/>
          <w:sz w:val="19"/>
          <w:szCs w:val="19"/>
          <w:color w:val="auto"/>
        </w:rPr>
        <w:t>” until cash was collected for the services that were provided. The Company refers to the customers in this situation as customers that have been placed on cash basis. As further discussed below, the Company misapplied this policy in each of the first three quarters of 2023 by failing to apply (in certain cases) cash receipts to prior accounts receivable (via a credit loss recovery) and instead recognized additional revenue for the cash receipt.</w:t>
      </w:r>
    </w:p>
    <w:p>
      <w:pPr>
        <w:spacing w:after="0" w:line="67" w:lineRule="exact"/>
        <w:rPr>
          <w:sz w:val="20"/>
          <w:szCs w:val="20"/>
          <w:color w:val="auto"/>
        </w:rPr>
      </w:pPr>
    </w:p>
    <w:p>
      <w:pPr>
        <w:jc w:val="both"/>
        <w:ind w:left="7"/>
        <w:spacing w:after="0" w:line="294" w:lineRule="auto"/>
        <w:rPr>
          <w:sz w:val="20"/>
          <w:szCs w:val="20"/>
          <w:color w:val="auto"/>
        </w:rPr>
      </w:pPr>
      <w:r>
        <w:rPr>
          <w:rFonts w:ascii="Times New Roman" w:cs="Times New Roman" w:eastAsia="Times New Roman" w:hAnsi="Times New Roman"/>
          <w:sz w:val="20"/>
          <w:szCs w:val="20"/>
          <w:color w:val="auto"/>
        </w:rPr>
        <w:t>The Company recognizes revenue from contracts with customers under ASC 606. The core principle of the revenue standard is that a company should recognize revenue to depict the transfer of promised goods or services to customers in an amount that reflects the consideration to which the company expects to be entitled in exchange for those goods or services. Once the Company believes that it is no longer probable of collecting substantially all of the consideration to which it will be entitled in exchange for the goods or services transferred to the customer and as such is prohibited from recognizing revenue until it is probable that it will be entitled to all of the consideration. As such, when a customer with significant collection risk is identified, the Company fully reserves for all outstanding accounts receivable and records a credit loss for these receivables.</w:t>
      </w:r>
    </w:p>
    <w:p>
      <w:pPr>
        <w:spacing w:after="0" w:line="80" w:lineRule="exact"/>
        <w:rPr>
          <w:sz w:val="20"/>
          <w:szCs w:val="20"/>
          <w:color w:val="auto"/>
        </w:rPr>
      </w:pPr>
    </w:p>
    <w:p>
      <w:pPr>
        <w:jc w:val="both"/>
        <w:ind w:left="7"/>
        <w:spacing w:after="0" w:line="309" w:lineRule="auto"/>
        <w:rPr>
          <w:sz w:val="20"/>
          <w:szCs w:val="20"/>
          <w:color w:val="auto"/>
        </w:rPr>
      </w:pPr>
      <w:r>
        <w:rPr>
          <w:rFonts w:ascii="Times New Roman" w:cs="Times New Roman" w:eastAsia="Times New Roman" w:hAnsi="Times New Roman"/>
          <w:sz w:val="19"/>
          <w:szCs w:val="19"/>
          <w:color w:val="auto"/>
        </w:rPr>
        <w:t>Initially, revenue for contracts that the Company assesses are not probable of collection is not recognized until the customer has paid or settled all outstanding accounts receivable balances. Collectability is reassessed when there is a significant change in facts or circumstances. The assessment of collectability considers whether the Company may limit its exposure to credit risk through its right to stop transferring additional service in the event the customer is delinquent. When services are still provided to customers that have been identified with significant collection risk, the Company initially applies all payments received against the customers oldest invoices. However, if the Company continues to provide services to these customers for a significant period of time, cash collections have stabilized and other factors indicate it is appropriate, cash collections are assessed to determine if any of the on-going cash receipts should be accounted for as variable consideration under ASC 606 for on-going services instead of recovery of credit losses. To date, no material variable consideration has been recognized and after applying the corrections shown in the table below, all cash collections for these customers are reflected as recovery of credit losses.</w:t>
      </w:r>
    </w:p>
    <w:p>
      <w:pPr>
        <w:spacing w:after="0" w:line="67" w:lineRule="exact"/>
        <w:rPr>
          <w:sz w:val="20"/>
          <w:szCs w:val="20"/>
          <w:color w:val="auto"/>
        </w:rPr>
      </w:pPr>
    </w:p>
    <w:p>
      <w:pPr>
        <w:jc w:val="both"/>
        <w:ind w:left="7" w:right="20"/>
        <w:spacing w:after="0" w:line="301" w:lineRule="auto"/>
        <w:rPr>
          <w:sz w:val="20"/>
          <w:szCs w:val="20"/>
          <w:color w:val="auto"/>
        </w:rPr>
      </w:pPr>
      <w:r>
        <w:rPr>
          <w:rFonts w:ascii="Times New Roman" w:cs="Times New Roman" w:eastAsia="Times New Roman" w:hAnsi="Times New Roman"/>
          <w:sz w:val="20"/>
          <w:szCs w:val="20"/>
          <w:color w:val="auto"/>
        </w:rPr>
        <w:t>Due to the inconsistency of the cash application related to the cash basis customers, and the prohibition on recognizing revenue when the Company does not believe it will receive the consideration it is entitled to, the Company had determined that it had improperly recognized revenue for these customers and should have instead recognized a credit loss recovery related to these cash receipts.</w:t>
      </w:r>
    </w:p>
    <w:p>
      <w:pPr>
        <w:sectPr>
          <w:pgSz w:w="12240" w:h="15840" w:orient="portrait"/>
          <w:cols w:equalWidth="0" w:num="1">
            <w:col w:w="10267"/>
          </w:cols>
          <w:pgMar w:left="993" w:top="731" w:right="980" w:bottom="222" w:gutter="0" w:footer="0" w:header="0"/>
        </w:sectPr>
      </w:pPr>
    </w:p>
    <w:p>
      <w:pPr>
        <w:spacing w:after="0" w:line="200" w:lineRule="exact"/>
        <w:rPr>
          <w:sz w:val="20"/>
          <w:szCs w:val="20"/>
          <w:color w:val="auto"/>
        </w:rPr>
      </w:pPr>
    </w:p>
    <w:p>
      <w:pPr>
        <w:spacing w:after="0" w:line="374" w:lineRule="exact"/>
        <w:rPr>
          <w:sz w:val="20"/>
          <w:szCs w:val="20"/>
          <w:color w:val="auto"/>
        </w:rPr>
      </w:pPr>
    </w:p>
    <w:p>
      <w:pPr>
        <w:jc w:val="center"/>
        <w:ind w:right="13"/>
        <w:spacing w:after="0"/>
        <w:rPr>
          <w:sz w:val="20"/>
          <w:szCs w:val="20"/>
          <w:color w:val="auto"/>
        </w:rPr>
      </w:pPr>
      <w:r>
        <w:rPr>
          <w:rFonts w:ascii="Times New Roman" w:cs="Times New Roman" w:eastAsia="Times New Roman" w:hAnsi="Times New Roman"/>
          <w:sz w:val="20"/>
          <w:szCs w:val="20"/>
          <w:color w:val="auto"/>
        </w:rPr>
        <w:t>F-7</w:t>
      </w:r>
    </w:p>
    <w:p>
      <w:pPr>
        <w:sectPr>
          <w:pgSz w:w="12240" w:h="15840" w:orient="portrait"/>
          <w:cols w:equalWidth="0" w:num="1">
            <w:col w:w="10267"/>
          </w:cols>
          <w:pgMar w:left="993" w:top="731" w:right="980" w:bottom="222" w:gutter="0" w:footer="0" w:header="0"/>
          <w:type w:val="continuous"/>
        </w:sectPr>
      </w:pPr>
    </w:p>
    <w:bookmarkStart w:id="127" w:name="page128"/>
    <w:bookmarkEnd w:id="127"/>
    <w:p>
      <w:pPr>
        <w:jc w:val="center"/>
        <w:ind w:right="20"/>
        <w:spacing w:after="0"/>
        <w:rPr>
          <w:sz w:val="20"/>
          <w:szCs w:val="20"/>
          <w:color w:val="auto"/>
        </w:rPr>
      </w:pPr>
      <w:r>
        <w:rPr>
          <w:rFonts w:ascii="Times New Roman" w:cs="Times New Roman" w:eastAsia="Times New Roman" w:hAnsi="Times New Roman"/>
          <w:sz w:val="20"/>
          <w:szCs w:val="20"/>
          <w:b w:val="1"/>
          <w:bCs w:val="1"/>
          <w:color w:val="auto"/>
        </w:rPr>
        <w:t>WM TECHNOLOGY, INC. AND SUBSIDIARIES</w:t>
      </w:r>
    </w:p>
    <w:p>
      <w:pPr>
        <w:spacing w:after="0" w:line="4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NOTES TO CONSOLIDATED FINANCIAL STATEMENTS</w:t>
      </w:r>
    </w:p>
    <w:p>
      <w:pPr>
        <w:spacing w:after="0" w:line="286" w:lineRule="exact"/>
        <w:rPr>
          <w:sz w:val="20"/>
          <w:szCs w:val="20"/>
          <w:color w:val="auto"/>
        </w:rPr>
      </w:pPr>
    </w:p>
    <w:p>
      <w:pPr>
        <w:jc w:val="both"/>
        <w:ind w:right="20"/>
        <w:spacing w:after="0" w:line="301" w:lineRule="auto"/>
        <w:rPr>
          <w:sz w:val="20"/>
          <w:szCs w:val="20"/>
          <w:color w:val="auto"/>
        </w:rPr>
      </w:pPr>
      <w:r>
        <w:rPr>
          <w:rFonts w:ascii="Times New Roman" w:cs="Times New Roman" w:eastAsia="Times New Roman" w:hAnsi="Times New Roman"/>
          <w:sz w:val="20"/>
          <w:szCs w:val="20"/>
          <w:color w:val="auto"/>
        </w:rPr>
        <w:t>All periods presented below have been retrospectively restated to reflect the effects of the change to revenues and operating expenses. There was no impact to operating income (loss), net income (loss), net income (loss) per share, net cash provided by operating activities or adjusted EBITDA for any periods presented. The consolidated statement of equity is not effected by this restatement.</w:t>
      </w:r>
    </w:p>
    <w:p>
      <w:pPr>
        <w:spacing w:after="0" w:line="70"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color w:val="auto"/>
        </w:rPr>
        <w:t>The Company has restated its unaudited condensed consolidated statements of operations for the periods ended March 31, 2023,</w:t>
      </w:r>
    </w:p>
    <w:p>
      <w:pPr>
        <w:spacing w:after="0" w:line="55"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June 30, 2023 and September 30, 2023, as follows (in thousands):</w:t>
      </w:r>
    </w:p>
    <w:p>
      <w:pPr>
        <w:spacing w:after="0" w:line="265" w:lineRule="exact"/>
        <w:rPr>
          <w:sz w:val="20"/>
          <w:szCs w:val="20"/>
          <w:color w:val="auto"/>
        </w:rPr>
      </w:pPr>
    </w:p>
    <w:tbl>
      <w:tblPr>
        <w:tblLayout w:type="fixed"/>
        <w:tblInd w:w="0" w:type="dxa"/>
        <w:tblCellMar>
          <w:top w:w="0" w:type="dxa"/>
          <w:left w:w="0" w:type="dxa"/>
          <w:bottom w:w="0" w:type="dxa"/>
          <w:right w:w="0" w:type="dxa"/>
        </w:tblCellMar>
      </w:tblPr>
      <w:tr>
        <w:trPr>
          <w:trHeight w:val="281"/>
        </w:trPr>
        <w:tc>
          <w:tcPr>
            <w:tcW w:w="5300" w:type="dxa"/>
            <w:vAlign w:val="bottom"/>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4720" w:type="dxa"/>
            <w:vAlign w:val="bottom"/>
            <w:tcBorders>
              <w:bottom w:val="single" w:sz="8" w:color="auto"/>
            </w:tcBorders>
            <w:gridSpan w:val="8"/>
          </w:tcPr>
          <w:p>
            <w:pPr>
              <w:jc w:val="center"/>
              <w:ind w:right="139"/>
              <w:spacing w:after="0"/>
              <w:rPr>
                <w:sz w:val="20"/>
                <w:szCs w:val="20"/>
                <w:color w:val="auto"/>
              </w:rPr>
            </w:pPr>
            <w:r>
              <w:rPr>
                <w:rFonts w:ascii="Times New Roman" w:cs="Times New Roman" w:eastAsia="Times New Roman" w:hAnsi="Times New Roman"/>
                <w:sz w:val="20"/>
                <w:szCs w:val="20"/>
                <w:b w:val="1"/>
                <w:bCs w:val="1"/>
                <w:color w:val="auto"/>
                <w:w w:val="99"/>
              </w:rPr>
              <w:t>Three Months Ended March 31, 2023</w:t>
            </w:r>
          </w:p>
        </w:tc>
      </w:tr>
      <w:tr>
        <w:trPr>
          <w:trHeight w:val="239"/>
        </w:trPr>
        <w:tc>
          <w:tcPr>
            <w:tcW w:w="53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340" w:type="dxa"/>
            <w:vAlign w:val="bottom"/>
          </w:tcPr>
          <w:p>
            <w:pPr>
              <w:jc w:val="right"/>
              <w:ind w:right="239"/>
              <w:spacing w:after="0"/>
              <w:rPr>
                <w:sz w:val="20"/>
                <w:szCs w:val="20"/>
                <w:color w:val="auto"/>
              </w:rPr>
            </w:pPr>
            <w:r>
              <w:rPr>
                <w:rFonts w:ascii="Times New Roman" w:cs="Times New Roman" w:eastAsia="Times New Roman" w:hAnsi="Times New Roman"/>
                <w:sz w:val="20"/>
                <w:szCs w:val="20"/>
                <w:b w:val="1"/>
                <w:bCs w:val="1"/>
                <w:color w:val="auto"/>
              </w:rPr>
              <w:t>Previously</w:t>
            </w: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3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380" w:type="dxa"/>
            <w:vAlign w:val="bottom"/>
          </w:tcPr>
          <w:p>
            <w:pPr>
              <w:spacing w:after="0"/>
              <w:rPr>
                <w:sz w:val="20"/>
                <w:szCs w:val="20"/>
                <w:color w:val="auto"/>
              </w:rPr>
            </w:pPr>
          </w:p>
        </w:tc>
      </w:tr>
      <w:tr>
        <w:trPr>
          <w:trHeight w:val="288"/>
        </w:trPr>
        <w:tc>
          <w:tcPr>
            <w:tcW w:w="53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340" w:type="dxa"/>
            <w:vAlign w:val="bottom"/>
          </w:tcPr>
          <w:p>
            <w:pPr>
              <w:jc w:val="right"/>
              <w:ind w:right="279"/>
              <w:spacing w:after="0"/>
              <w:rPr>
                <w:sz w:val="20"/>
                <w:szCs w:val="20"/>
                <w:color w:val="auto"/>
              </w:rPr>
            </w:pPr>
            <w:r>
              <w:rPr>
                <w:rFonts w:ascii="Times New Roman" w:cs="Times New Roman" w:eastAsia="Times New Roman" w:hAnsi="Times New Roman"/>
                <w:sz w:val="20"/>
                <w:szCs w:val="20"/>
                <w:b w:val="1"/>
                <w:bCs w:val="1"/>
                <w:color w:val="auto"/>
              </w:rPr>
              <w:t>Reported</w:t>
            </w: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460" w:type="dxa"/>
            <w:vAlign w:val="bottom"/>
            <w:gridSpan w:val="2"/>
          </w:tcPr>
          <w:p>
            <w:pPr>
              <w:jc w:val="center"/>
              <w:ind w:right="320"/>
              <w:spacing w:after="0"/>
              <w:rPr>
                <w:sz w:val="20"/>
                <w:szCs w:val="20"/>
                <w:color w:val="auto"/>
              </w:rPr>
            </w:pPr>
            <w:r>
              <w:rPr>
                <w:rFonts w:ascii="Times New Roman" w:cs="Times New Roman" w:eastAsia="Times New Roman" w:hAnsi="Times New Roman"/>
                <w:sz w:val="20"/>
                <w:szCs w:val="20"/>
                <w:b w:val="1"/>
                <w:bCs w:val="1"/>
                <w:color w:val="auto"/>
              </w:rPr>
              <w:t>Adjustment</w:t>
            </w:r>
          </w:p>
        </w:tc>
        <w:tc>
          <w:tcPr>
            <w:tcW w:w="220" w:type="dxa"/>
            <w:vAlign w:val="bottom"/>
          </w:tcPr>
          <w:p>
            <w:pPr>
              <w:spacing w:after="0"/>
              <w:rPr>
                <w:sz w:val="24"/>
                <w:szCs w:val="24"/>
                <w:color w:val="auto"/>
              </w:rPr>
            </w:pPr>
          </w:p>
        </w:tc>
        <w:tc>
          <w:tcPr>
            <w:tcW w:w="1380" w:type="dxa"/>
            <w:vAlign w:val="bottom"/>
          </w:tcPr>
          <w:p>
            <w:pPr>
              <w:jc w:val="right"/>
              <w:ind w:right="199"/>
              <w:spacing w:after="0"/>
              <w:rPr>
                <w:sz w:val="20"/>
                <w:szCs w:val="20"/>
                <w:color w:val="auto"/>
              </w:rPr>
            </w:pPr>
            <w:r>
              <w:rPr>
                <w:rFonts w:ascii="Times New Roman" w:cs="Times New Roman" w:eastAsia="Times New Roman" w:hAnsi="Times New Roman"/>
                <w:sz w:val="20"/>
                <w:szCs w:val="20"/>
                <w:b w:val="1"/>
                <w:bCs w:val="1"/>
                <w:color w:val="auto"/>
              </w:rPr>
              <w:t>As Restated</w:t>
            </w:r>
          </w:p>
        </w:tc>
      </w:tr>
      <w:tr>
        <w:trPr>
          <w:trHeight w:val="336"/>
        </w:trPr>
        <w:tc>
          <w:tcPr>
            <w:tcW w:w="5300" w:type="dxa"/>
            <w:vAlign w:val="bottom"/>
            <w:tcBorders>
              <w:top w:val="single" w:sz="8" w:color="DDDDDD"/>
            </w:tcBorders>
            <w:shd w:val="clear" w:color="auto" w:fill="DDDDDD"/>
          </w:tcPr>
          <w:p>
            <w:pPr>
              <w:ind w:left="40"/>
              <w:spacing w:after="0"/>
              <w:rPr>
                <w:sz w:val="20"/>
                <w:szCs w:val="20"/>
                <w:color w:val="auto"/>
              </w:rPr>
            </w:pPr>
            <w:r>
              <w:rPr>
                <w:rFonts w:ascii="Times New Roman" w:cs="Times New Roman" w:eastAsia="Times New Roman" w:hAnsi="Times New Roman"/>
                <w:sz w:val="20"/>
                <w:szCs w:val="20"/>
                <w:color w:val="auto"/>
              </w:rPr>
              <w:t>Net revenues</w:t>
            </w:r>
          </w:p>
        </w:tc>
        <w:tc>
          <w:tcPr>
            <w:tcW w:w="240" w:type="dxa"/>
            <w:vAlign w:val="bottom"/>
            <w:tcBorders>
              <w:top w:val="single" w:sz="8" w:color="auto"/>
            </w:tcBorders>
            <w:shd w:val="clear" w:color="auto" w:fill="DDDDDD"/>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1340" w:type="dxa"/>
            <w:vAlign w:val="bottom"/>
            <w:tcBorders>
              <w:top w:val="single" w:sz="8" w:color="auto"/>
            </w:tcBorders>
            <w:shd w:val="clear" w:color="auto" w:fill="DDDDDD"/>
          </w:tcPr>
          <w:p>
            <w:pPr>
              <w:jc w:val="right"/>
              <w:spacing w:after="0"/>
              <w:rPr>
                <w:sz w:val="20"/>
                <w:szCs w:val="20"/>
                <w:color w:val="auto"/>
              </w:rPr>
            </w:pPr>
            <w:r>
              <w:rPr>
                <w:rFonts w:ascii="Times New Roman" w:cs="Times New Roman" w:eastAsia="Times New Roman" w:hAnsi="Times New Roman"/>
                <w:sz w:val="20"/>
                <w:szCs w:val="20"/>
                <w:color w:val="auto"/>
              </w:rPr>
              <w:t>48,007</w:t>
            </w:r>
          </w:p>
        </w:tc>
        <w:tc>
          <w:tcPr>
            <w:tcW w:w="20" w:type="dxa"/>
            <w:vAlign w:val="bottom"/>
            <w:tcBorders>
              <w:top w:val="single" w:sz="8" w:color="auto"/>
            </w:tcBorders>
            <w:shd w:val="clear" w:color="auto" w:fill="DDDDDD"/>
          </w:tcPr>
          <w:p>
            <w:pPr>
              <w:spacing w:after="0"/>
              <w:rPr>
                <w:sz w:val="24"/>
                <w:szCs w:val="24"/>
                <w:color w:val="auto"/>
              </w:rPr>
            </w:pPr>
          </w:p>
        </w:tc>
        <w:tc>
          <w:tcPr>
            <w:tcW w:w="80" w:type="dxa"/>
            <w:vAlign w:val="bottom"/>
            <w:tcBorders>
              <w:top w:val="single" w:sz="8" w:color="DDDDDD"/>
            </w:tcBorders>
            <w:shd w:val="clear" w:color="auto" w:fill="DDDDDD"/>
          </w:tcPr>
          <w:p>
            <w:pPr>
              <w:spacing w:after="0"/>
              <w:rPr>
                <w:sz w:val="24"/>
                <w:szCs w:val="24"/>
                <w:color w:val="auto"/>
              </w:rPr>
            </w:pPr>
          </w:p>
        </w:tc>
        <w:tc>
          <w:tcPr>
            <w:tcW w:w="220" w:type="dxa"/>
            <w:vAlign w:val="bottom"/>
            <w:tcBorders>
              <w:top w:val="single" w:sz="8" w:color="auto"/>
            </w:tcBorders>
            <w:shd w:val="clear" w:color="auto" w:fill="DDDDDD"/>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1380" w:type="dxa"/>
            <w:vAlign w:val="bottom"/>
            <w:tcBorders>
              <w:top w:val="single" w:sz="8" w:color="auto"/>
            </w:tcBorders>
            <w:shd w:val="clear" w:color="auto" w:fill="DDDDDD"/>
          </w:tcPr>
          <w:p>
            <w:pPr>
              <w:jc w:val="right"/>
              <w:spacing w:after="0"/>
              <w:rPr>
                <w:sz w:val="20"/>
                <w:szCs w:val="20"/>
                <w:color w:val="auto"/>
              </w:rPr>
            </w:pPr>
            <w:r>
              <w:rPr>
                <w:rFonts w:ascii="Times New Roman" w:cs="Times New Roman" w:eastAsia="Times New Roman" w:hAnsi="Times New Roman"/>
                <w:sz w:val="20"/>
                <w:szCs w:val="20"/>
                <w:color w:val="auto"/>
              </w:rPr>
              <w:t>(1,591)</w:t>
            </w:r>
          </w:p>
        </w:tc>
        <w:tc>
          <w:tcPr>
            <w:tcW w:w="80" w:type="dxa"/>
            <w:vAlign w:val="bottom"/>
            <w:tcBorders>
              <w:top w:val="single" w:sz="8" w:color="DDDDDD"/>
            </w:tcBorders>
            <w:shd w:val="clear" w:color="auto" w:fill="DDDDDD"/>
          </w:tcPr>
          <w:p>
            <w:pPr>
              <w:spacing w:after="0"/>
              <w:rPr>
                <w:sz w:val="24"/>
                <w:szCs w:val="24"/>
                <w:color w:val="auto"/>
              </w:rPr>
            </w:pPr>
          </w:p>
        </w:tc>
        <w:tc>
          <w:tcPr>
            <w:tcW w:w="220" w:type="dxa"/>
            <w:vAlign w:val="bottom"/>
            <w:tcBorders>
              <w:top w:val="single" w:sz="8" w:color="auto"/>
            </w:tcBorders>
            <w:shd w:val="clear" w:color="auto" w:fill="DDDDDD"/>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1380" w:type="dxa"/>
            <w:vAlign w:val="bottom"/>
            <w:tcBorders>
              <w:top w:val="single" w:sz="8" w:color="auto"/>
            </w:tcBorders>
            <w:shd w:val="clear" w:color="auto" w:fill="DDDDDD"/>
          </w:tcPr>
          <w:p>
            <w:pPr>
              <w:jc w:val="right"/>
              <w:spacing w:after="0"/>
              <w:rPr>
                <w:sz w:val="20"/>
                <w:szCs w:val="20"/>
                <w:color w:val="auto"/>
              </w:rPr>
            </w:pPr>
            <w:r>
              <w:rPr>
                <w:rFonts w:ascii="Times New Roman" w:cs="Times New Roman" w:eastAsia="Times New Roman" w:hAnsi="Times New Roman"/>
                <w:sz w:val="20"/>
                <w:szCs w:val="20"/>
                <w:color w:val="auto"/>
              </w:rPr>
              <w:t>46,416</w:t>
            </w:r>
          </w:p>
        </w:tc>
      </w:tr>
      <w:tr>
        <w:trPr>
          <w:trHeight w:val="354"/>
        </w:trPr>
        <w:tc>
          <w:tcPr>
            <w:tcW w:w="5300" w:type="dxa"/>
            <w:vAlign w:val="bottom"/>
          </w:tcPr>
          <w:p>
            <w:pPr>
              <w:ind w:left="40"/>
              <w:spacing w:after="0"/>
              <w:rPr>
                <w:sz w:val="20"/>
                <w:szCs w:val="20"/>
                <w:color w:val="auto"/>
              </w:rPr>
            </w:pPr>
            <w:r>
              <w:rPr>
                <w:rFonts w:ascii="Times New Roman" w:cs="Times New Roman" w:eastAsia="Times New Roman" w:hAnsi="Times New Roman"/>
                <w:sz w:val="20"/>
                <w:szCs w:val="20"/>
                <w:color w:val="auto"/>
              </w:rPr>
              <w:t>General and administrative expenses</w:t>
            </w:r>
          </w:p>
        </w:tc>
        <w:tc>
          <w:tcPr>
            <w:tcW w:w="2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13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22,500</w:t>
            </w:r>
          </w:p>
        </w:tc>
        <w:tc>
          <w:tcPr>
            <w:tcW w:w="320" w:type="dxa"/>
            <w:vAlign w:val="bottom"/>
            <w:gridSpan w:val="3"/>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13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(1,591)</w:t>
            </w:r>
          </w:p>
        </w:tc>
        <w:tc>
          <w:tcPr>
            <w:tcW w:w="80" w:type="dxa"/>
            <w:vAlign w:val="bottom"/>
          </w:tcPr>
          <w:p>
            <w:pPr>
              <w:spacing w:after="0"/>
              <w:rPr>
                <w:sz w:val="24"/>
                <w:szCs w:val="24"/>
                <w:color w:val="auto"/>
              </w:rPr>
            </w:pPr>
          </w:p>
        </w:tc>
        <w:tc>
          <w:tcPr>
            <w:tcW w:w="2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13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20,909</w:t>
            </w:r>
          </w:p>
        </w:tc>
      </w:tr>
      <w:tr>
        <w:trPr>
          <w:trHeight w:val="366"/>
        </w:trPr>
        <w:tc>
          <w:tcPr>
            <w:tcW w:w="5300" w:type="dxa"/>
            <w:vAlign w:val="bottom"/>
            <w:shd w:val="clear" w:color="auto" w:fill="DDDDDD"/>
          </w:tcPr>
          <w:p>
            <w:pPr>
              <w:ind w:left="40"/>
              <w:spacing w:after="0"/>
              <w:rPr>
                <w:sz w:val="20"/>
                <w:szCs w:val="20"/>
                <w:color w:val="auto"/>
              </w:rPr>
            </w:pPr>
            <w:r>
              <w:rPr>
                <w:rFonts w:ascii="Times New Roman" w:cs="Times New Roman" w:eastAsia="Times New Roman" w:hAnsi="Times New Roman"/>
                <w:sz w:val="20"/>
                <w:szCs w:val="20"/>
                <w:color w:val="auto"/>
              </w:rPr>
              <w:t>Total costs and expenses</w:t>
            </w:r>
          </w:p>
        </w:tc>
        <w:tc>
          <w:tcPr>
            <w:tcW w:w="240" w:type="dxa"/>
            <w:vAlign w:val="bottom"/>
            <w:shd w:val="clear" w:color="auto" w:fill="DDDDDD"/>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1340" w:type="dxa"/>
            <w:vAlign w:val="bottom"/>
            <w:shd w:val="clear" w:color="auto" w:fill="DDDDDD"/>
          </w:tcPr>
          <w:p>
            <w:pPr>
              <w:jc w:val="right"/>
              <w:spacing w:after="0"/>
              <w:rPr>
                <w:sz w:val="20"/>
                <w:szCs w:val="20"/>
                <w:color w:val="auto"/>
              </w:rPr>
            </w:pPr>
            <w:r>
              <w:rPr>
                <w:rFonts w:ascii="Times New Roman" w:cs="Times New Roman" w:eastAsia="Times New Roman" w:hAnsi="Times New Roman"/>
                <w:sz w:val="20"/>
                <w:szCs w:val="20"/>
                <w:color w:val="auto"/>
              </w:rPr>
              <w:t>52,155</w:t>
            </w:r>
          </w:p>
        </w:tc>
        <w:tc>
          <w:tcPr>
            <w:tcW w:w="100" w:type="dxa"/>
            <w:vAlign w:val="bottom"/>
            <w:gridSpan w:val="2"/>
            <w:shd w:val="clear" w:color="auto" w:fill="DDDDDD"/>
          </w:tcPr>
          <w:p>
            <w:pPr>
              <w:spacing w:after="0"/>
              <w:rPr>
                <w:sz w:val="24"/>
                <w:szCs w:val="24"/>
                <w:color w:val="auto"/>
              </w:rPr>
            </w:pPr>
          </w:p>
        </w:tc>
        <w:tc>
          <w:tcPr>
            <w:tcW w:w="220" w:type="dxa"/>
            <w:vAlign w:val="bottom"/>
            <w:shd w:val="clear" w:color="auto" w:fill="DDDDDD"/>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1380" w:type="dxa"/>
            <w:vAlign w:val="bottom"/>
            <w:shd w:val="clear" w:color="auto" w:fill="DDDDDD"/>
          </w:tcPr>
          <w:p>
            <w:pPr>
              <w:jc w:val="right"/>
              <w:spacing w:after="0"/>
              <w:rPr>
                <w:sz w:val="20"/>
                <w:szCs w:val="20"/>
                <w:color w:val="auto"/>
              </w:rPr>
            </w:pPr>
            <w:r>
              <w:rPr>
                <w:rFonts w:ascii="Times New Roman" w:cs="Times New Roman" w:eastAsia="Times New Roman" w:hAnsi="Times New Roman"/>
                <w:sz w:val="20"/>
                <w:szCs w:val="20"/>
                <w:color w:val="auto"/>
              </w:rPr>
              <w:t>(1,591)</w:t>
            </w:r>
          </w:p>
        </w:tc>
        <w:tc>
          <w:tcPr>
            <w:tcW w:w="80" w:type="dxa"/>
            <w:vAlign w:val="bottom"/>
            <w:shd w:val="clear" w:color="auto" w:fill="DDDDDD"/>
          </w:tcPr>
          <w:p>
            <w:pPr>
              <w:spacing w:after="0"/>
              <w:rPr>
                <w:sz w:val="24"/>
                <w:szCs w:val="24"/>
                <w:color w:val="auto"/>
              </w:rPr>
            </w:pPr>
          </w:p>
        </w:tc>
        <w:tc>
          <w:tcPr>
            <w:tcW w:w="220" w:type="dxa"/>
            <w:vAlign w:val="bottom"/>
            <w:shd w:val="clear" w:color="auto" w:fill="DDDDDD"/>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1380" w:type="dxa"/>
            <w:vAlign w:val="bottom"/>
            <w:shd w:val="clear" w:color="auto" w:fill="DDDDDD"/>
          </w:tcPr>
          <w:p>
            <w:pPr>
              <w:jc w:val="right"/>
              <w:spacing w:after="0"/>
              <w:rPr>
                <w:sz w:val="20"/>
                <w:szCs w:val="20"/>
                <w:color w:val="auto"/>
              </w:rPr>
            </w:pPr>
            <w:r>
              <w:rPr>
                <w:rFonts w:ascii="Times New Roman" w:cs="Times New Roman" w:eastAsia="Times New Roman" w:hAnsi="Times New Roman"/>
                <w:sz w:val="20"/>
                <w:szCs w:val="20"/>
                <w:color w:val="auto"/>
              </w:rPr>
              <w:t>50,564</w:t>
            </w:r>
          </w:p>
        </w:tc>
      </w:tr>
    </w:tbl>
    <w:p>
      <w:pPr>
        <w:spacing w:after="0" w:line="328" w:lineRule="exact"/>
        <w:rPr>
          <w:sz w:val="20"/>
          <w:szCs w:val="20"/>
          <w:color w:val="auto"/>
        </w:rPr>
      </w:pPr>
    </w:p>
    <w:tbl>
      <w:tblPr>
        <w:tblLayout w:type="fixed"/>
        <w:tblInd w:w="0" w:type="dxa"/>
        <w:tblCellMar>
          <w:top w:w="0" w:type="dxa"/>
          <w:left w:w="0" w:type="dxa"/>
          <w:bottom w:w="0" w:type="dxa"/>
          <w:right w:w="0" w:type="dxa"/>
        </w:tblCellMar>
      </w:tblPr>
      <w:tr>
        <w:trPr>
          <w:trHeight w:val="285"/>
        </w:trPr>
        <w:tc>
          <w:tcPr>
            <w:tcW w:w="2800" w:type="dxa"/>
            <w:vAlign w:val="bottom"/>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3480" w:type="dxa"/>
            <w:vAlign w:val="bottom"/>
            <w:tcBorders>
              <w:bottom w:val="single" w:sz="8" w:color="auto"/>
            </w:tcBorders>
            <w:gridSpan w:val="8"/>
          </w:tcPr>
          <w:p>
            <w:pPr>
              <w:jc w:val="right"/>
              <w:ind w:right="199"/>
              <w:spacing w:after="0"/>
              <w:rPr>
                <w:sz w:val="20"/>
                <w:szCs w:val="20"/>
                <w:color w:val="auto"/>
              </w:rPr>
            </w:pPr>
            <w:r>
              <w:rPr>
                <w:rFonts w:ascii="Times New Roman" w:cs="Times New Roman" w:eastAsia="Times New Roman" w:hAnsi="Times New Roman"/>
                <w:sz w:val="20"/>
                <w:szCs w:val="20"/>
                <w:b w:val="1"/>
                <w:bCs w:val="1"/>
                <w:color w:val="auto"/>
              </w:rPr>
              <w:t>Three Months Ended June 30, 2023</w:t>
            </w:r>
          </w:p>
        </w:tc>
        <w:tc>
          <w:tcPr>
            <w:tcW w:w="80" w:type="dxa"/>
            <w:vAlign w:val="bottom"/>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3500" w:type="dxa"/>
            <w:vAlign w:val="bottom"/>
            <w:tcBorders>
              <w:bottom w:val="single" w:sz="8" w:color="auto"/>
            </w:tcBorders>
            <w:gridSpan w:val="8"/>
          </w:tcPr>
          <w:p>
            <w:pPr>
              <w:jc w:val="center"/>
              <w:ind w:right="59"/>
              <w:spacing w:after="0"/>
              <w:rPr>
                <w:sz w:val="20"/>
                <w:szCs w:val="20"/>
                <w:color w:val="auto"/>
              </w:rPr>
            </w:pPr>
            <w:r>
              <w:rPr>
                <w:rFonts w:ascii="Times New Roman" w:cs="Times New Roman" w:eastAsia="Times New Roman" w:hAnsi="Times New Roman"/>
                <w:sz w:val="20"/>
                <w:szCs w:val="20"/>
                <w:b w:val="1"/>
                <w:bCs w:val="1"/>
                <w:color w:val="auto"/>
                <w:w w:val="99"/>
              </w:rPr>
              <w:t>Six Months Ended June 30, 2023</w:t>
            </w:r>
          </w:p>
        </w:tc>
      </w:tr>
      <w:tr>
        <w:trPr>
          <w:trHeight w:val="242"/>
        </w:trPr>
        <w:tc>
          <w:tcPr>
            <w:tcW w:w="2800" w:type="dxa"/>
            <w:vAlign w:val="bottom"/>
          </w:tcPr>
          <w:p>
            <w:pPr>
              <w:spacing w:after="0"/>
              <w:rPr>
                <w:sz w:val="21"/>
                <w:szCs w:val="21"/>
                <w:color w:val="auto"/>
              </w:rPr>
            </w:pPr>
          </w:p>
        </w:tc>
        <w:tc>
          <w:tcPr>
            <w:tcW w:w="1260" w:type="dxa"/>
            <w:vAlign w:val="bottom"/>
            <w:gridSpan w:val="3"/>
          </w:tcPr>
          <w:p>
            <w:pPr>
              <w:jc w:val="center"/>
              <w:ind w:right="80"/>
              <w:spacing w:after="0"/>
              <w:rPr>
                <w:sz w:val="20"/>
                <w:szCs w:val="20"/>
                <w:color w:val="auto"/>
              </w:rPr>
            </w:pPr>
            <w:r>
              <w:rPr>
                <w:rFonts w:ascii="Times New Roman" w:cs="Times New Roman" w:eastAsia="Times New Roman" w:hAnsi="Times New Roman"/>
                <w:sz w:val="20"/>
                <w:szCs w:val="20"/>
                <w:b w:val="1"/>
                <w:bCs w:val="1"/>
                <w:color w:val="auto"/>
                <w:w w:val="99"/>
              </w:rPr>
              <w:t>Previously</w:t>
            </w:r>
          </w:p>
        </w:tc>
        <w:tc>
          <w:tcPr>
            <w:tcW w:w="38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160" w:type="dxa"/>
            <w:vAlign w:val="bottom"/>
            <w:gridSpan w:val="2"/>
          </w:tcPr>
          <w:p>
            <w:pPr>
              <w:jc w:val="right"/>
              <w:ind w:right="19"/>
              <w:spacing w:after="0"/>
              <w:rPr>
                <w:sz w:val="20"/>
                <w:szCs w:val="20"/>
                <w:color w:val="auto"/>
              </w:rPr>
            </w:pPr>
            <w:r>
              <w:rPr>
                <w:rFonts w:ascii="Times New Roman" w:cs="Times New Roman" w:eastAsia="Times New Roman" w:hAnsi="Times New Roman"/>
                <w:sz w:val="20"/>
                <w:szCs w:val="20"/>
                <w:b w:val="1"/>
                <w:bCs w:val="1"/>
                <w:color w:val="auto"/>
              </w:rPr>
              <w:t>Previously</w:t>
            </w: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840" w:type="dxa"/>
            <w:vAlign w:val="bottom"/>
          </w:tcPr>
          <w:p>
            <w:pPr>
              <w:spacing w:after="0"/>
              <w:rPr>
                <w:sz w:val="21"/>
                <w:szCs w:val="21"/>
                <w:color w:val="auto"/>
              </w:rPr>
            </w:pPr>
          </w:p>
        </w:tc>
      </w:tr>
      <w:tr>
        <w:trPr>
          <w:trHeight w:val="284"/>
        </w:trPr>
        <w:tc>
          <w:tcPr>
            <w:tcW w:w="28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80" w:type="dxa"/>
            <w:vAlign w:val="bottom"/>
            <w:gridSpan w:val="2"/>
          </w:tcPr>
          <w:p>
            <w:pPr>
              <w:jc w:val="center"/>
              <w:ind w:right="240"/>
              <w:spacing w:after="0"/>
              <w:rPr>
                <w:sz w:val="20"/>
                <w:szCs w:val="20"/>
                <w:color w:val="auto"/>
              </w:rPr>
            </w:pPr>
            <w:r>
              <w:rPr>
                <w:rFonts w:ascii="Times New Roman" w:cs="Times New Roman" w:eastAsia="Times New Roman" w:hAnsi="Times New Roman"/>
                <w:sz w:val="20"/>
                <w:szCs w:val="20"/>
                <w:b w:val="1"/>
                <w:bCs w:val="1"/>
                <w:color w:val="auto"/>
                <w:w w:val="99"/>
              </w:rPr>
              <w:t>Reported</w:t>
            </w:r>
          </w:p>
        </w:tc>
        <w:tc>
          <w:tcPr>
            <w:tcW w:w="1140" w:type="dxa"/>
            <w:vAlign w:val="bottom"/>
            <w:gridSpan w:val="2"/>
          </w:tcPr>
          <w:p>
            <w:pPr>
              <w:ind w:left="80"/>
              <w:spacing w:after="0"/>
              <w:rPr>
                <w:sz w:val="20"/>
                <w:szCs w:val="20"/>
                <w:color w:val="auto"/>
              </w:rPr>
            </w:pPr>
            <w:r>
              <w:rPr>
                <w:rFonts w:ascii="Times New Roman" w:cs="Times New Roman" w:eastAsia="Times New Roman" w:hAnsi="Times New Roman"/>
                <w:sz w:val="20"/>
                <w:szCs w:val="20"/>
                <w:b w:val="1"/>
                <w:bCs w:val="1"/>
                <w:color w:val="auto"/>
              </w:rPr>
              <w:t>Adjustment</w:t>
            </w: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160" w:type="dxa"/>
            <w:vAlign w:val="bottom"/>
            <w:gridSpan w:val="2"/>
          </w:tcPr>
          <w:p>
            <w:pPr>
              <w:jc w:val="right"/>
              <w:spacing w:after="0"/>
              <w:rPr>
                <w:sz w:val="20"/>
                <w:szCs w:val="20"/>
                <w:color w:val="auto"/>
              </w:rPr>
            </w:pPr>
            <w:r>
              <w:rPr>
                <w:rFonts w:ascii="Times New Roman" w:cs="Times New Roman" w:eastAsia="Times New Roman" w:hAnsi="Times New Roman"/>
                <w:sz w:val="20"/>
                <w:szCs w:val="20"/>
                <w:b w:val="1"/>
                <w:bCs w:val="1"/>
                <w:color w:val="auto"/>
              </w:rPr>
              <w:t>As Restated</w:t>
            </w: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00" w:type="dxa"/>
            <w:vAlign w:val="bottom"/>
          </w:tcPr>
          <w:p>
            <w:pPr>
              <w:jc w:val="right"/>
              <w:ind w:right="79"/>
              <w:spacing w:after="0"/>
              <w:rPr>
                <w:sz w:val="20"/>
                <w:szCs w:val="20"/>
                <w:color w:val="auto"/>
              </w:rPr>
            </w:pPr>
            <w:r>
              <w:rPr>
                <w:rFonts w:ascii="Times New Roman" w:cs="Times New Roman" w:eastAsia="Times New Roman" w:hAnsi="Times New Roman"/>
                <w:sz w:val="20"/>
                <w:szCs w:val="20"/>
                <w:b w:val="1"/>
                <w:bCs w:val="1"/>
                <w:color w:val="auto"/>
                <w:w w:val="99"/>
              </w:rPr>
              <w:t>Reported</w:t>
            </w: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20" w:type="dxa"/>
            <w:vAlign w:val="bottom"/>
            <w:gridSpan w:val="3"/>
          </w:tcPr>
          <w:p>
            <w:pPr>
              <w:jc w:val="center"/>
              <w:ind w:right="80"/>
              <w:spacing w:after="0"/>
              <w:rPr>
                <w:sz w:val="20"/>
                <w:szCs w:val="20"/>
                <w:color w:val="auto"/>
              </w:rPr>
            </w:pPr>
            <w:r>
              <w:rPr>
                <w:rFonts w:ascii="Times New Roman" w:cs="Times New Roman" w:eastAsia="Times New Roman" w:hAnsi="Times New Roman"/>
                <w:sz w:val="20"/>
                <w:szCs w:val="20"/>
                <w:b w:val="1"/>
                <w:bCs w:val="1"/>
                <w:color w:val="auto"/>
              </w:rPr>
              <w:t>Adjustment</w:t>
            </w:r>
          </w:p>
        </w:tc>
        <w:tc>
          <w:tcPr>
            <w:tcW w:w="1180" w:type="dxa"/>
            <w:vAlign w:val="bottom"/>
            <w:gridSpan w:val="2"/>
          </w:tcPr>
          <w:p>
            <w:pPr>
              <w:jc w:val="right"/>
              <w:spacing w:after="0"/>
              <w:rPr>
                <w:sz w:val="20"/>
                <w:szCs w:val="20"/>
                <w:color w:val="auto"/>
              </w:rPr>
            </w:pPr>
            <w:r>
              <w:rPr>
                <w:rFonts w:ascii="Times New Roman" w:cs="Times New Roman" w:eastAsia="Times New Roman" w:hAnsi="Times New Roman"/>
                <w:sz w:val="20"/>
                <w:szCs w:val="20"/>
                <w:b w:val="1"/>
                <w:bCs w:val="1"/>
                <w:color w:val="auto"/>
              </w:rPr>
              <w:t>As Restated</w:t>
            </w:r>
          </w:p>
        </w:tc>
      </w:tr>
      <w:tr>
        <w:trPr>
          <w:trHeight w:val="340"/>
        </w:trPr>
        <w:tc>
          <w:tcPr>
            <w:tcW w:w="2800" w:type="dxa"/>
            <w:vAlign w:val="bottom"/>
            <w:tcBorders>
              <w:top w:val="single" w:sz="8" w:color="DDDDDD"/>
            </w:tcBorders>
            <w:shd w:val="clear" w:color="auto" w:fill="DDDDDD"/>
          </w:tcPr>
          <w:p>
            <w:pPr>
              <w:ind w:left="40"/>
              <w:spacing w:after="0"/>
              <w:rPr>
                <w:sz w:val="20"/>
                <w:szCs w:val="20"/>
                <w:color w:val="auto"/>
              </w:rPr>
            </w:pPr>
            <w:r>
              <w:rPr>
                <w:rFonts w:ascii="Times New Roman" w:cs="Times New Roman" w:eastAsia="Times New Roman" w:hAnsi="Times New Roman"/>
                <w:sz w:val="20"/>
                <w:szCs w:val="20"/>
                <w:color w:val="auto"/>
              </w:rPr>
              <w:t>Net revenues</w:t>
            </w:r>
          </w:p>
        </w:tc>
        <w:tc>
          <w:tcPr>
            <w:tcW w:w="180" w:type="dxa"/>
            <w:vAlign w:val="bottom"/>
            <w:tcBorders>
              <w:top w:val="single" w:sz="8" w:color="auto"/>
            </w:tcBorders>
            <w:shd w:val="clear" w:color="auto" w:fill="DDDDDD"/>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1000" w:type="dxa"/>
            <w:vAlign w:val="bottom"/>
            <w:tcBorders>
              <w:top w:val="single" w:sz="8" w:color="auto"/>
            </w:tcBorders>
            <w:shd w:val="clear" w:color="auto" w:fill="DDDDDD"/>
          </w:tcPr>
          <w:p>
            <w:pPr>
              <w:jc w:val="right"/>
              <w:spacing w:after="0"/>
              <w:rPr>
                <w:sz w:val="20"/>
                <w:szCs w:val="20"/>
                <w:color w:val="auto"/>
              </w:rPr>
            </w:pPr>
            <w:r>
              <w:rPr>
                <w:rFonts w:ascii="Times New Roman" w:cs="Times New Roman" w:eastAsia="Times New Roman" w:hAnsi="Times New Roman"/>
                <w:sz w:val="20"/>
                <w:szCs w:val="20"/>
                <w:color w:val="auto"/>
              </w:rPr>
              <w:t>50,852</w:t>
            </w:r>
          </w:p>
        </w:tc>
        <w:tc>
          <w:tcPr>
            <w:tcW w:w="80" w:type="dxa"/>
            <w:vAlign w:val="bottom"/>
            <w:tcBorders>
              <w:top w:val="single" w:sz="8" w:color="DDDDDD"/>
            </w:tcBorders>
            <w:shd w:val="clear" w:color="auto" w:fill="DDDDDD"/>
          </w:tcPr>
          <w:p>
            <w:pPr>
              <w:spacing w:after="0"/>
              <w:rPr>
                <w:sz w:val="24"/>
                <w:szCs w:val="24"/>
                <w:color w:val="auto"/>
              </w:rPr>
            </w:pPr>
          </w:p>
        </w:tc>
        <w:tc>
          <w:tcPr>
            <w:tcW w:w="380" w:type="dxa"/>
            <w:vAlign w:val="bottom"/>
            <w:tcBorders>
              <w:top w:val="single" w:sz="8" w:color="auto"/>
            </w:tcBorders>
            <w:shd w:val="clear" w:color="auto" w:fill="DDDDDD"/>
          </w:tcPr>
          <w:p>
            <w:pPr>
              <w:ind w:left="100"/>
              <w:spacing w:after="0"/>
              <w:rPr>
                <w:sz w:val="20"/>
                <w:szCs w:val="20"/>
                <w:color w:val="auto"/>
              </w:rPr>
            </w:pPr>
            <w:r>
              <w:rPr>
                <w:rFonts w:ascii="Times New Roman" w:cs="Times New Roman" w:eastAsia="Times New Roman" w:hAnsi="Times New Roman"/>
                <w:sz w:val="20"/>
                <w:szCs w:val="20"/>
                <w:color w:val="auto"/>
              </w:rPr>
              <w:t>$</w:t>
            </w:r>
          </w:p>
        </w:tc>
        <w:tc>
          <w:tcPr>
            <w:tcW w:w="760" w:type="dxa"/>
            <w:vAlign w:val="bottom"/>
            <w:tcBorders>
              <w:top w:val="single" w:sz="8" w:color="auto"/>
            </w:tcBorders>
            <w:shd w:val="clear" w:color="auto" w:fill="DDDDDD"/>
          </w:tcPr>
          <w:p>
            <w:pPr>
              <w:jc w:val="right"/>
              <w:spacing w:after="0"/>
              <w:rPr>
                <w:sz w:val="20"/>
                <w:szCs w:val="20"/>
                <w:color w:val="auto"/>
              </w:rPr>
            </w:pPr>
            <w:r>
              <w:rPr>
                <w:rFonts w:ascii="Times New Roman" w:cs="Times New Roman" w:eastAsia="Times New Roman" w:hAnsi="Times New Roman"/>
                <w:sz w:val="20"/>
                <w:szCs w:val="20"/>
                <w:color w:val="auto"/>
              </w:rPr>
              <w:t>(2,429)</w:t>
            </w:r>
          </w:p>
        </w:tc>
        <w:tc>
          <w:tcPr>
            <w:tcW w:w="20" w:type="dxa"/>
            <w:vAlign w:val="bottom"/>
            <w:tcBorders>
              <w:top w:val="single" w:sz="8" w:color="auto"/>
            </w:tcBorders>
            <w:shd w:val="clear" w:color="auto" w:fill="DDDDDD"/>
          </w:tcPr>
          <w:p>
            <w:pPr>
              <w:spacing w:after="0"/>
              <w:rPr>
                <w:sz w:val="24"/>
                <w:szCs w:val="24"/>
                <w:color w:val="auto"/>
              </w:rPr>
            </w:pPr>
          </w:p>
        </w:tc>
        <w:tc>
          <w:tcPr>
            <w:tcW w:w="80" w:type="dxa"/>
            <w:vAlign w:val="bottom"/>
            <w:tcBorders>
              <w:top w:val="single" w:sz="8" w:color="DDDDDD"/>
            </w:tcBorders>
            <w:shd w:val="clear" w:color="auto" w:fill="DDDDDD"/>
          </w:tcPr>
          <w:p>
            <w:pPr>
              <w:spacing w:after="0"/>
              <w:rPr>
                <w:sz w:val="24"/>
                <w:szCs w:val="24"/>
                <w:color w:val="auto"/>
              </w:rPr>
            </w:pPr>
          </w:p>
        </w:tc>
        <w:tc>
          <w:tcPr>
            <w:tcW w:w="340" w:type="dxa"/>
            <w:vAlign w:val="bottom"/>
            <w:tcBorders>
              <w:top w:val="single" w:sz="8" w:color="auto"/>
            </w:tcBorders>
            <w:shd w:val="clear" w:color="auto" w:fill="DDDDDD"/>
          </w:tcPr>
          <w:p>
            <w:pPr>
              <w:jc w:val="right"/>
              <w:ind w:right="99"/>
              <w:spacing w:after="0"/>
              <w:rPr>
                <w:sz w:val="20"/>
                <w:szCs w:val="20"/>
                <w:color w:val="auto"/>
              </w:rPr>
            </w:pPr>
            <w:r>
              <w:rPr>
                <w:rFonts w:ascii="Times New Roman" w:cs="Times New Roman" w:eastAsia="Times New Roman" w:hAnsi="Times New Roman"/>
                <w:sz w:val="20"/>
                <w:szCs w:val="20"/>
                <w:color w:val="auto"/>
              </w:rPr>
              <w:t>$</w:t>
            </w:r>
          </w:p>
        </w:tc>
        <w:tc>
          <w:tcPr>
            <w:tcW w:w="820" w:type="dxa"/>
            <w:vAlign w:val="bottom"/>
            <w:tcBorders>
              <w:top w:val="single" w:sz="8" w:color="auto"/>
            </w:tcBorders>
            <w:shd w:val="clear" w:color="auto" w:fill="DDDDDD"/>
          </w:tcPr>
          <w:p>
            <w:pPr>
              <w:jc w:val="right"/>
              <w:spacing w:after="0"/>
              <w:rPr>
                <w:sz w:val="20"/>
                <w:szCs w:val="20"/>
                <w:color w:val="auto"/>
              </w:rPr>
            </w:pPr>
            <w:r>
              <w:rPr>
                <w:rFonts w:ascii="Times New Roman" w:cs="Times New Roman" w:eastAsia="Times New Roman" w:hAnsi="Times New Roman"/>
                <w:sz w:val="20"/>
                <w:szCs w:val="20"/>
                <w:color w:val="auto"/>
              </w:rPr>
              <w:t>48,423</w:t>
            </w:r>
          </w:p>
        </w:tc>
        <w:tc>
          <w:tcPr>
            <w:tcW w:w="80" w:type="dxa"/>
            <w:vAlign w:val="bottom"/>
            <w:tcBorders>
              <w:top w:val="single" w:sz="8" w:color="DDDDDD"/>
            </w:tcBorders>
            <w:shd w:val="clear" w:color="auto" w:fill="DDDDDD"/>
          </w:tcPr>
          <w:p>
            <w:pPr>
              <w:spacing w:after="0"/>
              <w:rPr>
                <w:sz w:val="24"/>
                <w:szCs w:val="24"/>
                <w:color w:val="auto"/>
              </w:rPr>
            </w:pPr>
          </w:p>
        </w:tc>
        <w:tc>
          <w:tcPr>
            <w:tcW w:w="160" w:type="dxa"/>
            <w:vAlign w:val="bottom"/>
            <w:tcBorders>
              <w:top w:val="single" w:sz="8" w:color="auto"/>
            </w:tcBorders>
            <w:shd w:val="clear" w:color="auto" w:fill="DDDDDD"/>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1000" w:type="dxa"/>
            <w:vAlign w:val="bottom"/>
            <w:tcBorders>
              <w:top w:val="single" w:sz="8" w:color="auto"/>
            </w:tcBorders>
            <w:shd w:val="clear" w:color="auto" w:fill="DDDDDD"/>
          </w:tcPr>
          <w:p>
            <w:pPr>
              <w:jc w:val="right"/>
              <w:spacing w:after="0"/>
              <w:rPr>
                <w:sz w:val="20"/>
                <w:szCs w:val="20"/>
                <w:color w:val="auto"/>
              </w:rPr>
            </w:pPr>
            <w:r>
              <w:rPr>
                <w:rFonts w:ascii="Times New Roman" w:cs="Times New Roman" w:eastAsia="Times New Roman" w:hAnsi="Times New Roman"/>
                <w:sz w:val="20"/>
                <w:szCs w:val="20"/>
                <w:color w:val="auto"/>
              </w:rPr>
              <w:t>98,859</w:t>
            </w:r>
          </w:p>
        </w:tc>
        <w:tc>
          <w:tcPr>
            <w:tcW w:w="20" w:type="dxa"/>
            <w:vAlign w:val="bottom"/>
            <w:tcBorders>
              <w:top w:val="single" w:sz="8" w:color="auto"/>
            </w:tcBorders>
            <w:shd w:val="clear" w:color="auto" w:fill="DDDDDD"/>
          </w:tcPr>
          <w:p>
            <w:pPr>
              <w:spacing w:after="0"/>
              <w:rPr>
                <w:sz w:val="24"/>
                <w:szCs w:val="24"/>
                <w:color w:val="auto"/>
              </w:rPr>
            </w:pPr>
          </w:p>
        </w:tc>
        <w:tc>
          <w:tcPr>
            <w:tcW w:w="80" w:type="dxa"/>
            <w:vAlign w:val="bottom"/>
            <w:tcBorders>
              <w:top w:val="single" w:sz="8" w:color="DDDDDD"/>
            </w:tcBorders>
            <w:shd w:val="clear" w:color="auto" w:fill="DDDDDD"/>
          </w:tcPr>
          <w:p>
            <w:pPr>
              <w:spacing w:after="0"/>
              <w:rPr>
                <w:sz w:val="24"/>
                <w:szCs w:val="24"/>
                <w:color w:val="auto"/>
              </w:rPr>
            </w:pPr>
          </w:p>
        </w:tc>
        <w:tc>
          <w:tcPr>
            <w:tcW w:w="360" w:type="dxa"/>
            <w:vAlign w:val="bottom"/>
            <w:tcBorders>
              <w:top w:val="single" w:sz="8" w:color="auto"/>
            </w:tcBorders>
            <w:shd w:val="clear" w:color="auto" w:fill="DDDDDD"/>
          </w:tcPr>
          <w:p>
            <w:pPr>
              <w:jc w:val="right"/>
              <w:ind w:right="79"/>
              <w:spacing w:after="0"/>
              <w:rPr>
                <w:sz w:val="20"/>
                <w:szCs w:val="20"/>
                <w:color w:val="auto"/>
              </w:rPr>
            </w:pPr>
            <w:r>
              <w:rPr>
                <w:rFonts w:ascii="Times New Roman" w:cs="Times New Roman" w:eastAsia="Times New Roman" w:hAnsi="Times New Roman"/>
                <w:sz w:val="20"/>
                <w:szCs w:val="20"/>
                <w:color w:val="auto"/>
              </w:rPr>
              <w:t>$</w:t>
            </w:r>
          </w:p>
        </w:tc>
        <w:tc>
          <w:tcPr>
            <w:tcW w:w="780" w:type="dxa"/>
            <w:vAlign w:val="bottom"/>
            <w:tcBorders>
              <w:top w:val="single" w:sz="8" w:color="auto"/>
            </w:tcBorders>
            <w:shd w:val="clear" w:color="auto" w:fill="DDDDDD"/>
          </w:tcPr>
          <w:p>
            <w:pPr>
              <w:jc w:val="right"/>
              <w:spacing w:after="0"/>
              <w:rPr>
                <w:sz w:val="20"/>
                <w:szCs w:val="20"/>
                <w:color w:val="auto"/>
              </w:rPr>
            </w:pPr>
            <w:r>
              <w:rPr>
                <w:rFonts w:ascii="Times New Roman" w:cs="Times New Roman" w:eastAsia="Times New Roman" w:hAnsi="Times New Roman"/>
                <w:sz w:val="20"/>
                <w:szCs w:val="20"/>
                <w:color w:val="auto"/>
              </w:rPr>
              <w:t>(4,020)</w:t>
            </w:r>
          </w:p>
        </w:tc>
        <w:tc>
          <w:tcPr>
            <w:tcW w:w="80" w:type="dxa"/>
            <w:vAlign w:val="bottom"/>
            <w:tcBorders>
              <w:top w:val="single" w:sz="8" w:color="DDDDDD"/>
            </w:tcBorders>
            <w:shd w:val="clear" w:color="auto" w:fill="DDDDDD"/>
          </w:tcPr>
          <w:p>
            <w:pPr>
              <w:spacing w:after="0"/>
              <w:rPr>
                <w:sz w:val="24"/>
                <w:szCs w:val="24"/>
                <w:color w:val="auto"/>
              </w:rPr>
            </w:pPr>
          </w:p>
        </w:tc>
        <w:tc>
          <w:tcPr>
            <w:tcW w:w="340" w:type="dxa"/>
            <w:vAlign w:val="bottom"/>
            <w:tcBorders>
              <w:top w:val="single" w:sz="8" w:color="auto"/>
            </w:tcBorders>
            <w:shd w:val="clear" w:color="auto" w:fill="DDDDDD"/>
          </w:tcPr>
          <w:p>
            <w:pPr>
              <w:jc w:val="right"/>
              <w:ind w:right="99"/>
              <w:spacing w:after="0"/>
              <w:rPr>
                <w:sz w:val="20"/>
                <w:szCs w:val="20"/>
                <w:color w:val="auto"/>
              </w:rPr>
            </w:pPr>
            <w:r>
              <w:rPr>
                <w:rFonts w:ascii="Times New Roman" w:cs="Times New Roman" w:eastAsia="Times New Roman" w:hAnsi="Times New Roman"/>
                <w:sz w:val="20"/>
                <w:szCs w:val="20"/>
                <w:color w:val="auto"/>
              </w:rPr>
              <w:t>$</w:t>
            </w:r>
          </w:p>
        </w:tc>
        <w:tc>
          <w:tcPr>
            <w:tcW w:w="840" w:type="dxa"/>
            <w:vAlign w:val="bottom"/>
            <w:tcBorders>
              <w:top w:val="single" w:sz="8" w:color="auto"/>
            </w:tcBorders>
            <w:shd w:val="clear" w:color="auto" w:fill="DDDDDD"/>
          </w:tcPr>
          <w:p>
            <w:pPr>
              <w:jc w:val="right"/>
              <w:spacing w:after="0"/>
              <w:rPr>
                <w:sz w:val="20"/>
                <w:szCs w:val="20"/>
                <w:color w:val="auto"/>
              </w:rPr>
            </w:pPr>
            <w:r>
              <w:rPr>
                <w:rFonts w:ascii="Times New Roman" w:cs="Times New Roman" w:eastAsia="Times New Roman" w:hAnsi="Times New Roman"/>
                <w:sz w:val="20"/>
                <w:szCs w:val="20"/>
                <w:color w:val="auto"/>
              </w:rPr>
              <w:t>94,839</w:t>
            </w:r>
          </w:p>
        </w:tc>
      </w:tr>
      <w:tr>
        <w:trPr>
          <w:trHeight w:val="258"/>
        </w:trPr>
        <w:tc>
          <w:tcPr>
            <w:tcW w:w="2800" w:type="dxa"/>
            <w:vAlign w:val="bottom"/>
          </w:tcPr>
          <w:p>
            <w:pPr>
              <w:ind w:left="40"/>
              <w:spacing w:after="0"/>
              <w:rPr>
                <w:sz w:val="20"/>
                <w:szCs w:val="20"/>
                <w:color w:val="auto"/>
              </w:rPr>
            </w:pPr>
            <w:r>
              <w:rPr>
                <w:rFonts w:ascii="Times New Roman" w:cs="Times New Roman" w:eastAsia="Times New Roman" w:hAnsi="Times New Roman"/>
                <w:sz w:val="20"/>
                <w:szCs w:val="20"/>
                <w:color w:val="auto"/>
              </w:rPr>
              <w:t>General and administrative</w:t>
            </w:r>
          </w:p>
        </w:tc>
        <w:tc>
          <w:tcPr>
            <w:tcW w:w="180" w:type="dxa"/>
            <w:vAlign w:val="bottom"/>
          </w:tcPr>
          <w:p>
            <w:pPr>
              <w:spacing w:after="0"/>
              <w:rPr>
                <w:sz w:val="22"/>
                <w:szCs w:val="22"/>
                <w:color w:val="auto"/>
              </w:rPr>
            </w:pPr>
          </w:p>
        </w:tc>
        <w:tc>
          <w:tcPr>
            <w:tcW w:w="100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76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8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0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78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840" w:type="dxa"/>
            <w:vAlign w:val="bottom"/>
          </w:tcPr>
          <w:p>
            <w:pPr>
              <w:spacing w:after="0"/>
              <w:rPr>
                <w:sz w:val="22"/>
                <w:szCs w:val="22"/>
                <w:color w:val="auto"/>
              </w:rPr>
            </w:pPr>
          </w:p>
        </w:tc>
      </w:tr>
      <w:tr>
        <w:trPr>
          <w:trHeight w:val="279"/>
        </w:trPr>
        <w:tc>
          <w:tcPr>
            <w:tcW w:w="2800" w:type="dxa"/>
            <w:vAlign w:val="bottom"/>
          </w:tcPr>
          <w:p>
            <w:pPr>
              <w:ind w:left="40"/>
              <w:spacing w:after="0"/>
              <w:rPr>
                <w:sz w:val="20"/>
                <w:szCs w:val="20"/>
                <w:color w:val="auto"/>
              </w:rPr>
            </w:pPr>
            <w:r>
              <w:rPr>
                <w:rFonts w:ascii="Times New Roman" w:cs="Times New Roman" w:eastAsia="Times New Roman" w:hAnsi="Times New Roman"/>
                <w:sz w:val="20"/>
                <w:szCs w:val="20"/>
                <w:color w:val="auto"/>
              </w:rPr>
              <w:t>expenses</w:t>
            </w:r>
          </w:p>
        </w:tc>
        <w:tc>
          <w:tcPr>
            <w:tcW w:w="1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19,208</w:t>
            </w:r>
          </w:p>
        </w:tc>
        <w:tc>
          <w:tcPr>
            <w:tcW w:w="80" w:type="dxa"/>
            <w:vAlign w:val="bottom"/>
          </w:tcPr>
          <w:p>
            <w:pPr>
              <w:spacing w:after="0"/>
              <w:rPr>
                <w:sz w:val="24"/>
                <w:szCs w:val="24"/>
                <w:color w:val="auto"/>
              </w:rPr>
            </w:pPr>
          </w:p>
        </w:tc>
        <w:tc>
          <w:tcPr>
            <w:tcW w:w="380" w:type="dxa"/>
            <w:vAlign w:val="bottom"/>
          </w:tcPr>
          <w:p>
            <w:pPr>
              <w:ind w:left="100"/>
              <w:spacing w:after="0"/>
              <w:rPr>
                <w:sz w:val="20"/>
                <w:szCs w:val="20"/>
                <w:color w:val="auto"/>
              </w:rPr>
            </w:pPr>
            <w:r>
              <w:rPr>
                <w:rFonts w:ascii="Times New Roman" w:cs="Times New Roman" w:eastAsia="Times New Roman" w:hAnsi="Times New Roman"/>
                <w:sz w:val="20"/>
                <w:szCs w:val="20"/>
                <w:color w:val="auto"/>
              </w:rPr>
              <w:t>$</w:t>
            </w:r>
          </w:p>
        </w:tc>
        <w:tc>
          <w:tcPr>
            <w:tcW w:w="7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(2,429)</w:t>
            </w:r>
          </w:p>
        </w:tc>
        <w:tc>
          <w:tcPr>
            <w:tcW w:w="440" w:type="dxa"/>
            <w:vAlign w:val="bottom"/>
            <w:gridSpan w:val="3"/>
          </w:tcPr>
          <w:p>
            <w:pPr>
              <w:jc w:val="right"/>
              <w:ind w:right="99"/>
              <w:spacing w:after="0"/>
              <w:rPr>
                <w:sz w:val="20"/>
                <w:szCs w:val="20"/>
                <w:color w:val="auto"/>
              </w:rPr>
            </w:pPr>
            <w:r>
              <w:rPr>
                <w:rFonts w:ascii="Times New Roman" w:cs="Times New Roman" w:eastAsia="Times New Roman" w:hAnsi="Times New Roman"/>
                <w:sz w:val="20"/>
                <w:szCs w:val="20"/>
                <w:color w:val="auto"/>
              </w:rPr>
              <w:t>$</w:t>
            </w:r>
          </w:p>
        </w:tc>
        <w:tc>
          <w:tcPr>
            <w:tcW w:w="8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16,779</w:t>
            </w:r>
          </w:p>
        </w:tc>
        <w:tc>
          <w:tcPr>
            <w:tcW w:w="24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41,708</w:t>
            </w:r>
          </w:p>
        </w:tc>
        <w:tc>
          <w:tcPr>
            <w:tcW w:w="460" w:type="dxa"/>
            <w:vAlign w:val="bottom"/>
            <w:gridSpan w:val="3"/>
          </w:tcPr>
          <w:p>
            <w:pPr>
              <w:jc w:val="right"/>
              <w:ind w:right="79"/>
              <w:spacing w:after="0"/>
              <w:rPr>
                <w:sz w:val="20"/>
                <w:szCs w:val="20"/>
                <w:color w:val="auto"/>
              </w:rPr>
            </w:pPr>
            <w:r>
              <w:rPr>
                <w:rFonts w:ascii="Times New Roman" w:cs="Times New Roman" w:eastAsia="Times New Roman" w:hAnsi="Times New Roman"/>
                <w:sz w:val="20"/>
                <w:szCs w:val="20"/>
                <w:color w:val="auto"/>
              </w:rPr>
              <w:t>$</w:t>
            </w:r>
          </w:p>
        </w:tc>
        <w:tc>
          <w:tcPr>
            <w:tcW w:w="7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(4,020)</w:t>
            </w:r>
          </w:p>
        </w:tc>
        <w:tc>
          <w:tcPr>
            <w:tcW w:w="80" w:type="dxa"/>
            <w:vAlign w:val="bottom"/>
          </w:tcPr>
          <w:p>
            <w:pPr>
              <w:spacing w:after="0"/>
              <w:rPr>
                <w:sz w:val="24"/>
                <w:szCs w:val="24"/>
                <w:color w:val="auto"/>
              </w:rPr>
            </w:pPr>
          </w:p>
        </w:tc>
        <w:tc>
          <w:tcPr>
            <w:tcW w:w="340" w:type="dxa"/>
            <w:vAlign w:val="bottom"/>
          </w:tcPr>
          <w:p>
            <w:pPr>
              <w:jc w:val="right"/>
              <w:ind w:right="99"/>
              <w:spacing w:after="0"/>
              <w:rPr>
                <w:sz w:val="20"/>
                <w:szCs w:val="20"/>
                <w:color w:val="auto"/>
              </w:rPr>
            </w:pPr>
            <w:r>
              <w:rPr>
                <w:rFonts w:ascii="Times New Roman" w:cs="Times New Roman" w:eastAsia="Times New Roman" w:hAnsi="Times New Roman"/>
                <w:sz w:val="20"/>
                <w:szCs w:val="20"/>
                <w:color w:val="auto"/>
              </w:rPr>
              <w:t>$</w:t>
            </w:r>
          </w:p>
        </w:tc>
        <w:tc>
          <w:tcPr>
            <w:tcW w:w="8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37,688</w:t>
            </w:r>
          </w:p>
        </w:tc>
      </w:tr>
      <w:tr>
        <w:trPr>
          <w:trHeight w:val="362"/>
        </w:trPr>
        <w:tc>
          <w:tcPr>
            <w:tcW w:w="2800" w:type="dxa"/>
            <w:vAlign w:val="bottom"/>
            <w:shd w:val="clear" w:color="auto" w:fill="DDDDDD"/>
          </w:tcPr>
          <w:p>
            <w:pPr>
              <w:ind w:left="40"/>
              <w:spacing w:after="0"/>
              <w:rPr>
                <w:sz w:val="20"/>
                <w:szCs w:val="20"/>
                <w:color w:val="auto"/>
              </w:rPr>
            </w:pPr>
            <w:r>
              <w:rPr>
                <w:rFonts w:ascii="Times New Roman" w:cs="Times New Roman" w:eastAsia="Times New Roman" w:hAnsi="Times New Roman"/>
                <w:sz w:val="20"/>
                <w:szCs w:val="20"/>
                <w:color w:val="auto"/>
              </w:rPr>
              <w:t>Total costs and expenses</w:t>
            </w:r>
          </w:p>
        </w:tc>
        <w:tc>
          <w:tcPr>
            <w:tcW w:w="180" w:type="dxa"/>
            <w:vAlign w:val="bottom"/>
            <w:shd w:val="clear" w:color="auto" w:fill="DDDDDD"/>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1000" w:type="dxa"/>
            <w:vAlign w:val="bottom"/>
            <w:shd w:val="clear" w:color="auto" w:fill="DDDDDD"/>
          </w:tcPr>
          <w:p>
            <w:pPr>
              <w:jc w:val="right"/>
              <w:spacing w:after="0"/>
              <w:rPr>
                <w:sz w:val="20"/>
                <w:szCs w:val="20"/>
                <w:color w:val="auto"/>
              </w:rPr>
            </w:pPr>
            <w:r>
              <w:rPr>
                <w:rFonts w:ascii="Times New Roman" w:cs="Times New Roman" w:eastAsia="Times New Roman" w:hAnsi="Times New Roman"/>
                <w:sz w:val="20"/>
                <w:szCs w:val="20"/>
                <w:color w:val="auto"/>
              </w:rPr>
              <w:t>47,069</w:t>
            </w:r>
          </w:p>
        </w:tc>
        <w:tc>
          <w:tcPr>
            <w:tcW w:w="80" w:type="dxa"/>
            <w:vAlign w:val="bottom"/>
            <w:shd w:val="clear" w:color="auto" w:fill="DDDDDD"/>
          </w:tcPr>
          <w:p>
            <w:pPr>
              <w:spacing w:after="0"/>
              <w:rPr>
                <w:sz w:val="24"/>
                <w:szCs w:val="24"/>
                <w:color w:val="auto"/>
              </w:rPr>
            </w:pPr>
          </w:p>
        </w:tc>
        <w:tc>
          <w:tcPr>
            <w:tcW w:w="380" w:type="dxa"/>
            <w:vAlign w:val="bottom"/>
            <w:shd w:val="clear" w:color="auto" w:fill="DDDDDD"/>
          </w:tcPr>
          <w:p>
            <w:pPr>
              <w:ind w:left="100"/>
              <w:spacing w:after="0"/>
              <w:rPr>
                <w:sz w:val="20"/>
                <w:szCs w:val="20"/>
                <w:color w:val="auto"/>
              </w:rPr>
            </w:pPr>
            <w:r>
              <w:rPr>
                <w:rFonts w:ascii="Times New Roman" w:cs="Times New Roman" w:eastAsia="Times New Roman" w:hAnsi="Times New Roman"/>
                <w:sz w:val="20"/>
                <w:szCs w:val="20"/>
                <w:color w:val="auto"/>
              </w:rPr>
              <w:t>$</w:t>
            </w:r>
          </w:p>
        </w:tc>
        <w:tc>
          <w:tcPr>
            <w:tcW w:w="760" w:type="dxa"/>
            <w:vAlign w:val="bottom"/>
            <w:shd w:val="clear" w:color="auto" w:fill="DDDDDD"/>
          </w:tcPr>
          <w:p>
            <w:pPr>
              <w:jc w:val="right"/>
              <w:spacing w:after="0"/>
              <w:rPr>
                <w:sz w:val="20"/>
                <w:szCs w:val="20"/>
                <w:color w:val="auto"/>
              </w:rPr>
            </w:pPr>
            <w:r>
              <w:rPr>
                <w:rFonts w:ascii="Times New Roman" w:cs="Times New Roman" w:eastAsia="Times New Roman" w:hAnsi="Times New Roman"/>
                <w:sz w:val="20"/>
                <w:szCs w:val="20"/>
                <w:color w:val="auto"/>
              </w:rPr>
              <w:t>(2,429)</w:t>
            </w:r>
          </w:p>
        </w:tc>
        <w:tc>
          <w:tcPr>
            <w:tcW w:w="100" w:type="dxa"/>
            <w:vAlign w:val="bottom"/>
            <w:gridSpan w:val="2"/>
            <w:shd w:val="clear" w:color="auto" w:fill="DDDDDD"/>
          </w:tcPr>
          <w:p>
            <w:pPr>
              <w:spacing w:after="0"/>
              <w:rPr>
                <w:sz w:val="24"/>
                <w:szCs w:val="24"/>
                <w:color w:val="auto"/>
              </w:rPr>
            </w:pPr>
          </w:p>
        </w:tc>
        <w:tc>
          <w:tcPr>
            <w:tcW w:w="340" w:type="dxa"/>
            <w:vAlign w:val="bottom"/>
            <w:shd w:val="clear" w:color="auto" w:fill="DDDDDD"/>
          </w:tcPr>
          <w:p>
            <w:pPr>
              <w:jc w:val="right"/>
              <w:ind w:right="99"/>
              <w:spacing w:after="0"/>
              <w:rPr>
                <w:sz w:val="20"/>
                <w:szCs w:val="20"/>
                <w:color w:val="auto"/>
              </w:rPr>
            </w:pPr>
            <w:r>
              <w:rPr>
                <w:rFonts w:ascii="Times New Roman" w:cs="Times New Roman" w:eastAsia="Times New Roman" w:hAnsi="Times New Roman"/>
                <w:sz w:val="20"/>
                <w:szCs w:val="20"/>
                <w:color w:val="auto"/>
                <w:highlight w:val="lightGray"/>
              </w:rPr>
              <w:t>$</w:t>
            </w:r>
          </w:p>
        </w:tc>
        <w:tc>
          <w:tcPr>
            <w:tcW w:w="820" w:type="dxa"/>
            <w:vAlign w:val="bottom"/>
            <w:shd w:val="clear" w:color="auto" w:fill="DDDDDD"/>
          </w:tcPr>
          <w:p>
            <w:pPr>
              <w:jc w:val="right"/>
              <w:spacing w:after="0"/>
              <w:rPr>
                <w:sz w:val="20"/>
                <w:szCs w:val="20"/>
                <w:color w:val="auto"/>
              </w:rPr>
            </w:pPr>
            <w:r>
              <w:rPr>
                <w:rFonts w:ascii="Times New Roman" w:cs="Times New Roman" w:eastAsia="Times New Roman" w:hAnsi="Times New Roman"/>
                <w:sz w:val="20"/>
                <w:szCs w:val="20"/>
                <w:color w:val="auto"/>
                <w:highlight w:val="lightGray"/>
              </w:rPr>
              <w:t>44,640</w:t>
            </w:r>
          </w:p>
        </w:tc>
        <w:tc>
          <w:tcPr>
            <w:tcW w:w="80" w:type="dxa"/>
            <w:vAlign w:val="bottom"/>
            <w:shd w:val="clear" w:color="auto" w:fill="DDDDDD"/>
          </w:tcPr>
          <w:p>
            <w:pPr>
              <w:spacing w:after="0"/>
              <w:rPr>
                <w:sz w:val="24"/>
                <w:szCs w:val="24"/>
                <w:color w:val="auto"/>
              </w:rPr>
            </w:pPr>
          </w:p>
        </w:tc>
        <w:tc>
          <w:tcPr>
            <w:tcW w:w="160" w:type="dxa"/>
            <w:vAlign w:val="bottom"/>
            <w:shd w:val="clear" w:color="auto" w:fill="DDDDDD"/>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1000" w:type="dxa"/>
            <w:vAlign w:val="bottom"/>
            <w:shd w:val="clear" w:color="auto" w:fill="DDDDDD"/>
          </w:tcPr>
          <w:p>
            <w:pPr>
              <w:jc w:val="right"/>
              <w:spacing w:after="0"/>
              <w:rPr>
                <w:sz w:val="20"/>
                <w:szCs w:val="20"/>
                <w:color w:val="auto"/>
              </w:rPr>
            </w:pPr>
            <w:r>
              <w:rPr>
                <w:rFonts w:ascii="Times New Roman" w:cs="Times New Roman" w:eastAsia="Times New Roman" w:hAnsi="Times New Roman"/>
                <w:sz w:val="20"/>
                <w:szCs w:val="20"/>
                <w:color w:val="auto"/>
              </w:rPr>
              <w:t>99,224</w:t>
            </w:r>
          </w:p>
        </w:tc>
        <w:tc>
          <w:tcPr>
            <w:tcW w:w="100" w:type="dxa"/>
            <w:vAlign w:val="bottom"/>
            <w:gridSpan w:val="2"/>
            <w:shd w:val="clear" w:color="auto" w:fill="DDDDDD"/>
          </w:tcPr>
          <w:p>
            <w:pPr>
              <w:spacing w:after="0"/>
              <w:rPr>
                <w:sz w:val="24"/>
                <w:szCs w:val="24"/>
                <w:color w:val="auto"/>
              </w:rPr>
            </w:pPr>
          </w:p>
        </w:tc>
        <w:tc>
          <w:tcPr>
            <w:tcW w:w="360" w:type="dxa"/>
            <w:vAlign w:val="bottom"/>
            <w:shd w:val="clear" w:color="auto" w:fill="DDDDDD"/>
          </w:tcPr>
          <w:p>
            <w:pPr>
              <w:jc w:val="right"/>
              <w:ind w:right="79"/>
              <w:spacing w:after="0"/>
              <w:rPr>
                <w:sz w:val="20"/>
                <w:szCs w:val="20"/>
                <w:color w:val="auto"/>
              </w:rPr>
            </w:pPr>
            <w:r>
              <w:rPr>
                <w:rFonts w:ascii="Times New Roman" w:cs="Times New Roman" w:eastAsia="Times New Roman" w:hAnsi="Times New Roman"/>
                <w:sz w:val="20"/>
                <w:szCs w:val="20"/>
                <w:color w:val="auto"/>
              </w:rPr>
              <w:t>$</w:t>
            </w:r>
          </w:p>
        </w:tc>
        <w:tc>
          <w:tcPr>
            <w:tcW w:w="780" w:type="dxa"/>
            <w:vAlign w:val="bottom"/>
            <w:shd w:val="clear" w:color="auto" w:fill="DDDDDD"/>
          </w:tcPr>
          <w:p>
            <w:pPr>
              <w:jc w:val="right"/>
              <w:spacing w:after="0"/>
              <w:rPr>
                <w:sz w:val="20"/>
                <w:szCs w:val="20"/>
                <w:color w:val="auto"/>
              </w:rPr>
            </w:pPr>
            <w:r>
              <w:rPr>
                <w:rFonts w:ascii="Times New Roman" w:cs="Times New Roman" w:eastAsia="Times New Roman" w:hAnsi="Times New Roman"/>
                <w:sz w:val="20"/>
                <w:szCs w:val="20"/>
                <w:color w:val="auto"/>
              </w:rPr>
              <w:t>(4,020)</w:t>
            </w:r>
          </w:p>
        </w:tc>
        <w:tc>
          <w:tcPr>
            <w:tcW w:w="80" w:type="dxa"/>
            <w:vAlign w:val="bottom"/>
            <w:shd w:val="clear" w:color="auto" w:fill="DDDDDD"/>
          </w:tcPr>
          <w:p>
            <w:pPr>
              <w:spacing w:after="0"/>
              <w:rPr>
                <w:sz w:val="24"/>
                <w:szCs w:val="24"/>
                <w:color w:val="auto"/>
              </w:rPr>
            </w:pPr>
          </w:p>
        </w:tc>
        <w:tc>
          <w:tcPr>
            <w:tcW w:w="340" w:type="dxa"/>
            <w:vAlign w:val="bottom"/>
            <w:shd w:val="clear" w:color="auto" w:fill="DDDDDD"/>
          </w:tcPr>
          <w:p>
            <w:pPr>
              <w:jc w:val="right"/>
              <w:ind w:right="99"/>
              <w:spacing w:after="0"/>
              <w:rPr>
                <w:sz w:val="20"/>
                <w:szCs w:val="20"/>
                <w:color w:val="auto"/>
              </w:rPr>
            </w:pPr>
            <w:r>
              <w:rPr>
                <w:rFonts w:ascii="Times New Roman" w:cs="Times New Roman" w:eastAsia="Times New Roman" w:hAnsi="Times New Roman"/>
                <w:sz w:val="20"/>
                <w:szCs w:val="20"/>
                <w:color w:val="auto"/>
              </w:rPr>
              <w:t>$</w:t>
            </w:r>
          </w:p>
        </w:tc>
        <w:tc>
          <w:tcPr>
            <w:tcW w:w="840" w:type="dxa"/>
            <w:vAlign w:val="bottom"/>
            <w:shd w:val="clear" w:color="auto" w:fill="DDDDDD"/>
          </w:tcPr>
          <w:p>
            <w:pPr>
              <w:jc w:val="right"/>
              <w:spacing w:after="0"/>
              <w:rPr>
                <w:sz w:val="20"/>
                <w:szCs w:val="20"/>
                <w:color w:val="auto"/>
              </w:rPr>
            </w:pPr>
            <w:r>
              <w:rPr>
                <w:rFonts w:ascii="Times New Roman" w:cs="Times New Roman" w:eastAsia="Times New Roman" w:hAnsi="Times New Roman"/>
                <w:sz w:val="20"/>
                <w:szCs w:val="20"/>
                <w:color w:val="auto"/>
              </w:rPr>
              <w:t>95,204</w:t>
            </w:r>
          </w:p>
        </w:tc>
      </w:tr>
    </w:tbl>
    <w:p>
      <w:pPr>
        <w:spacing w:after="0" w:line="321" w:lineRule="exact"/>
        <w:rPr>
          <w:sz w:val="20"/>
          <w:szCs w:val="20"/>
          <w:color w:val="auto"/>
        </w:rPr>
      </w:pPr>
    </w:p>
    <w:tbl>
      <w:tblPr>
        <w:tblLayout w:type="fixed"/>
        <w:tblInd w:w="0" w:type="dxa"/>
        <w:tblCellMar>
          <w:top w:w="0" w:type="dxa"/>
          <w:left w:w="0" w:type="dxa"/>
          <w:bottom w:w="0" w:type="dxa"/>
          <w:right w:w="0" w:type="dxa"/>
        </w:tblCellMar>
      </w:tblPr>
      <w:tr>
        <w:trPr>
          <w:trHeight w:val="281"/>
        </w:trPr>
        <w:tc>
          <w:tcPr>
            <w:tcW w:w="2820" w:type="dxa"/>
            <w:vAlign w:val="bottom"/>
          </w:tcPr>
          <w:p>
            <w:pPr>
              <w:spacing w:after="0"/>
              <w:rPr>
                <w:sz w:val="24"/>
                <w:szCs w:val="24"/>
                <w:color w:val="auto"/>
              </w:rPr>
            </w:pPr>
          </w:p>
        </w:tc>
        <w:tc>
          <w:tcPr>
            <w:tcW w:w="3680" w:type="dxa"/>
            <w:vAlign w:val="bottom"/>
            <w:tcBorders>
              <w:bottom w:val="single" w:sz="8" w:color="auto"/>
            </w:tcBorders>
            <w:gridSpan w:val="8"/>
          </w:tcPr>
          <w:p>
            <w:pPr>
              <w:ind w:left="60"/>
              <w:spacing w:after="0"/>
              <w:rPr>
                <w:sz w:val="20"/>
                <w:szCs w:val="20"/>
                <w:color w:val="auto"/>
              </w:rPr>
            </w:pPr>
            <w:r>
              <w:rPr>
                <w:rFonts w:ascii="Times New Roman" w:cs="Times New Roman" w:eastAsia="Times New Roman" w:hAnsi="Times New Roman"/>
                <w:sz w:val="20"/>
                <w:szCs w:val="20"/>
                <w:b w:val="1"/>
                <w:bCs w:val="1"/>
                <w:color w:val="auto"/>
              </w:rPr>
              <w:t>Three Months Ended September 30, 2023</w:t>
            </w:r>
          </w:p>
        </w:tc>
        <w:tc>
          <w:tcPr>
            <w:tcW w:w="80" w:type="dxa"/>
            <w:vAlign w:val="bottom"/>
          </w:tcPr>
          <w:p>
            <w:pPr>
              <w:spacing w:after="0"/>
              <w:rPr>
                <w:sz w:val="24"/>
                <w:szCs w:val="24"/>
                <w:color w:val="auto"/>
              </w:rPr>
            </w:pPr>
          </w:p>
        </w:tc>
        <w:tc>
          <w:tcPr>
            <w:tcW w:w="3680" w:type="dxa"/>
            <w:vAlign w:val="bottom"/>
            <w:tcBorders>
              <w:bottom w:val="single" w:sz="8" w:color="auto"/>
            </w:tcBorders>
            <w:gridSpan w:val="8"/>
          </w:tcPr>
          <w:p>
            <w:pPr>
              <w:jc w:val="right"/>
              <w:ind w:right="19"/>
              <w:spacing w:after="0"/>
              <w:rPr>
                <w:sz w:val="20"/>
                <w:szCs w:val="20"/>
                <w:color w:val="auto"/>
              </w:rPr>
            </w:pPr>
            <w:r>
              <w:rPr>
                <w:rFonts w:ascii="Times New Roman" w:cs="Times New Roman" w:eastAsia="Times New Roman" w:hAnsi="Times New Roman"/>
                <w:sz w:val="20"/>
                <w:szCs w:val="20"/>
                <w:b w:val="1"/>
                <w:bCs w:val="1"/>
                <w:color w:val="auto"/>
              </w:rPr>
              <w:t>Nine Months Ended September 30, 2023</w:t>
            </w:r>
          </w:p>
        </w:tc>
        <w:tc>
          <w:tcPr>
            <w:tcW w:w="0" w:type="dxa"/>
            <w:vAlign w:val="bottom"/>
          </w:tcPr>
          <w:p>
            <w:pPr>
              <w:spacing w:after="0"/>
              <w:rPr>
                <w:sz w:val="1"/>
                <w:szCs w:val="1"/>
                <w:color w:val="auto"/>
              </w:rPr>
            </w:pPr>
          </w:p>
        </w:tc>
      </w:tr>
      <w:tr>
        <w:trPr>
          <w:trHeight w:val="239"/>
        </w:trPr>
        <w:tc>
          <w:tcPr>
            <w:tcW w:w="2820" w:type="dxa"/>
            <w:vAlign w:val="bottom"/>
          </w:tcPr>
          <w:p>
            <w:pPr>
              <w:spacing w:after="0"/>
              <w:rPr>
                <w:sz w:val="20"/>
                <w:szCs w:val="20"/>
                <w:color w:val="auto"/>
              </w:rPr>
            </w:pPr>
          </w:p>
        </w:tc>
        <w:tc>
          <w:tcPr>
            <w:tcW w:w="1160" w:type="dxa"/>
            <w:vAlign w:val="bottom"/>
            <w:gridSpan w:val="2"/>
          </w:tcPr>
          <w:p>
            <w:pPr>
              <w:ind w:left="120"/>
              <w:spacing w:after="0"/>
              <w:rPr>
                <w:sz w:val="20"/>
                <w:szCs w:val="20"/>
                <w:color w:val="auto"/>
              </w:rPr>
            </w:pPr>
            <w:r>
              <w:rPr>
                <w:rFonts w:ascii="Times New Roman" w:cs="Times New Roman" w:eastAsia="Times New Roman" w:hAnsi="Times New Roman"/>
                <w:sz w:val="20"/>
                <w:szCs w:val="20"/>
                <w:b w:val="1"/>
                <w:bCs w:val="1"/>
                <w:color w:val="auto"/>
              </w:rPr>
              <w:t>Previously</w:t>
            </w:r>
          </w:p>
        </w:tc>
        <w:tc>
          <w:tcPr>
            <w:tcW w:w="8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160" w:type="dxa"/>
            <w:vAlign w:val="bottom"/>
            <w:gridSpan w:val="2"/>
          </w:tcPr>
          <w:p>
            <w:pPr>
              <w:jc w:val="right"/>
              <w:ind w:right="39"/>
              <w:spacing w:after="0"/>
              <w:rPr>
                <w:sz w:val="20"/>
                <w:szCs w:val="20"/>
                <w:color w:val="auto"/>
              </w:rPr>
            </w:pPr>
            <w:r>
              <w:rPr>
                <w:rFonts w:ascii="Times New Roman" w:cs="Times New Roman" w:eastAsia="Times New Roman" w:hAnsi="Times New Roman"/>
                <w:sz w:val="20"/>
                <w:szCs w:val="20"/>
                <w:b w:val="1"/>
                <w:bCs w:val="1"/>
                <w:color w:val="auto"/>
              </w:rPr>
              <w:t>Previously</w:t>
            </w:r>
          </w:p>
        </w:tc>
        <w:tc>
          <w:tcPr>
            <w:tcW w:w="8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88"/>
        </w:trPr>
        <w:tc>
          <w:tcPr>
            <w:tcW w:w="2820" w:type="dxa"/>
            <w:vAlign w:val="bottom"/>
            <w:tcBorders>
              <w:bottom w:val="single" w:sz="8" w:color="DDDDDD"/>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000" w:type="dxa"/>
            <w:vAlign w:val="bottom"/>
            <w:tcBorders>
              <w:bottom w:val="single" w:sz="8" w:color="auto"/>
            </w:tcBorders>
          </w:tcPr>
          <w:p>
            <w:pPr>
              <w:jc w:val="right"/>
              <w:ind w:right="79"/>
              <w:spacing w:after="0"/>
              <w:rPr>
                <w:sz w:val="20"/>
                <w:szCs w:val="20"/>
                <w:color w:val="auto"/>
              </w:rPr>
            </w:pPr>
            <w:r>
              <w:rPr>
                <w:rFonts w:ascii="Times New Roman" w:cs="Times New Roman" w:eastAsia="Times New Roman" w:hAnsi="Times New Roman"/>
                <w:sz w:val="20"/>
                <w:szCs w:val="20"/>
                <w:b w:val="1"/>
                <w:bCs w:val="1"/>
                <w:color w:val="auto"/>
                <w:w w:val="99"/>
              </w:rPr>
              <w:t>Reported</w:t>
            </w:r>
          </w:p>
        </w:tc>
        <w:tc>
          <w:tcPr>
            <w:tcW w:w="80" w:type="dxa"/>
            <w:vAlign w:val="bottom"/>
            <w:tcBorders>
              <w:bottom w:val="single" w:sz="8" w:color="DDDDDD"/>
            </w:tcBorders>
          </w:tcPr>
          <w:p>
            <w:pPr>
              <w:spacing w:after="0"/>
              <w:rPr>
                <w:sz w:val="24"/>
                <w:szCs w:val="24"/>
                <w:color w:val="auto"/>
              </w:rPr>
            </w:pPr>
          </w:p>
        </w:tc>
        <w:tc>
          <w:tcPr>
            <w:tcW w:w="1180" w:type="dxa"/>
            <w:vAlign w:val="bottom"/>
            <w:tcBorders>
              <w:bottom w:val="single" w:sz="8" w:color="auto"/>
            </w:tcBorders>
            <w:gridSpan w:val="2"/>
          </w:tcPr>
          <w:p>
            <w:pPr>
              <w:ind w:left="80"/>
              <w:spacing w:after="0"/>
              <w:rPr>
                <w:sz w:val="20"/>
                <w:szCs w:val="20"/>
                <w:color w:val="auto"/>
              </w:rPr>
            </w:pPr>
            <w:r>
              <w:rPr>
                <w:rFonts w:ascii="Times New Roman" w:cs="Times New Roman" w:eastAsia="Times New Roman" w:hAnsi="Times New Roman"/>
                <w:sz w:val="20"/>
                <w:szCs w:val="20"/>
                <w:b w:val="1"/>
                <w:bCs w:val="1"/>
                <w:color w:val="auto"/>
              </w:rPr>
              <w:t>Adjustment</w:t>
            </w:r>
          </w:p>
        </w:tc>
        <w:tc>
          <w:tcPr>
            <w:tcW w:w="80" w:type="dxa"/>
            <w:vAlign w:val="bottom"/>
            <w:tcBorders>
              <w:bottom w:val="single" w:sz="8" w:color="DDDDDD"/>
            </w:tcBorders>
          </w:tcPr>
          <w:p>
            <w:pPr>
              <w:spacing w:after="0"/>
              <w:rPr>
                <w:sz w:val="24"/>
                <w:szCs w:val="24"/>
                <w:color w:val="auto"/>
              </w:rPr>
            </w:pPr>
          </w:p>
        </w:tc>
        <w:tc>
          <w:tcPr>
            <w:tcW w:w="118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20"/>
                <w:szCs w:val="20"/>
                <w:b w:val="1"/>
                <w:bCs w:val="1"/>
                <w:color w:val="auto"/>
              </w:rPr>
              <w:t>As Restated</w:t>
            </w:r>
          </w:p>
        </w:tc>
        <w:tc>
          <w:tcPr>
            <w:tcW w:w="80" w:type="dxa"/>
            <w:vAlign w:val="bottom"/>
            <w:tcBorders>
              <w:bottom w:val="single" w:sz="8" w:color="DDDDDD"/>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000" w:type="dxa"/>
            <w:vAlign w:val="bottom"/>
            <w:tcBorders>
              <w:bottom w:val="single" w:sz="8" w:color="auto"/>
            </w:tcBorders>
          </w:tcPr>
          <w:p>
            <w:pPr>
              <w:jc w:val="right"/>
              <w:ind w:right="79"/>
              <w:spacing w:after="0"/>
              <w:rPr>
                <w:sz w:val="20"/>
                <w:szCs w:val="20"/>
                <w:color w:val="auto"/>
              </w:rPr>
            </w:pPr>
            <w:r>
              <w:rPr>
                <w:rFonts w:ascii="Times New Roman" w:cs="Times New Roman" w:eastAsia="Times New Roman" w:hAnsi="Times New Roman"/>
                <w:sz w:val="20"/>
                <w:szCs w:val="20"/>
                <w:b w:val="1"/>
                <w:bCs w:val="1"/>
                <w:color w:val="auto"/>
                <w:w w:val="99"/>
              </w:rPr>
              <w:t>Reported</w:t>
            </w:r>
          </w:p>
        </w:tc>
        <w:tc>
          <w:tcPr>
            <w:tcW w:w="80" w:type="dxa"/>
            <w:vAlign w:val="bottom"/>
            <w:tcBorders>
              <w:bottom w:val="single" w:sz="8" w:color="DDDDDD"/>
            </w:tcBorders>
          </w:tcPr>
          <w:p>
            <w:pPr>
              <w:spacing w:after="0"/>
              <w:rPr>
                <w:sz w:val="24"/>
                <w:szCs w:val="24"/>
                <w:color w:val="auto"/>
              </w:rPr>
            </w:pPr>
          </w:p>
        </w:tc>
        <w:tc>
          <w:tcPr>
            <w:tcW w:w="1180" w:type="dxa"/>
            <w:vAlign w:val="bottom"/>
            <w:tcBorders>
              <w:bottom w:val="single" w:sz="8" w:color="auto"/>
            </w:tcBorders>
            <w:gridSpan w:val="2"/>
          </w:tcPr>
          <w:p>
            <w:pPr>
              <w:ind w:left="80"/>
              <w:spacing w:after="0"/>
              <w:rPr>
                <w:sz w:val="20"/>
                <w:szCs w:val="20"/>
                <w:color w:val="auto"/>
              </w:rPr>
            </w:pPr>
            <w:r>
              <w:rPr>
                <w:rFonts w:ascii="Times New Roman" w:cs="Times New Roman" w:eastAsia="Times New Roman" w:hAnsi="Times New Roman"/>
                <w:sz w:val="20"/>
                <w:szCs w:val="20"/>
                <w:b w:val="1"/>
                <w:bCs w:val="1"/>
                <w:color w:val="auto"/>
              </w:rPr>
              <w:t>Adjustment</w:t>
            </w:r>
          </w:p>
        </w:tc>
        <w:tc>
          <w:tcPr>
            <w:tcW w:w="80" w:type="dxa"/>
            <w:vAlign w:val="bottom"/>
            <w:tcBorders>
              <w:bottom w:val="single" w:sz="8" w:color="DDDDDD"/>
            </w:tcBorders>
          </w:tcPr>
          <w:p>
            <w:pPr>
              <w:spacing w:after="0"/>
              <w:rPr>
                <w:sz w:val="24"/>
                <w:szCs w:val="24"/>
                <w:color w:val="auto"/>
              </w:rPr>
            </w:pPr>
          </w:p>
        </w:tc>
        <w:tc>
          <w:tcPr>
            <w:tcW w:w="118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20"/>
                <w:szCs w:val="20"/>
                <w:b w:val="1"/>
                <w:bCs w:val="1"/>
                <w:color w:val="auto"/>
              </w:rPr>
              <w:t>As Restated</w:t>
            </w:r>
          </w:p>
        </w:tc>
        <w:tc>
          <w:tcPr>
            <w:tcW w:w="0" w:type="dxa"/>
            <w:vAlign w:val="bottom"/>
          </w:tcPr>
          <w:p>
            <w:pPr>
              <w:spacing w:after="0"/>
              <w:rPr>
                <w:sz w:val="1"/>
                <w:szCs w:val="1"/>
                <w:color w:val="auto"/>
              </w:rPr>
            </w:pPr>
          </w:p>
        </w:tc>
      </w:tr>
      <w:tr>
        <w:trPr>
          <w:trHeight w:val="264"/>
        </w:trPr>
        <w:tc>
          <w:tcPr>
            <w:tcW w:w="2820" w:type="dxa"/>
            <w:vAlign w:val="bottom"/>
            <w:shd w:val="clear" w:color="auto" w:fill="DDDDDD"/>
          </w:tcPr>
          <w:p>
            <w:pPr>
              <w:ind w:left="40"/>
              <w:spacing w:after="0"/>
              <w:rPr>
                <w:sz w:val="20"/>
                <w:szCs w:val="20"/>
                <w:color w:val="auto"/>
              </w:rPr>
            </w:pPr>
            <w:r>
              <w:rPr>
                <w:rFonts w:ascii="Times New Roman" w:cs="Times New Roman" w:eastAsia="Times New Roman" w:hAnsi="Times New Roman"/>
                <w:sz w:val="20"/>
                <w:szCs w:val="20"/>
                <w:color w:val="auto"/>
              </w:rPr>
              <w:t>Net revenues</w:t>
            </w:r>
          </w:p>
        </w:tc>
        <w:tc>
          <w:tcPr>
            <w:tcW w:w="160" w:type="dxa"/>
            <w:vAlign w:val="bottom"/>
            <w:shd w:val="clear" w:color="auto" w:fill="DDDDDD"/>
          </w:tcPr>
          <w:p>
            <w:pPr>
              <w:ind w:left="40"/>
              <w:spacing w:after="0"/>
              <w:rPr>
                <w:sz w:val="20"/>
                <w:szCs w:val="20"/>
                <w:color w:val="auto"/>
              </w:rPr>
            </w:pPr>
            <w:r>
              <w:rPr>
                <w:rFonts w:ascii="Times New Roman" w:cs="Times New Roman" w:eastAsia="Times New Roman" w:hAnsi="Times New Roman"/>
                <w:sz w:val="20"/>
                <w:szCs w:val="20"/>
                <w:color w:val="auto"/>
                <w:w w:val="99"/>
              </w:rPr>
              <w:t>$</w:t>
            </w:r>
          </w:p>
        </w:tc>
        <w:tc>
          <w:tcPr>
            <w:tcW w:w="1000" w:type="dxa"/>
            <w:vAlign w:val="bottom"/>
            <w:shd w:val="clear" w:color="auto" w:fill="DDDDDD"/>
          </w:tcPr>
          <w:p>
            <w:pPr>
              <w:jc w:val="right"/>
              <w:spacing w:after="0"/>
              <w:rPr>
                <w:sz w:val="20"/>
                <w:szCs w:val="20"/>
                <w:color w:val="auto"/>
              </w:rPr>
            </w:pPr>
            <w:r>
              <w:rPr>
                <w:rFonts w:ascii="Times New Roman" w:cs="Times New Roman" w:eastAsia="Times New Roman" w:hAnsi="Times New Roman"/>
                <w:sz w:val="20"/>
                <w:szCs w:val="20"/>
                <w:color w:val="auto"/>
              </w:rPr>
              <w:t>47,725</w:t>
            </w:r>
          </w:p>
        </w:tc>
        <w:tc>
          <w:tcPr>
            <w:tcW w:w="80" w:type="dxa"/>
            <w:vAlign w:val="bottom"/>
            <w:tcBorders>
              <w:bottom w:val="single" w:sz="8" w:color="auto"/>
            </w:tcBorders>
            <w:shd w:val="clear" w:color="auto" w:fill="DDDDDD"/>
          </w:tcPr>
          <w:p>
            <w:pPr>
              <w:spacing w:after="0"/>
              <w:rPr>
                <w:sz w:val="22"/>
                <w:szCs w:val="22"/>
                <w:color w:val="auto"/>
              </w:rPr>
            </w:pPr>
          </w:p>
        </w:tc>
        <w:tc>
          <w:tcPr>
            <w:tcW w:w="380" w:type="dxa"/>
            <w:vAlign w:val="bottom"/>
            <w:shd w:val="clear" w:color="auto" w:fill="DDDDDD"/>
          </w:tcPr>
          <w:p>
            <w:pPr>
              <w:ind w:left="60"/>
              <w:spacing w:after="0"/>
              <w:rPr>
                <w:sz w:val="20"/>
                <w:szCs w:val="20"/>
                <w:color w:val="auto"/>
              </w:rPr>
            </w:pPr>
            <w:r>
              <w:rPr>
                <w:rFonts w:ascii="Times New Roman" w:cs="Times New Roman" w:eastAsia="Times New Roman" w:hAnsi="Times New Roman"/>
                <w:sz w:val="20"/>
                <w:szCs w:val="20"/>
                <w:color w:val="auto"/>
              </w:rPr>
              <w:t>$</w:t>
            </w:r>
          </w:p>
        </w:tc>
        <w:tc>
          <w:tcPr>
            <w:tcW w:w="800" w:type="dxa"/>
            <w:vAlign w:val="bottom"/>
            <w:shd w:val="clear" w:color="auto" w:fill="DDDDDD"/>
          </w:tcPr>
          <w:p>
            <w:pPr>
              <w:jc w:val="right"/>
              <w:spacing w:after="0"/>
              <w:rPr>
                <w:sz w:val="20"/>
                <w:szCs w:val="20"/>
                <w:color w:val="auto"/>
              </w:rPr>
            </w:pPr>
            <w:r>
              <w:rPr>
                <w:rFonts w:ascii="Times New Roman" w:cs="Times New Roman" w:eastAsia="Times New Roman" w:hAnsi="Times New Roman"/>
                <w:sz w:val="20"/>
                <w:szCs w:val="20"/>
                <w:color w:val="auto"/>
              </w:rPr>
              <w:t>(1,038)</w:t>
            </w:r>
          </w:p>
        </w:tc>
        <w:tc>
          <w:tcPr>
            <w:tcW w:w="80" w:type="dxa"/>
            <w:vAlign w:val="bottom"/>
            <w:tcBorders>
              <w:bottom w:val="single" w:sz="8" w:color="auto"/>
            </w:tcBorders>
            <w:shd w:val="clear" w:color="auto" w:fill="DDDDDD"/>
          </w:tcPr>
          <w:p>
            <w:pPr>
              <w:spacing w:after="0"/>
              <w:rPr>
                <w:sz w:val="22"/>
                <w:szCs w:val="22"/>
                <w:color w:val="auto"/>
              </w:rPr>
            </w:pPr>
          </w:p>
        </w:tc>
        <w:tc>
          <w:tcPr>
            <w:tcW w:w="340" w:type="dxa"/>
            <w:vAlign w:val="bottom"/>
            <w:shd w:val="clear" w:color="auto" w:fill="DDDDDD"/>
          </w:tcPr>
          <w:p>
            <w:pPr>
              <w:jc w:val="right"/>
              <w:ind w:right="99"/>
              <w:spacing w:after="0"/>
              <w:rPr>
                <w:sz w:val="20"/>
                <w:szCs w:val="20"/>
                <w:color w:val="auto"/>
              </w:rPr>
            </w:pPr>
            <w:r>
              <w:rPr>
                <w:rFonts w:ascii="Times New Roman" w:cs="Times New Roman" w:eastAsia="Times New Roman" w:hAnsi="Times New Roman"/>
                <w:sz w:val="20"/>
                <w:szCs w:val="20"/>
                <w:color w:val="auto"/>
              </w:rPr>
              <w:t>$</w:t>
            </w:r>
          </w:p>
        </w:tc>
        <w:tc>
          <w:tcPr>
            <w:tcW w:w="840" w:type="dxa"/>
            <w:vAlign w:val="bottom"/>
            <w:shd w:val="clear" w:color="auto" w:fill="DDDDDD"/>
          </w:tcPr>
          <w:p>
            <w:pPr>
              <w:jc w:val="right"/>
              <w:spacing w:after="0"/>
              <w:rPr>
                <w:sz w:val="20"/>
                <w:szCs w:val="20"/>
                <w:color w:val="auto"/>
              </w:rPr>
            </w:pPr>
            <w:r>
              <w:rPr>
                <w:rFonts w:ascii="Times New Roman" w:cs="Times New Roman" w:eastAsia="Times New Roman" w:hAnsi="Times New Roman"/>
                <w:sz w:val="20"/>
                <w:szCs w:val="20"/>
                <w:color w:val="auto"/>
              </w:rPr>
              <w:t>46,687</w:t>
            </w:r>
          </w:p>
        </w:tc>
        <w:tc>
          <w:tcPr>
            <w:tcW w:w="80" w:type="dxa"/>
            <w:vAlign w:val="bottom"/>
            <w:tcBorders>
              <w:bottom w:val="single" w:sz="8" w:color="auto"/>
            </w:tcBorders>
            <w:shd w:val="clear" w:color="auto" w:fill="DDDDDD"/>
          </w:tcPr>
          <w:p>
            <w:pPr>
              <w:spacing w:after="0"/>
              <w:rPr>
                <w:sz w:val="22"/>
                <w:szCs w:val="22"/>
                <w:color w:val="auto"/>
              </w:rPr>
            </w:pPr>
          </w:p>
        </w:tc>
        <w:tc>
          <w:tcPr>
            <w:tcW w:w="160" w:type="dxa"/>
            <w:vAlign w:val="bottom"/>
            <w:shd w:val="clear" w:color="auto" w:fill="DDDDDD"/>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1000" w:type="dxa"/>
            <w:vAlign w:val="bottom"/>
            <w:shd w:val="clear" w:color="auto" w:fill="DDDDDD"/>
          </w:tcPr>
          <w:p>
            <w:pPr>
              <w:jc w:val="right"/>
              <w:spacing w:after="0"/>
              <w:rPr>
                <w:sz w:val="20"/>
                <w:szCs w:val="20"/>
                <w:color w:val="auto"/>
              </w:rPr>
            </w:pPr>
            <w:r>
              <w:rPr>
                <w:rFonts w:ascii="Times New Roman" w:cs="Times New Roman" w:eastAsia="Times New Roman" w:hAnsi="Times New Roman"/>
                <w:sz w:val="20"/>
                <w:szCs w:val="20"/>
                <w:color w:val="auto"/>
              </w:rPr>
              <w:t>146,584</w:t>
            </w:r>
          </w:p>
        </w:tc>
        <w:tc>
          <w:tcPr>
            <w:tcW w:w="80" w:type="dxa"/>
            <w:vAlign w:val="bottom"/>
            <w:tcBorders>
              <w:bottom w:val="single" w:sz="8" w:color="auto"/>
            </w:tcBorders>
            <w:shd w:val="clear" w:color="auto" w:fill="DDDDDD"/>
          </w:tcPr>
          <w:p>
            <w:pPr>
              <w:spacing w:after="0"/>
              <w:rPr>
                <w:sz w:val="22"/>
                <w:szCs w:val="22"/>
                <w:color w:val="auto"/>
              </w:rPr>
            </w:pPr>
          </w:p>
        </w:tc>
        <w:tc>
          <w:tcPr>
            <w:tcW w:w="380" w:type="dxa"/>
            <w:vAlign w:val="bottom"/>
            <w:shd w:val="clear" w:color="auto" w:fill="DDDDDD"/>
          </w:tcPr>
          <w:p>
            <w:pPr>
              <w:ind w:left="60"/>
              <w:spacing w:after="0"/>
              <w:rPr>
                <w:sz w:val="20"/>
                <w:szCs w:val="20"/>
                <w:color w:val="auto"/>
              </w:rPr>
            </w:pPr>
            <w:r>
              <w:rPr>
                <w:rFonts w:ascii="Times New Roman" w:cs="Times New Roman" w:eastAsia="Times New Roman" w:hAnsi="Times New Roman"/>
                <w:sz w:val="20"/>
                <w:szCs w:val="20"/>
                <w:color w:val="auto"/>
              </w:rPr>
              <w:t>$</w:t>
            </w:r>
          </w:p>
        </w:tc>
        <w:tc>
          <w:tcPr>
            <w:tcW w:w="800" w:type="dxa"/>
            <w:vAlign w:val="bottom"/>
            <w:shd w:val="clear" w:color="auto" w:fill="DDDDDD"/>
          </w:tcPr>
          <w:p>
            <w:pPr>
              <w:jc w:val="right"/>
              <w:spacing w:after="0"/>
              <w:rPr>
                <w:sz w:val="20"/>
                <w:szCs w:val="20"/>
                <w:color w:val="auto"/>
              </w:rPr>
            </w:pPr>
            <w:r>
              <w:rPr>
                <w:rFonts w:ascii="Times New Roman" w:cs="Times New Roman" w:eastAsia="Times New Roman" w:hAnsi="Times New Roman"/>
                <w:sz w:val="20"/>
                <w:szCs w:val="20"/>
                <w:color w:val="auto"/>
              </w:rPr>
              <w:t>(5,058)</w:t>
            </w:r>
          </w:p>
        </w:tc>
        <w:tc>
          <w:tcPr>
            <w:tcW w:w="80" w:type="dxa"/>
            <w:vAlign w:val="bottom"/>
            <w:tcBorders>
              <w:bottom w:val="single" w:sz="8" w:color="auto"/>
            </w:tcBorders>
            <w:shd w:val="clear" w:color="auto" w:fill="DDDDDD"/>
          </w:tcPr>
          <w:p>
            <w:pPr>
              <w:spacing w:after="0"/>
              <w:rPr>
                <w:sz w:val="22"/>
                <w:szCs w:val="22"/>
                <w:color w:val="auto"/>
              </w:rPr>
            </w:pPr>
          </w:p>
        </w:tc>
        <w:tc>
          <w:tcPr>
            <w:tcW w:w="300" w:type="dxa"/>
            <w:vAlign w:val="bottom"/>
            <w:shd w:val="clear" w:color="auto" w:fill="DDDDDD"/>
          </w:tcPr>
          <w:p>
            <w:pPr>
              <w:jc w:val="right"/>
              <w:ind w:right="59"/>
              <w:spacing w:after="0"/>
              <w:rPr>
                <w:sz w:val="20"/>
                <w:szCs w:val="20"/>
                <w:color w:val="auto"/>
              </w:rPr>
            </w:pPr>
            <w:r>
              <w:rPr>
                <w:rFonts w:ascii="Times New Roman" w:cs="Times New Roman" w:eastAsia="Times New Roman" w:hAnsi="Times New Roman"/>
                <w:sz w:val="20"/>
                <w:szCs w:val="20"/>
                <w:color w:val="auto"/>
              </w:rPr>
              <w:t>$</w:t>
            </w:r>
          </w:p>
        </w:tc>
        <w:tc>
          <w:tcPr>
            <w:tcW w:w="880" w:type="dxa"/>
            <w:vAlign w:val="bottom"/>
            <w:shd w:val="clear" w:color="auto" w:fill="DDDDDD"/>
          </w:tcPr>
          <w:p>
            <w:pPr>
              <w:jc w:val="right"/>
              <w:spacing w:after="0"/>
              <w:rPr>
                <w:sz w:val="20"/>
                <w:szCs w:val="20"/>
                <w:color w:val="auto"/>
              </w:rPr>
            </w:pPr>
            <w:r>
              <w:rPr>
                <w:rFonts w:ascii="Times New Roman" w:cs="Times New Roman" w:eastAsia="Times New Roman" w:hAnsi="Times New Roman"/>
                <w:sz w:val="20"/>
                <w:szCs w:val="20"/>
                <w:color w:val="auto"/>
              </w:rPr>
              <w:t>141,526</w:t>
            </w:r>
          </w:p>
        </w:tc>
        <w:tc>
          <w:tcPr>
            <w:tcW w:w="0" w:type="dxa"/>
            <w:vAlign w:val="bottom"/>
          </w:tcPr>
          <w:p>
            <w:pPr>
              <w:spacing w:after="0"/>
              <w:rPr>
                <w:sz w:val="1"/>
                <w:szCs w:val="1"/>
                <w:color w:val="auto"/>
              </w:rPr>
            </w:pPr>
          </w:p>
        </w:tc>
      </w:tr>
      <w:tr>
        <w:trPr>
          <w:trHeight w:val="238"/>
        </w:trPr>
        <w:tc>
          <w:tcPr>
            <w:tcW w:w="2820" w:type="dxa"/>
            <w:vAlign w:val="bottom"/>
          </w:tcPr>
          <w:p>
            <w:pPr>
              <w:ind w:left="40"/>
              <w:spacing w:after="0"/>
              <w:rPr>
                <w:sz w:val="20"/>
                <w:szCs w:val="20"/>
                <w:color w:val="auto"/>
              </w:rPr>
            </w:pPr>
            <w:r>
              <w:rPr>
                <w:rFonts w:ascii="Times New Roman" w:cs="Times New Roman" w:eastAsia="Times New Roman" w:hAnsi="Times New Roman"/>
                <w:sz w:val="20"/>
                <w:szCs w:val="20"/>
                <w:color w:val="auto"/>
              </w:rPr>
              <w:t>General and administrative</w:t>
            </w:r>
          </w:p>
        </w:tc>
        <w:tc>
          <w:tcPr>
            <w:tcW w:w="160" w:type="dxa"/>
            <w:vAlign w:val="bottom"/>
            <w:vMerge w:val="restart"/>
          </w:tcPr>
          <w:p>
            <w:pPr>
              <w:ind w:left="40"/>
              <w:spacing w:after="0"/>
              <w:rPr>
                <w:sz w:val="20"/>
                <w:szCs w:val="20"/>
                <w:color w:val="auto"/>
              </w:rPr>
            </w:pPr>
            <w:r>
              <w:rPr>
                <w:rFonts w:ascii="Times New Roman" w:cs="Times New Roman" w:eastAsia="Times New Roman" w:hAnsi="Times New Roman"/>
                <w:sz w:val="20"/>
                <w:szCs w:val="20"/>
                <w:color w:val="auto"/>
                <w:w w:val="99"/>
              </w:rPr>
              <w:t>$</w:t>
            </w:r>
          </w:p>
        </w:tc>
        <w:tc>
          <w:tcPr>
            <w:tcW w:w="1000" w:type="dxa"/>
            <w:vAlign w:val="bottom"/>
            <w:vMerge w:val="restart"/>
          </w:tcPr>
          <w:p>
            <w:pPr>
              <w:jc w:val="right"/>
              <w:spacing w:after="0"/>
              <w:rPr>
                <w:sz w:val="20"/>
                <w:szCs w:val="20"/>
                <w:color w:val="auto"/>
              </w:rPr>
            </w:pPr>
            <w:r>
              <w:rPr>
                <w:rFonts w:ascii="Times New Roman" w:cs="Times New Roman" w:eastAsia="Times New Roman" w:hAnsi="Times New Roman"/>
                <w:sz w:val="20"/>
                <w:szCs w:val="20"/>
                <w:color w:val="auto"/>
              </w:rPr>
              <w:t>19,189</w:t>
            </w:r>
          </w:p>
        </w:tc>
        <w:tc>
          <w:tcPr>
            <w:tcW w:w="460" w:type="dxa"/>
            <w:vAlign w:val="bottom"/>
            <w:gridSpan w:val="2"/>
            <w:vMerge w:val="restart"/>
          </w:tcPr>
          <w:p>
            <w:pPr>
              <w:ind w:left="140"/>
              <w:spacing w:after="0"/>
              <w:rPr>
                <w:sz w:val="20"/>
                <w:szCs w:val="20"/>
                <w:color w:val="auto"/>
              </w:rPr>
            </w:pPr>
            <w:r>
              <w:rPr>
                <w:rFonts w:ascii="Times New Roman" w:cs="Times New Roman" w:eastAsia="Times New Roman" w:hAnsi="Times New Roman"/>
                <w:sz w:val="20"/>
                <w:szCs w:val="20"/>
                <w:color w:val="auto"/>
              </w:rPr>
              <w:t>$</w:t>
            </w:r>
          </w:p>
        </w:tc>
        <w:tc>
          <w:tcPr>
            <w:tcW w:w="800" w:type="dxa"/>
            <w:vAlign w:val="bottom"/>
            <w:vMerge w:val="restart"/>
          </w:tcPr>
          <w:p>
            <w:pPr>
              <w:jc w:val="right"/>
              <w:spacing w:after="0"/>
              <w:rPr>
                <w:sz w:val="20"/>
                <w:szCs w:val="20"/>
                <w:color w:val="auto"/>
              </w:rPr>
            </w:pPr>
            <w:r>
              <w:rPr>
                <w:rFonts w:ascii="Times New Roman" w:cs="Times New Roman" w:eastAsia="Times New Roman" w:hAnsi="Times New Roman"/>
                <w:sz w:val="20"/>
                <w:szCs w:val="20"/>
                <w:color w:val="auto"/>
              </w:rPr>
              <w:t>(1,038)</w:t>
            </w:r>
          </w:p>
        </w:tc>
        <w:tc>
          <w:tcPr>
            <w:tcW w:w="420" w:type="dxa"/>
            <w:vAlign w:val="bottom"/>
            <w:gridSpan w:val="2"/>
            <w:vMerge w:val="restart"/>
          </w:tcPr>
          <w:p>
            <w:pPr>
              <w:jc w:val="right"/>
              <w:ind w:right="99"/>
              <w:spacing w:after="0"/>
              <w:rPr>
                <w:sz w:val="20"/>
                <w:szCs w:val="20"/>
                <w:color w:val="auto"/>
              </w:rPr>
            </w:pPr>
            <w:r>
              <w:rPr>
                <w:rFonts w:ascii="Times New Roman" w:cs="Times New Roman" w:eastAsia="Times New Roman" w:hAnsi="Times New Roman"/>
                <w:sz w:val="20"/>
                <w:szCs w:val="20"/>
                <w:color w:val="auto"/>
              </w:rPr>
              <w:t>$</w:t>
            </w:r>
          </w:p>
        </w:tc>
        <w:tc>
          <w:tcPr>
            <w:tcW w:w="840" w:type="dxa"/>
            <w:vAlign w:val="bottom"/>
            <w:vMerge w:val="restart"/>
          </w:tcPr>
          <w:p>
            <w:pPr>
              <w:jc w:val="right"/>
              <w:spacing w:after="0"/>
              <w:rPr>
                <w:sz w:val="20"/>
                <w:szCs w:val="20"/>
                <w:color w:val="auto"/>
              </w:rPr>
            </w:pPr>
            <w:r>
              <w:rPr>
                <w:rFonts w:ascii="Times New Roman" w:cs="Times New Roman" w:eastAsia="Times New Roman" w:hAnsi="Times New Roman"/>
                <w:sz w:val="20"/>
                <w:szCs w:val="20"/>
                <w:color w:val="auto"/>
              </w:rPr>
              <w:t>18,151</w:t>
            </w:r>
          </w:p>
        </w:tc>
        <w:tc>
          <w:tcPr>
            <w:tcW w:w="240" w:type="dxa"/>
            <w:vAlign w:val="bottom"/>
            <w:gridSpan w:val="2"/>
            <w:vMerge w:val="restart"/>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1000" w:type="dxa"/>
            <w:vAlign w:val="bottom"/>
            <w:vMerge w:val="restart"/>
          </w:tcPr>
          <w:p>
            <w:pPr>
              <w:jc w:val="right"/>
              <w:spacing w:after="0"/>
              <w:rPr>
                <w:sz w:val="20"/>
                <w:szCs w:val="20"/>
                <w:color w:val="auto"/>
              </w:rPr>
            </w:pPr>
            <w:r>
              <w:rPr>
                <w:rFonts w:ascii="Times New Roman" w:cs="Times New Roman" w:eastAsia="Times New Roman" w:hAnsi="Times New Roman"/>
                <w:sz w:val="20"/>
                <w:szCs w:val="20"/>
                <w:color w:val="auto"/>
              </w:rPr>
              <w:t>60,897</w:t>
            </w:r>
          </w:p>
        </w:tc>
        <w:tc>
          <w:tcPr>
            <w:tcW w:w="460" w:type="dxa"/>
            <w:vAlign w:val="bottom"/>
            <w:gridSpan w:val="2"/>
            <w:vMerge w:val="restart"/>
          </w:tcPr>
          <w:p>
            <w:pPr>
              <w:ind w:left="140"/>
              <w:spacing w:after="0"/>
              <w:rPr>
                <w:sz w:val="20"/>
                <w:szCs w:val="20"/>
                <w:color w:val="auto"/>
              </w:rPr>
            </w:pPr>
            <w:r>
              <w:rPr>
                <w:rFonts w:ascii="Times New Roman" w:cs="Times New Roman" w:eastAsia="Times New Roman" w:hAnsi="Times New Roman"/>
                <w:sz w:val="20"/>
                <w:szCs w:val="20"/>
                <w:color w:val="auto"/>
              </w:rPr>
              <w:t>$</w:t>
            </w:r>
          </w:p>
        </w:tc>
        <w:tc>
          <w:tcPr>
            <w:tcW w:w="800" w:type="dxa"/>
            <w:vAlign w:val="bottom"/>
            <w:vMerge w:val="restart"/>
          </w:tcPr>
          <w:p>
            <w:pPr>
              <w:jc w:val="right"/>
              <w:spacing w:after="0"/>
              <w:rPr>
                <w:sz w:val="20"/>
                <w:szCs w:val="20"/>
                <w:color w:val="auto"/>
              </w:rPr>
            </w:pPr>
            <w:r>
              <w:rPr>
                <w:rFonts w:ascii="Times New Roman" w:cs="Times New Roman" w:eastAsia="Times New Roman" w:hAnsi="Times New Roman"/>
                <w:sz w:val="20"/>
                <w:szCs w:val="20"/>
                <w:color w:val="auto"/>
              </w:rPr>
              <w:t>(5,058)</w:t>
            </w:r>
          </w:p>
        </w:tc>
        <w:tc>
          <w:tcPr>
            <w:tcW w:w="380" w:type="dxa"/>
            <w:vAlign w:val="bottom"/>
            <w:gridSpan w:val="2"/>
            <w:vMerge w:val="restart"/>
          </w:tcPr>
          <w:p>
            <w:pPr>
              <w:jc w:val="right"/>
              <w:ind w:right="59"/>
              <w:spacing w:after="0"/>
              <w:rPr>
                <w:sz w:val="20"/>
                <w:szCs w:val="20"/>
                <w:color w:val="auto"/>
              </w:rPr>
            </w:pPr>
            <w:r>
              <w:rPr>
                <w:rFonts w:ascii="Times New Roman" w:cs="Times New Roman" w:eastAsia="Times New Roman" w:hAnsi="Times New Roman"/>
                <w:sz w:val="20"/>
                <w:szCs w:val="20"/>
                <w:color w:val="auto"/>
              </w:rPr>
              <w:t>$</w:t>
            </w:r>
          </w:p>
        </w:tc>
        <w:tc>
          <w:tcPr>
            <w:tcW w:w="880" w:type="dxa"/>
            <w:vAlign w:val="bottom"/>
            <w:vMerge w:val="restart"/>
          </w:tcPr>
          <w:p>
            <w:pPr>
              <w:jc w:val="right"/>
              <w:spacing w:after="0"/>
              <w:rPr>
                <w:sz w:val="20"/>
                <w:szCs w:val="20"/>
                <w:color w:val="auto"/>
              </w:rPr>
            </w:pPr>
            <w:r>
              <w:rPr>
                <w:rFonts w:ascii="Times New Roman" w:cs="Times New Roman" w:eastAsia="Times New Roman" w:hAnsi="Times New Roman"/>
                <w:sz w:val="20"/>
                <w:szCs w:val="20"/>
                <w:color w:val="auto"/>
              </w:rPr>
              <w:t>55,839</w:t>
            </w:r>
          </w:p>
        </w:tc>
        <w:tc>
          <w:tcPr>
            <w:tcW w:w="0" w:type="dxa"/>
            <w:vAlign w:val="bottom"/>
          </w:tcPr>
          <w:p>
            <w:pPr>
              <w:spacing w:after="0"/>
              <w:rPr>
                <w:sz w:val="1"/>
                <w:szCs w:val="1"/>
                <w:color w:val="auto"/>
              </w:rPr>
            </w:pPr>
          </w:p>
        </w:tc>
      </w:tr>
      <w:tr>
        <w:trPr>
          <w:trHeight w:val="210"/>
        </w:trPr>
        <w:tc>
          <w:tcPr>
            <w:tcW w:w="2820" w:type="dxa"/>
            <w:vAlign w:val="bottom"/>
          </w:tcPr>
          <w:p>
            <w:pPr>
              <w:ind w:left="40"/>
              <w:spacing w:after="0" w:line="209" w:lineRule="exact"/>
              <w:rPr>
                <w:sz w:val="20"/>
                <w:szCs w:val="20"/>
                <w:color w:val="auto"/>
              </w:rPr>
            </w:pPr>
            <w:r>
              <w:rPr>
                <w:rFonts w:ascii="Times New Roman" w:cs="Times New Roman" w:eastAsia="Times New Roman" w:hAnsi="Times New Roman"/>
                <w:sz w:val="20"/>
                <w:szCs w:val="20"/>
                <w:color w:val="auto"/>
              </w:rPr>
              <w:t>expenses</w:t>
            </w:r>
          </w:p>
        </w:tc>
        <w:tc>
          <w:tcPr>
            <w:tcW w:w="160" w:type="dxa"/>
            <w:vAlign w:val="bottom"/>
            <w:vMerge w:val="continue"/>
          </w:tcPr>
          <w:p>
            <w:pPr>
              <w:spacing w:after="0"/>
              <w:rPr>
                <w:sz w:val="18"/>
                <w:szCs w:val="18"/>
                <w:color w:val="auto"/>
              </w:rPr>
            </w:pPr>
          </w:p>
        </w:tc>
        <w:tc>
          <w:tcPr>
            <w:tcW w:w="1000" w:type="dxa"/>
            <w:vAlign w:val="bottom"/>
            <w:vMerge w:val="continue"/>
          </w:tcPr>
          <w:p>
            <w:pPr>
              <w:spacing w:after="0"/>
              <w:rPr>
                <w:sz w:val="18"/>
                <w:szCs w:val="18"/>
                <w:color w:val="auto"/>
              </w:rPr>
            </w:pPr>
          </w:p>
        </w:tc>
        <w:tc>
          <w:tcPr>
            <w:tcW w:w="460" w:type="dxa"/>
            <w:vAlign w:val="bottom"/>
            <w:gridSpan w:val="2"/>
            <w:vMerge w:val="continue"/>
          </w:tcPr>
          <w:p>
            <w:pPr>
              <w:spacing w:after="0"/>
              <w:rPr>
                <w:sz w:val="18"/>
                <w:szCs w:val="18"/>
                <w:color w:val="auto"/>
              </w:rPr>
            </w:pPr>
          </w:p>
        </w:tc>
        <w:tc>
          <w:tcPr>
            <w:tcW w:w="800" w:type="dxa"/>
            <w:vAlign w:val="bottom"/>
            <w:vMerge w:val="continue"/>
          </w:tcPr>
          <w:p>
            <w:pPr>
              <w:spacing w:after="0"/>
              <w:rPr>
                <w:sz w:val="18"/>
                <w:szCs w:val="18"/>
                <w:color w:val="auto"/>
              </w:rPr>
            </w:pPr>
          </w:p>
        </w:tc>
        <w:tc>
          <w:tcPr>
            <w:tcW w:w="420" w:type="dxa"/>
            <w:vAlign w:val="bottom"/>
            <w:gridSpan w:val="2"/>
            <w:vMerge w:val="continue"/>
          </w:tcPr>
          <w:p>
            <w:pPr>
              <w:spacing w:after="0"/>
              <w:rPr>
                <w:sz w:val="18"/>
                <w:szCs w:val="18"/>
                <w:color w:val="auto"/>
              </w:rPr>
            </w:pPr>
          </w:p>
        </w:tc>
        <w:tc>
          <w:tcPr>
            <w:tcW w:w="840" w:type="dxa"/>
            <w:vAlign w:val="bottom"/>
            <w:vMerge w:val="continue"/>
          </w:tcPr>
          <w:p>
            <w:pPr>
              <w:spacing w:after="0"/>
              <w:rPr>
                <w:sz w:val="18"/>
                <w:szCs w:val="18"/>
                <w:color w:val="auto"/>
              </w:rPr>
            </w:pPr>
          </w:p>
        </w:tc>
        <w:tc>
          <w:tcPr>
            <w:tcW w:w="240" w:type="dxa"/>
            <w:vAlign w:val="bottom"/>
            <w:gridSpan w:val="2"/>
            <w:vMerge w:val="continue"/>
          </w:tcPr>
          <w:p>
            <w:pPr>
              <w:spacing w:after="0"/>
              <w:rPr>
                <w:sz w:val="18"/>
                <w:szCs w:val="18"/>
                <w:color w:val="auto"/>
              </w:rPr>
            </w:pPr>
          </w:p>
        </w:tc>
        <w:tc>
          <w:tcPr>
            <w:tcW w:w="1000" w:type="dxa"/>
            <w:vAlign w:val="bottom"/>
            <w:vMerge w:val="continue"/>
          </w:tcPr>
          <w:p>
            <w:pPr>
              <w:spacing w:after="0"/>
              <w:rPr>
                <w:sz w:val="18"/>
                <w:szCs w:val="18"/>
                <w:color w:val="auto"/>
              </w:rPr>
            </w:pPr>
          </w:p>
        </w:tc>
        <w:tc>
          <w:tcPr>
            <w:tcW w:w="460" w:type="dxa"/>
            <w:vAlign w:val="bottom"/>
            <w:gridSpan w:val="2"/>
            <w:vMerge w:val="continue"/>
          </w:tcPr>
          <w:p>
            <w:pPr>
              <w:spacing w:after="0"/>
              <w:rPr>
                <w:sz w:val="18"/>
                <w:szCs w:val="18"/>
                <w:color w:val="auto"/>
              </w:rPr>
            </w:pPr>
          </w:p>
        </w:tc>
        <w:tc>
          <w:tcPr>
            <w:tcW w:w="800" w:type="dxa"/>
            <w:vAlign w:val="bottom"/>
            <w:vMerge w:val="continue"/>
          </w:tcPr>
          <w:p>
            <w:pPr>
              <w:spacing w:after="0"/>
              <w:rPr>
                <w:sz w:val="18"/>
                <w:szCs w:val="18"/>
                <w:color w:val="auto"/>
              </w:rPr>
            </w:pPr>
          </w:p>
        </w:tc>
        <w:tc>
          <w:tcPr>
            <w:tcW w:w="380" w:type="dxa"/>
            <w:vAlign w:val="bottom"/>
            <w:gridSpan w:val="2"/>
            <w:vMerge w:val="continue"/>
          </w:tcPr>
          <w:p>
            <w:pPr>
              <w:spacing w:after="0"/>
              <w:rPr>
                <w:sz w:val="18"/>
                <w:szCs w:val="18"/>
                <w:color w:val="auto"/>
              </w:rPr>
            </w:pPr>
          </w:p>
        </w:tc>
        <w:tc>
          <w:tcPr>
            <w:tcW w:w="88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81"/>
        </w:trPr>
        <w:tc>
          <w:tcPr>
            <w:tcW w:w="2820" w:type="dxa"/>
            <w:vAlign w:val="bottom"/>
            <w:shd w:val="clear" w:color="auto" w:fill="DDDDDD"/>
          </w:tcPr>
          <w:p>
            <w:pPr>
              <w:ind w:left="40"/>
              <w:spacing w:after="0"/>
              <w:rPr>
                <w:sz w:val="20"/>
                <w:szCs w:val="20"/>
                <w:color w:val="auto"/>
              </w:rPr>
            </w:pPr>
            <w:r>
              <w:rPr>
                <w:rFonts w:ascii="Times New Roman" w:cs="Times New Roman" w:eastAsia="Times New Roman" w:hAnsi="Times New Roman"/>
                <w:sz w:val="20"/>
                <w:szCs w:val="20"/>
                <w:color w:val="auto"/>
              </w:rPr>
              <w:t>Total costs and expenses</w:t>
            </w:r>
          </w:p>
        </w:tc>
        <w:tc>
          <w:tcPr>
            <w:tcW w:w="160" w:type="dxa"/>
            <w:vAlign w:val="bottom"/>
            <w:shd w:val="clear" w:color="auto" w:fill="DDDDDD"/>
          </w:tcPr>
          <w:p>
            <w:pPr>
              <w:ind w:left="40"/>
              <w:spacing w:after="0"/>
              <w:rPr>
                <w:sz w:val="20"/>
                <w:szCs w:val="20"/>
                <w:color w:val="auto"/>
              </w:rPr>
            </w:pPr>
            <w:r>
              <w:rPr>
                <w:rFonts w:ascii="Times New Roman" w:cs="Times New Roman" w:eastAsia="Times New Roman" w:hAnsi="Times New Roman"/>
                <w:sz w:val="20"/>
                <w:szCs w:val="20"/>
                <w:color w:val="auto"/>
                <w:w w:val="99"/>
              </w:rPr>
              <w:t>$</w:t>
            </w:r>
          </w:p>
        </w:tc>
        <w:tc>
          <w:tcPr>
            <w:tcW w:w="1000" w:type="dxa"/>
            <w:vAlign w:val="bottom"/>
            <w:shd w:val="clear" w:color="auto" w:fill="DDDDDD"/>
          </w:tcPr>
          <w:p>
            <w:pPr>
              <w:jc w:val="right"/>
              <w:spacing w:after="0"/>
              <w:rPr>
                <w:sz w:val="20"/>
                <w:szCs w:val="20"/>
                <w:color w:val="auto"/>
              </w:rPr>
            </w:pPr>
            <w:r>
              <w:rPr>
                <w:rFonts w:ascii="Times New Roman" w:cs="Times New Roman" w:eastAsia="Times New Roman" w:hAnsi="Times New Roman"/>
                <w:sz w:val="20"/>
                <w:szCs w:val="20"/>
                <w:color w:val="auto"/>
              </w:rPr>
              <w:t>53,273</w:t>
            </w:r>
          </w:p>
        </w:tc>
        <w:tc>
          <w:tcPr>
            <w:tcW w:w="460" w:type="dxa"/>
            <w:vAlign w:val="bottom"/>
            <w:gridSpan w:val="2"/>
            <w:shd w:val="clear" w:color="auto" w:fill="DDDDDD"/>
          </w:tcPr>
          <w:p>
            <w:pPr>
              <w:ind w:left="140"/>
              <w:spacing w:after="0"/>
              <w:rPr>
                <w:sz w:val="20"/>
                <w:szCs w:val="20"/>
                <w:color w:val="auto"/>
              </w:rPr>
            </w:pPr>
            <w:r>
              <w:rPr>
                <w:rFonts w:ascii="Times New Roman" w:cs="Times New Roman" w:eastAsia="Times New Roman" w:hAnsi="Times New Roman"/>
                <w:sz w:val="20"/>
                <w:szCs w:val="20"/>
                <w:color w:val="auto"/>
              </w:rPr>
              <w:t>$</w:t>
            </w:r>
          </w:p>
        </w:tc>
        <w:tc>
          <w:tcPr>
            <w:tcW w:w="800" w:type="dxa"/>
            <w:vAlign w:val="bottom"/>
            <w:shd w:val="clear" w:color="auto" w:fill="DDDDDD"/>
          </w:tcPr>
          <w:p>
            <w:pPr>
              <w:jc w:val="right"/>
              <w:spacing w:after="0"/>
              <w:rPr>
                <w:sz w:val="20"/>
                <w:szCs w:val="20"/>
                <w:color w:val="auto"/>
              </w:rPr>
            </w:pPr>
            <w:r>
              <w:rPr>
                <w:rFonts w:ascii="Times New Roman" w:cs="Times New Roman" w:eastAsia="Times New Roman" w:hAnsi="Times New Roman"/>
                <w:sz w:val="20"/>
                <w:szCs w:val="20"/>
                <w:color w:val="auto"/>
              </w:rPr>
              <w:t>(1,038)</w:t>
            </w:r>
          </w:p>
        </w:tc>
        <w:tc>
          <w:tcPr>
            <w:tcW w:w="420" w:type="dxa"/>
            <w:vAlign w:val="bottom"/>
            <w:gridSpan w:val="2"/>
            <w:shd w:val="clear" w:color="auto" w:fill="DDDDDD"/>
          </w:tcPr>
          <w:p>
            <w:pPr>
              <w:jc w:val="right"/>
              <w:ind w:right="99"/>
              <w:spacing w:after="0"/>
              <w:rPr>
                <w:sz w:val="20"/>
                <w:szCs w:val="20"/>
                <w:color w:val="auto"/>
              </w:rPr>
            </w:pPr>
            <w:r>
              <w:rPr>
                <w:rFonts w:ascii="Times New Roman" w:cs="Times New Roman" w:eastAsia="Times New Roman" w:hAnsi="Times New Roman"/>
                <w:sz w:val="20"/>
                <w:szCs w:val="20"/>
                <w:color w:val="auto"/>
              </w:rPr>
              <w:t>$</w:t>
            </w:r>
          </w:p>
        </w:tc>
        <w:tc>
          <w:tcPr>
            <w:tcW w:w="840" w:type="dxa"/>
            <w:vAlign w:val="bottom"/>
            <w:shd w:val="clear" w:color="auto" w:fill="DDDDDD"/>
          </w:tcPr>
          <w:p>
            <w:pPr>
              <w:jc w:val="right"/>
              <w:spacing w:after="0"/>
              <w:rPr>
                <w:sz w:val="20"/>
                <w:szCs w:val="20"/>
                <w:color w:val="auto"/>
              </w:rPr>
            </w:pPr>
            <w:r>
              <w:rPr>
                <w:rFonts w:ascii="Times New Roman" w:cs="Times New Roman" w:eastAsia="Times New Roman" w:hAnsi="Times New Roman"/>
                <w:sz w:val="20"/>
                <w:szCs w:val="20"/>
                <w:color w:val="auto"/>
              </w:rPr>
              <w:t>52,235</w:t>
            </w:r>
          </w:p>
        </w:tc>
        <w:tc>
          <w:tcPr>
            <w:tcW w:w="240" w:type="dxa"/>
            <w:vAlign w:val="bottom"/>
            <w:gridSpan w:val="2"/>
            <w:shd w:val="clear" w:color="auto" w:fill="DDDDDD"/>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1000" w:type="dxa"/>
            <w:vAlign w:val="bottom"/>
            <w:shd w:val="clear" w:color="auto" w:fill="DDDDDD"/>
          </w:tcPr>
          <w:p>
            <w:pPr>
              <w:jc w:val="right"/>
              <w:spacing w:after="0"/>
              <w:rPr>
                <w:sz w:val="20"/>
                <w:szCs w:val="20"/>
                <w:color w:val="auto"/>
              </w:rPr>
            </w:pPr>
            <w:r>
              <w:rPr>
                <w:rFonts w:ascii="Times New Roman" w:cs="Times New Roman" w:eastAsia="Times New Roman" w:hAnsi="Times New Roman"/>
                <w:sz w:val="20"/>
                <w:szCs w:val="20"/>
                <w:color w:val="auto"/>
              </w:rPr>
              <w:t>152,497</w:t>
            </w:r>
          </w:p>
        </w:tc>
        <w:tc>
          <w:tcPr>
            <w:tcW w:w="460" w:type="dxa"/>
            <w:vAlign w:val="bottom"/>
            <w:gridSpan w:val="2"/>
            <w:shd w:val="clear" w:color="auto" w:fill="DDDDDD"/>
          </w:tcPr>
          <w:p>
            <w:pPr>
              <w:ind w:left="140"/>
              <w:spacing w:after="0"/>
              <w:rPr>
                <w:sz w:val="20"/>
                <w:szCs w:val="20"/>
                <w:color w:val="auto"/>
              </w:rPr>
            </w:pPr>
            <w:r>
              <w:rPr>
                <w:rFonts w:ascii="Times New Roman" w:cs="Times New Roman" w:eastAsia="Times New Roman" w:hAnsi="Times New Roman"/>
                <w:sz w:val="20"/>
                <w:szCs w:val="20"/>
                <w:color w:val="auto"/>
              </w:rPr>
              <w:t>$</w:t>
            </w:r>
          </w:p>
        </w:tc>
        <w:tc>
          <w:tcPr>
            <w:tcW w:w="800" w:type="dxa"/>
            <w:vAlign w:val="bottom"/>
            <w:shd w:val="clear" w:color="auto" w:fill="DDDDDD"/>
          </w:tcPr>
          <w:p>
            <w:pPr>
              <w:jc w:val="right"/>
              <w:spacing w:after="0"/>
              <w:rPr>
                <w:sz w:val="20"/>
                <w:szCs w:val="20"/>
                <w:color w:val="auto"/>
              </w:rPr>
            </w:pPr>
            <w:r>
              <w:rPr>
                <w:rFonts w:ascii="Times New Roman" w:cs="Times New Roman" w:eastAsia="Times New Roman" w:hAnsi="Times New Roman"/>
                <w:sz w:val="20"/>
                <w:szCs w:val="20"/>
                <w:color w:val="auto"/>
              </w:rPr>
              <w:t>(5,058)</w:t>
            </w:r>
          </w:p>
        </w:tc>
        <w:tc>
          <w:tcPr>
            <w:tcW w:w="380" w:type="dxa"/>
            <w:vAlign w:val="bottom"/>
            <w:gridSpan w:val="2"/>
            <w:shd w:val="clear" w:color="auto" w:fill="DDDDDD"/>
          </w:tcPr>
          <w:p>
            <w:pPr>
              <w:jc w:val="right"/>
              <w:ind w:right="59"/>
              <w:spacing w:after="0"/>
              <w:rPr>
                <w:sz w:val="20"/>
                <w:szCs w:val="20"/>
                <w:color w:val="auto"/>
              </w:rPr>
            </w:pPr>
            <w:r>
              <w:rPr>
                <w:rFonts w:ascii="Times New Roman" w:cs="Times New Roman" w:eastAsia="Times New Roman" w:hAnsi="Times New Roman"/>
                <w:sz w:val="20"/>
                <w:szCs w:val="20"/>
                <w:color w:val="auto"/>
              </w:rPr>
              <w:t>$</w:t>
            </w:r>
          </w:p>
        </w:tc>
        <w:tc>
          <w:tcPr>
            <w:tcW w:w="880" w:type="dxa"/>
            <w:vAlign w:val="bottom"/>
            <w:shd w:val="clear" w:color="auto" w:fill="DDDDDD"/>
          </w:tcPr>
          <w:p>
            <w:pPr>
              <w:jc w:val="right"/>
              <w:spacing w:after="0"/>
              <w:rPr>
                <w:sz w:val="20"/>
                <w:szCs w:val="20"/>
                <w:color w:val="auto"/>
              </w:rPr>
            </w:pPr>
            <w:r>
              <w:rPr>
                <w:rFonts w:ascii="Times New Roman" w:cs="Times New Roman" w:eastAsia="Times New Roman" w:hAnsi="Times New Roman"/>
                <w:sz w:val="20"/>
                <w:szCs w:val="20"/>
                <w:color w:val="auto"/>
              </w:rPr>
              <w:t>147,439</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2533015</wp:posOffset>
                </wp:positionH>
                <wp:positionV relativeFrom="paragraph">
                  <wp:posOffset>-463550</wp:posOffset>
                </wp:positionV>
                <wp:extent cx="50165" cy="0"/>
                <wp:wrapNone/>
                <wp:docPr id="73" name="Shape 73"/>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50165" cy="4763"/>
                        </a:xfrm>
                        <a:prstGeom prst="line">
                          <a:avLst/>
                        </a:prstGeom>
                        <a:solidFill>
                          <a:srgbClr val="FFFFFF"/>
                        </a:solidFill>
                        <a:ln w="4572">
                          <a:solidFill>
                            <a:srgbClr val="FFFFFF"/>
                          </a:solidFill>
                          <a:miter lim="800000"/>
                          <a:headEnd/>
                          <a:tailEnd/>
                        </a:ln>
                      </wps:spPr>
                      <wps:bodyPr/>
                    </wps:wsp>
                  </a:graphicData>
                </a:graphic>
              </wp:anchor>
            </w:drawing>
          </mc:Choice>
          <mc:Fallback>
            <w:pict>
              <v:line id="Shape 73" o:spid="_x0000_s1098"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199.45pt,-36.4999pt" to="203.4pt,-36.4999pt" o:allowincell="f" strokecolor="#FFFFFF" strokeweight="0.36pt"/>
            </w:pict>
          </mc:Fallback>
        </mc:AlternateContent>
        <mc:AlternateContent>
          <mc:Choice Requires="wps">
            <w:drawing>
              <wp:anchor simplePos="0" relativeHeight="251657728" behindDoc="1" locked="0" layoutInCell="0" allowOverlap="1">
                <wp:simplePos x="0" y="0"/>
                <wp:positionH relativeFrom="column">
                  <wp:posOffset>3328670</wp:posOffset>
                </wp:positionH>
                <wp:positionV relativeFrom="paragraph">
                  <wp:posOffset>-463550</wp:posOffset>
                </wp:positionV>
                <wp:extent cx="50165" cy="0"/>
                <wp:wrapNone/>
                <wp:docPr id="74" name="Shape 74"/>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50165" cy="4763"/>
                        </a:xfrm>
                        <a:prstGeom prst="line">
                          <a:avLst/>
                        </a:prstGeom>
                        <a:solidFill>
                          <a:srgbClr val="FFFFFF"/>
                        </a:solidFill>
                        <a:ln w="4572">
                          <a:solidFill>
                            <a:srgbClr val="FFFFFF"/>
                          </a:solidFill>
                          <a:miter lim="800000"/>
                          <a:headEnd/>
                          <a:tailEnd/>
                        </a:ln>
                      </wps:spPr>
                      <wps:bodyPr/>
                    </wps:wsp>
                  </a:graphicData>
                </a:graphic>
              </wp:anchor>
            </w:drawing>
          </mc:Choice>
          <mc:Fallback>
            <w:pict>
              <v:line id="Shape 74" o:spid="_x0000_s1099"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262.1pt,-36.4999pt" to="266.05pt,-36.4999pt" o:allowincell="f" strokecolor="#FFFFFF" strokeweight="0.36pt"/>
            </w:pict>
          </mc:Fallback>
        </mc:AlternateContent>
        <mc:AlternateContent>
          <mc:Choice Requires="wps">
            <w:drawing>
              <wp:anchor simplePos="0" relativeHeight="251657728" behindDoc="1" locked="0" layoutInCell="0" allowOverlap="1">
                <wp:simplePos x="0" y="0"/>
                <wp:positionH relativeFrom="column">
                  <wp:posOffset>4124325</wp:posOffset>
                </wp:positionH>
                <wp:positionV relativeFrom="paragraph">
                  <wp:posOffset>-463550</wp:posOffset>
                </wp:positionV>
                <wp:extent cx="50165" cy="0"/>
                <wp:wrapNone/>
                <wp:docPr id="75" name="Shape 75"/>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50165" cy="4763"/>
                        </a:xfrm>
                        <a:prstGeom prst="line">
                          <a:avLst/>
                        </a:prstGeom>
                        <a:solidFill>
                          <a:srgbClr val="FFFFFF"/>
                        </a:solidFill>
                        <a:ln w="4572">
                          <a:solidFill>
                            <a:srgbClr val="FFFFFF"/>
                          </a:solidFill>
                          <a:miter lim="800000"/>
                          <a:headEnd/>
                          <a:tailEnd/>
                        </a:ln>
                      </wps:spPr>
                      <wps:bodyPr/>
                    </wps:wsp>
                  </a:graphicData>
                </a:graphic>
              </wp:anchor>
            </w:drawing>
          </mc:Choice>
          <mc:Fallback>
            <w:pict>
              <v:line id="Shape 75" o:spid="_x0000_s1100"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324.75pt,-36.4999pt" to="328.7pt,-36.4999pt" o:allowincell="f" strokecolor="#FFFFFF" strokeweight="0.36pt"/>
            </w:pict>
          </mc:Fallback>
        </mc:AlternateContent>
        <mc:AlternateContent>
          <mc:Choice Requires="wps">
            <w:drawing>
              <wp:anchor simplePos="0" relativeHeight="251657728" behindDoc="1" locked="0" layoutInCell="0" allowOverlap="1">
                <wp:simplePos x="0" y="0"/>
                <wp:positionH relativeFrom="column">
                  <wp:posOffset>4919980</wp:posOffset>
                </wp:positionH>
                <wp:positionV relativeFrom="paragraph">
                  <wp:posOffset>-463550</wp:posOffset>
                </wp:positionV>
                <wp:extent cx="50165" cy="0"/>
                <wp:wrapNone/>
                <wp:docPr id="76" name="Shape 76"/>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50165" cy="4763"/>
                        </a:xfrm>
                        <a:prstGeom prst="line">
                          <a:avLst/>
                        </a:prstGeom>
                        <a:solidFill>
                          <a:srgbClr val="FFFFFF"/>
                        </a:solidFill>
                        <a:ln w="4572">
                          <a:solidFill>
                            <a:srgbClr val="FFFFFF"/>
                          </a:solidFill>
                          <a:miter lim="800000"/>
                          <a:headEnd/>
                          <a:tailEnd/>
                        </a:ln>
                      </wps:spPr>
                      <wps:bodyPr/>
                    </wps:wsp>
                  </a:graphicData>
                </a:graphic>
              </wp:anchor>
            </w:drawing>
          </mc:Choice>
          <mc:Fallback>
            <w:pict>
              <v:line id="Shape 76" o:spid="_x0000_s1101"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387.4pt,-36.4999pt" to="391.35pt,-36.4999pt" o:allowincell="f" strokecolor="#FFFFFF" strokeweight="0.36pt"/>
            </w:pict>
          </mc:Fallback>
        </mc:AlternateContent>
        <mc:AlternateContent>
          <mc:Choice Requires="wps">
            <w:drawing>
              <wp:anchor simplePos="0" relativeHeight="251657728" behindDoc="1" locked="0" layoutInCell="0" allowOverlap="1">
                <wp:simplePos x="0" y="0"/>
                <wp:positionH relativeFrom="column">
                  <wp:posOffset>5715000</wp:posOffset>
                </wp:positionH>
                <wp:positionV relativeFrom="paragraph">
                  <wp:posOffset>-463550</wp:posOffset>
                </wp:positionV>
                <wp:extent cx="50800" cy="0"/>
                <wp:wrapNone/>
                <wp:docPr id="77" name="Shape 77"/>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50800" cy="4763"/>
                        </a:xfrm>
                        <a:prstGeom prst="line">
                          <a:avLst/>
                        </a:prstGeom>
                        <a:solidFill>
                          <a:srgbClr val="FFFFFF"/>
                        </a:solidFill>
                        <a:ln w="4572">
                          <a:solidFill>
                            <a:srgbClr val="FFFFFF"/>
                          </a:solidFill>
                          <a:miter lim="800000"/>
                          <a:headEnd/>
                          <a:tailEnd/>
                        </a:ln>
                      </wps:spPr>
                      <wps:bodyPr/>
                    </wps:wsp>
                  </a:graphicData>
                </a:graphic>
              </wp:anchor>
            </w:drawing>
          </mc:Choice>
          <mc:Fallback>
            <w:pict>
              <v:line id="Shape 77" o:spid="_x0000_s1102"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450pt,-36.4999pt" to="454pt,-36.4999pt" o:allowincell="f" strokecolor="#FFFFFF" strokeweight="0.36pt"/>
            </w:pict>
          </mc:Fallback>
        </mc:AlternateContent>
      </w:r>
    </w:p>
    <w:p>
      <w:pPr>
        <w:spacing w:after="0" w:line="80"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color w:val="auto"/>
        </w:rPr>
        <w:t>The Company has restated its unaudited condensed consolidated Statements of Cash Flows for the periods ended March 31, 2023,</w:t>
      </w:r>
    </w:p>
    <w:p>
      <w:pPr>
        <w:spacing w:after="0" w:line="55"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June 30, 2023 and September 30, 2023, as follows (in thousands):</w:t>
      </w:r>
    </w:p>
    <w:p>
      <w:pPr>
        <w:spacing w:after="0" w:line="265" w:lineRule="exact"/>
        <w:rPr>
          <w:sz w:val="20"/>
          <w:szCs w:val="20"/>
          <w:color w:val="auto"/>
        </w:rPr>
      </w:pPr>
    </w:p>
    <w:tbl>
      <w:tblPr>
        <w:tblLayout w:type="fixed"/>
        <w:tblInd w:w="0" w:type="dxa"/>
        <w:tblCellMar>
          <w:top w:w="0" w:type="dxa"/>
          <w:left w:w="0" w:type="dxa"/>
          <w:bottom w:w="0" w:type="dxa"/>
          <w:right w:w="0" w:type="dxa"/>
        </w:tblCellMar>
      </w:tblPr>
      <w:tr>
        <w:trPr>
          <w:trHeight w:val="281"/>
        </w:trPr>
        <w:tc>
          <w:tcPr>
            <w:tcW w:w="5300" w:type="dxa"/>
            <w:vAlign w:val="bottom"/>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4720" w:type="dxa"/>
            <w:vAlign w:val="bottom"/>
            <w:tcBorders>
              <w:bottom w:val="single" w:sz="8" w:color="auto"/>
            </w:tcBorders>
            <w:gridSpan w:val="9"/>
          </w:tcPr>
          <w:p>
            <w:pPr>
              <w:jc w:val="center"/>
              <w:ind w:right="139"/>
              <w:spacing w:after="0"/>
              <w:rPr>
                <w:sz w:val="20"/>
                <w:szCs w:val="20"/>
                <w:color w:val="auto"/>
              </w:rPr>
            </w:pPr>
            <w:r>
              <w:rPr>
                <w:rFonts w:ascii="Times New Roman" w:cs="Times New Roman" w:eastAsia="Times New Roman" w:hAnsi="Times New Roman"/>
                <w:sz w:val="20"/>
                <w:szCs w:val="20"/>
                <w:b w:val="1"/>
                <w:bCs w:val="1"/>
                <w:color w:val="auto"/>
                <w:w w:val="99"/>
              </w:rPr>
              <w:t>Three Months Ended March 31, 2023</w:t>
            </w:r>
          </w:p>
        </w:tc>
      </w:tr>
      <w:tr>
        <w:trPr>
          <w:trHeight w:val="239"/>
        </w:trPr>
        <w:tc>
          <w:tcPr>
            <w:tcW w:w="53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340" w:type="dxa"/>
            <w:vAlign w:val="bottom"/>
          </w:tcPr>
          <w:p>
            <w:pPr>
              <w:jc w:val="right"/>
              <w:ind w:right="239"/>
              <w:spacing w:after="0"/>
              <w:rPr>
                <w:sz w:val="20"/>
                <w:szCs w:val="20"/>
                <w:color w:val="auto"/>
              </w:rPr>
            </w:pPr>
            <w:r>
              <w:rPr>
                <w:rFonts w:ascii="Times New Roman" w:cs="Times New Roman" w:eastAsia="Times New Roman" w:hAnsi="Times New Roman"/>
                <w:sz w:val="20"/>
                <w:szCs w:val="20"/>
                <w:b w:val="1"/>
                <w:bCs w:val="1"/>
                <w:color w:val="auto"/>
              </w:rPr>
              <w:t>Previously</w:t>
            </w: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3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380" w:type="dxa"/>
            <w:vAlign w:val="bottom"/>
          </w:tcPr>
          <w:p>
            <w:pPr>
              <w:spacing w:after="0"/>
              <w:rPr>
                <w:sz w:val="20"/>
                <w:szCs w:val="20"/>
                <w:color w:val="auto"/>
              </w:rPr>
            </w:pPr>
          </w:p>
        </w:tc>
      </w:tr>
      <w:tr>
        <w:trPr>
          <w:trHeight w:val="288"/>
        </w:trPr>
        <w:tc>
          <w:tcPr>
            <w:tcW w:w="53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340" w:type="dxa"/>
            <w:vAlign w:val="bottom"/>
          </w:tcPr>
          <w:p>
            <w:pPr>
              <w:jc w:val="right"/>
              <w:ind w:right="279"/>
              <w:spacing w:after="0"/>
              <w:rPr>
                <w:sz w:val="20"/>
                <w:szCs w:val="20"/>
                <w:color w:val="auto"/>
              </w:rPr>
            </w:pPr>
            <w:r>
              <w:rPr>
                <w:rFonts w:ascii="Times New Roman" w:cs="Times New Roman" w:eastAsia="Times New Roman" w:hAnsi="Times New Roman"/>
                <w:sz w:val="20"/>
                <w:szCs w:val="20"/>
                <w:b w:val="1"/>
                <w:bCs w:val="1"/>
                <w:color w:val="auto"/>
              </w:rPr>
              <w:t>Reported</w:t>
            </w: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400" w:type="dxa"/>
            <w:vAlign w:val="bottom"/>
            <w:gridSpan w:val="2"/>
          </w:tcPr>
          <w:p>
            <w:pPr>
              <w:jc w:val="center"/>
              <w:ind w:right="260"/>
              <w:spacing w:after="0"/>
              <w:rPr>
                <w:sz w:val="20"/>
                <w:szCs w:val="20"/>
                <w:color w:val="auto"/>
              </w:rPr>
            </w:pPr>
            <w:r>
              <w:rPr>
                <w:rFonts w:ascii="Times New Roman" w:cs="Times New Roman" w:eastAsia="Times New Roman" w:hAnsi="Times New Roman"/>
                <w:sz w:val="20"/>
                <w:szCs w:val="20"/>
                <w:b w:val="1"/>
                <w:bCs w:val="1"/>
                <w:color w:val="auto"/>
              </w:rPr>
              <w:t>Adjustment</w:t>
            </w:r>
          </w:p>
        </w:tc>
        <w:tc>
          <w:tcPr>
            <w:tcW w:w="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380" w:type="dxa"/>
            <w:vAlign w:val="bottom"/>
          </w:tcPr>
          <w:p>
            <w:pPr>
              <w:jc w:val="right"/>
              <w:ind w:right="199"/>
              <w:spacing w:after="0"/>
              <w:rPr>
                <w:sz w:val="20"/>
                <w:szCs w:val="20"/>
                <w:color w:val="auto"/>
              </w:rPr>
            </w:pPr>
            <w:r>
              <w:rPr>
                <w:rFonts w:ascii="Times New Roman" w:cs="Times New Roman" w:eastAsia="Times New Roman" w:hAnsi="Times New Roman"/>
                <w:sz w:val="20"/>
                <w:szCs w:val="20"/>
                <w:b w:val="1"/>
                <w:bCs w:val="1"/>
                <w:color w:val="auto"/>
              </w:rPr>
              <w:t>As Restated</w:t>
            </w:r>
          </w:p>
        </w:tc>
      </w:tr>
      <w:tr>
        <w:trPr>
          <w:trHeight w:val="241"/>
        </w:trPr>
        <w:tc>
          <w:tcPr>
            <w:tcW w:w="5300" w:type="dxa"/>
            <w:vAlign w:val="bottom"/>
            <w:tcBorders>
              <w:top w:val="single" w:sz="8" w:color="DDDDDD"/>
            </w:tcBorders>
            <w:shd w:val="clear" w:color="auto" w:fill="DDDDDD"/>
          </w:tcPr>
          <w:p>
            <w:pPr>
              <w:ind w:left="40"/>
              <w:spacing w:after="0"/>
              <w:rPr>
                <w:sz w:val="20"/>
                <w:szCs w:val="20"/>
                <w:color w:val="auto"/>
              </w:rPr>
            </w:pPr>
            <w:r>
              <w:rPr>
                <w:rFonts w:ascii="Times New Roman" w:cs="Times New Roman" w:eastAsia="Times New Roman" w:hAnsi="Times New Roman"/>
                <w:sz w:val="20"/>
                <w:szCs w:val="20"/>
                <w:color w:val="auto"/>
              </w:rPr>
              <w:t>Adjustments to reconcile net income (loss) to net cash (used in)</w:t>
            </w:r>
          </w:p>
        </w:tc>
        <w:tc>
          <w:tcPr>
            <w:tcW w:w="240" w:type="dxa"/>
            <w:vAlign w:val="bottom"/>
            <w:tcBorders>
              <w:top w:val="single" w:sz="8" w:color="auto"/>
            </w:tcBorders>
            <w:shd w:val="clear" w:color="auto" w:fill="DDDDDD"/>
          </w:tcPr>
          <w:p>
            <w:pPr>
              <w:spacing w:after="0"/>
              <w:rPr>
                <w:sz w:val="20"/>
                <w:szCs w:val="20"/>
                <w:color w:val="auto"/>
              </w:rPr>
            </w:pPr>
          </w:p>
        </w:tc>
        <w:tc>
          <w:tcPr>
            <w:tcW w:w="1340" w:type="dxa"/>
            <w:vAlign w:val="bottom"/>
            <w:tcBorders>
              <w:top w:val="single" w:sz="8" w:color="auto"/>
            </w:tcBorders>
            <w:shd w:val="clear" w:color="auto" w:fill="DDDDDD"/>
          </w:tcPr>
          <w:p>
            <w:pPr>
              <w:spacing w:after="0"/>
              <w:rPr>
                <w:sz w:val="20"/>
                <w:szCs w:val="20"/>
                <w:color w:val="auto"/>
              </w:rPr>
            </w:pPr>
          </w:p>
        </w:tc>
        <w:tc>
          <w:tcPr>
            <w:tcW w:w="20" w:type="dxa"/>
            <w:vAlign w:val="bottom"/>
            <w:tcBorders>
              <w:top w:val="single" w:sz="8" w:color="auto"/>
            </w:tcBorders>
            <w:shd w:val="clear" w:color="auto" w:fill="DDDDDD"/>
          </w:tcPr>
          <w:p>
            <w:pPr>
              <w:spacing w:after="0"/>
              <w:rPr>
                <w:sz w:val="20"/>
                <w:szCs w:val="20"/>
                <w:color w:val="auto"/>
              </w:rPr>
            </w:pPr>
          </w:p>
        </w:tc>
        <w:tc>
          <w:tcPr>
            <w:tcW w:w="80" w:type="dxa"/>
            <w:vAlign w:val="bottom"/>
            <w:tcBorders>
              <w:top w:val="single" w:sz="8" w:color="DDDDDD"/>
            </w:tcBorders>
            <w:shd w:val="clear" w:color="auto" w:fill="DDDDDD"/>
          </w:tcPr>
          <w:p>
            <w:pPr>
              <w:spacing w:after="0"/>
              <w:rPr>
                <w:sz w:val="20"/>
                <w:szCs w:val="20"/>
                <w:color w:val="auto"/>
              </w:rPr>
            </w:pPr>
          </w:p>
        </w:tc>
        <w:tc>
          <w:tcPr>
            <w:tcW w:w="220" w:type="dxa"/>
            <w:vAlign w:val="bottom"/>
            <w:tcBorders>
              <w:top w:val="single" w:sz="8" w:color="auto"/>
            </w:tcBorders>
            <w:shd w:val="clear" w:color="auto" w:fill="DDDDDD"/>
          </w:tcPr>
          <w:p>
            <w:pPr>
              <w:spacing w:after="0"/>
              <w:rPr>
                <w:sz w:val="20"/>
                <w:szCs w:val="20"/>
                <w:color w:val="auto"/>
              </w:rPr>
            </w:pPr>
          </w:p>
        </w:tc>
        <w:tc>
          <w:tcPr>
            <w:tcW w:w="1380" w:type="dxa"/>
            <w:vAlign w:val="bottom"/>
            <w:tcBorders>
              <w:top w:val="single" w:sz="8" w:color="auto"/>
            </w:tcBorders>
            <w:shd w:val="clear" w:color="auto" w:fill="DDDDDD"/>
          </w:tcPr>
          <w:p>
            <w:pPr>
              <w:spacing w:after="0"/>
              <w:rPr>
                <w:sz w:val="20"/>
                <w:szCs w:val="20"/>
                <w:color w:val="auto"/>
              </w:rPr>
            </w:pPr>
          </w:p>
        </w:tc>
        <w:tc>
          <w:tcPr>
            <w:tcW w:w="20" w:type="dxa"/>
            <w:vAlign w:val="bottom"/>
            <w:tcBorders>
              <w:top w:val="single" w:sz="8" w:color="DDDDDD"/>
            </w:tcBorders>
            <w:shd w:val="clear" w:color="auto" w:fill="DDDDDD"/>
          </w:tcPr>
          <w:p>
            <w:pPr>
              <w:spacing w:after="0"/>
              <w:rPr>
                <w:sz w:val="20"/>
                <w:szCs w:val="20"/>
                <w:color w:val="auto"/>
              </w:rPr>
            </w:pPr>
          </w:p>
        </w:tc>
        <w:tc>
          <w:tcPr>
            <w:tcW w:w="60" w:type="dxa"/>
            <w:vAlign w:val="bottom"/>
            <w:tcBorders>
              <w:top w:val="single" w:sz="8" w:color="DDDDDD"/>
            </w:tcBorders>
            <w:shd w:val="clear" w:color="auto" w:fill="DDDDDD"/>
          </w:tcPr>
          <w:p>
            <w:pPr>
              <w:spacing w:after="0"/>
              <w:rPr>
                <w:sz w:val="20"/>
                <w:szCs w:val="20"/>
                <w:color w:val="auto"/>
              </w:rPr>
            </w:pPr>
          </w:p>
        </w:tc>
        <w:tc>
          <w:tcPr>
            <w:tcW w:w="220" w:type="dxa"/>
            <w:vAlign w:val="bottom"/>
            <w:tcBorders>
              <w:top w:val="single" w:sz="8" w:color="auto"/>
            </w:tcBorders>
            <w:shd w:val="clear" w:color="auto" w:fill="DDDDDD"/>
          </w:tcPr>
          <w:p>
            <w:pPr>
              <w:spacing w:after="0"/>
              <w:rPr>
                <w:sz w:val="20"/>
                <w:szCs w:val="20"/>
                <w:color w:val="auto"/>
              </w:rPr>
            </w:pPr>
          </w:p>
        </w:tc>
        <w:tc>
          <w:tcPr>
            <w:tcW w:w="1380" w:type="dxa"/>
            <w:vAlign w:val="bottom"/>
            <w:tcBorders>
              <w:top w:val="single" w:sz="8" w:color="auto"/>
            </w:tcBorders>
            <w:shd w:val="clear" w:color="auto" w:fill="DDDDDD"/>
          </w:tcPr>
          <w:p>
            <w:pPr>
              <w:spacing w:after="0"/>
              <w:rPr>
                <w:sz w:val="20"/>
                <w:szCs w:val="20"/>
                <w:color w:val="auto"/>
              </w:rPr>
            </w:pPr>
          </w:p>
        </w:tc>
      </w:tr>
      <w:tr>
        <w:trPr>
          <w:trHeight w:val="282"/>
        </w:trPr>
        <w:tc>
          <w:tcPr>
            <w:tcW w:w="5300" w:type="dxa"/>
            <w:vAlign w:val="bottom"/>
            <w:shd w:val="clear" w:color="auto" w:fill="DDDDDD"/>
          </w:tcPr>
          <w:p>
            <w:pPr>
              <w:ind w:left="40"/>
              <w:spacing w:after="0"/>
              <w:rPr>
                <w:sz w:val="20"/>
                <w:szCs w:val="20"/>
                <w:color w:val="auto"/>
              </w:rPr>
            </w:pPr>
            <w:r>
              <w:rPr>
                <w:rFonts w:ascii="Times New Roman" w:cs="Times New Roman" w:eastAsia="Times New Roman" w:hAnsi="Times New Roman"/>
                <w:sz w:val="20"/>
                <w:szCs w:val="20"/>
                <w:color w:val="auto"/>
              </w:rPr>
              <w:t>provided by operating activities:</w:t>
            </w:r>
          </w:p>
        </w:tc>
        <w:tc>
          <w:tcPr>
            <w:tcW w:w="240" w:type="dxa"/>
            <w:vAlign w:val="bottom"/>
            <w:shd w:val="clear" w:color="auto" w:fill="DDDDDD"/>
          </w:tcPr>
          <w:p>
            <w:pPr>
              <w:spacing w:after="0"/>
              <w:rPr>
                <w:sz w:val="24"/>
                <w:szCs w:val="24"/>
                <w:color w:val="auto"/>
              </w:rPr>
            </w:pPr>
          </w:p>
        </w:tc>
        <w:tc>
          <w:tcPr>
            <w:tcW w:w="1340" w:type="dxa"/>
            <w:vAlign w:val="bottom"/>
            <w:shd w:val="clear" w:color="auto" w:fill="DDDDDD"/>
          </w:tcPr>
          <w:p>
            <w:pPr>
              <w:spacing w:after="0"/>
              <w:rPr>
                <w:sz w:val="24"/>
                <w:szCs w:val="24"/>
                <w:color w:val="auto"/>
              </w:rPr>
            </w:pPr>
          </w:p>
        </w:tc>
        <w:tc>
          <w:tcPr>
            <w:tcW w:w="20" w:type="dxa"/>
            <w:vAlign w:val="bottom"/>
            <w:shd w:val="clear" w:color="auto" w:fill="DDDDDD"/>
          </w:tcPr>
          <w:p>
            <w:pPr>
              <w:spacing w:after="0"/>
              <w:rPr>
                <w:sz w:val="24"/>
                <w:szCs w:val="24"/>
                <w:color w:val="auto"/>
              </w:rPr>
            </w:pPr>
          </w:p>
        </w:tc>
        <w:tc>
          <w:tcPr>
            <w:tcW w:w="80" w:type="dxa"/>
            <w:vAlign w:val="bottom"/>
            <w:shd w:val="clear" w:color="auto" w:fill="DDDDDD"/>
          </w:tcPr>
          <w:p>
            <w:pPr>
              <w:spacing w:after="0"/>
              <w:rPr>
                <w:sz w:val="24"/>
                <w:szCs w:val="24"/>
                <w:color w:val="auto"/>
              </w:rPr>
            </w:pPr>
          </w:p>
        </w:tc>
        <w:tc>
          <w:tcPr>
            <w:tcW w:w="220" w:type="dxa"/>
            <w:vAlign w:val="bottom"/>
            <w:shd w:val="clear" w:color="auto" w:fill="DDDDDD"/>
          </w:tcPr>
          <w:p>
            <w:pPr>
              <w:spacing w:after="0"/>
              <w:rPr>
                <w:sz w:val="24"/>
                <w:szCs w:val="24"/>
                <w:color w:val="auto"/>
              </w:rPr>
            </w:pPr>
          </w:p>
        </w:tc>
        <w:tc>
          <w:tcPr>
            <w:tcW w:w="1380" w:type="dxa"/>
            <w:vAlign w:val="bottom"/>
            <w:shd w:val="clear" w:color="auto" w:fill="DDDDDD"/>
          </w:tcPr>
          <w:p>
            <w:pPr>
              <w:spacing w:after="0"/>
              <w:rPr>
                <w:sz w:val="24"/>
                <w:szCs w:val="24"/>
                <w:color w:val="auto"/>
              </w:rPr>
            </w:pPr>
          </w:p>
        </w:tc>
        <w:tc>
          <w:tcPr>
            <w:tcW w:w="20" w:type="dxa"/>
            <w:vAlign w:val="bottom"/>
            <w:shd w:val="clear" w:color="auto" w:fill="DDDDDD"/>
          </w:tcPr>
          <w:p>
            <w:pPr>
              <w:spacing w:after="0"/>
              <w:rPr>
                <w:sz w:val="24"/>
                <w:szCs w:val="24"/>
                <w:color w:val="auto"/>
              </w:rPr>
            </w:pPr>
          </w:p>
        </w:tc>
        <w:tc>
          <w:tcPr>
            <w:tcW w:w="60" w:type="dxa"/>
            <w:vAlign w:val="bottom"/>
            <w:shd w:val="clear" w:color="auto" w:fill="DDDDDD"/>
          </w:tcPr>
          <w:p>
            <w:pPr>
              <w:spacing w:after="0"/>
              <w:rPr>
                <w:sz w:val="24"/>
                <w:szCs w:val="24"/>
                <w:color w:val="auto"/>
              </w:rPr>
            </w:pPr>
          </w:p>
        </w:tc>
        <w:tc>
          <w:tcPr>
            <w:tcW w:w="220" w:type="dxa"/>
            <w:vAlign w:val="bottom"/>
            <w:shd w:val="clear" w:color="auto" w:fill="DDDDDD"/>
          </w:tcPr>
          <w:p>
            <w:pPr>
              <w:spacing w:after="0"/>
              <w:rPr>
                <w:sz w:val="24"/>
                <w:szCs w:val="24"/>
                <w:color w:val="auto"/>
              </w:rPr>
            </w:pPr>
          </w:p>
        </w:tc>
        <w:tc>
          <w:tcPr>
            <w:tcW w:w="1380" w:type="dxa"/>
            <w:vAlign w:val="bottom"/>
            <w:shd w:val="clear" w:color="auto" w:fill="DDDDDD"/>
          </w:tcPr>
          <w:p>
            <w:pPr>
              <w:spacing w:after="0"/>
              <w:rPr>
                <w:sz w:val="24"/>
                <w:szCs w:val="24"/>
                <w:color w:val="auto"/>
              </w:rPr>
            </w:pPr>
          </w:p>
        </w:tc>
      </w:tr>
      <w:tr>
        <w:trPr>
          <w:trHeight w:val="350"/>
        </w:trPr>
        <w:tc>
          <w:tcPr>
            <w:tcW w:w="5300" w:type="dxa"/>
            <w:vAlign w:val="bottom"/>
          </w:tcPr>
          <w:p>
            <w:pPr>
              <w:ind w:left="280"/>
              <w:spacing w:after="0"/>
              <w:rPr>
                <w:sz w:val="20"/>
                <w:szCs w:val="20"/>
                <w:color w:val="auto"/>
              </w:rPr>
            </w:pPr>
            <w:r>
              <w:rPr>
                <w:rFonts w:ascii="Times New Roman" w:cs="Times New Roman" w:eastAsia="Times New Roman" w:hAnsi="Times New Roman"/>
                <w:sz w:val="20"/>
                <w:szCs w:val="20"/>
                <w:color w:val="auto"/>
              </w:rPr>
              <w:t>Provision for credit losses</w:t>
            </w:r>
          </w:p>
        </w:tc>
        <w:tc>
          <w:tcPr>
            <w:tcW w:w="2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13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1,951</w:t>
            </w:r>
          </w:p>
        </w:tc>
        <w:tc>
          <w:tcPr>
            <w:tcW w:w="320" w:type="dxa"/>
            <w:vAlign w:val="bottom"/>
            <w:gridSpan w:val="3"/>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13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(1,591)</w:t>
            </w:r>
          </w:p>
        </w:tc>
        <w:tc>
          <w:tcPr>
            <w:tcW w:w="20" w:type="dxa"/>
            <w:vAlign w:val="bottom"/>
          </w:tcPr>
          <w:p>
            <w:pPr>
              <w:spacing w:after="0"/>
              <w:rPr>
                <w:sz w:val="24"/>
                <w:szCs w:val="24"/>
                <w:color w:val="auto"/>
              </w:rPr>
            </w:pPr>
          </w:p>
        </w:tc>
        <w:tc>
          <w:tcPr>
            <w:tcW w:w="28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13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360</w:t>
            </w:r>
          </w:p>
        </w:tc>
      </w:tr>
      <w:tr>
        <w:trPr>
          <w:trHeight w:val="370"/>
        </w:trPr>
        <w:tc>
          <w:tcPr>
            <w:tcW w:w="5300" w:type="dxa"/>
            <w:vAlign w:val="bottom"/>
            <w:shd w:val="clear" w:color="auto" w:fill="DDDDDD"/>
          </w:tcPr>
          <w:p>
            <w:pPr>
              <w:spacing w:after="0"/>
              <w:rPr>
                <w:sz w:val="24"/>
                <w:szCs w:val="24"/>
                <w:color w:val="auto"/>
              </w:rPr>
            </w:pPr>
          </w:p>
        </w:tc>
        <w:tc>
          <w:tcPr>
            <w:tcW w:w="240" w:type="dxa"/>
            <w:vAlign w:val="bottom"/>
            <w:shd w:val="clear" w:color="auto" w:fill="DDDDDD"/>
          </w:tcPr>
          <w:p>
            <w:pPr>
              <w:spacing w:after="0"/>
              <w:rPr>
                <w:sz w:val="24"/>
                <w:szCs w:val="24"/>
                <w:color w:val="auto"/>
              </w:rPr>
            </w:pPr>
          </w:p>
        </w:tc>
        <w:tc>
          <w:tcPr>
            <w:tcW w:w="1340" w:type="dxa"/>
            <w:vAlign w:val="bottom"/>
            <w:shd w:val="clear" w:color="auto" w:fill="DDDDDD"/>
          </w:tcPr>
          <w:p>
            <w:pPr>
              <w:spacing w:after="0"/>
              <w:rPr>
                <w:sz w:val="24"/>
                <w:szCs w:val="24"/>
                <w:color w:val="auto"/>
              </w:rPr>
            </w:pPr>
          </w:p>
        </w:tc>
        <w:tc>
          <w:tcPr>
            <w:tcW w:w="20" w:type="dxa"/>
            <w:vAlign w:val="bottom"/>
            <w:shd w:val="clear" w:color="auto" w:fill="DDDDDD"/>
          </w:tcPr>
          <w:p>
            <w:pPr>
              <w:spacing w:after="0"/>
              <w:rPr>
                <w:sz w:val="24"/>
                <w:szCs w:val="24"/>
                <w:color w:val="auto"/>
              </w:rPr>
            </w:pPr>
          </w:p>
        </w:tc>
        <w:tc>
          <w:tcPr>
            <w:tcW w:w="80" w:type="dxa"/>
            <w:vAlign w:val="bottom"/>
            <w:shd w:val="clear" w:color="auto" w:fill="DDDDDD"/>
          </w:tcPr>
          <w:p>
            <w:pPr>
              <w:spacing w:after="0"/>
              <w:rPr>
                <w:sz w:val="24"/>
                <w:szCs w:val="24"/>
                <w:color w:val="auto"/>
              </w:rPr>
            </w:pPr>
          </w:p>
        </w:tc>
        <w:tc>
          <w:tcPr>
            <w:tcW w:w="220" w:type="dxa"/>
            <w:vAlign w:val="bottom"/>
            <w:shd w:val="clear" w:color="auto" w:fill="DDDDDD"/>
          </w:tcPr>
          <w:p>
            <w:pPr>
              <w:spacing w:after="0"/>
              <w:rPr>
                <w:sz w:val="24"/>
                <w:szCs w:val="24"/>
                <w:color w:val="auto"/>
              </w:rPr>
            </w:pPr>
          </w:p>
        </w:tc>
        <w:tc>
          <w:tcPr>
            <w:tcW w:w="1380" w:type="dxa"/>
            <w:vAlign w:val="bottom"/>
            <w:shd w:val="clear" w:color="auto" w:fill="DDDDDD"/>
          </w:tcPr>
          <w:p>
            <w:pPr>
              <w:spacing w:after="0"/>
              <w:rPr>
                <w:sz w:val="24"/>
                <w:szCs w:val="24"/>
                <w:color w:val="auto"/>
              </w:rPr>
            </w:pPr>
          </w:p>
        </w:tc>
        <w:tc>
          <w:tcPr>
            <w:tcW w:w="20" w:type="dxa"/>
            <w:vAlign w:val="bottom"/>
            <w:shd w:val="clear" w:color="auto" w:fill="DDDDDD"/>
          </w:tcPr>
          <w:p>
            <w:pPr>
              <w:spacing w:after="0"/>
              <w:rPr>
                <w:sz w:val="24"/>
                <w:szCs w:val="24"/>
                <w:color w:val="auto"/>
              </w:rPr>
            </w:pPr>
          </w:p>
        </w:tc>
        <w:tc>
          <w:tcPr>
            <w:tcW w:w="60" w:type="dxa"/>
            <w:vAlign w:val="bottom"/>
            <w:shd w:val="clear" w:color="auto" w:fill="DDDDDD"/>
          </w:tcPr>
          <w:p>
            <w:pPr>
              <w:spacing w:after="0"/>
              <w:rPr>
                <w:sz w:val="24"/>
                <w:szCs w:val="24"/>
                <w:color w:val="auto"/>
              </w:rPr>
            </w:pPr>
          </w:p>
        </w:tc>
        <w:tc>
          <w:tcPr>
            <w:tcW w:w="220" w:type="dxa"/>
            <w:vAlign w:val="bottom"/>
            <w:shd w:val="clear" w:color="auto" w:fill="DDDDDD"/>
          </w:tcPr>
          <w:p>
            <w:pPr>
              <w:spacing w:after="0"/>
              <w:rPr>
                <w:sz w:val="24"/>
                <w:szCs w:val="24"/>
                <w:color w:val="auto"/>
              </w:rPr>
            </w:pPr>
          </w:p>
        </w:tc>
        <w:tc>
          <w:tcPr>
            <w:tcW w:w="1380" w:type="dxa"/>
            <w:vAlign w:val="bottom"/>
            <w:shd w:val="clear" w:color="auto" w:fill="DDDDDD"/>
          </w:tcPr>
          <w:p>
            <w:pPr>
              <w:spacing w:after="0"/>
              <w:rPr>
                <w:sz w:val="24"/>
                <w:szCs w:val="24"/>
                <w:color w:val="auto"/>
              </w:rPr>
            </w:pPr>
          </w:p>
        </w:tc>
      </w:tr>
      <w:tr>
        <w:trPr>
          <w:trHeight w:val="304"/>
        </w:trPr>
        <w:tc>
          <w:tcPr>
            <w:tcW w:w="5300" w:type="dxa"/>
            <w:vAlign w:val="bottom"/>
          </w:tcPr>
          <w:p>
            <w:pPr>
              <w:ind w:left="40"/>
              <w:spacing w:after="0"/>
              <w:rPr>
                <w:sz w:val="20"/>
                <w:szCs w:val="20"/>
                <w:color w:val="auto"/>
              </w:rPr>
            </w:pPr>
            <w:r>
              <w:rPr>
                <w:rFonts w:ascii="Times New Roman" w:cs="Times New Roman" w:eastAsia="Times New Roman" w:hAnsi="Times New Roman"/>
                <w:sz w:val="20"/>
                <w:szCs w:val="20"/>
                <w:color w:val="auto"/>
              </w:rPr>
              <w:t>Changes in operating assets and liabilities:</w:t>
            </w:r>
          </w:p>
        </w:tc>
        <w:tc>
          <w:tcPr>
            <w:tcW w:w="24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380" w:type="dxa"/>
            <w:vAlign w:val="bottom"/>
          </w:tcPr>
          <w:p>
            <w:pPr>
              <w:spacing w:after="0"/>
              <w:rPr>
                <w:sz w:val="24"/>
                <w:szCs w:val="24"/>
                <w:color w:val="auto"/>
              </w:rPr>
            </w:pPr>
          </w:p>
        </w:tc>
      </w:tr>
      <w:tr>
        <w:trPr>
          <w:trHeight w:val="323"/>
        </w:trPr>
        <w:tc>
          <w:tcPr>
            <w:tcW w:w="5300" w:type="dxa"/>
            <w:vAlign w:val="bottom"/>
            <w:shd w:val="clear" w:color="auto" w:fill="DDDDDD"/>
          </w:tcPr>
          <w:p>
            <w:pPr>
              <w:ind w:left="280"/>
              <w:spacing w:after="0"/>
              <w:rPr>
                <w:sz w:val="20"/>
                <w:szCs w:val="20"/>
                <w:color w:val="auto"/>
              </w:rPr>
            </w:pPr>
            <w:r>
              <w:rPr>
                <w:rFonts w:ascii="Times New Roman" w:cs="Times New Roman" w:eastAsia="Times New Roman" w:hAnsi="Times New Roman"/>
                <w:sz w:val="20"/>
                <w:szCs w:val="20"/>
                <w:color w:val="auto"/>
              </w:rPr>
              <w:t>Accounts receivable</w:t>
            </w:r>
          </w:p>
        </w:tc>
        <w:tc>
          <w:tcPr>
            <w:tcW w:w="240" w:type="dxa"/>
            <w:vAlign w:val="bottom"/>
            <w:shd w:val="clear" w:color="auto" w:fill="DDDDDD"/>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1340" w:type="dxa"/>
            <w:vAlign w:val="bottom"/>
            <w:shd w:val="clear" w:color="auto" w:fill="DDDDDD"/>
          </w:tcPr>
          <w:p>
            <w:pPr>
              <w:jc w:val="right"/>
              <w:spacing w:after="0"/>
              <w:rPr>
                <w:sz w:val="20"/>
                <w:szCs w:val="20"/>
                <w:color w:val="auto"/>
              </w:rPr>
            </w:pPr>
            <w:r>
              <w:rPr>
                <w:rFonts w:ascii="Times New Roman" w:cs="Times New Roman" w:eastAsia="Times New Roman" w:hAnsi="Times New Roman"/>
                <w:sz w:val="20"/>
                <w:szCs w:val="20"/>
                <w:color w:val="auto"/>
              </w:rPr>
              <w:t>86</w:t>
            </w:r>
          </w:p>
        </w:tc>
        <w:tc>
          <w:tcPr>
            <w:tcW w:w="20" w:type="dxa"/>
            <w:vAlign w:val="bottom"/>
            <w:shd w:val="clear" w:color="auto" w:fill="DDDDDD"/>
          </w:tcPr>
          <w:p>
            <w:pPr>
              <w:spacing w:after="0"/>
              <w:rPr>
                <w:sz w:val="24"/>
                <w:szCs w:val="24"/>
                <w:color w:val="auto"/>
              </w:rPr>
            </w:pPr>
          </w:p>
        </w:tc>
        <w:tc>
          <w:tcPr>
            <w:tcW w:w="80" w:type="dxa"/>
            <w:vAlign w:val="bottom"/>
            <w:shd w:val="clear" w:color="auto" w:fill="DDDDDD"/>
          </w:tcPr>
          <w:p>
            <w:pPr>
              <w:spacing w:after="0"/>
              <w:rPr>
                <w:sz w:val="24"/>
                <w:szCs w:val="24"/>
                <w:color w:val="auto"/>
              </w:rPr>
            </w:pPr>
          </w:p>
        </w:tc>
        <w:tc>
          <w:tcPr>
            <w:tcW w:w="220" w:type="dxa"/>
            <w:vAlign w:val="bottom"/>
            <w:shd w:val="clear" w:color="auto" w:fill="DDDDDD"/>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1380" w:type="dxa"/>
            <w:vAlign w:val="bottom"/>
            <w:shd w:val="clear" w:color="auto" w:fill="DDDDDD"/>
          </w:tcPr>
          <w:p>
            <w:pPr>
              <w:jc w:val="right"/>
              <w:spacing w:after="0"/>
              <w:rPr>
                <w:sz w:val="20"/>
                <w:szCs w:val="20"/>
                <w:color w:val="auto"/>
              </w:rPr>
            </w:pPr>
            <w:r>
              <w:rPr>
                <w:rFonts w:ascii="Times New Roman" w:cs="Times New Roman" w:eastAsia="Times New Roman" w:hAnsi="Times New Roman"/>
                <w:sz w:val="20"/>
                <w:szCs w:val="20"/>
                <w:color w:val="auto"/>
              </w:rPr>
              <w:t>1,591</w:t>
            </w:r>
          </w:p>
        </w:tc>
        <w:tc>
          <w:tcPr>
            <w:tcW w:w="20" w:type="dxa"/>
            <w:vAlign w:val="bottom"/>
            <w:shd w:val="clear" w:color="auto" w:fill="DDDDDD"/>
          </w:tcPr>
          <w:p>
            <w:pPr>
              <w:spacing w:after="0"/>
              <w:rPr>
                <w:sz w:val="24"/>
                <w:szCs w:val="24"/>
                <w:color w:val="auto"/>
              </w:rPr>
            </w:pPr>
          </w:p>
        </w:tc>
        <w:tc>
          <w:tcPr>
            <w:tcW w:w="60" w:type="dxa"/>
            <w:vAlign w:val="bottom"/>
            <w:shd w:val="clear" w:color="auto" w:fill="DDDDDD"/>
          </w:tcPr>
          <w:p>
            <w:pPr>
              <w:spacing w:after="0"/>
              <w:rPr>
                <w:sz w:val="24"/>
                <w:szCs w:val="24"/>
                <w:color w:val="auto"/>
              </w:rPr>
            </w:pPr>
          </w:p>
        </w:tc>
        <w:tc>
          <w:tcPr>
            <w:tcW w:w="220" w:type="dxa"/>
            <w:vAlign w:val="bottom"/>
            <w:shd w:val="clear" w:color="auto" w:fill="DDDDDD"/>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1380" w:type="dxa"/>
            <w:vAlign w:val="bottom"/>
            <w:shd w:val="clear" w:color="auto" w:fill="DDDDDD"/>
          </w:tcPr>
          <w:p>
            <w:pPr>
              <w:jc w:val="right"/>
              <w:spacing w:after="0"/>
              <w:rPr>
                <w:sz w:val="20"/>
                <w:szCs w:val="20"/>
                <w:color w:val="auto"/>
              </w:rPr>
            </w:pPr>
            <w:r>
              <w:rPr>
                <w:rFonts w:ascii="Times New Roman" w:cs="Times New Roman" w:eastAsia="Times New Roman" w:hAnsi="Times New Roman"/>
                <w:sz w:val="20"/>
                <w:szCs w:val="20"/>
                <w:color w:val="auto"/>
              </w:rPr>
              <w:t>1,677</w:t>
            </w:r>
          </w:p>
        </w:tc>
      </w:tr>
    </w:tbl>
    <w:p>
      <w:pPr>
        <w:spacing w:after="0" w:line="200" w:lineRule="exact"/>
        <w:rPr>
          <w:sz w:val="20"/>
          <w:szCs w:val="20"/>
          <w:color w:val="auto"/>
        </w:rPr>
      </w:pPr>
    </w:p>
    <w:p>
      <w:pPr>
        <w:sectPr>
          <w:pgSz w:w="12240" w:h="15840" w:orient="portrait"/>
          <w:cols w:equalWidth="0" w:num="1">
            <w:col w:w="10260"/>
          </w:cols>
          <w:pgMar w:left="1000" w:top="731" w:right="980" w:bottom="222"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20"/>
          <w:szCs w:val="20"/>
          <w:color w:val="auto"/>
        </w:rPr>
        <w:t>F-8</w:t>
      </w:r>
    </w:p>
    <w:p>
      <w:pPr>
        <w:sectPr>
          <w:pgSz w:w="12240" w:h="15840" w:orient="portrait"/>
          <w:cols w:equalWidth="0" w:num="1">
            <w:col w:w="10260"/>
          </w:cols>
          <w:pgMar w:left="1000" w:top="731" w:right="980" w:bottom="222" w:gutter="0" w:footer="0" w:header="0"/>
          <w:type w:val="continuous"/>
        </w:sectPr>
      </w:pPr>
    </w:p>
    <w:bookmarkStart w:id="128" w:name="page129"/>
    <w:bookmarkEnd w:id="128"/>
    <w:p>
      <w:pPr>
        <w:jc w:val="center"/>
        <w:ind w:right="20"/>
        <w:spacing w:after="0"/>
        <w:rPr>
          <w:sz w:val="20"/>
          <w:szCs w:val="20"/>
          <w:color w:val="auto"/>
        </w:rPr>
      </w:pPr>
      <w:r>
        <w:rPr>
          <w:rFonts w:ascii="Times New Roman" w:cs="Times New Roman" w:eastAsia="Times New Roman" w:hAnsi="Times New Roman"/>
          <w:sz w:val="20"/>
          <w:szCs w:val="20"/>
          <w:b w:val="1"/>
          <w:bCs w:val="1"/>
          <w:color w:val="auto"/>
        </w:rPr>
        <w:t>WM TECHNOLOGY, INC. AND SUBSIDIARIES</w:t>
      </w:r>
    </w:p>
    <w:p>
      <w:pPr>
        <w:spacing w:after="0" w:line="4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NOTES TO CONSOLIDATED FINANCIAL STATEMENTS</w:t>
      </w:r>
    </w:p>
    <w:p>
      <w:pPr>
        <w:spacing w:after="0" w:line="200" w:lineRule="exact"/>
        <w:rPr>
          <w:sz w:val="20"/>
          <w:szCs w:val="20"/>
          <w:color w:val="auto"/>
        </w:rPr>
      </w:pPr>
    </w:p>
    <w:p>
      <w:pPr>
        <w:spacing w:after="0" w:line="322" w:lineRule="exact"/>
        <w:rPr>
          <w:sz w:val="20"/>
          <w:szCs w:val="20"/>
          <w:color w:val="auto"/>
        </w:rPr>
      </w:pPr>
    </w:p>
    <w:tbl>
      <w:tblPr>
        <w:tblLayout w:type="fixed"/>
        <w:tblInd w:w="0" w:type="dxa"/>
        <w:tblCellMar>
          <w:top w:w="0" w:type="dxa"/>
          <w:left w:w="0" w:type="dxa"/>
          <w:bottom w:w="0" w:type="dxa"/>
          <w:right w:w="0" w:type="dxa"/>
        </w:tblCellMar>
      </w:tblPr>
      <w:tr>
        <w:trPr>
          <w:trHeight w:val="281"/>
        </w:trPr>
        <w:tc>
          <w:tcPr>
            <w:tcW w:w="40" w:type="dxa"/>
            <w:vAlign w:val="bottom"/>
          </w:tcPr>
          <w:p>
            <w:pPr>
              <w:spacing w:after="0"/>
              <w:rPr>
                <w:sz w:val="24"/>
                <w:szCs w:val="24"/>
                <w:color w:val="auto"/>
              </w:rPr>
            </w:pPr>
          </w:p>
        </w:tc>
        <w:tc>
          <w:tcPr>
            <w:tcW w:w="5260" w:type="dxa"/>
            <w:vAlign w:val="bottom"/>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4700" w:type="dxa"/>
            <w:vAlign w:val="bottom"/>
            <w:tcBorders>
              <w:bottom w:val="single" w:sz="8" w:color="auto"/>
            </w:tcBorders>
            <w:gridSpan w:val="9"/>
          </w:tcPr>
          <w:p>
            <w:pPr>
              <w:jc w:val="center"/>
              <w:ind w:right="159"/>
              <w:spacing w:after="0"/>
              <w:rPr>
                <w:sz w:val="20"/>
                <w:szCs w:val="20"/>
                <w:color w:val="auto"/>
              </w:rPr>
            </w:pPr>
            <w:r>
              <w:rPr>
                <w:rFonts w:ascii="Times New Roman" w:cs="Times New Roman" w:eastAsia="Times New Roman" w:hAnsi="Times New Roman"/>
                <w:sz w:val="20"/>
                <w:szCs w:val="20"/>
                <w:b w:val="1"/>
                <w:bCs w:val="1"/>
                <w:color w:val="auto"/>
              </w:rPr>
              <w:t>Six Months Ended June 30, 2023</w:t>
            </w:r>
          </w:p>
        </w:tc>
        <w:tc>
          <w:tcPr>
            <w:tcW w:w="0" w:type="dxa"/>
            <w:vAlign w:val="bottom"/>
          </w:tcPr>
          <w:p>
            <w:pPr>
              <w:spacing w:after="0"/>
              <w:rPr>
                <w:sz w:val="1"/>
                <w:szCs w:val="1"/>
                <w:color w:val="auto"/>
              </w:rPr>
            </w:pPr>
          </w:p>
        </w:tc>
      </w:tr>
      <w:tr>
        <w:trPr>
          <w:trHeight w:val="239"/>
        </w:trPr>
        <w:tc>
          <w:tcPr>
            <w:tcW w:w="40" w:type="dxa"/>
            <w:vAlign w:val="bottom"/>
          </w:tcPr>
          <w:p>
            <w:pPr>
              <w:spacing w:after="0"/>
              <w:rPr>
                <w:sz w:val="20"/>
                <w:szCs w:val="20"/>
                <w:color w:val="auto"/>
              </w:rPr>
            </w:pPr>
          </w:p>
        </w:tc>
        <w:tc>
          <w:tcPr>
            <w:tcW w:w="526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360" w:type="dxa"/>
            <w:vAlign w:val="bottom"/>
            <w:gridSpan w:val="2"/>
          </w:tcPr>
          <w:p>
            <w:pPr>
              <w:jc w:val="center"/>
              <w:ind w:right="300"/>
              <w:spacing w:after="0"/>
              <w:rPr>
                <w:sz w:val="20"/>
                <w:szCs w:val="20"/>
                <w:color w:val="auto"/>
              </w:rPr>
            </w:pPr>
            <w:r>
              <w:rPr>
                <w:rFonts w:ascii="Times New Roman" w:cs="Times New Roman" w:eastAsia="Times New Roman" w:hAnsi="Times New Roman"/>
                <w:sz w:val="20"/>
                <w:szCs w:val="20"/>
                <w:b w:val="1"/>
                <w:bCs w:val="1"/>
                <w:color w:val="auto"/>
                <w:w w:val="99"/>
              </w:rPr>
              <w:t>Previously</w:t>
            </w:r>
          </w:p>
        </w:tc>
        <w:tc>
          <w:tcPr>
            <w:tcW w:w="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3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3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84"/>
        </w:trPr>
        <w:tc>
          <w:tcPr>
            <w:tcW w:w="40" w:type="dxa"/>
            <w:vAlign w:val="bottom"/>
          </w:tcPr>
          <w:p>
            <w:pPr>
              <w:spacing w:after="0"/>
              <w:rPr>
                <w:sz w:val="24"/>
                <w:szCs w:val="24"/>
                <w:color w:val="auto"/>
              </w:rPr>
            </w:pPr>
          </w:p>
        </w:tc>
        <w:tc>
          <w:tcPr>
            <w:tcW w:w="52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360" w:type="dxa"/>
            <w:vAlign w:val="bottom"/>
            <w:gridSpan w:val="2"/>
          </w:tcPr>
          <w:p>
            <w:pPr>
              <w:jc w:val="center"/>
              <w:ind w:right="280"/>
              <w:spacing w:after="0"/>
              <w:rPr>
                <w:sz w:val="20"/>
                <w:szCs w:val="20"/>
                <w:color w:val="auto"/>
              </w:rPr>
            </w:pPr>
            <w:r>
              <w:rPr>
                <w:rFonts w:ascii="Times New Roman" w:cs="Times New Roman" w:eastAsia="Times New Roman" w:hAnsi="Times New Roman"/>
                <w:sz w:val="20"/>
                <w:szCs w:val="20"/>
                <w:b w:val="1"/>
                <w:bCs w:val="1"/>
                <w:color w:val="auto"/>
                <w:w w:val="99"/>
              </w:rPr>
              <w:t>Reported</w:t>
            </w:r>
          </w:p>
        </w:tc>
        <w:tc>
          <w:tcPr>
            <w:tcW w:w="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400" w:type="dxa"/>
            <w:vAlign w:val="bottom"/>
            <w:gridSpan w:val="2"/>
          </w:tcPr>
          <w:p>
            <w:pPr>
              <w:jc w:val="center"/>
              <w:ind w:right="260"/>
              <w:spacing w:after="0"/>
              <w:rPr>
                <w:sz w:val="20"/>
                <w:szCs w:val="20"/>
                <w:color w:val="auto"/>
              </w:rPr>
            </w:pPr>
            <w:r>
              <w:rPr>
                <w:rFonts w:ascii="Times New Roman" w:cs="Times New Roman" w:eastAsia="Times New Roman" w:hAnsi="Times New Roman"/>
                <w:sz w:val="20"/>
                <w:szCs w:val="20"/>
                <w:b w:val="1"/>
                <w:bCs w:val="1"/>
                <w:color w:val="auto"/>
              </w:rPr>
              <w:t>Adjustment</w:t>
            </w:r>
          </w:p>
        </w:tc>
        <w:tc>
          <w:tcPr>
            <w:tcW w:w="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380" w:type="dxa"/>
            <w:vAlign w:val="bottom"/>
          </w:tcPr>
          <w:p>
            <w:pPr>
              <w:jc w:val="right"/>
              <w:ind w:right="199"/>
              <w:spacing w:after="0"/>
              <w:rPr>
                <w:sz w:val="20"/>
                <w:szCs w:val="20"/>
                <w:color w:val="auto"/>
              </w:rPr>
            </w:pPr>
            <w:r>
              <w:rPr>
                <w:rFonts w:ascii="Times New Roman" w:cs="Times New Roman" w:eastAsia="Times New Roman" w:hAnsi="Times New Roman"/>
                <w:sz w:val="20"/>
                <w:szCs w:val="20"/>
                <w:b w:val="1"/>
                <w:bCs w:val="1"/>
                <w:color w:val="auto"/>
              </w:rPr>
              <w:t>As Restated</w:t>
            </w:r>
          </w:p>
        </w:tc>
        <w:tc>
          <w:tcPr>
            <w:tcW w:w="0" w:type="dxa"/>
            <w:vAlign w:val="bottom"/>
          </w:tcPr>
          <w:p>
            <w:pPr>
              <w:spacing w:after="0"/>
              <w:rPr>
                <w:sz w:val="1"/>
                <w:szCs w:val="1"/>
                <w:color w:val="auto"/>
              </w:rPr>
            </w:pPr>
          </w:p>
        </w:tc>
      </w:tr>
      <w:tr>
        <w:trPr>
          <w:trHeight w:val="246"/>
        </w:trPr>
        <w:tc>
          <w:tcPr>
            <w:tcW w:w="40" w:type="dxa"/>
            <w:vAlign w:val="bottom"/>
            <w:tcBorders>
              <w:top w:val="single" w:sz="8" w:color="DDDDDD"/>
            </w:tcBorders>
            <w:shd w:val="clear" w:color="auto" w:fill="DDDDDD"/>
          </w:tcPr>
          <w:p>
            <w:pPr>
              <w:spacing w:after="0"/>
              <w:rPr>
                <w:sz w:val="21"/>
                <w:szCs w:val="21"/>
                <w:color w:val="auto"/>
              </w:rPr>
            </w:pPr>
          </w:p>
        </w:tc>
        <w:tc>
          <w:tcPr>
            <w:tcW w:w="5260" w:type="dxa"/>
            <w:vAlign w:val="bottom"/>
            <w:tcBorders>
              <w:top w:val="single" w:sz="8" w:color="DDDDDD"/>
            </w:tcBorders>
            <w:shd w:val="clear" w:color="auto" w:fill="DDDDDD"/>
          </w:tcPr>
          <w:p>
            <w:pPr>
              <w:spacing w:after="0"/>
              <w:rPr>
                <w:sz w:val="20"/>
                <w:szCs w:val="20"/>
                <w:color w:val="auto"/>
              </w:rPr>
            </w:pPr>
            <w:r>
              <w:rPr>
                <w:rFonts w:ascii="Times New Roman" w:cs="Times New Roman" w:eastAsia="Times New Roman" w:hAnsi="Times New Roman"/>
                <w:sz w:val="20"/>
                <w:szCs w:val="20"/>
                <w:color w:val="auto"/>
              </w:rPr>
              <w:t>Adjustments to reconcile net income (loss) to net cash (used in)</w:t>
            </w:r>
          </w:p>
        </w:tc>
        <w:tc>
          <w:tcPr>
            <w:tcW w:w="260" w:type="dxa"/>
            <w:vAlign w:val="bottom"/>
            <w:tcBorders>
              <w:top w:val="single" w:sz="8" w:color="auto"/>
            </w:tcBorders>
            <w:shd w:val="clear" w:color="auto" w:fill="DDDDDD"/>
          </w:tcPr>
          <w:p>
            <w:pPr>
              <w:spacing w:after="0"/>
              <w:rPr>
                <w:sz w:val="21"/>
                <w:szCs w:val="21"/>
                <w:color w:val="auto"/>
              </w:rPr>
            </w:pPr>
          </w:p>
        </w:tc>
        <w:tc>
          <w:tcPr>
            <w:tcW w:w="1340" w:type="dxa"/>
            <w:vAlign w:val="bottom"/>
            <w:tcBorders>
              <w:top w:val="single" w:sz="8" w:color="auto"/>
            </w:tcBorders>
            <w:shd w:val="clear" w:color="auto" w:fill="DDDDDD"/>
          </w:tcPr>
          <w:p>
            <w:pPr>
              <w:spacing w:after="0"/>
              <w:rPr>
                <w:sz w:val="21"/>
                <w:szCs w:val="21"/>
                <w:color w:val="auto"/>
              </w:rPr>
            </w:pPr>
          </w:p>
        </w:tc>
        <w:tc>
          <w:tcPr>
            <w:tcW w:w="20" w:type="dxa"/>
            <w:vAlign w:val="bottom"/>
            <w:tcBorders>
              <w:top w:val="single" w:sz="8" w:color="DDDDDD"/>
            </w:tcBorders>
            <w:shd w:val="clear" w:color="auto" w:fill="DDDDDD"/>
          </w:tcPr>
          <w:p>
            <w:pPr>
              <w:spacing w:after="0"/>
              <w:rPr>
                <w:sz w:val="21"/>
                <w:szCs w:val="21"/>
                <w:color w:val="auto"/>
              </w:rPr>
            </w:pPr>
          </w:p>
        </w:tc>
        <w:tc>
          <w:tcPr>
            <w:tcW w:w="60" w:type="dxa"/>
            <w:vAlign w:val="bottom"/>
            <w:tcBorders>
              <w:top w:val="single" w:sz="8" w:color="DDDDDD"/>
            </w:tcBorders>
            <w:shd w:val="clear" w:color="auto" w:fill="DDDDDD"/>
          </w:tcPr>
          <w:p>
            <w:pPr>
              <w:spacing w:after="0"/>
              <w:rPr>
                <w:sz w:val="21"/>
                <w:szCs w:val="21"/>
                <w:color w:val="auto"/>
              </w:rPr>
            </w:pPr>
          </w:p>
        </w:tc>
        <w:tc>
          <w:tcPr>
            <w:tcW w:w="220" w:type="dxa"/>
            <w:vAlign w:val="bottom"/>
            <w:tcBorders>
              <w:top w:val="single" w:sz="8" w:color="auto"/>
            </w:tcBorders>
            <w:shd w:val="clear" w:color="auto" w:fill="DDDDDD"/>
          </w:tcPr>
          <w:p>
            <w:pPr>
              <w:spacing w:after="0"/>
              <w:rPr>
                <w:sz w:val="21"/>
                <w:szCs w:val="21"/>
                <w:color w:val="auto"/>
              </w:rPr>
            </w:pPr>
          </w:p>
        </w:tc>
        <w:tc>
          <w:tcPr>
            <w:tcW w:w="1380" w:type="dxa"/>
            <w:vAlign w:val="bottom"/>
            <w:tcBorders>
              <w:top w:val="single" w:sz="8" w:color="auto"/>
            </w:tcBorders>
            <w:shd w:val="clear" w:color="auto" w:fill="DDDDDD"/>
          </w:tcPr>
          <w:p>
            <w:pPr>
              <w:spacing w:after="0"/>
              <w:rPr>
                <w:sz w:val="21"/>
                <w:szCs w:val="21"/>
                <w:color w:val="auto"/>
              </w:rPr>
            </w:pPr>
          </w:p>
        </w:tc>
        <w:tc>
          <w:tcPr>
            <w:tcW w:w="20" w:type="dxa"/>
            <w:vAlign w:val="bottom"/>
            <w:tcBorders>
              <w:top w:val="single" w:sz="8" w:color="DDDDDD"/>
            </w:tcBorders>
            <w:shd w:val="clear" w:color="auto" w:fill="DDDDDD"/>
          </w:tcPr>
          <w:p>
            <w:pPr>
              <w:spacing w:after="0"/>
              <w:rPr>
                <w:sz w:val="21"/>
                <w:szCs w:val="21"/>
                <w:color w:val="auto"/>
              </w:rPr>
            </w:pPr>
          </w:p>
        </w:tc>
        <w:tc>
          <w:tcPr>
            <w:tcW w:w="60" w:type="dxa"/>
            <w:vAlign w:val="bottom"/>
            <w:tcBorders>
              <w:top w:val="single" w:sz="8" w:color="DDDDDD"/>
            </w:tcBorders>
            <w:shd w:val="clear" w:color="auto" w:fill="DDDDDD"/>
          </w:tcPr>
          <w:p>
            <w:pPr>
              <w:spacing w:after="0"/>
              <w:rPr>
                <w:sz w:val="21"/>
                <w:szCs w:val="21"/>
                <w:color w:val="auto"/>
              </w:rPr>
            </w:pPr>
          </w:p>
        </w:tc>
        <w:tc>
          <w:tcPr>
            <w:tcW w:w="220" w:type="dxa"/>
            <w:vAlign w:val="bottom"/>
            <w:tcBorders>
              <w:top w:val="single" w:sz="8" w:color="auto"/>
            </w:tcBorders>
            <w:shd w:val="clear" w:color="auto" w:fill="DDDDDD"/>
          </w:tcPr>
          <w:p>
            <w:pPr>
              <w:spacing w:after="0"/>
              <w:rPr>
                <w:sz w:val="21"/>
                <w:szCs w:val="21"/>
                <w:color w:val="auto"/>
              </w:rPr>
            </w:pPr>
          </w:p>
        </w:tc>
        <w:tc>
          <w:tcPr>
            <w:tcW w:w="1380" w:type="dxa"/>
            <w:vAlign w:val="bottom"/>
            <w:tcBorders>
              <w:top w:val="single" w:sz="8" w:color="auto"/>
            </w:tcBorders>
            <w:shd w:val="clear" w:color="auto" w:fill="DDDDDD"/>
          </w:tcPr>
          <w:p>
            <w:pPr>
              <w:spacing w:after="0"/>
              <w:rPr>
                <w:sz w:val="21"/>
                <w:szCs w:val="21"/>
                <w:color w:val="auto"/>
              </w:rPr>
            </w:pPr>
          </w:p>
        </w:tc>
        <w:tc>
          <w:tcPr>
            <w:tcW w:w="0" w:type="dxa"/>
            <w:vAlign w:val="bottom"/>
          </w:tcPr>
          <w:p>
            <w:pPr>
              <w:spacing w:after="0"/>
              <w:rPr>
                <w:sz w:val="1"/>
                <w:szCs w:val="1"/>
                <w:color w:val="auto"/>
              </w:rPr>
            </w:pPr>
          </w:p>
        </w:tc>
      </w:tr>
      <w:tr>
        <w:trPr>
          <w:trHeight w:val="282"/>
        </w:trPr>
        <w:tc>
          <w:tcPr>
            <w:tcW w:w="40" w:type="dxa"/>
            <w:vAlign w:val="bottom"/>
            <w:shd w:val="clear" w:color="auto" w:fill="DDDDDD"/>
          </w:tcPr>
          <w:p>
            <w:pPr>
              <w:spacing w:after="0"/>
              <w:rPr>
                <w:sz w:val="24"/>
                <w:szCs w:val="24"/>
                <w:color w:val="auto"/>
              </w:rPr>
            </w:pPr>
          </w:p>
        </w:tc>
        <w:tc>
          <w:tcPr>
            <w:tcW w:w="5260" w:type="dxa"/>
            <w:vAlign w:val="bottom"/>
            <w:shd w:val="clear" w:color="auto" w:fill="DDDDDD"/>
          </w:tcPr>
          <w:p>
            <w:pPr>
              <w:spacing w:after="0"/>
              <w:rPr>
                <w:sz w:val="20"/>
                <w:szCs w:val="20"/>
                <w:color w:val="auto"/>
              </w:rPr>
            </w:pPr>
            <w:r>
              <w:rPr>
                <w:rFonts w:ascii="Times New Roman" w:cs="Times New Roman" w:eastAsia="Times New Roman" w:hAnsi="Times New Roman"/>
                <w:sz w:val="20"/>
                <w:szCs w:val="20"/>
                <w:color w:val="auto"/>
              </w:rPr>
              <w:t>provided by operating activities:</w:t>
            </w:r>
          </w:p>
        </w:tc>
        <w:tc>
          <w:tcPr>
            <w:tcW w:w="260" w:type="dxa"/>
            <w:vAlign w:val="bottom"/>
            <w:shd w:val="clear" w:color="auto" w:fill="DDDDDD"/>
          </w:tcPr>
          <w:p>
            <w:pPr>
              <w:spacing w:after="0"/>
              <w:rPr>
                <w:sz w:val="24"/>
                <w:szCs w:val="24"/>
                <w:color w:val="auto"/>
              </w:rPr>
            </w:pPr>
          </w:p>
        </w:tc>
        <w:tc>
          <w:tcPr>
            <w:tcW w:w="1340" w:type="dxa"/>
            <w:vAlign w:val="bottom"/>
            <w:shd w:val="clear" w:color="auto" w:fill="DDDDDD"/>
          </w:tcPr>
          <w:p>
            <w:pPr>
              <w:spacing w:after="0"/>
              <w:rPr>
                <w:sz w:val="24"/>
                <w:szCs w:val="24"/>
                <w:color w:val="auto"/>
              </w:rPr>
            </w:pPr>
          </w:p>
        </w:tc>
        <w:tc>
          <w:tcPr>
            <w:tcW w:w="20" w:type="dxa"/>
            <w:vAlign w:val="bottom"/>
            <w:shd w:val="clear" w:color="auto" w:fill="DDDDDD"/>
          </w:tcPr>
          <w:p>
            <w:pPr>
              <w:spacing w:after="0"/>
              <w:rPr>
                <w:sz w:val="24"/>
                <w:szCs w:val="24"/>
                <w:color w:val="auto"/>
              </w:rPr>
            </w:pPr>
          </w:p>
        </w:tc>
        <w:tc>
          <w:tcPr>
            <w:tcW w:w="60" w:type="dxa"/>
            <w:vAlign w:val="bottom"/>
            <w:shd w:val="clear" w:color="auto" w:fill="DDDDDD"/>
          </w:tcPr>
          <w:p>
            <w:pPr>
              <w:spacing w:after="0"/>
              <w:rPr>
                <w:sz w:val="24"/>
                <w:szCs w:val="24"/>
                <w:color w:val="auto"/>
              </w:rPr>
            </w:pPr>
          </w:p>
        </w:tc>
        <w:tc>
          <w:tcPr>
            <w:tcW w:w="220" w:type="dxa"/>
            <w:vAlign w:val="bottom"/>
            <w:shd w:val="clear" w:color="auto" w:fill="DDDDDD"/>
          </w:tcPr>
          <w:p>
            <w:pPr>
              <w:spacing w:after="0"/>
              <w:rPr>
                <w:sz w:val="24"/>
                <w:szCs w:val="24"/>
                <w:color w:val="auto"/>
              </w:rPr>
            </w:pPr>
          </w:p>
        </w:tc>
        <w:tc>
          <w:tcPr>
            <w:tcW w:w="1380" w:type="dxa"/>
            <w:vAlign w:val="bottom"/>
            <w:shd w:val="clear" w:color="auto" w:fill="DDDDDD"/>
          </w:tcPr>
          <w:p>
            <w:pPr>
              <w:spacing w:after="0"/>
              <w:rPr>
                <w:sz w:val="24"/>
                <w:szCs w:val="24"/>
                <w:color w:val="auto"/>
              </w:rPr>
            </w:pPr>
          </w:p>
        </w:tc>
        <w:tc>
          <w:tcPr>
            <w:tcW w:w="20" w:type="dxa"/>
            <w:vAlign w:val="bottom"/>
            <w:shd w:val="clear" w:color="auto" w:fill="DDDDDD"/>
          </w:tcPr>
          <w:p>
            <w:pPr>
              <w:spacing w:after="0"/>
              <w:rPr>
                <w:sz w:val="24"/>
                <w:szCs w:val="24"/>
                <w:color w:val="auto"/>
              </w:rPr>
            </w:pPr>
          </w:p>
        </w:tc>
        <w:tc>
          <w:tcPr>
            <w:tcW w:w="60" w:type="dxa"/>
            <w:vAlign w:val="bottom"/>
            <w:shd w:val="clear" w:color="auto" w:fill="DDDDDD"/>
          </w:tcPr>
          <w:p>
            <w:pPr>
              <w:spacing w:after="0"/>
              <w:rPr>
                <w:sz w:val="24"/>
                <w:szCs w:val="24"/>
                <w:color w:val="auto"/>
              </w:rPr>
            </w:pPr>
          </w:p>
        </w:tc>
        <w:tc>
          <w:tcPr>
            <w:tcW w:w="220" w:type="dxa"/>
            <w:vAlign w:val="bottom"/>
            <w:shd w:val="clear" w:color="auto" w:fill="DDDDDD"/>
          </w:tcPr>
          <w:p>
            <w:pPr>
              <w:spacing w:after="0"/>
              <w:rPr>
                <w:sz w:val="24"/>
                <w:szCs w:val="24"/>
                <w:color w:val="auto"/>
              </w:rPr>
            </w:pPr>
          </w:p>
        </w:tc>
        <w:tc>
          <w:tcPr>
            <w:tcW w:w="1380" w:type="dxa"/>
            <w:vAlign w:val="bottom"/>
            <w:shd w:val="clear" w:color="auto" w:fill="DDDDDD"/>
          </w:tcPr>
          <w:p>
            <w:pPr>
              <w:spacing w:after="0"/>
              <w:rPr>
                <w:sz w:val="24"/>
                <w:szCs w:val="24"/>
                <w:color w:val="auto"/>
              </w:rPr>
            </w:pPr>
          </w:p>
        </w:tc>
        <w:tc>
          <w:tcPr>
            <w:tcW w:w="0" w:type="dxa"/>
            <w:vAlign w:val="bottom"/>
          </w:tcPr>
          <w:p>
            <w:pPr>
              <w:spacing w:after="0"/>
              <w:rPr>
                <w:sz w:val="1"/>
                <w:szCs w:val="1"/>
                <w:color w:val="auto"/>
              </w:rPr>
            </w:pPr>
          </w:p>
        </w:tc>
      </w:tr>
      <w:tr>
        <w:trPr>
          <w:trHeight w:val="350"/>
        </w:trPr>
        <w:tc>
          <w:tcPr>
            <w:tcW w:w="40" w:type="dxa"/>
            <w:vAlign w:val="bottom"/>
          </w:tcPr>
          <w:p>
            <w:pPr>
              <w:spacing w:after="0"/>
              <w:rPr>
                <w:sz w:val="24"/>
                <w:szCs w:val="24"/>
                <w:color w:val="auto"/>
              </w:rPr>
            </w:pPr>
          </w:p>
        </w:tc>
        <w:tc>
          <w:tcPr>
            <w:tcW w:w="5260" w:type="dxa"/>
            <w:vAlign w:val="bottom"/>
          </w:tcPr>
          <w:p>
            <w:pPr>
              <w:ind w:left="240"/>
              <w:spacing w:after="0"/>
              <w:rPr>
                <w:sz w:val="20"/>
                <w:szCs w:val="20"/>
                <w:color w:val="auto"/>
              </w:rPr>
            </w:pPr>
            <w:r>
              <w:rPr>
                <w:rFonts w:ascii="Times New Roman" w:cs="Times New Roman" w:eastAsia="Times New Roman" w:hAnsi="Times New Roman"/>
                <w:sz w:val="20"/>
                <w:szCs w:val="20"/>
                <w:color w:val="auto"/>
              </w:rPr>
              <w:t>Provision for credit losses</w:t>
            </w:r>
          </w:p>
        </w:tc>
        <w:tc>
          <w:tcPr>
            <w:tcW w:w="2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13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3,605</w:t>
            </w:r>
          </w:p>
        </w:tc>
        <w:tc>
          <w:tcPr>
            <w:tcW w:w="20" w:type="dxa"/>
            <w:vAlign w:val="bottom"/>
          </w:tcPr>
          <w:p>
            <w:pPr>
              <w:spacing w:after="0"/>
              <w:rPr>
                <w:sz w:val="24"/>
                <w:szCs w:val="24"/>
                <w:color w:val="auto"/>
              </w:rPr>
            </w:pPr>
          </w:p>
        </w:tc>
        <w:tc>
          <w:tcPr>
            <w:tcW w:w="28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1380" w:type="dxa"/>
            <w:vAlign w:val="bottom"/>
          </w:tcPr>
          <w:p>
            <w:pPr>
              <w:jc w:val="center"/>
              <w:ind w:left="659"/>
              <w:spacing w:after="0"/>
              <w:rPr>
                <w:sz w:val="20"/>
                <w:szCs w:val="20"/>
                <w:color w:val="auto"/>
              </w:rPr>
            </w:pPr>
            <w:r>
              <w:rPr>
                <w:rFonts w:ascii="Times New Roman" w:cs="Times New Roman" w:eastAsia="Times New Roman" w:hAnsi="Times New Roman"/>
                <w:sz w:val="20"/>
                <w:szCs w:val="20"/>
                <w:color w:val="auto"/>
                <w:w w:val="99"/>
              </w:rPr>
              <w:t>(4,020)</w:t>
            </w:r>
          </w:p>
        </w:tc>
        <w:tc>
          <w:tcPr>
            <w:tcW w:w="20" w:type="dxa"/>
            <w:vAlign w:val="bottom"/>
          </w:tcPr>
          <w:p>
            <w:pPr>
              <w:spacing w:after="0"/>
              <w:rPr>
                <w:sz w:val="24"/>
                <w:szCs w:val="24"/>
                <w:color w:val="auto"/>
              </w:rPr>
            </w:pPr>
          </w:p>
        </w:tc>
        <w:tc>
          <w:tcPr>
            <w:tcW w:w="28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13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(415)</w:t>
            </w:r>
          </w:p>
        </w:tc>
        <w:tc>
          <w:tcPr>
            <w:tcW w:w="0" w:type="dxa"/>
            <w:vAlign w:val="bottom"/>
          </w:tcPr>
          <w:p>
            <w:pPr>
              <w:spacing w:after="0"/>
              <w:rPr>
                <w:sz w:val="1"/>
                <w:szCs w:val="1"/>
                <w:color w:val="auto"/>
              </w:rPr>
            </w:pPr>
          </w:p>
        </w:tc>
      </w:tr>
      <w:tr>
        <w:trPr>
          <w:trHeight w:val="370"/>
        </w:trPr>
        <w:tc>
          <w:tcPr>
            <w:tcW w:w="40" w:type="dxa"/>
            <w:vAlign w:val="bottom"/>
            <w:shd w:val="clear" w:color="auto" w:fill="DDDDDD"/>
          </w:tcPr>
          <w:p>
            <w:pPr>
              <w:spacing w:after="0"/>
              <w:rPr>
                <w:sz w:val="24"/>
                <w:szCs w:val="24"/>
                <w:color w:val="auto"/>
              </w:rPr>
            </w:pPr>
          </w:p>
        </w:tc>
        <w:tc>
          <w:tcPr>
            <w:tcW w:w="5260" w:type="dxa"/>
            <w:vAlign w:val="bottom"/>
            <w:shd w:val="clear" w:color="auto" w:fill="DDDDDD"/>
          </w:tcPr>
          <w:p>
            <w:pPr>
              <w:spacing w:after="0"/>
              <w:rPr>
                <w:sz w:val="24"/>
                <w:szCs w:val="24"/>
                <w:color w:val="auto"/>
              </w:rPr>
            </w:pPr>
          </w:p>
        </w:tc>
        <w:tc>
          <w:tcPr>
            <w:tcW w:w="260" w:type="dxa"/>
            <w:vAlign w:val="bottom"/>
            <w:shd w:val="clear" w:color="auto" w:fill="DDDDDD"/>
          </w:tcPr>
          <w:p>
            <w:pPr>
              <w:spacing w:after="0"/>
              <w:rPr>
                <w:sz w:val="24"/>
                <w:szCs w:val="24"/>
                <w:color w:val="auto"/>
              </w:rPr>
            </w:pPr>
          </w:p>
        </w:tc>
        <w:tc>
          <w:tcPr>
            <w:tcW w:w="1340" w:type="dxa"/>
            <w:vAlign w:val="bottom"/>
            <w:shd w:val="clear" w:color="auto" w:fill="DDDDDD"/>
          </w:tcPr>
          <w:p>
            <w:pPr>
              <w:spacing w:after="0"/>
              <w:rPr>
                <w:sz w:val="24"/>
                <w:szCs w:val="24"/>
                <w:color w:val="auto"/>
              </w:rPr>
            </w:pPr>
          </w:p>
        </w:tc>
        <w:tc>
          <w:tcPr>
            <w:tcW w:w="20" w:type="dxa"/>
            <w:vAlign w:val="bottom"/>
            <w:shd w:val="clear" w:color="auto" w:fill="DDDDDD"/>
          </w:tcPr>
          <w:p>
            <w:pPr>
              <w:spacing w:after="0"/>
              <w:rPr>
                <w:sz w:val="24"/>
                <w:szCs w:val="24"/>
                <w:color w:val="auto"/>
              </w:rPr>
            </w:pPr>
          </w:p>
        </w:tc>
        <w:tc>
          <w:tcPr>
            <w:tcW w:w="60" w:type="dxa"/>
            <w:vAlign w:val="bottom"/>
            <w:shd w:val="clear" w:color="auto" w:fill="DDDDDD"/>
          </w:tcPr>
          <w:p>
            <w:pPr>
              <w:spacing w:after="0"/>
              <w:rPr>
                <w:sz w:val="24"/>
                <w:szCs w:val="24"/>
                <w:color w:val="auto"/>
              </w:rPr>
            </w:pPr>
          </w:p>
        </w:tc>
        <w:tc>
          <w:tcPr>
            <w:tcW w:w="220" w:type="dxa"/>
            <w:vAlign w:val="bottom"/>
            <w:shd w:val="clear" w:color="auto" w:fill="DDDDDD"/>
          </w:tcPr>
          <w:p>
            <w:pPr>
              <w:spacing w:after="0"/>
              <w:rPr>
                <w:sz w:val="24"/>
                <w:szCs w:val="24"/>
                <w:color w:val="auto"/>
              </w:rPr>
            </w:pPr>
          </w:p>
        </w:tc>
        <w:tc>
          <w:tcPr>
            <w:tcW w:w="1380" w:type="dxa"/>
            <w:vAlign w:val="bottom"/>
            <w:shd w:val="clear" w:color="auto" w:fill="DDDDDD"/>
          </w:tcPr>
          <w:p>
            <w:pPr>
              <w:spacing w:after="0"/>
              <w:rPr>
                <w:sz w:val="24"/>
                <w:szCs w:val="24"/>
                <w:color w:val="auto"/>
              </w:rPr>
            </w:pPr>
          </w:p>
        </w:tc>
        <w:tc>
          <w:tcPr>
            <w:tcW w:w="20" w:type="dxa"/>
            <w:vAlign w:val="bottom"/>
            <w:shd w:val="clear" w:color="auto" w:fill="DDDDDD"/>
          </w:tcPr>
          <w:p>
            <w:pPr>
              <w:spacing w:after="0"/>
              <w:rPr>
                <w:sz w:val="24"/>
                <w:szCs w:val="24"/>
                <w:color w:val="auto"/>
              </w:rPr>
            </w:pPr>
          </w:p>
        </w:tc>
        <w:tc>
          <w:tcPr>
            <w:tcW w:w="60" w:type="dxa"/>
            <w:vAlign w:val="bottom"/>
            <w:shd w:val="clear" w:color="auto" w:fill="DDDDDD"/>
          </w:tcPr>
          <w:p>
            <w:pPr>
              <w:spacing w:after="0"/>
              <w:rPr>
                <w:sz w:val="24"/>
                <w:szCs w:val="24"/>
                <w:color w:val="auto"/>
              </w:rPr>
            </w:pPr>
          </w:p>
        </w:tc>
        <w:tc>
          <w:tcPr>
            <w:tcW w:w="220" w:type="dxa"/>
            <w:vAlign w:val="bottom"/>
            <w:shd w:val="clear" w:color="auto" w:fill="DDDDDD"/>
          </w:tcPr>
          <w:p>
            <w:pPr>
              <w:spacing w:after="0"/>
              <w:rPr>
                <w:sz w:val="24"/>
                <w:szCs w:val="24"/>
                <w:color w:val="auto"/>
              </w:rPr>
            </w:pPr>
          </w:p>
        </w:tc>
        <w:tc>
          <w:tcPr>
            <w:tcW w:w="1380" w:type="dxa"/>
            <w:vAlign w:val="bottom"/>
            <w:shd w:val="clear" w:color="auto" w:fill="DDDDDD"/>
          </w:tcPr>
          <w:p>
            <w:pPr>
              <w:spacing w:after="0"/>
              <w:rPr>
                <w:sz w:val="24"/>
                <w:szCs w:val="24"/>
                <w:color w:val="auto"/>
              </w:rPr>
            </w:pPr>
          </w:p>
        </w:tc>
        <w:tc>
          <w:tcPr>
            <w:tcW w:w="0" w:type="dxa"/>
            <w:vAlign w:val="bottom"/>
          </w:tcPr>
          <w:p>
            <w:pPr>
              <w:spacing w:after="0"/>
              <w:rPr>
                <w:sz w:val="1"/>
                <w:szCs w:val="1"/>
                <w:color w:val="auto"/>
              </w:rPr>
            </w:pPr>
          </w:p>
        </w:tc>
      </w:tr>
      <w:tr>
        <w:trPr>
          <w:trHeight w:val="304"/>
        </w:trPr>
        <w:tc>
          <w:tcPr>
            <w:tcW w:w="40" w:type="dxa"/>
            <w:vAlign w:val="bottom"/>
          </w:tcPr>
          <w:p>
            <w:pPr>
              <w:spacing w:after="0"/>
              <w:rPr>
                <w:sz w:val="24"/>
                <w:szCs w:val="24"/>
                <w:color w:val="auto"/>
              </w:rPr>
            </w:pPr>
          </w:p>
        </w:tc>
        <w:tc>
          <w:tcPr>
            <w:tcW w:w="5260" w:type="dxa"/>
            <w:vAlign w:val="bottom"/>
          </w:tcPr>
          <w:p>
            <w:pPr>
              <w:spacing w:after="0"/>
              <w:rPr>
                <w:sz w:val="20"/>
                <w:szCs w:val="20"/>
                <w:color w:val="auto"/>
              </w:rPr>
            </w:pPr>
            <w:r>
              <w:rPr>
                <w:rFonts w:ascii="Times New Roman" w:cs="Times New Roman" w:eastAsia="Times New Roman" w:hAnsi="Times New Roman"/>
                <w:sz w:val="20"/>
                <w:szCs w:val="20"/>
                <w:color w:val="auto"/>
              </w:rPr>
              <w:t>Changes in operating assets and liabilities:</w:t>
            </w:r>
          </w:p>
        </w:tc>
        <w:tc>
          <w:tcPr>
            <w:tcW w:w="26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66"/>
        </w:trPr>
        <w:tc>
          <w:tcPr>
            <w:tcW w:w="40" w:type="dxa"/>
            <w:vAlign w:val="bottom"/>
            <w:shd w:val="clear" w:color="auto" w:fill="DDDDDD"/>
          </w:tcPr>
          <w:p>
            <w:pPr>
              <w:spacing w:after="0"/>
              <w:rPr>
                <w:sz w:val="24"/>
                <w:szCs w:val="24"/>
                <w:color w:val="auto"/>
              </w:rPr>
            </w:pPr>
          </w:p>
        </w:tc>
        <w:tc>
          <w:tcPr>
            <w:tcW w:w="5260" w:type="dxa"/>
            <w:vAlign w:val="bottom"/>
            <w:shd w:val="clear" w:color="auto" w:fill="DDDDDD"/>
          </w:tcPr>
          <w:p>
            <w:pPr>
              <w:ind w:left="240"/>
              <w:spacing w:after="0"/>
              <w:rPr>
                <w:sz w:val="20"/>
                <w:szCs w:val="20"/>
                <w:color w:val="auto"/>
              </w:rPr>
            </w:pPr>
            <w:r>
              <w:rPr>
                <w:rFonts w:ascii="Times New Roman" w:cs="Times New Roman" w:eastAsia="Times New Roman" w:hAnsi="Times New Roman"/>
                <w:sz w:val="20"/>
                <w:szCs w:val="20"/>
                <w:color w:val="auto"/>
              </w:rPr>
              <w:t>Accounts receivable</w:t>
            </w:r>
          </w:p>
        </w:tc>
        <w:tc>
          <w:tcPr>
            <w:tcW w:w="260" w:type="dxa"/>
            <w:vAlign w:val="bottom"/>
            <w:shd w:val="clear" w:color="auto" w:fill="DDDDDD"/>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1340" w:type="dxa"/>
            <w:vAlign w:val="bottom"/>
            <w:shd w:val="clear" w:color="auto" w:fill="DDDDDD"/>
          </w:tcPr>
          <w:p>
            <w:pPr>
              <w:jc w:val="right"/>
              <w:spacing w:after="0"/>
              <w:rPr>
                <w:sz w:val="20"/>
                <w:szCs w:val="20"/>
                <w:color w:val="auto"/>
              </w:rPr>
            </w:pPr>
            <w:r>
              <w:rPr>
                <w:rFonts w:ascii="Times New Roman" w:cs="Times New Roman" w:eastAsia="Times New Roman" w:hAnsi="Times New Roman"/>
                <w:sz w:val="20"/>
                <w:szCs w:val="20"/>
                <w:color w:val="auto"/>
              </w:rPr>
              <w:t>(1,138)</w:t>
            </w:r>
          </w:p>
        </w:tc>
        <w:tc>
          <w:tcPr>
            <w:tcW w:w="20" w:type="dxa"/>
            <w:vAlign w:val="bottom"/>
            <w:shd w:val="clear" w:color="auto" w:fill="DDDDDD"/>
          </w:tcPr>
          <w:p>
            <w:pPr>
              <w:spacing w:after="0"/>
              <w:rPr>
                <w:sz w:val="24"/>
                <w:szCs w:val="24"/>
                <w:color w:val="auto"/>
              </w:rPr>
            </w:pPr>
          </w:p>
        </w:tc>
        <w:tc>
          <w:tcPr>
            <w:tcW w:w="60" w:type="dxa"/>
            <w:vAlign w:val="bottom"/>
            <w:shd w:val="clear" w:color="auto" w:fill="DDDDDD"/>
          </w:tcPr>
          <w:p>
            <w:pPr>
              <w:spacing w:after="0"/>
              <w:rPr>
                <w:sz w:val="24"/>
                <w:szCs w:val="24"/>
                <w:color w:val="auto"/>
              </w:rPr>
            </w:pPr>
          </w:p>
        </w:tc>
        <w:tc>
          <w:tcPr>
            <w:tcW w:w="220" w:type="dxa"/>
            <w:vAlign w:val="bottom"/>
            <w:shd w:val="clear" w:color="auto" w:fill="DDDDDD"/>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1380" w:type="dxa"/>
            <w:vAlign w:val="bottom"/>
            <w:shd w:val="clear" w:color="auto" w:fill="DDDDDD"/>
          </w:tcPr>
          <w:p>
            <w:pPr>
              <w:jc w:val="center"/>
              <w:ind w:left="679"/>
              <w:spacing w:after="0"/>
              <w:rPr>
                <w:sz w:val="20"/>
                <w:szCs w:val="20"/>
                <w:color w:val="auto"/>
              </w:rPr>
            </w:pPr>
            <w:r>
              <w:rPr>
                <w:rFonts w:ascii="Times New Roman" w:cs="Times New Roman" w:eastAsia="Times New Roman" w:hAnsi="Times New Roman"/>
                <w:sz w:val="20"/>
                <w:szCs w:val="20"/>
                <w:color w:val="auto"/>
                <w:w w:val="97"/>
              </w:rPr>
              <w:t>4,020</w:t>
            </w:r>
          </w:p>
        </w:tc>
        <w:tc>
          <w:tcPr>
            <w:tcW w:w="20" w:type="dxa"/>
            <w:vAlign w:val="bottom"/>
            <w:shd w:val="clear" w:color="auto" w:fill="DDDDDD"/>
          </w:tcPr>
          <w:p>
            <w:pPr>
              <w:spacing w:after="0"/>
              <w:rPr>
                <w:sz w:val="24"/>
                <w:szCs w:val="24"/>
                <w:color w:val="auto"/>
              </w:rPr>
            </w:pPr>
          </w:p>
        </w:tc>
        <w:tc>
          <w:tcPr>
            <w:tcW w:w="60" w:type="dxa"/>
            <w:vAlign w:val="bottom"/>
            <w:shd w:val="clear" w:color="auto" w:fill="DDDDDD"/>
          </w:tcPr>
          <w:p>
            <w:pPr>
              <w:spacing w:after="0"/>
              <w:rPr>
                <w:sz w:val="24"/>
                <w:szCs w:val="24"/>
                <w:color w:val="auto"/>
              </w:rPr>
            </w:pPr>
          </w:p>
        </w:tc>
        <w:tc>
          <w:tcPr>
            <w:tcW w:w="220" w:type="dxa"/>
            <w:vAlign w:val="bottom"/>
            <w:shd w:val="clear" w:color="auto" w:fill="DDDDDD"/>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1380" w:type="dxa"/>
            <w:vAlign w:val="bottom"/>
            <w:shd w:val="clear" w:color="auto" w:fill="DDDDDD"/>
          </w:tcPr>
          <w:p>
            <w:pPr>
              <w:jc w:val="right"/>
              <w:spacing w:after="0"/>
              <w:rPr>
                <w:sz w:val="20"/>
                <w:szCs w:val="20"/>
                <w:color w:val="auto"/>
              </w:rPr>
            </w:pPr>
            <w:r>
              <w:rPr>
                <w:rFonts w:ascii="Times New Roman" w:cs="Times New Roman" w:eastAsia="Times New Roman" w:hAnsi="Times New Roman"/>
                <w:sz w:val="20"/>
                <w:szCs w:val="20"/>
                <w:color w:val="auto"/>
              </w:rPr>
              <w:t>2,882</w:t>
            </w:r>
          </w:p>
        </w:tc>
        <w:tc>
          <w:tcPr>
            <w:tcW w:w="0" w:type="dxa"/>
            <w:vAlign w:val="bottom"/>
          </w:tcPr>
          <w:p>
            <w:pPr>
              <w:spacing w:after="0"/>
              <w:rPr>
                <w:sz w:val="1"/>
                <w:szCs w:val="1"/>
                <w:color w:val="auto"/>
              </w:rPr>
            </w:pPr>
          </w:p>
        </w:tc>
      </w:tr>
      <w:tr>
        <w:trPr>
          <w:trHeight w:val="614"/>
        </w:trPr>
        <w:tc>
          <w:tcPr>
            <w:tcW w:w="40" w:type="dxa"/>
            <w:vAlign w:val="bottom"/>
          </w:tcPr>
          <w:p>
            <w:pPr>
              <w:spacing w:after="0"/>
              <w:rPr>
                <w:sz w:val="24"/>
                <w:szCs w:val="24"/>
                <w:color w:val="auto"/>
              </w:rPr>
            </w:pPr>
          </w:p>
        </w:tc>
        <w:tc>
          <w:tcPr>
            <w:tcW w:w="5260" w:type="dxa"/>
            <w:vAlign w:val="bottom"/>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4700" w:type="dxa"/>
            <w:vAlign w:val="bottom"/>
            <w:tcBorders>
              <w:bottom w:val="single" w:sz="8" w:color="auto"/>
            </w:tcBorders>
            <w:gridSpan w:val="9"/>
          </w:tcPr>
          <w:p>
            <w:pPr>
              <w:jc w:val="center"/>
              <w:ind w:right="159"/>
              <w:spacing w:after="0"/>
              <w:rPr>
                <w:sz w:val="20"/>
                <w:szCs w:val="20"/>
                <w:color w:val="auto"/>
              </w:rPr>
            </w:pPr>
            <w:r>
              <w:rPr>
                <w:rFonts w:ascii="Times New Roman" w:cs="Times New Roman" w:eastAsia="Times New Roman" w:hAnsi="Times New Roman"/>
                <w:sz w:val="20"/>
                <w:szCs w:val="20"/>
                <w:b w:val="1"/>
                <w:bCs w:val="1"/>
                <w:color w:val="auto"/>
              </w:rPr>
              <w:t>Nine Months Ended September 30, 2023</w:t>
            </w:r>
          </w:p>
        </w:tc>
        <w:tc>
          <w:tcPr>
            <w:tcW w:w="0" w:type="dxa"/>
            <w:vAlign w:val="bottom"/>
          </w:tcPr>
          <w:p>
            <w:pPr>
              <w:spacing w:after="0"/>
              <w:rPr>
                <w:sz w:val="1"/>
                <w:szCs w:val="1"/>
                <w:color w:val="auto"/>
              </w:rPr>
            </w:pPr>
          </w:p>
        </w:tc>
      </w:tr>
      <w:tr>
        <w:trPr>
          <w:trHeight w:val="242"/>
        </w:trPr>
        <w:tc>
          <w:tcPr>
            <w:tcW w:w="40" w:type="dxa"/>
            <w:vAlign w:val="bottom"/>
          </w:tcPr>
          <w:p>
            <w:pPr>
              <w:spacing w:after="0"/>
              <w:rPr>
                <w:sz w:val="21"/>
                <w:szCs w:val="21"/>
                <w:color w:val="auto"/>
              </w:rPr>
            </w:pPr>
          </w:p>
        </w:tc>
        <w:tc>
          <w:tcPr>
            <w:tcW w:w="526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360" w:type="dxa"/>
            <w:vAlign w:val="bottom"/>
            <w:gridSpan w:val="2"/>
          </w:tcPr>
          <w:p>
            <w:pPr>
              <w:jc w:val="center"/>
              <w:ind w:right="300"/>
              <w:spacing w:after="0"/>
              <w:rPr>
                <w:sz w:val="20"/>
                <w:szCs w:val="20"/>
                <w:color w:val="auto"/>
              </w:rPr>
            </w:pPr>
            <w:r>
              <w:rPr>
                <w:rFonts w:ascii="Times New Roman" w:cs="Times New Roman" w:eastAsia="Times New Roman" w:hAnsi="Times New Roman"/>
                <w:sz w:val="20"/>
                <w:szCs w:val="20"/>
                <w:b w:val="1"/>
                <w:bCs w:val="1"/>
                <w:color w:val="auto"/>
                <w:w w:val="99"/>
              </w:rPr>
              <w:t>Previously</w:t>
            </w:r>
          </w:p>
        </w:tc>
        <w:tc>
          <w:tcPr>
            <w:tcW w:w="6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400" w:type="dxa"/>
            <w:vAlign w:val="bottom"/>
            <w:gridSpan w:val="2"/>
            <w:vMerge w:val="restart"/>
          </w:tcPr>
          <w:p>
            <w:pPr>
              <w:jc w:val="center"/>
              <w:ind w:right="260"/>
              <w:spacing w:after="0"/>
              <w:rPr>
                <w:sz w:val="20"/>
                <w:szCs w:val="20"/>
                <w:color w:val="auto"/>
              </w:rPr>
            </w:pPr>
            <w:r>
              <w:rPr>
                <w:rFonts w:ascii="Times New Roman" w:cs="Times New Roman" w:eastAsia="Times New Roman" w:hAnsi="Times New Roman"/>
                <w:sz w:val="20"/>
                <w:szCs w:val="20"/>
                <w:b w:val="1"/>
                <w:bCs w:val="1"/>
                <w:color w:val="auto"/>
              </w:rPr>
              <w:t>Adjustment</w:t>
            </w:r>
          </w:p>
        </w:tc>
        <w:tc>
          <w:tcPr>
            <w:tcW w:w="6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380" w:type="dxa"/>
            <w:vAlign w:val="bottom"/>
            <w:vMerge w:val="restart"/>
          </w:tcPr>
          <w:p>
            <w:pPr>
              <w:jc w:val="right"/>
              <w:ind w:right="199"/>
              <w:spacing w:after="0"/>
              <w:rPr>
                <w:sz w:val="20"/>
                <w:szCs w:val="20"/>
                <w:color w:val="auto"/>
              </w:rPr>
            </w:pPr>
            <w:r>
              <w:rPr>
                <w:rFonts w:ascii="Times New Roman" w:cs="Times New Roman" w:eastAsia="Times New Roman" w:hAnsi="Times New Roman"/>
                <w:sz w:val="20"/>
                <w:szCs w:val="20"/>
                <w:b w:val="1"/>
                <w:bCs w:val="1"/>
                <w:color w:val="auto"/>
              </w:rPr>
              <w:t>As Restated</w:t>
            </w:r>
          </w:p>
        </w:tc>
        <w:tc>
          <w:tcPr>
            <w:tcW w:w="0" w:type="dxa"/>
            <w:vAlign w:val="bottom"/>
          </w:tcPr>
          <w:p>
            <w:pPr>
              <w:spacing w:after="0"/>
              <w:rPr>
                <w:sz w:val="1"/>
                <w:szCs w:val="1"/>
                <w:color w:val="auto"/>
              </w:rPr>
            </w:pPr>
          </w:p>
        </w:tc>
      </w:tr>
      <w:tr>
        <w:trPr>
          <w:trHeight w:val="281"/>
        </w:trPr>
        <w:tc>
          <w:tcPr>
            <w:tcW w:w="40" w:type="dxa"/>
            <w:vAlign w:val="bottom"/>
          </w:tcPr>
          <w:p>
            <w:pPr>
              <w:spacing w:after="0"/>
              <w:rPr>
                <w:sz w:val="24"/>
                <w:szCs w:val="24"/>
                <w:color w:val="auto"/>
              </w:rPr>
            </w:pPr>
          </w:p>
        </w:tc>
        <w:tc>
          <w:tcPr>
            <w:tcW w:w="52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360" w:type="dxa"/>
            <w:vAlign w:val="bottom"/>
            <w:gridSpan w:val="2"/>
          </w:tcPr>
          <w:p>
            <w:pPr>
              <w:jc w:val="center"/>
              <w:ind w:right="280"/>
              <w:spacing w:after="0"/>
              <w:rPr>
                <w:sz w:val="20"/>
                <w:szCs w:val="20"/>
                <w:color w:val="auto"/>
              </w:rPr>
            </w:pPr>
            <w:r>
              <w:rPr>
                <w:rFonts w:ascii="Times New Roman" w:cs="Times New Roman" w:eastAsia="Times New Roman" w:hAnsi="Times New Roman"/>
                <w:sz w:val="20"/>
                <w:szCs w:val="20"/>
                <w:b w:val="1"/>
                <w:bCs w:val="1"/>
                <w:color w:val="auto"/>
                <w:w w:val="99"/>
              </w:rPr>
              <w:t>Reported</w:t>
            </w:r>
          </w:p>
        </w:tc>
        <w:tc>
          <w:tcPr>
            <w:tcW w:w="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400" w:type="dxa"/>
            <w:vAlign w:val="bottom"/>
            <w:gridSpan w:val="2"/>
            <w:vMerge w:val="continue"/>
          </w:tcPr>
          <w:p>
            <w:pPr>
              <w:spacing w:after="0"/>
              <w:rPr>
                <w:sz w:val="24"/>
                <w:szCs w:val="24"/>
                <w:color w:val="auto"/>
              </w:rPr>
            </w:pPr>
          </w:p>
        </w:tc>
        <w:tc>
          <w:tcPr>
            <w:tcW w:w="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380" w:type="dxa"/>
            <w:vAlign w:val="bottom"/>
            <w:vMerge w:val="continue"/>
          </w:tcPr>
          <w:p>
            <w:pPr>
              <w:spacing w:after="0"/>
              <w:rPr>
                <w:sz w:val="24"/>
                <w:szCs w:val="24"/>
                <w:color w:val="auto"/>
              </w:rPr>
            </w:pPr>
          </w:p>
        </w:tc>
        <w:tc>
          <w:tcPr>
            <w:tcW w:w="0" w:type="dxa"/>
            <w:vAlign w:val="bottom"/>
          </w:tcPr>
          <w:p>
            <w:pPr>
              <w:spacing w:after="0"/>
              <w:rPr>
                <w:sz w:val="1"/>
                <w:szCs w:val="1"/>
                <w:color w:val="auto"/>
              </w:rPr>
            </w:pPr>
          </w:p>
        </w:tc>
      </w:tr>
      <w:tr>
        <w:trPr>
          <w:trHeight w:val="241"/>
        </w:trPr>
        <w:tc>
          <w:tcPr>
            <w:tcW w:w="40" w:type="dxa"/>
            <w:vAlign w:val="bottom"/>
            <w:tcBorders>
              <w:top w:val="single" w:sz="8" w:color="DDDDDD"/>
            </w:tcBorders>
            <w:shd w:val="clear" w:color="auto" w:fill="DDDDDD"/>
          </w:tcPr>
          <w:p>
            <w:pPr>
              <w:spacing w:after="0"/>
              <w:rPr>
                <w:sz w:val="20"/>
                <w:szCs w:val="20"/>
                <w:color w:val="auto"/>
              </w:rPr>
            </w:pPr>
          </w:p>
        </w:tc>
        <w:tc>
          <w:tcPr>
            <w:tcW w:w="5260" w:type="dxa"/>
            <w:vAlign w:val="bottom"/>
            <w:tcBorders>
              <w:top w:val="single" w:sz="8" w:color="DDDDDD"/>
            </w:tcBorders>
            <w:shd w:val="clear" w:color="auto" w:fill="DDDDDD"/>
          </w:tcPr>
          <w:p>
            <w:pPr>
              <w:spacing w:after="0"/>
              <w:rPr>
                <w:sz w:val="20"/>
                <w:szCs w:val="20"/>
                <w:color w:val="auto"/>
              </w:rPr>
            </w:pPr>
            <w:r>
              <w:rPr>
                <w:rFonts w:ascii="Times New Roman" w:cs="Times New Roman" w:eastAsia="Times New Roman" w:hAnsi="Times New Roman"/>
                <w:sz w:val="20"/>
                <w:szCs w:val="20"/>
                <w:color w:val="auto"/>
              </w:rPr>
              <w:t>Adjustments to reconcile net income (loss) to net cash (used in)</w:t>
            </w:r>
          </w:p>
        </w:tc>
        <w:tc>
          <w:tcPr>
            <w:tcW w:w="260" w:type="dxa"/>
            <w:vAlign w:val="bottom"/>
            <w:tcBorders>
              <w:top w:val="single" w:sz="8" w:color="auto"/>
            </w:tcBorders>
            <w:shd w:val="clear" w:color="auto" w:fill="DDDDDD"/>
          </w:tcPr>
          <w:p>
            <w:pPr>
              <w:spacing w:after="0"/>
              <w:rPr>
                <w:sz w:val="20"/>
                <w:szCs w:val="20"/>
                <w:color w:val="auto"/>
              </w:rPr>
            </w:pPr>
          </w:p>
        </w:tc>
        <w:tc>
          <w:tcPr>
            <w:tcW w:w="1340" w:type="dxa"/>
            <w:vAlign w:val="bottom"/>
            <w:tcBorders>
              <w:top w:val="single" w:sz="8" w:color="auto"/>
            </w:tcBorders>
            <w:shd w:val="clear" w:color="auto" w:fill="DDDDDD"/>
          </w:tcPr>
          <w:p>
            <w:pPr>
              <w:spacing w:after="0"/>
              <w:rPr>
                <w:sz w:val="20"/>
                <w:szCs w:val="20"/>
                <w:color w:val="auto"/>
              </w:rPr>
            </w:pPr>
          </w:p>
        </w:tc>
        <w:tc>
          <w:tcPr>
            <w:tcW w:w="20" w:type="dxa"/>
            <w:vAlign w:val="bottom"/>
            <w:tcBorders>
              <w:top w:val="single" w:sz="8" w:color="DDDDDD"/>
            </w:tcBorders>
            <w:shd w:val="clear" w:color="auto" w:fill="DDDDDD"/>
          </w:tcPr>
          <w:p>
            <w:pPr>
              <w:spacing w:after="0"/>
              <w:rPr>
                <w:sz w:val="20"/>
                <w:szCs w:val="20"/>
                <w:color w:val="auto"/>
              </w:rPr>
            </w:pPr>
          </w:p>
        </w:tc>
        <w:tc>
          <w:tcPr>
            <w:tcW w:w="60" w:type="dxa"/>
            <w:vAlign w:val="bottom"/>
            <w:tcBorders>
              <w:top w:val="single" w:sz="8" w:color="DDDDDD"/>
            </w:tcBorders>
            <w:shd w:val="clear" w:color="auto" w:fill="DDDDDD"/>
          </w:tcPr>
          <w:p>
            <w:pPr>
              <w:spacing w:after="0"/>
              <w:rPr>
                <w:sz w:val="20"/>
                <w:szCs w:val="20"/>
                <w:color w:val="auto"/>
              </w:rPr>
            </w:pPr>
          </w:p>
        </w:tc>
        <w:tc>
          <w:tcPr>
            <w:tcW w:w="220" w:type="dxa"/>
            <w:vAlign w:val="bottom"/>
            <w:tcBorders>
              <w:top w:val="single" w:sz="8" w:color="auto"/>
            </w:tcBorders>
            <w:shd w:val="clear" w:color="auto" w:fill="DDDDDD"/>
          </w:tcPr>
          <w:p>
            <w:pPr>
              <w:spacing w:after="0"/>
              <w:rPr>
                <w:sz w:val="20"/>
                <w:szCs w:val="20"/>
                <w:color w:val="auto"/>
              </w:rPr>
            </w:pPr>
          </w:p>
        </w:tc>
        <w:tc>
          <w:tcPr>
            <w:tcW w:w="1380" w:type="dxa"/>
            <w:vAlign w:val="bottom"/>
            <w:tcBorders>
              <w:top w:val="single" w:sz="8" w:color="auto"/>
            </w:tcBorders>
            <w:shd w:val="clear" w:color="auto" w:fill="DDDDDD"/>
          </w:tcPr>
          <w:p>
            <w:pPr>
              <w:spacing w:after="0"/>
              <w:rPr>
                <w:sz w:val="20"/>
                <w:szCs w:val="20"/>
                <w:color w:val="auto"/>
              </w:rPr>
            </w:pPr>
          </w:p>
        </w:tc>
        <w:tc>
          <w:tcPr>
            <w:tcW w:w="20" w:type="dxa"/>
            <w:vAlign w:val="bottom"/>
            <w:tcBorders>
              <w:top w:val="single" w:sz="8" w:color="DDDDDD"/>
            </w:tcBorders>
            <w:shd w:val="clear" w:color="auto" w:fill="DDDDDD"/>
          </w:tcPr>
          <w:p>
            <w:pPr>
              <w:spacing w:after="0"/>
              <w:rPr>
                <w:sz w:val="20"/>
                <w:szCs w:val="20"/>
                <w:color w:val="auto"/>
              </w:rPr>
            </w:pPr>
          </w:p>
        </w:tc>
        <w:tc>
          <w:tcPr>
            <w:tcW w:w="60" w:type="dxa"/>
            <w:vAlign w:val="bottom"/>
            <w:tcBorders>
              <w:top w:val="single" w:sz="8" w:color="DDDDDD"/>
            </w:tcBorders>
            <w:shd w:val="clear" w:color="auto" w:fill="DDDDDD"/>
          </w:tcPr>
          <w:p>
            <w:pPr>
              <w:spacing w:after="0"/>
              <w:rPr>
                <w:sz w:val="20"/>
                <w:szCs w:val="20"/>
                <w:color w:val="auto"/>
              </w:rPr>
            </w:pPr>
          </w:p>
        </w:tc>
        <w:tc>
          <w:tcPr>
            <w:tcW w:w="220" w:type="dxa"/>
            <w:vAlign w:val="bottom"/>
            <w:tcBorders>
              <w:top w:val="single" w:sz="8" w:color="auto"/>
            </w:tcBorders>
            <w:shd w:val="clear" w:color="auto" w:fill="DDDDDD"/>
          </w:tcPr>
          <w:p>
            <w:pPr>
              <w:spacing w:after="0"/>
              <w:rPr>
                <w:sz w:val="20"/>
                <w:szCs w:val="20"/>
                <w:color w:val="auto"/>
              </w:rPr>
            </w:pPr>
          </w:p>
        </w:tc>
        <w:tc>
          <w:tcPr>
            <w:tcW w:w="1380" w:type="dxa"/>
            <w:vAlign w:val="bottom"/>
            <w:tcBorders>
              <w:top w:val="single" w:sz="8" w:color="auto"/>
            </w:tcBorders>
            <w:shd w:val="clear" w:color="auto" w:fill="DDDDDD"/>
          </w:tcPr>
          <w:p>
            <w:pPr>
              <w:spacing w:after="0"/>
              <w:rPr>
                <w:sz w:val="20"/>
                <w:szCs w:val="20"/>
                <w:color w:val="auto"/>
              </w:rPr>
            </w:pPr>
          </w:p>
        </w:tc>
        <w:tc>
          <w:tcPr>
            <w:tcW w:w="0" w:type="dxa"/>
            <w:vAlign w:val="bottom"/>
          </w:tcPr>
          <w:p>
            <w:pPr>
              <w:spacing w:after="0"/>
              <w:rPr>
                <w:sz w:val="1"/>
                <w:szCs w:val="1"/>
                <w:color w:val="auto"/>
              </w:rPr>
            </w:pPr>
          </w:p>
        </w:tc>
      </w:tr>
      <w:tr>
        <w:trPr>
          <w:trHeight w:val="282"/>
        </w:trPr>
        <w:tc>
          <w:tcPr>
            <w:tcW w:w="40" w:type="dxa"/>
            <w:vAlign w:val="bottom"/>
            <w:shd w:val="clear" w:color="auto" w:fill="DDDDDD"/>
          </w:tcPr>
          <w:p>
            <w:pPr>
              <w:spacing w:after="0"/>
              <w:rPr>
                <w:sz w:val="24"/>
                <w:szCs w:val="24"/>
                <w:color w:val="auto"/>
              </w:rPr>
            </w:pPr>
          </w:p>
        </w:tc>
        <w:tc>
          <w:tcPr>
            <w:tcW w:w="5260" w:type="dxa"/>
            <w:vAlign w:val="bottom"/>
            <w:shd w:val="clear" w:color="auto" w:fill="DDDDDD"/>
          </w:tcPr>
          <w:p>
            <w:pPr>
              <w:spacing w:after="0"/>
              <w:rPr>
                <w:sz w:val="20"/>
                <w:szCs w:val="20"/>
                <w:color w:val="auto"/>
              </w:rPr>
            </w:pPr>
            <w:r>
              <w:rPr>
                <w:rFonts w:ascii="Times New Roman" w:cs="Times New Roman" w:eastAsia="Times New Roman" w:hAnsi="Times New Roman"/>
                <w:sz w:val="20"/>
                <w:szCs w:val="20"/>
                <w:color w:val="auto"/>
              </w:rPr>
              <w:t>provided by operating activities:</w:t>
            </w:r>
          </w:p>
        </w:tc>
        <w:tc>
          <w:tcPr>
            <w:tcW w:w="260" w:type="dxa"/>
            <w:vAlign w:val="bottom"/>
            <w:shd w:val="clear" w:color="auto" w:fill="DDDDDD"/>
          </w:tcPr>
          <w:p>
            <w:pPr>
              <w:spacing w:after="0"/>
              <w:rPr>
                <w:sz w:val="24"/>
                <w:szCs w:val="24"/>
                <w:color w:val="auto"/>
              </w:rPr>
            </w:pPr>
          </w:p>
        </w:tc>
        <w:tc>
          <w:tcPr>
            <w:tcW w:w="1340" w:type="dxa"/>
            <w:vAlign w:val="bottom"/>
            <w:shd w:val="clear" w:color="auto" w:fill="DDDDDD"/>
          </w:tcPr>
          <w:p>
            <w:pPr>
              <w:spacing w:after="0"/>
              <w:rPr>
                <w:sz w:val="24"/>
                <w:szCs w:val="24"/>
                <w:color w:val="auto"/>
              </w:rPr>
            </w:pPr>
          </w:p>
        </w:tc>
        <w:tc>
          <w:tcPr>
            <w:tcW w:w="20" w:type="dxa"/>
            <w:vAlign w:val="bottom"/>
            <w:shd w:val="clear" w:color="auto" w:fill="DDDDDD"/>
          </w:tcPr>
          <w:p>
            <w:pPr>
              <w:spacing w:after="0"/>
              <w:rPr>
                <w:sz w:val="24"/>
                <w:szCs w:val="24"/>
                <w:color w:val="auto"/>
              </w:rPr>
            </w:pPr>
          </w:p>
        </w:tc>
        <w:tc>
          <w:tcPr>
            <w:tcW w:w="60" w:type="dxa"/>
            <w:vAlign w:val="bottom"/>
            <w:shd w:val="clear" w:color="auto" w:fill="DDDDDD"/>
          </w:tcPr>
          <w:p>
            <w:pPr>
              <w:spacing w:after="0"/>
              <w:rPr>
                <w:sz w:val="24"/>
                <w:szCs w:val="24"/>
                <w:color w:val="auto"/>
              </w:rPr>
            </w:pPr>
          </w:p>
        </w:tc>
        <w:tc>
          <w:tcPr>
            <w:tcW w:w="220" w:type="dxa"/>
            <w:vAlign w:val="bottom"/>
            <w:shd w:val="clear" w:color="auto" w:fill="DDDDDD"/>
          </w:tcPr>
          <w:p>
            <w:pPr>
              <w:spacing w:after="0"/>
              <w:rPr>
                <w:sz w:val="24"/>
                <w:szCs w:val="24"/>
                <w:color w:val="auto"/>
              </w:rPr>
            </w:pPr>
          </w:p>
        </w:tc>
        <w:tc>
          <w:tcPr>
            <w:tcW w:w="1380" w:type="dxa"/>
            <w:vAlign w:val="bottom"/>
            <w:shd w:val="clear" w:color="auto" w:fill="DDDDDD"/>
          </w:tcPr>
          <w:p>
            <w:pPr>
              <w:spacing w:after="0"/>
              <w:rPr>
                <w:sz w:val="24"/>
                <w:szCs w:val="24"/>
                <w:color w:val="auto"/>
              </w:rPr>
            </w:pPr>
          </w:p>
        </w:tc>
        <w:tc>
          <w:tcPr>
            <w:tcW w:w="20" w:type="dxa"/>
            <w:vAlign w:val="bottom"/>
            <w:shd w:val="clear" w:color="auto" w:fill="DDDDDD"/>
          </w:tcPr>
          <w:p>
            <w:pPr>
              <w:spacing w:after="0"/>
              <w:rPr>
                <w:sz w:val="24"/>
                <w:szCs w:val="24"/>
                <w:color w:val="auto"/>
              </w:rPr>
            </w:pPr>
          </w:p>
        </w:tc>
        <w:tc>
          <w:tcPr>
            <w:tcW w:w="60" w:type="dxa"/>
            <w:vAlign w:val="bottom"/>
            <w:shd w:val="clear" w:color="auto" w:fill="DDDDDD"/>
          </w:tcPr>
          <w:p>
            <w:pPr>
              <w:spacing w:after="0"/>
              <w:rPr>
                <w:sz w:val="24"/>
                <w:szCs w:val="24"/>
                <w:color w:val="auto"/>
              </w:rPr>
            </w:pPr>
          </w:p>
        </w:tc>
        <w:tc>
          <w:tcPr>
            <w:tcW w:w="220" w:type="dxa"/>
            <w:vAlign w:val="bottom"/>
            <w:shd w:val="clear" w:color="auto" w:fill="DDDDDD"/>
          </w:tcPr>
          <w:p>
            <w:pPr>
              <w:spacing w:after="0"/>
              <w:rPr>
                <w:sz w:val="24"/>
                <w:szCs w:val="24"/>
                <w:color w:val="auto"/>
              </w:rPr>
            </w:pPr>
          </w:p>
        </w:tc>
        <w:tc>
          <w:tcPr>
            <w:tcW w:w="1380" w:type="dxa"/>
            <w:vAlign w:val="bottom"/>
            <w:shd w:val="clear" w:color="auto" w:fill="DDDDDD"/>
          </w:tcPr>
          <w:p>
            <w:pPr>
              <w:spacing w:after="0"/>
              <w:rPr>
                <w:sz w:val="24"/>
                <w:szCs w:val="24"/>
                <w:color w:val="auto"/>
              </w:rPr>
            </w:pPr>
          </w:p>
        </w:tc>
        <w:tc>
          <w:tcPr>
            <w:tcW w:w="0" w:type="dxa"/>
            <w:vAlign w:val="bottom"/>
          </w:tcPr>
          <w:p>
            <w:pPr>
              <w:spacing w:after="0"/>
              <w:rPr>
                <w:sz w:val="1"/>
                <w:szCs w:val="1"/>
                <w:color w:val="auto"/>
              </w:rPr>
            </w:pPr>
          </w:p>
        </w:tc>
      </w:tr>
      <w:tr>
        <w:trPr>
          <w:trHeight w:val="354"/>
        </w:trPr>
        <w:tc>
          <w:tcPr>
            <w:tcW w:w="40" w:type="dxa"/>
            <w:vAlign w:val="bottom"/>
          </w:tcPr>
          <w:p>
            <w:pPr>
              <w:spacing w:after="0"/>
              <w:rPr>
                <w:sz w:val="24"/>
                <w:szCs w:val="24"/>
                <w:color w:val="auto"/>
              </w:rPr>
            </w:pPr>
          </w:p>
        </w:tc>
        <w:tc>
          <w:tcPr>
            <w:tcW w:w="5260" w:type="dxa"/>
            <w:vAlign w:val="bottom"/>
          </w:tcPr>
          <w:p>
            <w:pPr>
              <w:ind w:left="240"/>
              <w:spacing w:after="0"/>
              <w:rPr>
                <w:sz w:val="20"/>
                <w:szCs w:val="20"/>
                <w:color w:val="auto"/>
              </w:rPr>
            </w:pPr>
            <w:r>
              <w:rPr>
                <w:rFonts w:ascii="Times New Roman" w:cs="Times New Roman" w:eastAsia="Times New Roman" w:hAnsi="Times New Roman"/>
                <w:sz w:val="20"/>
                <w:szCs w:val="20"/>
                <w:color w:val="auto"/>
              </w:rPr>
              <w:t>Provision for credit losses</w:t>
            </w:r>
          </w:p>
        </w:tc>
        <w:tc>
          <w:tcPr>
            <w:tcW w:w="2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13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4,862</w:t>
            </w:r>
          </w:p>
        </w:tc>
        <w:tc>
          <w:tcPr>
            <w:tcW w:w="20" w:type="dxa"/>
            <w:vAlign w:val="bottom"/>
          </w:tcPr>
          <w:p>
            <w:pPr>
              <w:spacing w:after="0"/>
              <w:rPr>
                <w:sz w:val="24"/>
                <w:szCs w:val="24"/>
                <w:color w:val="auto"/>
              </w:rPr>
            </w:pPr>
          </w:p>
        </w:tc>
        <w:tc>
          <w:tcPr>
            <w:tcW w:w="28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1380" w:type="dxa"/>
            <w:vAlign w:val="bottom"/>
          </w:tcPr>
          <w:p>
            <w:pPr>
              <w:jc w:val="center"/>
              <w:ind w:left="659"/>
              <w:spacing w:after="0"/>
              <w:rPr>
                <w:sz w:val="20"/>
                <w:szCs w:val="20"/>
                <w:color w:val="auto"/>
              </w:rPr>
            </w:pPr>
            <w:r>
              <w:rPr>
                <w:rFonts w:ascii="Times New Roman" w:cs="Times New Roman" w:eastAsia="Times New Roman" w:hAnsi="Times New Roman"/>
                <w:sz w:val="20"/>
                <w:szCs w:val="20"/>
                <w:color w:val="auto"/>
                <w:w w:val="99"/>
              </w:rPr>
              <w:t>(5,058)</w:t>
            </w:r>
          </w:p>
        </w:tc>
        <w:tc>
          <w:tcPr>
            <w:tcW w:w="20" w:type="dxa"/>
            <w:vAlign w:val="bottom"/>
          </w:tcPr>
          <w:p>
            <w:pPr>
              <w:spacing w:after="0"/>
              <w:rPr>
                <w:sz w:val="24"/>
                <w:szCs w:val="24"/>
                <w:color w:val="auto"/>
              </w:rPr>
            </w:pPr>
          </w:p>
        </w:tc>
        <w:tc>
          <w:tcPr>
            <w:tcW w:w="28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13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(196)</w:t>
            </w:r>
          </w:p>
        </w:tc>
        <w:tc>
          <w:tcPr>
            <w:tcW w:w="0" w:type="dxa"/>
            <w:vAlign w:val="bottom"/>
          </w:tcPr>
          <w:p>
            <w:pPr>
              <w:spacing w:after="0"/>
              <w:rPr>
                <w:sz w:val="1"/>
                <w:szCs w:val="1"/>
                <w:color w:val="auto"/>
              </w:rPr>
            </w:pPr>
          </w:p>
        </w:tc>
      </w:tr>
      <w:tr>
        <w:trPr>
          <w:trHeight w:val="366"/>
        </w:trPr>
        <w:tc>
          <w:tcPr>
            <w:tcW w:w="40" w:type="dxa"/>
            <w:vAlign w:val="bottom"/>
            <w:shd w:val="clear" w:color="auto" w:fill="DDDDDD"/>
          </w:tcPr>
          <w:p>
            <w:pPr>
              <w:spacing w:after="0"/>
              <w:rPr>
                <w:sz w:val="24"/>
                <w:szCs w:val="24"/>
                <w:color w:val="auto"/>
              </w:rPr>
            </w:pPr>
          </w:p>
        </w:tc>
        <w:tc>
          <w:tcPr>
            <w:tcW w:w="5260" w:type="dxa"/>
            <w:vAlign w:val="bottom"/>
            <w:shd w:val="clear" w:color="auto" w:fill="DDDDDD"/>
          </w:tcPr>
          <w:p>
            <w:pPr>
              <w:spacing w:after="0"/>
              <w:rPr>
                <w:sz w:val="24"/>
                <w:szCs w:val="24"/>
                <w:color w:val="auto"/>
              </w:rPr>
            </w:pPr>
          </w:p>
        </w:tc>
        <w:tc>
          <w:tcPr>
            <w:tcW w:w="260" w:type="dxa"/>
            <w:vAlign w:val="bottom"/>
            <w:shd w:val="clear" w:color="auto" w:fill="DDDDDD"/>
          </w:tcPr>
          <w:p>
            <w:pPr>
              <w:spacing w:after="0"/>
              <w:rPr>
                <w:sz w:val="24"/>
                <w:szCs w:val="24"/>
                <w:color w:val="auto"/>
              </w:rPr>
            </w:pPr>
          </w:p>
        </w:tc>
        <w:tc>
          <w:tcPr>
            <w:tcW w:w="1340" w:type="dxa"/>
            <w:vAlign w:val="bottom"/>
            <w:shd w:val="clear" w:color="auto" w:fill="DDDDDD"/>
          </w:tcPr>
          <w:p>
            <w:pPr>
              <w:spacing w:after="0"/>
              <w:rPr>
                <w:sz w:val="24"/>
                <w:szCs w:val="24"/>
                <w:color w:val="auto"/>
              </w:rPr>
            </w:pPr>
          </w:p>
        </w:tc>
        <w:tc>
          <w:tcPr>
            <w:tcW w:w="20" w:type="dxa"/>
            <w:vAlign w:val="bottom"/>
            <w:shd w:val="clear" w:color="auto" w:fill="DDDDDD"/>
          </w:tcPr>
          <w:p>
            <w:pPr>
              <w:spacing w:after="0"/>
              <w:rPr>
                <w:sz w:val="24"/>
                <w:szCs w:val="24"/>
                <w:color w:val="auto"/>
              </w:rPr>
            </w:pPr>
          </w:p>
        </w:tc>
        <w:tc>
          <w:tcPr>
            <w:tcW w:w="60" w:type="dxa"/>
            <w:vAlign w:val="bottom"/>
            <w:shd w:val="clear" w:color="auto" w:fill="DDDDDD"/>
          </w:tcPr>
          <w:p>
            <w:pPr>
              <w:spacing w:after="0"/>
              <w:rPr>
                <w:sz w:val="24"/>
                <w:szCs w:val="24"/>
                <w:color w:val="auto"/>
              </w:rPr>
            </w:pPr>
          </w:p>
        </w:tc>
        <w:tc>
          <w:tcPr>
            <w:tcW w:w="220" w:type="dxa"/>
            <w:vAlign w:val="bottom"/>
            <w:shd w:val="clear" w:color="auto" w:fill="DDDDDD"/>
          </w:tcPr>
          <w:p>
            <w:pPr>
              <w:spacing w:after="0"/>
              <w:rPr>
                <w:sz w:val="24"/>
                <w:szCs w:val="24"/>
                <w:color w:val="auto"/>
              </w:rPr>
            </w:pPr>
          </w:p>
        </w:tc>
        <w:tc>
          <w:tcPr>
            <w:tcW w:w="1380" w:type="dxa"/>
            <w:vAlign w:val="bottom"/>
            <w:shd w:val="clear" w:color="auto" w:fill="DDDDDD"/>
          </w:tcPr>
          <w:p>
            <w:pPr>
              <w:spacing w:after="0"/>
              <w:rPr>
                <w:sz w:val="24"/>
                <w:szCs w:val="24"/>
                <w:color w:val="auto"/>
              </w:rPr>
            </w:pPr>
          </w:p>
        </w:tc>
        <w:tc>
          <w:tcPr>
            <w:tcW w:w="20" w:type="dxa"/>
            <w:vAlign w:val="bottom"/>
            <w:shd w:val="clear" w:color="auto" w:fill="DDDDDD"/>
          </w:tcPr>
          <w:p>
            <w:pPr>
              <w:spacing w:after="0"/>
              <w:rPr>
                <w:sz w:val="24"/>
                <w:szCs w:val="24"/>
                <w:color w:val="auto"/>
              </w:rPr>
            </w:pPr>
          </w:p>
        </w:tc>
        <w:tc>
          <w:tcPr>
            <w:tcW w:w="60" w:type="dxa"/>
            <w:vAlign w:val="bottom"/>
            <w:shd w:val="clear" w:color="auto" w:fill="DDDDDD"/>
          </w:tcPr>
          <w:p>
            <w:pPr>
              <w:spacing w:after="0"/>
              <w:rPr>
                <w:sz w:val="24"/>
                <w:szCs w:val="24"/>
                <w:color w:val="auto"/>
              </w:rPr>
            </w:pPr>
          </w:p>
        </w:tc>
        <w:tc>
          <w:tcPr>
            <w:tcW w:w="220" w:type="dxa"/>
            <w:vAlign w:val="bottom"/>
            <w:shd w:val="clear" w:color="auto" w:fill="DDDDDD"/>
          </w:tcPr>
          <w:p>
            <w:pPr>
              <w:spacing w:after="0"/>
              <w:rPr>
                <w:sz w:val="24"/>
                <w:szCs w:val="24"/>
                <w:color w:val="auto"/>
              </w:rPr>
            </w:pPr>
          </w:p>
        </w:tc>
        <w:tc>
          <w:tcPr>
            <w:tcW w:w="1380" w:type="dxa"/>
            <w:vAlign w:val="bottom"/>
            <w:shd w:val="clear" w:color="auto" w:fill="DDDDDD"/>
          </w:tcPr>
          <w:p>
            <w:pPr>
              <w:spacing w:after="0"/>
              <w:rPr>
                <w:sz w:val="24"/>
                <w:szCs w:val="24"/>
                <w:color w:val="auto"/>
              </w:rPr>
            </w:pPr>
          </w:p>
        </w:tc>
        <w:tc>
          <w:tcPr>
            <w:tcW w:w="0" w:type="dxa"/>
            <w:vAlign w:val="bottom"/>
          </w:tcPr>
          <w:p>
            <w:pPr>
              <w:spacing w:after="0"/>
              <w:rPr>
                <w:sz w:val="1"/>
                <w:szCs w:val="1"/>
                <w:color w:val="auto"/>
              </w:rPr>
            </w:pPr>
          </w:p>
        </w:tc>
      </w:tr>
      <w:tr>
        <w:trPr>
          <w:trHeight w:val="307"/>
        </w:trPr>
        <w:tc>
          <w:tcPr>
            <w:tcW w:w="40" w:type="dxa"/>
            <w:vAlign w:val="bottom"/>
          </w:tcPr>
          <w:p>
            <w:pPr>
              <w:spacing w:after="0"/>
              <w:rPr>
                <w:sz w:val="24"/>
                <w:szCs w:val="24"/>
                <w:color w:val="auto"/>
              </w:rPr>
            </w:pPr>
          </w:p>
        </w:tc>
        <w:tc>
          <w:tcPr>
            <w:tcW w:w="5260" w:type="dxa"/>
            <w:vAlign w:val="bottom"/>
          </w:tcPr>
          <w:p>
            <w:pPr>
              <w:spacing w:after="0"/>
              <w:rPr>
                <w:sz w:val="20"/>
                <w:szCs w:val="20"/>
                <w:color w:val="auto"/>
              </w:rPr>
            </w:pPr>
            <w:r>
              <w:rPr>
                <w:rFonts w:ascii="Times New Roman" w:cs="Times New Roman" w:eastAsia="Times New Roman" w:hAnsi="Times New Roman"/>
                <w:sz w:val="20"/>
                <w:szCs w:val="20"/>
                <w:color w:val="auto"/>
              </w:rPr>
              <w:t>Changes in operating assets and liabilities:</w:t>
            </w:r>
          </w:p>
        </w:tc>
        <w:tc>
          <w:tcPr>
            <w:tcW w:w="26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62"/>
        </w:trPr>
        <w:tc>
          <w:tcPr>
            <w:tcW w:w="40" w:type="dxa"/>
            <w:vAlign w:val="bottom"/>
            <w:shd w:val="clear" w:color="auto" w:fill="DDDDDD"/>
          </w:tcPr>
          <w:p>
            <w:pPr>
              <w:spacing w:after="0"/>
              <w:rPr>
                <w:sz w:val="24"/>
                <w:szCs w:val="24"/>
                <w:color w:val="auto"/>
              </w:rPr>
            </w:pPr>
          </w:p>
        </w:tc>
        <w:tc>
          <w:tcPr>
            <w:tcW w:w="5260" w:type="dxa"/>
            <w:vAlign w:val="bottom"/>
            <w:shd w:val="clear" w:color="auto" w:fill="DDDDDD"/>
          </w:tcPr>
          <w:p>
            <w:pPr>
              <w:ind w:left="240"/>
              <w:spacing w:after="0"/>
              <w:rPr>
                <w:sz w:val="20"/>
                <w:szCs w:val="20"/>
                <w:color w:val="auto"/>
              </w:rPr>
            </w:pPr>
            <w:r>
              <w:rPr>
                <w:rFonts w:ascii="Times New Roman" w:cs="Times New Roman" w:eastAsia="Times New Roman" w:hAnsi="Times New Roman"/>
                <w:sz w:val="20"/>
                <w:szCs w:val="20"/>
                <w:color w:val="auto"/>
              </w:rPr>
              <w:t>Accounts receivable</w:t>
            </w:r>
          </w:p>
        </w:tc>
        <w:tc>
          <w:tcPr>
            <w:tcW w:w="260" w:type="dxa"/>
            <w:vAlign w:val="bottom"/>
            <w:shd w:val="clear" w:color="auto" w:fill="DDDDDD"/>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1340" w:type="dxa"/>
            <w:vAlign w:val="bottom"/>
            <w:shd w:val="clear" w:color="auto" w:fill="DDDDDD"/>
          </w:tcPr>
          <w:p>
            <w:pPr>
              <w:jc w:val="right"/>
              <w:spacing w:after="0"/>
              <w:rPr>
                <w:sz w:val="20"/>
                <w:szCs w:val="20"/>
                <w:color w:val="auto"/>
              </w:rPr>
            </w:pPr>
            <w:r>
              <w:rPr>
                <w:rFonts w:ascii="Times New Roman" w:cs="Times New Roman" w:eastAsia="Times New Roman" w:hAnsi="Times New Roman"/>
                <w:sz w:val="20"/>
                <w:szCs w:val="20"/>
                <w:color w:val="auto"/>
              </w:rPr>
              <w:t>262</w:t>
            </w:r>
          </w:p>
        </w:tc>
        <w:tc>
          <w:tcPr>
            <w:tcW w:w="20" w:type="dxa"/>
            <w:vAlign w:val="bottom"/>
            <w:shd w:val="clear" w:color="auto" w:fill="DDDDDD"/>
          </w:tcPr>
          <w:p>
            <w:pPr>
              <w:spacing w:after="0"/>
              <w:rPr>
                <w:sz w:val="24"/>
                <w:szCs w:val="24"/>
                <w:color w:val="auto"/>
              </w:rPr>
            </w:pPr>
          </w:p>
        </w:tc>
        <w:tc>
          <w:tcPr>
            <w:tcW w:w="60" w:type="dxa"/>
            <w:vAlign w:val="bottom"/>
            <w:shd w:val="clear" w:color="auto" w:fill="DDDDDD"/>
          </w:tcPr>
          <w:p>
            <w:pPr>
              <w:spacing w:after="0"/>
              <w:rPr>
                <w:sz w:val="24"/>
                <w:szCs w:val="24"/>
                <w:color w:val="auto"/>
              </w:rPr>
            </w:pPr>
          </w:p>
        </w:tc>
        <w:tc>
          <w:tcPr>
            <w:tcW w:w="220" w:type="dxa"/>
            <w:vAlign w:val="bottom"/>
            <w:shd w:val="clear" w:color="auto" w:fill="DDDDDD"/>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1380" w:type="dxa"/>
            <w:vAlign w:val="bottom"/>
            <w:shd w:val="clear" w:color="auto" w:fill="DDDDDD"/>
          </w:tcPr>
          <w:p>
            <w:pPr>
              <w:jc w:val="center"/>
              <w:ind w:left="679"/>
              <w:spacing w:after="0"/>
              <w:rPr>
                <w:sz w:val="20"/>
                <w:szCs w:val="20"/>
                <w:color w:val="auto"/>
              </w:rPr>
            </w:pPr>
            <w:r>
              <w:rPr>
                <w:rFonts w:ascii="Times New Roman" w:cs="Times New Roman" w:eastAsia="Times New Roman" w:hAnsi="Times New Roman"/>
                <w:sz w:val="20"/>
                <w:szCs w:val="20"/>
                <w:color w:val="auto"/>
                <w:w w:val="97"/>
              </w:rPr>
              <w:t>5,058</w:t>
            </w:r>
          </w:p>
        </w:tc>
        <w:tc>
          <w:tcPr>
            <w:tcW w:w="20" w:type="dxa"/>
            <w:vAlign w:val="bottom"/>
            <w:shd w:val="clear" w:color="auto" w:fill="DDDDDD"/>
          </w:tcPr>
          <w:p>
            <w:pPr>
              <w:spacing w:after="0"/>
              <w:rPr>
                <w:sz w:val="24"/>
                <w:szCs w:val="24"/>
                <w:color w:val="auto"/>
              </w:rPr>
            </w:pPr>
          </w:p>
        </w:tc>
        <w:tc>
          <w:tcPr>
            <w:tcW w:w="60" w:type="dxa"/>
            <w:vAlign w:val="bottom"/>
            <w:shd w:val="clear" w:color="auto" w:fill="DDDDDD"/>
          </w:tcPr>
          <w:p>
            <w:pPr>
              <w:spacing w:after="0"/>
              <w:rPr>
                <w:sz w:val="24"/>
                <w:szCs w:val="24"/>
                <w:color w:val="auto"/>
              </w:rPr>
            </w:pPr>
          </w:p>
        </w:tc>
        <w:tc>
          <w:tcPr>
            <w:tcW w:w="220" w:type="dxa"/>
            <w:vAlign w:val="bottom"/>
            <w:shd w:val="clear" w:color="auto" w:fill="DDDDDD"/>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1380" w:type="dxa"/>
            <w:vAlign w:val="bottom"/>
            <w:shd w:val="clear" w:color="auto" w:fill="DDDDDD"/>
          </w:tcPr>
          <w:p>
            <w:pPr>
              <w:jc w:val="right"/>
              <w:spacing w:after="0"/>
              <w:rPr>
                <w:sz w:val="20"/>
                <w:szCs w:val="20"/>
                <w:color w:val="auto"/>
              </w:rPr>
            </w:pPr>
            <w:r>
              <w:rPr>
                <w:rFonts w:ascii="Times New Roman" w:cs="Times New Roman" w:eastAsia="Times New Roman" w:hAnsi="Times New Roman"/>
                <w:sz w:val="20"/>
                <w:szCs w:val="20"/>
                <w:color w:val="auto"/>
              </w:rPr>
              <w:t>5,320</w:t>
            </w:r>
          </w:p>
        </w:tc>
        <w:tc>
          <w:tcPr>
            <w:tcW w:w="0" w:type="dxa"/>
            <w:vAlign w:val="bottom"/>
          </w:tcPr>
          <w:p>
            <w:pPr>
              <w:spacing w:after="0"/>
              <w:rPr>
                <w:sz w:val="1"/>
                <w:szCs w:val="1"/>
                <w:color w:val="auto"/>
              </w:rPr>
            </w:pPr>
          </w:p>
        </w:tc>
      </w:tr>
    </w:tbl>
    <w:p>
      <w:pPr>
        <w:spacing w:after="0" w:line="102"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Foreign Currency</w:t>
      </w:r>
    </w:p>
    <w:p>
      <w:pPr>
        <w:spacing w:after="0" w:line="164" w:lineRule="exact"/>
        <w:rPr>
          <w:sz w:val="20"/>
          <w:szCs w:val="20"/>
          <w:color w:val="auto"/>
        </w:rPr>
      </w:pPr>
    </w:p>
    <w:p>
      <w:pPr>
        <w:jc w:val="both"/>
        <w:spacing w:after="0" w:line="301" w:lineRule="auto"/>
        <w:rPr>
          <w:sz w:val="20"/>
          <w:szCs w:val="20"/>
          <w:color w:val="auto"/>
        </w:rPr>
      </w:pPr>
      <w:r>
        <w:rPr>
          <w:rFonts w:ascii="Times New Roman" w:cs="Times New Roman" w:eastAsia="Times New Roman" w:hAnsi="Times New Roman"/>
          <w:sz w:val="20"/>
          <w:szCs w:val="20"/>
          <w:color w:val="auto"/>
        </w:rPr>
        <w:t>Assets and liabilities denominated in a foreign currency are translated into U.S. dollars using the exchange rates in effect at the balance sheet date. Revenue and expense accounts are translated at the average exchange rates during the periods. The impact of exchange rate fluctuations from translation of assets and liabilities is insignificant for the years ended December 31, 2023, 2022 and 2021.</w:t>
      </w:r>
    </w:p>
    <w:p>
      <w:pPr>
        <w:spacing w:after="0" w:line="72"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Use of Estimates</w:t>
      </w:r>
    </w:p>
    <w:p>
      <w:pPr>
        <w:spacing w:after="0" w:line="164" w:lineRule="exact"/>
        <w:rPr>
          <w:sz w:val="20"/>
          <w:szCs w:val="20"/>
          <w:color w:val="auto"/>
        </w:rPr>
      </w:pPr>
    </w:p>
    <w:p>
      <w:pPr>
        <w:jc w:val="both"/>
        <w:spacing w:after="0" w:line="301" w:lineRule="auto"/>
        <w:rPr>
          <w:sz w:val="20"/>
          <w:szCs w:val="20"/>
          <w:color w:val="auto"/>
        </w:rPr>
      </w:pPr>
      <w:r>
        <w:rPr>
          <w:rFonts w:ascii="Times New Roman" w:cs="Times New Roman" w:eastAsia="Times New Roman" w:hAnsi="Times New Roman"/>
          <w:sz w:val="20"/>
          <w:szCs w:val="20"/>
          <w:color w:val="auto"/>
        </w:rPr>
        <w:t>The preparation of consolidated financial statements in conformity with GAAP requires management to make estimates and assumptions that affect the reported amounts of assets and liabilities and disclosure of contingent assets and liabilities at the date of the consolidated financial statements and the reported amounts of revenues and expenses during the reporting period. Actual results could differ from those estimates.</w:t>
      </w:r>
    </w:p>
    <w:p>
      <w:pPr>
        <w:spacing w:after="0" w:line="70" w:lineRule="exact"/>
        <w:rPr>
          <w:sz w:val="20"/>
          <w:szCs w:val="20"/>
          <w:color w:val="auto"/>
        </w:rPr>
      </w:pPr>
    </w:p>
    <w:p>
      <w:pPr>
        <w:jc w:val="both"/>
        <w:spacing w:after="0" w:line="297" w:lineRule="auto"/>
        <w:rPr>
          <w:sz w:val="20"/>
          <w:szCs w:val="20"/>
          <w:color w:val="auto"/>
        </w:rPr>
      </w:pPr>
      <w:r>
        <w:rPr>
          <w:rFonts w:ascii="Times New Roman" w:cs="Times New Roman" w:eastAsia="Times New Roman" w:hAnsi="Times New Roman"/>
          <w:sz w:val="20"/>
          <w:szCs w:val="20"/>
          <w:color w:val="auto"/>
        </w:rPr>
        <w:t>Significant estimates made by management include, among others, the allowance for credit losses, the useful lives of long-lived assets, income taxes, website and internal-use software development costs, leases, valuation of goodwill and other intangible assets, valuation of warrant liability, deferred tax assets and the related valuation allowance, tax receivable agreement (“TRA”) liability, revenue recognition, performance and stock-based compensation and the recognition and disclosure of contingent liabilities.</w:t>
      </w:r>
    </w:p>
    <w:p>
      <w:pPr>
        <w:spacing w:after="0" w:line="84"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Risks and Uncertainties</w:t>
      </w:r>
    </w:p>
    <w:p>
      <w:pPr>
        <w:spacing w:after="0" w:line="164" w:lineRule="exact"/>
        <w:rPr>
          <w:sz w:val="20"/>
          <w:szCs w:val="20"/>
          <w:color w:val="auto"/>
        </w:rPr>
      </w:pPr>
    </w:p>
    <w:p>
      <w:pPr>
        <w:jc w:val="both"/>
        <w:spacing w:after="0" w:line="309" w:lineRule="auto"/>
        <w:rPr>
          <w:sz w:val="20"/>
          <w:szCs w:val="20"/>
          <w:color w:val="auto"/>
        </w:rPr>
      </w:pPr>
      <w:r>
        <w:rPr>
          <w:rFonts w:ascii="Times New Roman" w:cs="Times New Roman" w:eastAsia="Times New Roman" w:hAnsi="Times New Roman"/>
          <w:sz w:val="19"/>
          <w:szCs w:val="19"/>
          <w:color w:val="auto"/>
        </w:rPr>
        <w:t>The Company operates in a relatively new industry where laws and regulations vary significantly by jurisdiction. Currently, thirty-nine states, the District of Columbia, Puerto Rico, the Virgin Islands, and Guam have legalized some form of cannabis use for certain medical purposes. Twenty-four of those states, the District of Columbia, Guam, and Northern Mariana have legalized cannabis for adults for non-medical purposes as well (sometimes referred to as adult or recreational use). Eight additional states have legalized forms of low-potency cannabis, for select medical conditions. Only three states continue to prohibit cannabis entirely. Additionally, while a number of U.S. legislators have introduced various bills to legalize cannabis at the federal level, none of these bills has become law. Currently, under federal law, cannabis, other than hemp (defined by the U.S. government as</w:t>
      </w:r>
    </w:p>
    <w:p>
      <w:pPr>
        <w:spacing w:after="0" w:line="4"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20"/>
          <w:szCs w:val="20"/>
          <w:color w:val="auto"/>
        </w:rPr>
        <w:t>F-9</w:t>
      </w:r>
    </w:p>
    <w:p>
      <w:pPr>
        <w:sectPr>
          <w:pgSz w:w="12240" w:h="15840" w:orient="portrait"/>
          <w:cols w:equalWidth="0" w:num="1">
            <w:col w:w="10260"/>
          </w:cols>
          <w:pgMar w:left="1000" w:top="731" w:right="980" w:bottom="222" w:gutter="0" w:footer="0" w:header="0"/>
        </w:sectPr>
      </w:pPr>
    </w:p>
    <w:bookmarkStart w:id="129" w:name="page130"/>
    <w:bookmarkEnd w:id="129"/>
    <w:p>
      <w:pPr>
        <w:jc w:val="center"/>
        <w:ind w:right="20"/>
        <w:spacing w:after="0"/>
        <w:rPr>
          <w:sz w:val="20"/>
          <w:szCs w:val="20"/>
          <w:color w:val="auto"/>
        </w:rPr>
      </w:pPr>
      <w:r>
        <w:rPr>
          <w:rFonts w:ascii="Times New Roman" w:cs="Times New Roman" w:eastAsia="Times New Roman" w:hAnsi="Times New Roman"/>
          <w:sz w:val="20"/>
          <w:szCs w:val="20"/>
          <w:b w:val="1"/>
          <w:bCs w:val="1"/>
          <w:color w:val="auto"/>
        </w:rPr>
        <w:t>WM TECHNOLOGY, INC. AND SUBSIDIARIES</w:t>
      </w:r>
    </w:p>
    <w:p>
      <w:pPr>
        <w:spacing w:after="0" w:line="4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NOTES TO CONSOLIDATED FINANCIAL STATEMENTS</w:t>
      </w:r>
    </w:p>
    <w:p>
      <w:pPr>
        <w:spacing w:after="0" w:line="286" w:lineRule="exact"/>
        <w:rPr>
          <w:sz w:val="20"/>
          <w:szCs w:val="20"/>
          <w:color w:val="auto"/>
        </w:rPr>
      </w:pPr>
    </w:p>
    <w:p>
      <w:pPr>
        <w:jc w:val="both"/>
        <w:spacing w:after="0" w:line="293" w:lineRule="auto"/>
        <w:rPr>
          <w:sz w:val="20"/>
          <w:szCs w:val="20"/>
          <w:color w:val="auto"/>
        </w:rPr>
      </w:pPr>
      <w:r>
        <w:rPr>
          <w:rFonts w:ascii="Times New Roman" w:cs="Times New Roman" w:eastAsia="Times New Roman" w:hAnsi="Times New Roman"/>
          <w:sz w:val="20"/>
          <w:szCs w:val="20"/>
          <w:color w:val="auto"/>
        </w:rPr>
        <w:t>Cannabis sativa L. with a THC concentration of not more than 0.3% on a dry weight basis), is still a Schedule I controlled substance under the Controlled Substances Act (“CSA”). Even in states or territories that have legalized cannabis to some extent, the cultivation, possession, and sale of cannabis all violate the CSA and are punishable by imprisonment, substantial fines, and forfeiture. Moreover, individuals and entities may violate federal law if they aid and abet another in violating the CSA, or conspire with another to violate the law, and violating the CSA can be a predicate for certain other crimes, including money laundering laws and the Racketeer Influenced and Corrupt Organizations Act. If any of the states that permit use of cannabis were to change their laws or the federal government was to actively enforce the CSA or other laws related to the federal prohibition on cannabis, the Company’s business could be adversely affected.</w:t>
      </w:r>
    </w:p>
    <w:p>
      <w:pPr>
        <w:spacing w:after="0" w:line="87" w:lineRule="exact"/>
        <w:rPr>
          <w:sz w:val="20"/>
          <w:szCs w:val="20"/>
          <w:color w:val="auto"/>
        </w:rPr>
      </w:pPr>
    </w:p>
    <w:p>
      <w:pPr>
        <w:jc w:val="both"/>
        <w:spacing w:after="0" w:line="306" w:lineRule="auto"/>
        <w:rPr>
          <w:sz w:val="20"/>
          <w:szCs w:val="20"/>
          <w:color w:val="auto"/>
        </w:rPr>
      </w:pPr>
      <w:r>
        <w:rPr>
          <w:rFonts w:ascii="Times New Roman" w:cs="Times New Roman" w:eastAsia="Times New Roman" w:hAnsi="Times New Roman"/>
          <w:sz w:val="20"/>
          <w:szCs w:val="20"/>
          <w:color w:val="auto"/>
        </w:rPr>
        <w:t>In addition, the Company’s ability to grow and meet its operating objectives depends largely on the continued legalization and regulation of cannabis on a widespread basis. There can be no assurance that such legalization will occur on a timely basis, or at all.</w:t>
      </w:r>
    </w:p>
    <w:p>
      <w:pPr>
        <w:spacing w:after="0" w:line="63" w:lineRule="exact"/>
        <w:rPr>
          <w:sz w:val="20"/>
          <w:szCs w:val="20"/>
          <w:color w:val="auto"/>
        </w:rPr>
      </w:pPr>
    </w:p>
    <w:p>
      <w:pPr>
        <w:jc w:val="both"/>
        <w:spacing w:after="0" w:line="310" w:lineRule="auto"/>
        <w:rPr>
          <w:sz w:val="20"/>
          <w:szCs w:val="20"/>
          <w:color w:val="auto"/>
        </w:rPr>
      </w:pPr>
      <w:r>
        <w:rPr>
          <w:rFonts w:ascii="Times New Roman" w:cs="Times New Roman" w:eastAsia="Times New Roman" w:hAnsi="Times New Roman"/>
          <w:sz w:val="20"/>
          <w:szCs w:val="20"/>
          <w:color w:val="auto"/>
        </w:rPr>
        <w:t>The geographic concentration of the Company’s clients makes the Company vulnerable to a downturn in the local markets. Historically, the Company’s business operations have been located primarily in the State of California. See Note 3, “Revenue from Contracts with Customers,” to these consolidated financial statements for additional information.</w:t>
      </w:r>
    </w:p>
    <w:p>
      <w:pPr>
        <w:spacing w:after="0" w:line="61"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Accounts Receivable, Net</w:t>
      </w:r>
    </w:p>
    <w:p>
      <w:pPr>
        <w:spacing w:after="0" w:line="164" w:lineRule="exact"/>
        <w:rPr>
          <w:sz w:val="20"/>
          <w:szCs w:val="20"/>
          <w:color w:val="auto"/>
        </w:rPr>
      </w:pPr>
    </w:p>
    <w:p>
      <w:pPr>
        <w:jc w:val="both"/>
        <w:spacing w:after="0" w:line="297" w:lineRule="auto"/>
        <w:rPr>
          <w:sz w:val="20"/>
          <w:szCs w:val="20"/>
          <w:color w:val="auto"/>
        </w:rPr>
      </w:pPr>
      <w:r>
        <w:rPr>
          <w:rFonts w:ascii="Times New Roman" w:cs="Times New Roman" w:eastAsia="Times New Roman" w:hAnsi="Times New Roman"/>
          <w:sz w:val="20"/>
          <w:szCs w:val="20"/>
          <w:color w:val="auto"/>
        </w:rPr>
        <w:t xml:space="preserve">A receivable is recorded when an unconditional right to invoice and receive payment exists. Accounts receivable primarily include amounts related to receivables from customers. Receivables are shown net of allowance for credit losses which is maintained at a level that management believes to be sufficient to absorb estimated losses in the accounts receivable portfolio. The Company measures credit losses on its trade accounts receivable using the current expected credit loss model under ASC 326 </w:t>
      </w:r>
      <w:r>
        <w:rPr>
          <w:rFonts w:ascii="Times New Roman" w:cs="Times New Roman" w:eastAsia="Times New Roman" w:hAnsi="Times New Roman"/>
          <w:sz w:val="20"/>
          <w:szCs w:val="20"/>
          <w:i w:val="1"/>
          <w:iCs w:val="1"/>
          <w:color w:val="auto"/>
        </w:rPr>
        <w:t>Financial</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i w:val="1"/>
          <w:iCs w:val="1"/>
          <w:color w:val="auto"/>
        </w:rPr>
        <w:t>Instruments – Credit Losses</w:t>
      </w:r>
      <w:r>
        <w:rPr>
          <w:rFonts w:ascii="Times New Roman" w:cs="Times New Roman" w:eastAsia="Times New Roman" w:hAnsi="Times New Roman"/>
          <w:sz w:val="20"/>
          <w:szCs w:val="20"/>
          <w:color w:val="auto"/>
        </w:rPr>
        <w:t>.</w:t>
      </w:r>
    </w:p>
    <w:p>
      <w:pPr>
        <w:spacing w:after="0" w:line="74" w:lineRule="exact"/>
        <w:rPr>
          <w:sz w:val="20"/>
          <w:szCs w:val="20"/>
          <w:color w:val="auto"/>
        </w:rPr>
      </w:pPr>
    </w:p>
    <w:p>
      <w:pPr>
        <w:jc w:val="both"/>
        <w:spacing w:after="0" w:line="309" w:lineRule="auto"/>
        <w:rPr>
          <w:sz w:val="20"/>
          <w:szCs w:val="20"/>
          <w:color w:val="auto"/>
        </w:rPr>
      </w:pPr>
      <w:r>
        <w:rPr>
          <w:rFonts w:ascii="Times New Roman" w:cs="Times New Roman" w:eastAsia="Times New Roman" w:hAnsi="Times New Roman"/>
          <w:sz w:val="20"/>
          <w:szCs w:val="20"/>
          <w:color w:val="auto"/>
        </w:rPr>
        <w:t>The Company calculates the expected credit losses on a pool basis for trade receivables that have similar risk characteristics. For trade receivables that do not share similar risk characteristics, the allowance for credit losses is calculated on an individual basis. Risk characteristics relevant to the Company’s accounts receivable include balance of customer account and aging status.</w:t>
      </w:r>
    </w:p>
    <w:p>
      <w:pPr>
        <w:spacing w:after="0" w:line="62" w:lineRule="exact"/>
        <w:rPr>
          <w:sz w:val="20"/>
          <w:szCs w:val="20"/>
          <w:color w:val="auto"/>
        </w:rPr>
      </w:pPr>
    </w:p>
    <w:p>
      <w:pPr>
        <w:jc w:val="both"/>
        <w:ind w:right="20"/>
        <w:spacing w:after="0" w:line="306" w:lineRule="auto"/>
        <w:rPr>
          <w:sz w:val="20"/>
          <w:szCs w:val="20"/>
          <w:color w:val="auto"/>
        </w:rPr>
      </w:pPr>
      <w:r>
        <w:rPr>
          <w:rFonts w:ascii="Times New Roman" w:cs="Times New Roman" w:eastAsia="Times New Roman" w:hAnsi="Times New Roman"/>
          <w:sz w:val="20"/>
          <w:szCs w:val="20"/>
          <w:color w:val="auto"/>
        </w:rPr>
        <w:t>Account balances are written off against the allowance when it is determined that it is probable that the receivable will not be recovered. The Company had allowance for credit losses of $8.7 million as of December 31, 2023 and $12.2 million of as of December 31, 2022, respectively.</w:t>
      </w:r>
    </w:p>
    <w:p>
      <w:pPr>
        <w:spacing w:after="0" w:line="71" w:lineRule="exact"/>
        <w:rPr>
          <w:sz w:val="20"/>
          <w:szCs w:val="20"/>
          <w:color w:val="auto"/>
        </w:rPr>
      </w:pPr>
    </w:p>
    <w:p>
      <w:pPr>
        <w:jc w:val="both"/>
        <w:spacing w:after="0" w:line="306" w:lineRule="auto"/>
        <w:rPr>
          <w:sz w:val="20"/>
          <w:szCs w:val="20"/>
          <w:color w:val="auto"/>
        </w:rPr>
      </w:pPr>
      <w:r>
        <w:rPr>
          <w:rFonts w:ascii="Times New Roman" w:cs="Times New Roman" w:eastAsia="Times New Roman" w:hAnsi="Times New Roman"/>
          <w:sz w:val="20"/>
          <w:szCs w:val="20"/>
          <w:color w:val="auto"/>
        </w:rPr>
        <w:t>As of December 31, 2023, no customer accounted for more than 10% of the total gross accounts receivable outstanding. As of December 31, 2022, a receivable due from one customer accounted for approximately 11% of the total gross accounts receivable outstanding.</w:t>
      </w:r>
    </w:p>
    <w:p>
      <w:pPr>
        <w:spacing w:after="0" w:line="64"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The following table summarizes the changes in the allowance for credit losses:</w:t>
      </w:r>
    </w:p>
    <w:p>
      <w:pPr>
        <w:spacing w:after="0" w:line="214" w:lineRule="exact"/>
        <w:rPr>
          <w:sz w:val="20"/>
          <w:szCs w:val="20"/>
          <w:color w:val="auto"/>
        </w:rPr>
      </w:pPr>
    </w:p>
    <w:tbl>
      <w:tblPr>
        <w:tblLayout w:type="fixed"/>
        <w:tblInd w:w="0" w:type="dxa"/>
        <w:tblCellMar>
          <w:top w:w="0" w:type="dxa"/>
          <w:left w:w="0" w:type="dxa"/>
          <w:bottom w:w="0" w:type="dxa"/>
          <w:right w:w="0" w:type="dxa"/>
        </w:tblCellMar>
      </w:tblPr>
      <w:tr>
        <w:trPr>
          <w:trHeight w:val="281"/>
        </w:trPr>
        <w:tc>
          <w:tcPr>
            <w:tcW w:w="53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3400" w:type="dxa"/>
            <w:vAlign w:val="bottom"/>
            <w:gridSpan w:val="6"/>
          </w:tcPr>
          <w:p>
            <w:pPr>
              <w:jc w:val="right"/>
              <w:ind w:right="59"/>
              <w:spacing w:after="0"/>
              <w:rPr>
                <w:sz w:val="20"/>
                <w:szCs w:val="20"/>
                <w:color w:val="auto"/>
              </w:rPr>
            </w:pPr>
            <w:r>
              <w:rPr>
                <w:rFonts w:ascii="Times New Roman" w:cs="Times New Roman" w:eastAsia="Times New Roman" w:hAnsi="Times New Roman"/>
                <w:sz w:val="20"/>
                <w:szCs w:val="20"/>
                <w:b w:val="1"/>
                <w:bCs w:val="1"/>
                <w:color w:val="auto"/>
              </w:rPr>
              <w:t>Years Ended December 31,</w:t>
            </w:r>
          </w:p>
        </w:tc>
        <w:tc>
          <w:tcPr>
            <w:tcW w:w="1160" w:type="dxa"/>
            <w:vAlign w:val="bottom"/>
          </w:tcPr>
          <w:p>
            <w:pPr>
              <w:spacing w:after="0"/>
              <w:rPr>
                <w:sz w:val="24"/>
                <w:szCs w:val="24"/>
                <w:color w:val="auto"/>
              </w:rPr>
            </w:pPr>
          </w:p>
        </w:tc>
      </w:tr>
      <w:tr>
        <w:trPr>
          <w:trHeight w:val="297"/>
        </w:trPr>
        <w:tc>
          <w:tcPr>
            <w:tcW w:w="5300" w:type="dxa"/>
            <w:vAlign w:val="bottom"/>
            <w:tcBorders>
              <w:bottom w:val="single" w:sz="8" w:color="DDDDDD"/>
            </w:tcBorders>
          </w:tcPr>
          <w:p>
            <w:pPr>
              <w:spacing w:after="0"/>
              <w:rPr>
                <w:sz w:val="24"/>
                <w:szCs w:val="24"/>
                <w:color w:val="auto"/>
              </w:rPr>
            </w:pPr>
          </w:p>
        </w:tc>
        <w:tc>
          <w:tcPr>
            <w:tcW w:w="20" w:type="dxa"/>
            <w:vAlign w:val="bottom"/>
            <w:tcBorders>
              <w:bottom w:val="single" w:sz="8" w:color="DDDDDD"/>
            </w:tcBorders>
          </w:tcPr>
          <w:p>
            <w:pPr>
              <w:spacing w:after="0"/>
              <w:rPr>
                <w:sz w:val="24"/>
                <w:szCs w:val="24"/>
                <w:color w:val="auto"/>
              </w:rPr>
            </w:pPr>
          </w:p>
        </w:tc>
        <w:tc>
          <w:tcPr>
            <w:tcW w:w="380" w:type="dxa"/>
            <w:vAlign w:val="bottom"/>
            <w:tcBorders>
              <w:top w:val="single" w:sz="8" w:color="auto"/>
              <w:bottom w:val="single" w:sz="8" w:color="auto"/>
            </w:tcBorders>
          </w:tcPr>
          <w:p>
            <w:pPr>
              <w:spacing w:after="0"/>
              <w:rPr>
                <w:sz w:val="24"/>
                <w:szCs w:val="24"/>
                <w:color w:val="auto"/>
              </w:rPr>
            </w:pPr>
          </w:p>
        </w:tc>
        <w:tc>
          <w:tcPr>
            <w:tcW w:w="1220" w:type="dxa"/>
            <w:vAlign w:val="bottom"/>
            <w:tcBorders>
              <w:top w:val="single" w:sz="8" w:color="auto"/>
              <w:bottom w:val="single" w:sz="8" w:color="auto"/>
            </w:tcBorders>
          </w:tcPr>
          <w:p>
            <w:pPr>
              <w:jc w:val="right"/>
              <w:ind w:right="499"/>
              <w:spacing w:after="0"/>
              <w:rPr>
                <w:sz w:val="20"/>
                <w:szCs w:val="20"/>
                <w:color w:val="auto"/>
              </w:rPr>
            </w:pPr>
            <w:r>
              <w:rPr>
                <w:rFonts w:ascii="Times New Roman" w:cs="Times New Roman" w:eastAsia="Times New Roman" w:hAnsi="Times New Roman"/>
                <w:sz w:val="20"/>
                <w:szCs w:val="20"/>
                <w:b w:val="1"/>
                <w:bCs w:val="1"/>
                <w:color w:val="auto"/>
              </w:rPr>
              <w:t>2023</w:t>
            </w:r>
          </w:p>
        </w:tc>
        <w:tc>
          <w:tcPr>
            <w:tcW w:w="60" w:type="dxa"/>
            <w:vAlign w:val="bottom"/>
            <w:tcBorders>
              <w:top w:val="single" w:sz="8" w:color="auto"/>
            </w:tcBorders>
          </w:tcPr>
          <w:p>
            <w:pPr>
              <w:spacing w:after="0"/>
              <w:rPr>
                <w:sz w:val="24"/>
                <w:szCs w:val="24"/>
                <w:color w:val="auto"/>
              </w:rPr>
            </w:pPr>
          </w:p>
        </w:tc>
        <w:tc>
          <w:tcPr>
            <w:tcW w:w="380" w:type="dxa"/>
            <w:vAlign w:val="bottom"/>
            <w:tcBorders>
              <w:top w:val="single" w:sz="8" w:color="auto"/>
              <w:bottom w:val="single" w:sz="8" w:color="auto"/>
            </w:tcBorders>
          </w:tcPr>
          <w:p>
            <w:pPr>
              <w:spacing w:after="0"/>
              <w:rPr>
                <w:sz w:val="24"/>
                <w:szCs w:val="24"/>
                <w:color w:val="auto"/>
              </w:rPr>
            </w:pPr>
          </w:p>
        </w:tc>
        <w:tc>
          <w:tcPr>
            <w:tcW w:w="1240" w:type="dxa"/>
            <w:vAlign w:val="bottom"/>
            <w:tcBorders>
              <w:top w:val="single" w:sz="8" w:color="auto"/>
              <w:bottom w:val="single" w:sz="8" w:color="auto"/>
            </w:tcBorders>
          </w:tcPr>
          <w:p>
            <w:pPr>
              <w:jc w:val="right"/>
              <w:ind w:right="519"/>
              <w:spacing w:after="0"/>
              <w:rPr>
                <w:sz w:val="20"/>
                <w:szCs w:val="20"/>
                <w:color w:val="auto"/>
              </w:rPr>
            </w:pPr>
            <w:r>
              <w:rPr>
                <w:rFonts w:ascii="Times New Roman" w:cs="Times New Roman" w:eastAsia="Times New Roman" w:hAnsi="Times New Roman"/>
                <w:sz w:val="20"/>
                <w:szCs w:val="20"/>
                <w:b w:val="1"/>
                <w:bCs w:val="1"/>
                <w:color w:val="auto"/>
              </w:rPr>
              <w:t>2022</w:t>
            </w:r>
          </w:p>
        </w:tc>
        <w:tc>
          <w:tcPr>
            <w:tcW w:w="40" w:type="dxa"/>
            <w:vAlign w:val="bottom"/>
          </w:tcPr>
          <w:p>
            <w:pPr>
              <w:spacing w:after="0"/>
              <w:rPr>
                <w:sz w:val="24"/>
                <w:szCs w:val="24"/>
                <w:color w:val="auto"/>
              </w:rPr>
            </w:pPr>
          </w:p>
        </w:tc>
        <w:tc>
          <w:tcPr>
            <w:tcW w:w="460" w:type="dxa"/>
            <w:vAlign w:val="bottom"/>
            <w:tcBorders>
              <w:top w:val="single" w:sz="8" w:color="auto"/>
              <w:bottom w:val="single" w:sz="8" w:color="auto"/>
            </w:tcBorders>
          </w:tcPr>
          <w:p>
            <w:pPr>
              <w:spacing w:after="0"/>
              <w:rPr>
                <w:sz w:val="24"/>
                <w:szCs w:val="24"/>
                <w:color w:val="auto"/>
              </w:rPr>
            </w:pPr>
          </w:p>
        </w:tc>
        <w:tc>
          <w:tcPr>
            <w:tcW w:w="1160" w:type="dxa"/>
            <w:vAlign w:val="bottom"/>
            <w:tcBorders>
              <w:top w:val="single" w:sz="8" w:color="auto"/>
              <w:bottom w:val="single" w:sz="8" w:color="auto"/>
            </w:tcBorders>
          </w:tcPr>
          <w:p>
            <w:pPr>
              <w:jc w:val="right"/>
              <w:ind w:right="519"/>
              <w:spacing w:after="0"/>
              <w:rPr>
                <w:sz w:val="20"/>
                <w:szCs w:val="20"/>
                <w:color w:val="auto"/>
              </w:rPr>
            </w:pPr>
            <w:r>
              <w:rPr>
                <w:rFonts w:ascii="Times New Roman" w:cs="Times New Roman" w:eastAsia="Times New Roman" w:hAnsi="Times New Roman"/>
                <w:sz w:val="20"/>
                <w:szCs w:val="20"/>
                <w:b w:val="1"/>
                <w:bCs w:val="1"/>
                <w:color w:val="auto"/>
              </w:rPr>
              <w:t>2021</w:t>
            </w:r>
          </w:p>
        </w:tc>
      </w:tr>
      <w:tr>
        <w:trPr>
          <w:trHeight w:val="293"/>
        </w:trPr>
        <w:tc>
          <w:tcPr>
            <w:tcW w:w="5320" w:type="dxa"/>
            <w:vAlign w:val="bottom"/>
            <w:gridSpan w:val="2"/>
            <w:shd w:val="clear" w:color="auto" w:fill="DDDDDD"/>
          </w:tcPr>
          <w:p>
            <w:pPr>
              <w:ind w:left="40"/>
              <w:spacing w:after="0"/>
              <w:rPr>
                <w:sz w:val="20"/>
                <w:szCs w:val="20"/>
                <w:color w:val="auto"/>
              </w:rPr>
            </w:pPr>
            <w:r>
              <w:rPr>
                <w:rFonts w:ascii="Times New Roman" w:cs="Times New Roman" w:eastAsia="Times New Roman" w:hAnsi="Times New Roman"/>
                <w:sz w:val="20"/>
                <w:szCs w:val="20"/>
                <w:color w:val="auto"/>
              </w:rPr>
              <w:t>Allowance, beginning of year</w:t>
            </w:r>
          </w:p>
        </w:tc>
        <w:tc>
          <w:tcPr>
            <w:tcW w:w="380" w:type="dxa"/>
            <w:vAlign w:val="bottom"/>
            <w:shd w:val="clear" w:color="auto" w:fill="DDDDDD"/>
          </w:tcPr>
          <w:p>
            <w:pPr>
              <w:jc w:val="right"/>
              <w:ind w:right="119"/>
              <w:spacing w:after="0"/>
              <w:rPr>
                <w:sz w:val="20"/>
                <w:szCs w:val="20"/>
                <w:color w:val="auto"/>
              </w:rPr>
            </w:pPr>
            <w:r>
              <w:rPr>
                <w:rFonts w:ascii="Times New Roman" w:cs="Times New Roman" w:eastAsia="Times New Roman" w:hAnsi="Times New Roman"/>
                <w:sz w:val="20"/>
                <w:szCs w:val="20"/>
                <w:color w:val="auto"/>
              </w:rPr>
              <w:t>$</w:t>
            </w:r>
          </w:p>
        </w:tc>
        <w:tc>
          <w:tcPr>
            <w:tcW w:w="1220" w:type="dxa"/>
            <w:vAlign w:val="bottom"/>
            <w:shd w:val="clear" w:color="auto" w:fill="DDDDDD"/>
          </w:tcPr>
          <w:p>
            <w:pPr>
              <w:jc w:val="right"/>
              <w:spacing w:after="0"/>
              <w:rPr>
                <w:sz w:val="20"/>
                <w:szCs w:val="20"/>
                <w:color w:val="auto"/>
              </w:rPr>
            </w:pPr>
            <w:r>
              <w:rPr>
                <w:rFonts w:ascii="Times New Roman" w:cs="Times New Roman" w:eastAsia="Times New Roman" w:hAnsi="Times New Roman"/>
                <w:sz w:val="20"/>
                <w:szCs w:val="20"/>
                <w:color w:val="auto"/>
              </w:rPr>
              <w:t>12,232</w:t>
            </w:r>
          </w:p>
        </w:tc>
        <w:tc>
          <w:tcPr>
            <w:tcW w:w="60" w:type="dxa"/>
            <w:vAlign w:val="bottom"/>
            <w:shd w:val="clear" w:color="auto" w:fill="DDDDDD"/>
          </w:tcPr>
          <w:p>
            <w:pPr>
              <w:spacing w:after="0"/>
              <w:rPr>
                <w:sz w:val="24"/>
                <w:szCs w:val="24"/>
                <w:color w:val="auto"/>
              </w:rPr>
            </w:pPr>
          </w:p>
        </w:tc>
        <w:tc>
          <w:tcPr>
            <w:tcW w:w="380" w:type="dxa"/>
            <w:vAlign w:val="bottom"/>
            <w:shd w:val="clear" w:color="auto" w:fill="DDDDDD"/>
          </w:tcPr>
          <w:p>
            <w:pPr>
              <w:jc w:val="right"/>
              <w:ind w:right="119"/>
              <w:spacing w:after="0"/>
              <w:rPr>
                <w:sz w:val="20"/>
                <w:szCs w:val="20"/>
                <w:color w:val="auto"/>
              </w:rPr>
            </w:pPr>
            <w:r>
              <w:rPr>
                <w:rFonts w:ascii="Times New Roman" w:cs="Times New Roman" w:eastAsia="Times New Roman" w:hAnsi="Times New Roman"/>
                <w:sz w:val="20"/>
                <w:szCs w:val="20"/>
                <w:color w:val="auto"/>
              </w:rPr>
              <w:t>$</w:t>
            </w:r>
          </w:p>
        </w:tc>
        <w:tc>
          <w:tcPr>
            <w:tcW w:w="1240" w:type="dxa"/>
            <w:vAlign w:val="bottom"/>
            <w:shd w:val="clear" w:color="auto" w:fill="DDDDDD"/>
          </w:tcPr>
          <w:p>
            <w:pPr>
              <w:jc w:val="right"/>
              <w:spacing w:after="0"/>
              <w:rPr>
                <w:sz w:val="20"/>
                <w:szCs w:val="20"/>
                <w:color w:val="auto"/>
              </w:rPr>
            </w:pPr>
            <w:r>
              <w:rPr>
                <w:rFonts w:ascii="Times New Roman" w:cs="Times New Roman" w:eastAsia="Times New Roman" w:hAnsi="Times New Roman"/>
                <w:sz w:val="20"/>
                <w:szCs w:val="20"/>
                <w:color w:val="auto"/>
              </w:rPr>
              <w:t>5,169</w:t>
            </w:r>
          </w:p>
        </w:tc>
        <w:tc>
          <w:tcPr>
            <w:tcW w:w="40" w:type="dxa"/>
            <w:vAlign w:val="bottom"/>
            <w:shd w:val="clear" w:color="auto" w:fill="DDDDDD"/>
          </w:tcPr>
          <w:p>
            <w:pPr>
              <w:spacing w:after="0"/>
              <w:rPr>
                <w:sz w:val="24"/>
                <w:szCs w:val="24"/>
                <w:color w:val="auto"/>
              </w:rPr>
            </w:pPr>
          </w:p>
        </w:tc>
        <w:tc>
          <w:tcPr>
            <w:tcW w:w="460" w:type="dxa"/>
            <w:vAlign w:val="bottom"/>
            <w:shd w:val="clear" w:color="auto" w:fill="DDDDDD"/>
          </w:tcPr>
          <w:p>
            <w:pPr>
              <w:jc w:val="right"/>
              <w:ind w:right="199"/>
              <w:spacing w:after="0"/>
              <w:rPr>
                <w:sz w:val="20"/>
                <w:szCs w:val="20"/>
                <w:color w:val="auto"/>
              </w:rPr>
            </w:pPr>
            <w:r>
              <w:rPr>
                <w:rFonts w:ascii="Times New Roman" w:cs="Times New Roman" w:eastAsia="Times New Roman" w:hAnsi="Times New Roman"/>
                <w:sz w:val="20"/>
                <w:szCs w:val="20"/>
                <w:color w:val="auto"/>
              </w:rPr>
              <w:t>$</w:t>
            </w:r>
          </w:p>
        </w:tc>
        <w:tc>
          <w:tcPr>
            <w:tcW w:w="1160" w:type="dxa"/>
            <w:vAlign w:val="bottom"/>
            <w:shd w:val="clear" w:color="auto" w:fill="DDDDDD"/>
          </w:tcPr>
          <w:p>
            <w:pPr>
              <w:jc w:val="right"/>
              <w:spacing w:after="0"/>
              <w:rPr>
                <w:sz w:val="20"/>
                <w:szCs w:val="20"/>
                <w:color w:val="auto"/>
              </w:rPr>
            </w:pPr>
            <w:r>
              <w:rPr>
                <w:rFonts w:ascii="Times New Roman" w:cs="Times New Roman" w:eastAsia="Times New Roman" w:hAnsi="Times New Roman"/>
                <w:sz w:val="20"/>
                <w:szCs w:val="20"/>
                <w:color w:val="auto"/>
              </w:rPr>
              <w:t>857</w:t>
            </w:r>
          </w:p>
        </w:tc>
      </w:tr>
      <w:tr>
        <w:trPr>
          <w:trHeight w:val="307"/>
        </w:trPr>
        <w:tc>
          <w:tcPr>
            <w:tcW w:w="5320" w:type="dxa"/>
            <w:vAlign w:val="bottom"/>
            <w:gridSpan w:val="2"/>
          </w:tcPr>
          <w:p>
            <w:pPr>
              <w:ind w:left="40"/>
              <w:spacing w:after="0"/>
              <w:rPr>
                <w:sz w:val="20"/>
                <w:szCs w:val="20"/>
                <w:color w:val="auto"/>
              </w:rPr>
            </w:pPr>
            <w:r>
              <w:rPr>
                <w:rFonts w:ascii="Times New Roman" w:cs="Times New Roman" w:eastAsia="Times New Roman" w:hAnsi="Times New Roman"/>
                <w:sz w:val="20"/>
                <w:szCs w:val="20"/>
                <w:color w:val="auto"/>
              </w:rPr>
              <w:t>Provision (benefit) for credit losses</w:t>
            </w:r>
          </w:p>
        </w:tc>
        <w:tc>
          <w:tcPr>
            <w:tcW w:w="380" w:type="dxa"/>
            <w:vAlign w:val="bottom"/>
          </w:tcPr>
          <w:p>
            <w:pPr>
              <w:spacing w:after="0"/>
              <w:rPr>
                <w:sz w:val="24"/>
                <w:szCs w:val="24"/>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1,792</w:t>
            </w:r>
          </w:p>
        </w:tc>
        <w:tc>
          <w:tcPr>
            <w:tcW w:w="6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17,216</w:t>
            </w:r>
          </w:p>
        </w:tc>
        <w:tc>
          <w:tcPr>
            <w:tcW w:w="4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5,487</w:t>
            </w:r>
          </w:p>
        </w:tc>
      </w:tr>
      <w:tr>
        <w:trPr>
          <w:trHeight w:val="316"/>
        </w:trPr>
        <w:tc>
          <w:tcPr>
            <w:tcW w:w="5320" w:type="dxa"/>
            <w:vAlign w:val="bottom"/>
            <w:gridSpan w:val="2"/>
            <w:shd w:val="clear" w:color="auto" w:fill="DDDDDD"/>
          </w:tcPr>
          <w:p>
            <w:pPr>
              <w:ind w:left="40"/>
              <w:spacing w:after="0"/>
              <w:rPr>
                <w:sz w:val="20"/>
                <w:szCs w:val="20"/>
                <w:color w:val="auto"/>
              </w:rPr>
            </w:pPr>
            <w:r>
              <w:rPr>
                <w:rFonts w:ascii="Times New Roman" w:cs="Times New Roman" w:eastAsia="Times New Roman" w:hAnsi="Times New Roman"/>
                <w:sz w:val="20"/>
                <w:szCs w:val="20"/>
                <w:color w:val="auto"/>
              </w:rPr>
              <w:t>Write-off, net of recoveries</w:t>
            </w:r>
          </w:p>
        </w:tc>
        <w:tc>
          <w:tcPr>
            <w:tcW w:w="380" w:type="dxa"/>
            <w:vAlign w:val="bottom"/>
            <w:tcBorders>
              <w:bottom w:val="single" w:sz="8" w:color="auto"/>
            </w:tcBorders>
            <w:shd w:val="clear" w:color="auto" w:fill="DDDDDD"/>
          </w:tcPr>
          <w:p>
            <w:pPr>
              <w:spacing w:after="0"/>
              <w:rPr>
                <w:sz w:val="24"/>
                <w:szCs w:val="24"/>
                <w:color w:val="auto"/>
              </w:rPr>
            </w:pPr>
          </w:p>
        </w:tc>
        <w:tc>
          <w:tcPr>
            <w:tcW w:w="1220" w:type="dxa"/>
            <w:vAlign w:val="bottom"/>
            <w:tcBorders>
              <w:bottom w:val="single" w:sz="8" w:color="auto"/>
            </w:tcBorders>
            <w:shd w:val="clear" w:color="auto" w:fill="DDDDDD"/>
          </w:tcPr>
          <w:p>
            <w:pPr>
              <w:jc w:val="right"/>
              <w:spacing w:after="0"/>
              <w:rPr>
                <w:sz w:val="20"/>
                <w:szCs w:val="20"/>
                <w:color w:val="auto"/>
              </w:rPr>
            </w:pPr>
            <w:r>
              <w:rPr>
                <w:rFonts w:ascii="Times New Roman" w:cs="Times New Roman" w:eastAsia="Times New Roman" w:hAnsi="Times New Roman"/>
                <w:sz w:val="20"/>
                <w:szCs w:val="20"/>
                <w:color w:val="auto"/>
              </w:rPr>
              <w:t>(5,276)</w:t>
            </w:r>
          </w:p>
        </w:tc>
        <w:tc>
          <w:tcPr>
            <w:tcW w:w="60" w:type="dxa"/>
            <w:vAlign w:val="bottom"/>
            <w:shd w:val="clear" w:color="auto" w:fill="DDDDDD"/>
          </w:tcPr>
          <w:p>
            <w:pPr>
              <w:spacing w:after="0"/>
              <w:rPr>
                <w:sz w:val="24"/>
                <w:szCs w:val="24"/>
                <w:color w:val="auto"/>
              </w:rPr>
            </w:pPr>
          </w:p>
        </w:tc>
        <w:tc>
          <w:tcPr>
            <w:tcW w:w="380" w:type="dxa"/>
            <w:vAlign w:val="bottom"/>
            <w:tcBorders>
              <w:bottom w:val="single" w:sz="8" w:color="auto"/>
            </w:tcBorders>
            <w:shd w:val="clear" w:color="auto" w:fill="DDDDDD"/>
          </w:tcPr>
          <w:p>
            <w:pPr>
              <w:spacing w:after="0"/>
              <w:rPr>
                <w:sz w:val="24"/>
                <w:szCs w:val="24"/>
                <w:color w:val="auto"/>
              </w:rPr>
            </w:pPr>
          </w:p>
        </w:tc>
        <w:tc>
          <w:tcPr>
            <w:tcW w:w="1240" w:type="dxa"/>
            <w:vAlign w:val="bottom"/>
            <w:tcBorders>
              <w:bottom w:val="single" w:sz="8" w:color="auto"/>
            </w:tcBorders>
            <w:shd w:val="clear" w:color="auto" w:fill="DDDDDD"/>
          </w:tcPr>
          <w:p>
            <w:pPr>
              <w:jc w:val="right"/>
              <w:spacing w:after="0"/>
              <w:rPr>
                <w:sz w:val="20"/>
                <w:szCs w:val="20"/>
                <w:color w:val="auto"/>
              </w:rPr>
            </w:pPr>
            <w:r>
              <w:rPr>
                <w:rFonts w:ascii="Times New Roman" w:cs="Times New Roman" w:eastAsia="Times New Roman" w:hAnsi="Times New Roman"/>
                <w:sz w:val="20"/>
                <w:szCs w:val="20"/>
                <w:color w:val="auto"/>
              </w:rPr>
              <w:t>(10,153)</w:t>
            </w:r>
          </w:p>
        </w:tc>
        <w:tc>
          <w:tcPr>
            <w:tcW w:w="40" w:type="dxa"/>
            <w:vAlign w:val="bottom"/>
            <w:shd w:val="clear" w:color="auto" w:fill="DDDDDD"/>
          </w:tcPr>
          <w:p>
            <w:pPr>
              <w:spacing w:after="0"/>
              <w:rPr>
                <w:sz w:val="24"/>
                <w:szCs w:val="24"/>
                <w:color w:val="auto"/>
              </w:rPr>
            </w:pPr>
          </w:p>
        </w:tc>
        <w:tc>
          <w:tcPr>
            <w:tcW w:w="460" w:type="dxa"/>
            <w:vAlign w:val="bottom"/>
            <w:tcBorders>
              <w:bottom w:val="single" w:sz="8" w:color="auto"/>
            </w:tcBorders>
            <w:shd w:val="clear" w:color="auto" w:fill="DDDDDD"/>
          </w:tcPr>
          <w:p>
            <w:pPr>
              <w:spacing w:after="0"/>
              <w:rPr>
                <w:sz w:val="24"/>
                <w:szCs w:val="24"/>
                <w:color w:val="auto"/>
              </w:rPr>
            </w:pPr>
          </w:p>
        </w:tc>
        <w:tc>
          <w:tcPr>
            <w:tcW w:w="1160" w:type="dxa"/>
            <w:vAlign w:val="bottom"/>
            <w:tcBorders>
              <w:bottom w:val="single" w:sz="8" w:color="auto"/>
            </w:tcBorders>
            <w:shd w:val="clear" w:color="auto" w:fill="DDDDDD"/>
          </w:tcPr>
          <w:p>
            <w:pPr>
              <w:jc w:val="right"/>
              <w:spacing w:after="0"/>
              <w:rPr>
                <w:sz w:val="20"/>
                <w:szCs w:val="20"/>
                <w:color w:val="auto"/>
              </w:rPr>
            </w:pPr>
            <w:r>
              <w:rPr>
                <w:rFonts w:ascii="Times New Roman" w:cs="Times New Roman" w:eastAsia="Times New Roman" w:hAnsi="Times New Roman"/>
                <w:sz w:val="20"/>
                <w:szCs w:val="20"/>
                <w:color w:val="auto"/>
              </w:rPr>
              <w:t>(1,175)</w:t>
            </w:r>
          </w:p>
        </w:tc>
      </w:tr>
      <w:tr>
        <w:trPr>
          <w:trHeight w:val="288"/>
        </w:trPr>
        <w:tc>
          <w:tcPr>
            <w:tcW w:w="5320" w:type="dxa"/>
            <w:vAlign w:val="bottom"/>
            <w:gridSpan w:val="2"/>
          </w:tcPr>
          <w:p>
            <w:pPr>
              <w:ind w:left="40"/>
              <w:spacing w:after="0"/>
              <w:rPr>
                <w:sz w:val="20"/>
                <w:szCs w:val="20"/>
                <w:color w:val="auto"/>
              </w:rPr>
            </w:pPr>
            <w:r>
              <w:rPr>
                <w:rFonts w:ascii="Times New Roman" w:cs="Times New Roman" w:eastAsia="Times New Roman" w:hAnsi="Times New Roman"/>
                <w:sz w:val="20"/>
                <w:szCs w:val="20"/>
                <w:color w:val="auto"/>
              </w:rPr>
              <w:t>Allowance, end of year</w:t>
            </w:r>
          </w:p>
        </w:tc>
        <w:tc>
          <w:tcPr>
            <w:tcW w:w="380" w:type="dxa"/>
            <w:vAlign w:val="bottom"/>
          </w:tcPr>
          <w:p>
            <w:pPr>
              <w:jc w:val="right"/>
              <w:ind w:right="119"/>
              <w:spacing w:after="0"/>
              <w:rPr>
                <w:sz w:val="20"/>
                <w:szCs w:val="20"/>
                <w:color w:val="auto"/>
              </w:rPr>
            </w:pPr>
            <w:r>
              <w:rPr>
                <w:rFonts w:ascii="Times New Roman" w:cs="Times New Roman" w:eastAsia="Times New Roman" w:hAnsi="Times New Roman"/>
                <w:sz w:val="20"/>
                <w:szCs w:val="20"/>
                <w:color w:val="auto"/>
              </w:rPr>
              <w:t>$</w:t>
            </w:r>
          </w:p>
        </w:tc>
        <w:tc>
          <w:tcPr>
            <w:tcW w:w="12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8,748</w:t>
            </w:r>
          </w:p>
        </w:tc>
        <w:tc>
          <w:tcPr>
            <w:tcW w:w="60" w:type="dxa"/>
            <w:vAlign w:val="bottom"/>
          </w:tcPr>
          <w:p>
            <w:pPr>
              <w:spacing w:after="0"/>
              <w:rPr>
                <w:sz w:val="24"/>
                <w:szCs w:val="24"/>
                <w:color w:val="auto"/>
              </w:rPr>
            </w:pPr>
          </w:p>
        </w:tc>
        <w:tc>
          <w:tcPr>
            <w:tcW w:w="380" w:type="dxa"/>
            <w:vAlign w:val="bottom"/>
          </w:tcPr>
          <w:p>
            <w:pPr>
              <w:jc w:val="right"/>
              <w:ind w:right="119"/>
              <w:spacing w:after="0"/>
              <w:rPr>
                <w:sz w:val="20"/>
                <w:szCs w:val="20"/>
                <w:color w:val="auto"/>
              </w:rPr>
            </w:pPr>
            <w:r>
              <w:rPr>
                <w:rFonts w:ascii="Times New Roman" w:cs="Times New Roman" w:eastAsia="Times New Roman" w:hAnsi="Times New Roman"/>
                <w:sz w:val="20"/>
                <w:szCs w:val="20"/>
                <w:color w:val="auto"/>
              </w:rPr>
              <w:t>$</w:t>
            </w:r>
          </w:p>
        </w:tc>
        <w:tc>
          <w:tcPr>
            <w:tcW w:w="12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12,232</w:t>
            </w:r>
          </w:p>
        </w:tc>
        <w:tc>
          <w:tcPr>
            <w:tcW w:w="500" w:type="dxa"/>
            <w:vAlign w:val="bottom"/>
            <w:gridSpan w:val="2"/>
          </w:tcPr>
          <w:p>
            <w:pPr>
              <w:jc w:val="right"/>
              <w:ind w:right="199"/>
              <w:spacing w:after="0"/>
              <w:rPr>
                <w:sz w:val="20"/>
                <w:szCs w:val="20"/>
                <w:color w:val="auto"/>
              </w:rPr>
            </w:pPr>
            <w:r>
              <w:rPr>
                <w:rFonts w:ascii="Times New Roman" w:cs="Times New Roman" w:eastAsia="Times New Roman" w:hAnsi="Times New Roman"/>
                <w:sz w:val="20"/>
                <w:szCs w:val="20"/>
                <w:color w:val="auto"/>
              </w:rPr>
              <w:t>$</w:t>
            </w:r>
          </w:p>
        </w:tc>
        <w:tc>
          <w:tcPr>
            <w:tcW w:w="11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5,169</w:t>
            </w:r>
          </w:p>
        </w:tc>
      </w:tr>
      <w:tr>
        <w:trPr>
          <w:trHeight w:val="26"/>
        </w:trPr>
        <w:tc>
          <w:tcPr>
            <w:tcW w:w="5300" w:type="dxa"/>
            <w:vAlign w:val="bottom"/>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60" w:type="dxa"/>
            <w:vAlign w:val="bottom"/>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40" w:type="dxa"/>
            <w:vAlign w:val="bottom"/>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r>
      <w:tr>
        <w:trPr>
          <w:trHeight w:val="20"/>
        </w:trPr>
        <w:tc>
          <w:tcPr>
            <w:tcW w:w="530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4444365</wp:posOffset>
                </wp:positionH>
                <wp:positionV relativeFrom="paragraph">
                  <wp:posOffset>-1021715</wp:posOffset>
                </wp:positionV>
                <wp:extent cx="1010285" cy="0"/>
                <wp:wrapNone/>
                <wp:docPr id="78" name="Shape 78"/>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1010285" cy="4763"/>
                        </a:xfrm>
                        <a:prstGeom prst="line">
                          <a:avLst/>
                        </a:prstGeom>
                        <a:solidFill>
                          <a:srgbClr val="FFFFFF"/>
                        </a:solidFill>
                        <a:ln w="4572">
                          <a:solidFill>
                            <a:srgbClr val="FFFFFF"/>
                          </a:solidFill>
                          <a:miter lim="800000"/>
                          <a:headEnd/>
                          <a:tailEnd/>
                        </a:ln>
                      </wps:spPr>
                      <wps:bodyPr/>
                    </wps:wsp>
                  </a:graphicData>
                </a:graphic>
              </wp:anchor>
            </w:drawing>
          </mc:Choice>
          <mc:Fallback>
            <w:pict>
              <v:line id="Shape 78" o:spid="_x0000_s1103"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349.95pt,-80.4499pt" to="429.5pt,-80.4499pt" o:allowincell="f" strokecolor="#FFFFFF" strokeweight="0.36pt"/>
            </w:pict>
          </mc:Fallback>
        </mc:AlternateContent>
        <mc:AlternateContent>
          <mc:Choice Requires="wps">
            <w:drawing>
              <wp:anchor simplePos="0" relativeHeight="251657728" behindDoc="1" locked="0" layoutInCell="0" allowOverlap="1">
                <wp:simplePos x="0" y="0"/>
                <wp:positionH relativeFrom="column">
                  <wp:posOffset>4398645</wp:posOffset>
                </wp:positionH>
                <wp:positionV relativeFrom="paragraph">
                  <wp:posOffset>-831850</wp:posOffset>
                </wp:positionV>
                <wp:extent cx="36195" cy="13970"/>
                <wp:wrapNone/>
                <wp:docPr id="79" name="Shape 79"/>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36195" cy="13970"/>
                        </a:xfrm>
                        <a:prstGeom prst="rect">
                          <a:avLst/>
                        </a:prstGeom>
                        <a:solidFill>
                          <a:srgbClr val="DDDDDD"/>
                        </a:solidFill>
                      </wps:spPr>
                      <wps:bodyPr/>
                    </wps:wsp>
                  </a:graphicData>
                </a:graphic>
              </wp:anchor>
            </w:drawing>
          </mc:Choice>
          <mc:Fallback>
            <w:pict>
              <v:rect id="Shape 79" o:spid="_x0000_s1104" style="position:absolute;margin-left:346.35pt;margin-top:-65.4999pt;width:2.85pt;height:1.1pt;z-index:-251657728;visibility:visible;mso-wrap-style:square;mso-width-percent:0;mso-height-percent:0;mso-wrap-distance-left:0pt;mso-wrap-distance-top:0;mso-wrap-distance-right:0pt;mso-wrap-distance-bottom:0;mso-position-horizontal:absolute;mso-position-horizontal-relative:text;mso-position-vertical:absolute;mso-position-vertical-relative:text;mso-width-percent:0;mso-height-percent:0;mso-width-relative:page;mso-height-relative:page;v-text-anchor:top" o:allowincell="f" fillcolor="#DDDDDD" stroked="f"/>
            </w:pict>
          </mc:Fallback>
        </mc:AlternateContent>
        <mc:AlternateContent>
          <mc:Choice Requires="wps">
            <w:drawing>
              <wp:anchor simplePos="0" relativeHeight="251657728" behindDoc="1" locked="0" layoutInCell="0" allowOverlap="1">
                <wp:simplePos x="0" y="0"/>
                <wp:positionH relativeFrom="column">
                  <wp:posOffset>5454650</wp:posOffset>
                </wp:positionH>
                <wp:positionV relativeFrom="paragraph">
                  <wp:posOffset>-831850</wp:posOffset>
                </wp:positionV>
                <wp:extent cx="36830" cy="13970"/>
                <wp:wrapNone/>
                <wp:docPr id="80" name="Shape 80"/>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36830" cy="13970"/>
                        </a:xfrm>
                        <a:prstGeom prst="rect">
                          <a:avLst/>
                        </a:prstGeom>
                        <a:solidFill>
                          <a:srgbClr val="DDDDDD"/>
                        </a:solidFill>
                      </wps:spPr>
                      <wps:bodyPr/>
                    </wps:wsp>
                  </a:graphicData>
                </a:graphic>
              </wp:anchor>
            </w:drawing>
          </mc:Choice>
          <mc:Fallback>
            <w:pict>
              <v:rect id="Shape 80" o:spid="_x0000_s1105" style="position:absolute;margin-left:429.5pt;margin-top:-65.4999pt;width:2.9pt;height:1.1pt;z-index:-251657728;visibility:visible;mso-wrap-style:square;mso-width-percent:0;mso-height-percent:0;mso-wrap-distance-left:0pt;mso-wrap-distance-top:0;mso-wrap-distance-right:0pt;mso-wrap-distance-bottom:0;mso-position-horizontal:absolute;mso-position-horizontal-relative:text;mso-position-vertical:absolute;mso-position-vertical-relative:text;mso-width-percent:0;mso-height-percent:0;mso-width-relative:page;mso-height-relative:page;v-text-anchor:top" o:allowincell="f" fillcolor="#DDDDDD" stroked="f"/>
            </w:pict>
          </mc:Fallback>
        </mc:AlternateContent>
      </w:r>
    </w:p>
    <w:p>
      <w:pPr>
        <w:spacing w:after="0" w:line="82"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Investments in Equity Securities</w:t>
      </w:r>
    </w:p>
    <w:p>
      <w:pPr>
        <w:spacing w:after="0" w:line="164" w:lineRule="exact"/>
        <w:rPr>
          <w:sz w:val="20"/>
          <w:szCs w:val="20"/>
          <w:color w:val="auto"/>
        </w:rPr>
      </w:pPr>
    </w:p>
    <w:p>
      <w:pPr>
        <w:jc w:val="both"/>
        <w:spacing w:after="0" w:line="316" w:lineRule="auto"/>
        <w:rPr>
          <w:sz w:val="20"/>
          <w:szCs w:val="20"/>
          <w:color w:val="auto"/>
        </w:rPr>
      </w:pPr>
      <w:r>
        <w:rPr>
          <w:rFonts w:ascii="Times New Roman" w:cs="Times New Roman" w:eastAsia="Times New Roman" w:hAnsi="Times New Roman"/>
          <w:sz w:val="19"/>
          <w:szCs w:val="19"/>
          <w:color w:val="auto"/>
        </w:rPr>
        <w:t xml:space="preserve">Investments in equity securities that do not have a readily determinable fair value and qualify for the measurement alternative for equity investments provided in ASC 321, </w:t>
      </w:r>
      <w:r>
        <w:rPr>
          <w:rFonts w:ascii="Times New Roman" w:cs="Times New Roman" w:eastAsia="Times New Roman" w:hAnsi="Times New Roman"/>
          <w:sz w:val="19"/>
          <w:szCs w:val="19"/>
          <w:i w:val="1"/>
          <w:iCs w:val="1"/>
          <w:color w:val="auto"/>
        </w:rPr>
        <w:t>Investments – Equity Securities</w:t>
      </w:r>
      <w:r>
        <w:rPr>
          <w:rFonts w:ascii="Times New Roman" w:cs="Times New Roman" w:eastAsia="Times New Roman" w:hAnsi="Times New Roman"/>
          <w:sz w:val="19"/>
          <w:szCs w:val="19"/>
          <w:color w:val="auto"/>
        </w:rPr>
        <w:t xml:space="preserve"> are accounted for at cost, less any impairment, plus or minus changes resulting from observable price changes in orderly transactions for an identical or similar investment of the same issuer. As of December 31, 2022, the carrying value of the Company’s investments in equity securities without a readily determinable fair value was $3.5 million, which is recorded within other assets on the Company’s consolidated balance sheets.</w:t>
      </w:r>
    </w:p>
    <w:p>
      <w:pPr>
        <w:spacing w:after="0" w:line="4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F-10</w:t>
      </w:r>
    </w:p>
    <w:p>
      <w:pPr>
        <w:sectPr>
          <w:pgSz w:w="12240" w:h="15840" w:orient="portrait"/>
          <w:cols w:equalWidth="0" w:num="1">
            <w:col w:w="10260"/>
          </w:cols>
          <w:pgMar w:left="1000" w:top="731" w:right="980" w:bottom="222" w:gutter="0" w:footer="0" w:header="0"/>
        </w:sectPr>
      </w:pPr>
    </w:p>
    <w:bookmarkStart w:id="130" w:name="page131"/>
    <w:bookmarkEnd w:id="130"/>
    <w:p>
      <w:pPr>
        <w:jc w:val="center"/>
        <w:ind w:right="20"/>
        <w:spacing w:after="0"/>
        <w:rPr>
          <w:sz w:val="20"/>
          <w:szCs w:val="20"/>
          <w:color w:val="auto"/>
        </w:rPr>
      </w:pPr>
      <w:r>
        <w:rPr>
          <w:rFonts w:ascii="Times New Roman" w:cs="Times New Roman" w:eastAsia="Times New Roman" w:hAnsi="Times New Roman"/>
          <w:sz w:val="20"/>
          <w:szCs w:val="20"/>
          <w:b w:val="1"/>
          <w:bCs w:val="1"/>
          <w:color w:val="auto"/>
        </w:rPr>
        <w:t>WM TECHNOLOGY, INC. AND SUBSIDIARIES</w:t>
      </w:r>
    </w:p>
    <w:p>
      <w:pPr>
        <w:spacing w:after="0" w:line="4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NOTES TO CONSOLIDATED FINANCIAL STATEMENTS</w:t>
      </w:r>
    </w:p>
    <w:p>
      <w:pPr>
        <w:spacing w:after="0" w:line="286" w:lineRule="exact"/>
        <w:rPr>
          <w:sz w:val="20"/>
          <w:szCs w:val="20"/>
          <w:color w:val="auto"/>
        </w:rPr>
      </w:pPr>
    </w:p>
    <w:p>
      <w:pPr>
        <w:jc w:val="both"/>
        <w:spacing w:after="0" w:line="296" w:lineRule="auto"/>
        <w:rPr>
          <w:sz w:val="20"/>
          <w:szCs w:val="20"/>
          <w:color w:val="auto"/>
        </w:rPr>
      </w:pPr>
      <w:r>
        <w:rPr>
          <w:rFonts w:ascii="Times New Roman" w:cs="Times New Roman" w:eastAsia="Times New Roman" w:hAnsi="Times New Roman"/>
          <w:sz w:val="20"/>
          <w:szCs w:val="20"/>
          <w:color w:val="auto"/>
        </w:rPr>
        <w:t>The Company performs a qualitative assessment at each reporting date to evaluate whether the investments in equity securities are impaired. When a qualitative assessment indicates that an investment is impaired, the investment is written down to its fair value. For the years ended December 31, 2023 and 2022, the Company recorded $3.5 million, $3.0 million, respectively, in impairment charges related to investments in equity securities. These impairment charges are included in asset impairment charges in the accompanying consolidated statements of operations. The Company did not have any impairment charges related to investments in equity securities. in 2021.</w:t>
      </w:r>
    </w:p>
    <w:p>
      <w:pPr>
        <w:spacing w:after="0" w:line="79"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Property and Equipment</w:t>
      </w:r>
    </w:p>
    <w:p>
      <w:pPr>
        <w:spacing w:after="0" w:line="164" w:lineRule="exact"/>
        <w:rPr>
          <w:sz w:val="20"/>
          <w:szCs w:val="20"/>
          <w:color w:val="auto"/>
        </w:rPr>
      </w:pPr>
    </w:p>
    <w:p>
      <w:pPr>
        <w:jc w:val="both"/>
        <w:spacing w:after="0" w:line="294" w:lineRule="auto"/>
        <w:rPr>
          <w:sz w:val="20"/>
          <w:szCs w:val="20"/>
          <w:color w:val="auto"/>
        </w:rPr>
      </w:pPr>
      <w:r>
        <w:rPr>
          <w:rFonts w:ascii="Times New Roman" w:cs="Times New Roman" w:eastAsia="Times New Roman" w:hAnsi="Times New Roman"/>
          <w:sz w:val="20"/>
          <w:szCs w:val="20"/>
          <w:color w:val="auto"/>
        </w:rPr>
        <w:t>Property and equipment are carried at cost, less accumulated depreciation, amortization and asset impairment charges, and consist of internally developed software, computer equipment, furniture and fixtures and leasehold improvements. Depreciation is computed using the straight-line method over the estimated useful lives of the assets and generally over three years for computer equipment, seven years for furniture and fixtures. Leasehold improvements are amortized using the straight-line method over the shorter of their estimated useful lives or the remaining term of the related lease. Maintenance and repairs are expensed as incurred. When assets are retired or otherwise disposed of, the cost and related accumulated depreciation and amortization are removed from the accounts and any resulting gain or loss is reflected in the Company’s results of operations.</w:t>
      </w:r>
    </w:p>
    <w:p>
      <w:pPr>
        <w:spacing w:after="0" w:line="80" w:lineRule="exact"/>
        <w:rPr>
          <w:sz w:val="20"/>
          <w:szCs w:val="20"/>
          <w:color w:val="auto"/>
        </w:rPr>
      </w:pPr>
    </w:p>
    <w:p>
      <w:pPr>
        <w:jc w:val="both"/>
        <w:spacing w:after="0" w:line="292" w:lineRule="auto"/>
        <w:rPr>
          <w:sz w:val="20"/>
          <w:szCs w:val="20"/>
          <w:color w:val="auto"/>
        </w:rPr>
      </w:pPr>
      <w:r>
        <w:rPr>
          <w:rFonts w:ascii="Times New Roman" w:cs="Times New Roman" w:eastAsia="Times New Roman" w:hAnsi="Times New Roman"/>
          <w:sz w:val="20"/>
          <w:szCs w:val="20"/>
          <w:color w:val="auto"/>
        </w:rPr>
        <w:t>The Company assesses impairment of property and equipment when an event and change in circumstance indicates that the carrying value of such assets may not be recoverable. If an event and a change in circumstance indicates that the carrying amount of an asset (or asset group) may not be recoverable and the expected undiscounted cash flows attributable to the asset are less than its carrying value, an impairment loss equals to the excess of the asset’s carrying value over its fair value is recognized. For the year ended December 31, 2023, the Company recorded impairment charges of $3.9 million of which $2.7 million related to property and equipment associated with certain product offerings that were sunset in December 2023 and $1.3 million related to leasehold improvements associated with the impairment of a ROU asset both of which are included in asset impairment charges in the consolidated statements of operations. No impairments to property and equipment were recorded during the years ended December 31, 2022 and 2021.</w:t>
      </w:r>
    </w:p>
    <w:p>
      <w:pPr>
        <w:spacing w:after="0" w:line="83"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Capitalized Software</w:t>
      </w:r>
    </w:p>
    <w:p>
      <w:pPr>
        <w:spacing w:after="0" w:line="164" w:lineRule="exact"/>
        <w:rPr>
          <w:sz w:val="20"/>
          <w:szCs w:val="20"/>
          <w:color w:val="auto"/>
        </w:rPr>
      </w:pPr>
    </w:p>
    <w:p>
      <w:pPr>
        <w:jc w:val="both"/>
        <w:spacing w:after="0" w:line="291" w:lineRule="auto"/>
        <w:rPr>
          <w:sz w:val="20"/>
          <w:szCs w:val="20"/>
          <w:color w:val="auto"/>
        </w:rPr>
      </w:pPr>
      <w:r>
        <w:rPr>
          <w:rFonts w:ascii="Times New Roman" w:cs="Times New Roman" w:eastAsia="Times New Roman" w:hAnsi="Times New Roman"/>
          <w:sz w:val="20"/>
          <w:szCs w:val="20"/>
          <w:color w:val="auto"/>
        </w:rPr>
        <w:t>Capitalized website and internal-use software development costs are included in property and equipment in the accompanying balance sheets. The Company capitalizes certain costs related to the development and enhancement of the Weedmaps platform and SaaS solutions when (i) the preliminary development project stage is completed, (ii) management has authorized further funding for the completion of the project and (iii) it is probable that the project will be completed and performed as intended. These capitalized costs include personnel and related expenses for employees and costs of third-party contractors who are directly associated with and who devote time to internal-use software projects. Capitalization of these costs ceases once the project is substantially complete and the software is ready for its intended purpose. Maintenance and training costs are expensed as incurred. Such costs are amortized when placed in service, on a straight-line basis over the estimated useful life of the related asset, generally estimated to be three years. Costs incurred for enhancements that were expected to result in additional features or functionality are capitalized and expensed over the estimated useful life of the enhancements, generally three years. Product development costs include salaries and benefits for employees, including engineering and technical teams who are responsible for building new products, as well as maintaining and improving existing products. Product development costs that do not meet the criteria for capitalization are expensed as incurred.</w:t>
      </w:r>
    </w:p>
    <w:p>
      <w:pPr>
        <w:spacing w:after="0" w:line="90" w:lineRule="exact"/>
        <w:rPr>
          <w:sz w:val="20"/>
          <w:szCs w:val="20"/>
          <w:color w:val="auto"/>
        </w:rPr>
      </w:pPr>
    </w:p>
    <w:p>
      <w:pPr>
        <w:jc w:val="both"/>
        <w:spacing w:after="0" w:line="297" w:lineRule="auto"/>
        <w:rPr>
          <w:sz w:val="20"/>
          <w:szCs w:val="20"/>
          <w:color w:val="auto"/>
        </w:rPr>
      </w:pPr>
      <w:r>
        <w:rPr>
          <w:rFonts w:ascii="Times New Roman" w:cs="Times New Roman" w:eastAsia="Times New Roman" w:hAnsi="Times New Roman"/>
          <w:sz w:val="20"/>
          <w:szCs w:val="20"/>
          <w:color w:val="auto"/>
        </w:rPr>
        <w:t>During the years ended December 31, 2023, 2022, and 2021, the Company amortized $7.7 million, $5.1 million and $0.1 million, respectively, of internal-use software development costs to subscription and support cost of revenues. For the years ended December 31, 2023 and 2022, the Company capitalized $13.1 million and $15.5 million of costs related to the development of software applications. At December 31, 2023 and 2022, the accumulated amortization of capitalized internal-use software development costs was $12.9 million and $5.1 million, respectively.</w:t>
      </w:r>
    </w:p>
    <w:p>
      <w:pPr>
        <w:sectPr>
          <w:pgSz w:w="12240" w:h="15840" w:orient="portrait"/>
          <w:cols w:equalWidth="0" w:num="1">
            <w:col w:w="10260"/>
          </w:cols>
          <w:pgMar w:left="1000" w:top="731" w:right="980" w:bottom="233"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9"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9"/>
          <w:szCs w:val="19"/>
          <w:color w:val="auto"/>
        </w:rPr>
        <w:t>F-11</w:t>
      </w:r>
    </w:p>
    <w:p>
      <w:pPr>
        <w:sectPr>
          <w:pgSz w:w="12240" w:h="15840" w:orient="portrait"/>
          <w:cols w:equalWidth="0" w:num="1">
            <w:col w:w="10260"/>
          </w:cols>
          <w:pgMar w:left="1000" w:top="731" w:right="980" w:bottom="233" w:gutter="0" w:footer="0" w:header="0"/>
          <w:type w:val="continuous"/>
        </w:sectPr>
      </w:pPr>
    </w:p>
    <w:bookmarkStart w:id="131" w:name="page132"/>
    <w:bookmarkEnd w:id="131"/>
    <w:p>
      <w:pPr>
        <w:jc w:val="center"/>
        <w:spacing w:after="0"/>
        <w:rPr>
          <w:sz w:val="20"/>
          <w:szCs w:val="20"/>
          <w:color w:val="auto"/>
        </w:rPr>
      </w:pPr>
      <w:r>
        <w:rPr>
          <w:rFonts w:ascii="Times New Roman" w:cs="Times New Roman" w:eastAsia="Times New Roman" w:hAnsi="Times New Roman"/>
          <w:sz w:val="20"/>
          <w:szCs w:val="20"/>
          <w:b w:val="1"/>
          <w:bCs w:val="1"/>
          <w:color w:val="auto"/>
        </w:rPr>
        <w:t>WM TECHNOLOGY, INC. AND SUBSIDIARIES</w:t>
      </w:r>
    </w:p>
    <w:p>
      <w:pPr>
        <w:spacing w:after="0" w:line="4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NOTES TO CONSOLIDATED FINANCIAL STATEMENTS</w:t>
      </w:r>
    </w:p>
    <w:p>
      <w:pPr>
        <w:spacing w:after="0" w:line="289"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Goodwill and Intangible Assets</w:t>
      </w:r>
    </w:p>
    <w:p>
      <w:pPr>
        <w:spacing w:after="0" w:line="164" w:lineRule="exact"/>
        <w:rPr>
          <w:sz w:val="20"/>
          <w:szCs w:val="20"/>
          <w:color w:val="auto"/>
        </w:rPr>
      </w:pPr>
    </w:p>
    <w:p>
      <w:pPr>
        <w:jc w:val="both"/>
        <w:spacing w:after="0" w:line="297" w:lineRule="auto"/>
        <w:rPr>
          <w:sz w:val="20"/>
          <w:szCs w:val="20"/>
          <w:color w:val="auto"/>
        </w:rPr>
      </w:pPr>
      <w:r>
        <w:rPr>
          <w:rFonts w:ascii="Times New Roman" w:cs="Times New Roman" w:eastAsia="Times New Roman" w:hAnsi="Times New Roman"/>
          <w:sz w:val="20"/>
          <w:szCs w:val="20"/>
          <w:color w:val="auto"/>
        </w:rPr>
        <w:t>Goodwill consists of the excess of the purchase price over the fair value of identifiable net assets of businesses acquired. Goodwill is reviewed for impairment each year using a qualitative or quantitative process that is performed at least annually as of December 31 or whenever events or circumstances indicate a likely reduction in the fair value of a reporting unit below its carrying amount such as changes in the business climate, poor indicators of operating performance or the sale or disposition of a significant portion of a reporting unit.</w:t>
      </w:r>
    </w:p>
    <w:p>
      <w:pPr>
        <w:spacing w:after="0" w:line="74" w:lineRule="exact"/>
        <w:rPr>
          <w:sz w:val="20"/>
          <w:szCs w:val="20"/>
          <w:color w:val="auto"/>
        </w:rPr>
      </w:pPr>
    </w:p>
    <w:p>
      <w:pPr>
        <w:jc w:val="both"/>
        <w:spacing w:after="0" w:line="296" w:lineRule="auto"/>
        <w:rPr>
          <w:sz w:val="20"/>
          <w:szCs w:val="20"/>
          <w:color w:val="auto"/>
        </w:rPr>
      </w:pPr>
      <w:r>
        <w:rPr>
          <w:rFonts w:ascii="Times New Roman" w:cs="Times New Roman" w:eastAsia="Times New Roman" w:hAnsi="Times New Roman"/>
          <w:sz w:val="20"/>
          <w:szCs w:val="20"/>
          <w:color w:val="auto"/>
        </w:rPr>
        <w:t>In testing for goodwill impairment, the Company may elect to utilize a qualitative assessment to evaluate whether it is more likely than not that the fair value of a reporting unit exceeds the carrying value. If it is determined that it is unlikely that the carrying value exceeds the fair value, the Company is not required to complete the quantitative goodwill impairment evaluation. If it is determined that the carrying value may exceed fair value when considering qualitative factors, a quantitative goodwill impairment evaluation is performed. When performing the quantitative evaluation, if the carrying value of the reporting unit exceeds its fair value, an impairment loss equal to the difference will be recorded.</w:t>
      </w:r>
    </w:p>
    <w:p>
      <w:pPr>
        <w:spacing w:after="0" w:line="77" w:lineRule="exact"/>
        <w:rPr>
          <w:sz w:val="20"/>
          <w:szCs w:val="20"/>
          <w:color w:val="auto"/>
        </w:rPr>
      </w:pPr>
    </w:p>
    <w:p>
      <w:pPr>
        <w:jc w:val="both"/>
        <w:spacing w:after="0" w:line="294" w:lineRule="auto"/>
        <w:rPr>
          <w:sz w:val="20"/>
          <w:szCs w:val="20"/>
          <w:color w:val="auto"/>
        </w:rPr>
      </w:pPr>
      <w:r>
        <w:rPr>
          <w:rFonts w:ascii="Times New Roman" w:cs="Times New Roman" w:eastAsia="Times New Roman" w:hAnsi="Times New Roman"/>
          <w:sz w:val="20"/>
          <w:szCs w:val="20"/>
          <w:color w:val="auto"/>
        </w:rPr>
        <w:t>Intangible assets are recorded at cost less accumulated amortization. Intangible assets are reviewed for impairment whenever events or changes in circumstances may affect the recoverability of the net assets. Such reviews may include an analysis of current results and take into consideration the undiscounted value of projected operating cash flows. The Company recorded an impairment charge of $6.1 million for the year ended December 31, 2023 related to intangible assets associated with certain product offerings that were sunset in December 2023, which is included in asset impairment charges in the consolidated statements of operations. No intangible asset impairment charges have been recorded for the years ended December 31, 2022 and 2021. See Note 9, “Goodwill and Intangible Assets,” to these consolidated financial statements for additional information.</w:t>
      </w:r>
    </w:p>
    <w:p>
      <w:pPr>
        <w:spacing w:after="0" w:line="82"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Leases</w:t>
      </w:r>
    </w:p>
    <w:p>
      <w:pPr>
        <w:spacing w:after="0" w:line="164" w:lineRule="exact"/>
        <w:rPr>
          <w:sz w:val="20"/>
          <w:szCs w:val="20"/>
          <w:color w:val="auto"/>
        </w:rPr>
      </w:pPr>
    </w:p>
    <w:p>
      <w:pPr>
        <w:jc w:val="both"/>
        <w:ind w:firstLine="1"/>
        <w:spacing w:after="0" w:line="292" w:lineRule="auto"/>
        <w:rPr>
          <w:sz w:val="20"/>
          <w:szCs w:val="20"/>
          <w:color w:val="auto"/>
        </w:rPr>
      </w:pPr>
      <w:r>
        <w:rPr>
          <w:rFonts w:ascii="Times New Roman" w:cs="Times New Roman" w:eastAsia="Times New Roman" w:hAnsi="Times New Roman"/>
          <w:sz w:val="20"/>
          <w:szCs w:val="20"/>
          <w:color w:val="auto"/>
        </w:rPr>
        <w:t>The Company’s operating leases consist of office space located primarily in the United States. The Company does not have any leases classified as financing leases. The Company classifies arrangements meeting the definition of a lease as operating or financing leases, and leases are recorded on the consolidated balance sheets as both a right-of-use asset (“ROU”) and lease liability, calculated by discounting fixed lease payments over the lease term at the rate implicit in the lease or the Company’s incremental borrowing rate. Lease liabilities are increased by interest and reduced by payments each period, and the right-of-use asset is amortized over the lease term. For operating leases, interest on the lease liability and the amortization of the right-of-use asset result in straight-line rent expense over the lease term. Operating lease assets and liabilities are recognized at commencement date based on the present value of lease payments over the lease term. For finance leases, interest on the lease liability and the amortization of the right-of-use asset results in front-loaded expense over the lease term. Variable lease expenses are recorded when incurred.</w:t>
      </w:r>
    </w:p>
    <w:p>
      <w:pPr>
        <w:spacing w:after="0" w:line="82" w:lineRule="exact"/>
        <w:rPr>
          <w:sz w:val="20"/>
          <w:szCs w:val="20"/>
          <w:color w:val="auto"/>
        </w:rPr>
      </w:pPr>
    </w:p>
    <w:p>
      <w:pPr>
        <w:jc w:val="both"/>
        <w:ind w:firstLine="1"/>
        <w:spacing w:after="0" w:line="309" w:lineRule="auto"/>
        <w:rPr>
          <w:sz w:val="20"/>
          <w:szCs w:val="20"/>
          <w:color w:val="auto"/>
        </w:rPr>
      </w:pPr>
      <w:r>
        <w:rPr>
          <w:rFonts w:ascii="Times New Roman" w:cs="Times New Roman" w:eastAsia="Times New Roman" w:hAnsi="Times New Roman"/>
          <w:sz w:val="20"/>
          <w:szCs w:val="20"/>
          <w:color w:val="auto"/>
        </w:rPr>
        <w:t>In calculating the right-of-use asset and lease liability, the Company elects to combine lease and non-lease components for all classes of assets. The Company excludes short-term leases having initial terms of 12 months or less as an accounting policy election, and instead recognizes rent expense on a straight-line basis over the lease term.</w:t>
      </w:r>
    </w:p>
    <w:p>
      <w:pPr>
        <w:spacing w:after="0" w:line="62" w:lineRule="exact"/>
        <w:rPr>
          <w:sz w:val="20"/>
          <w:szCs w:val="20"/>
          <w:color w:val="auto"/>
        </w:rPr>
      </w:pPr>
    </w:p>
    <w:p>
      <w:pPr>
        <w:jc w:val="both"/>
        <w:spacing w:after="0" w:line="301" w:lineRule="auto"/>
        <w:rPr>
          <w:sz w:val="20"/>
          <w:szCs w:val="20"/>
          <w:color w:val="auto"/>
        </w:rPr>
      </w:pPr>
      <w:r>
        <w:rPr>
          <w:rFonts w:ascii="Times New Roman" w:cs="Times New Roman" w:eastAsia="Times New Roman" w:hAnsi="Times New Roman"/>
          <w:sz w:val="20"/>
          <w:szCs w:val="20"/>
          <w:color w:val="auto"/>
        </w:rPr>
        <w:t>The Company assesses impairment of ROU assets when an event and change in circumstance indicates that the carrying value of such ROU assets may not be recoverable. If an event and a change in circumstance indicates that the carrying value of an ROU asset may not be recoverable and the estimated fair value attributable to the ROU asset is less than its carrying value, an impairment loss equals to the excess of the ROU asset’s carrying value over its fair value is recognized.</w:t>
      </w:r>
    </w:p>
    <w:p>
      <w:pPr>
        <w:spacing w:after="0" w:line="70" w:lineRule="exact"/>
        <w:rPr>
          <w:sz w:val="20"/>
          <w:szCs w:val="20"/>
          <w:color w:val="auto"/>
        </w:rPr>
      </w:pPr>
    </w:p>
    <w:p>
      <w:pPr>
        <w:jc w:val="both"/>
        <w:spacing w:after="0" w:line="313" w:lineRule="auto"/>
        <w:rPr>
          <w:sz w:val="20"/>
          <w:szCs w:val="20"/>
          <w:color w:val="auto"/>
        </w:rPr>
      </w:pPr>
      <w:r>
        <w:rPr>
          <w:rFonts w:ascii="Times New Roman" w:cs="Times New Roman" w:eastAsia="Times New Roman" w:hAnsi="Times New Roman"/>
          <w:sz w:val="19"/>
          <w:szCs w:val="19"/>
          <w:color w:val="auto"/>
        </w:rPr>
        <w:t>The fair values of ROU assets were estimated using an income approach based on management’s forecast of future cash flows expected to be derived based on the sublease market rent. First, the Company tests the asset group for recoverability by comparing the undiscounted cash flows of the asset group, which include expected future lease payments related to the lease agreement offset by expected sublease income, to the carrying amount of the asset group. If the first step of the long-lived asset impairment test concludes that the carrying amount of the asset group is not recoverable, the Company performs the second step of the long-lived asset impairment test by comparing the fair value of the asset group to its carrying amount and recognizing a lease</w:t>
      </w:r>
    </w:p>
    <w:p>
      <w:pPr>
        <w:spacing w:after="0" w:line="200" w:lineRule="exact"/>
        <w:rPr>
          <w:sz w:val="20"/>
          <w:szCs w:val="20"/>
          <w:color w:val="auto"/>
        </w:rPr>
      </w:pPr>
    </w:p>
    <w:p>
      <w:pPr>
        <w:spacing w:after="0" w:line="21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F-12</w:t>
      </w:r>
    </w:p>
    <w:p>
      <w:pPr>
        <w:sectPr>
          <w:pgSz w:w="12240" w:h="15840" w:orient="portrait"/>
          <w:cols w:equalWidth="0" w:num="1">
            <w:col w:w="10260"/>
          </w:cols>
          <w:pgMar w:left="1000" w:top="731" w:right="980" w:bottom="222" w:gutter="0" w:footer="0" w:header="0"/>
        </w:sectPr>
      </w:pPr>
    </w:p>
    <w:bookmarkStart w:id="132" w:name="page133"/>
    <w:bookmarkEnd w:id="132"/>
    <w:p>
      <w:pPr>
        <w:jc w:val="center"/>
        <w:ind w:right="20"/>
        <w:spacing w:after="0"/>
        <w:rPr>
          <w:sz w:val="20"/>
          <w:szCs w:val="20"/>
          <w:color w:val="auto"/>
        </w:rPr>
      </w:pPr>
      <w:r>
        <w:rPr>
          <w:rFonts w:ascii="Times New Roman" w:cs="Times New Roman" w:eastAsia="Times New Roman" w:hAnsi="Times New Roman"/>
          <w:sz w:val="20"/>
          <w:szCs w:val="20"/>
          <w:b w:val="1"/>
          <w:bCs w:val="1"/>
          <w:color w:val="auto"/>
        </w:rPr>
        <w:t>WM TECHNOLOGY, INC. AND SUBSIDIARIES</w:t>
      </w:r>
    </w:p>
    <w:p>
      <w:pPr>
        <w:spacing w:after="0" w:line="4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NOTES TO CONSOLIDATED FINANCIAL STATEMENTS</w:t>
      </w:r>
    </w:p>
    <w:p>
      <w:pPr>
        <w:spacing w:after="0" w:line="286" w:lineRule="exact"/>
        <w:rPr>
          <w:sz w:val="20"/>
          <w:szCs w:val="20"/>
          <w:color w:val="auto"/>
        </w:rPr>
      </w:pPr>
    </w:p>
    <w:p>
      <w:pPr>
        <w:jc w:val="both"/>
        <w:ind w:right="20"/>
        <w:spacing w:after="0" w:line="356" w:lineRule="auto"/>
        <w:rPr>
          <w:sz w:val="20"/>
          <w:szCs w:val="20"/>
          <w:color w:val="auto"/>
        </w:rPr>
      </w:pPr>
      <w:r>
        <w:rPr>
          <w:rFonts w:ascii="Times New Roman" w:cs="Times New Roman" w:eastAsia="Times New Roman" w:hAnsi="Times New Roman"/>
          <w:sz w:val="19"/>
          <w:szCs w:val="19"/>
          <w:color w:val="auto"/>
        </w:rPr>
        <w:t>impairment charge for the amount by which the carrying amount exceeds the fair value. To estimate the fair value of the asset group, the Company relies on a discounted cash flow approach using market participant assumptions of the expected cash flows.</w:t>
      </w:r>
    </w:p>
    <w:p>
      <w:pPr>
        <w:spacing w:after="0" w:line="21" w:lineRule="exact"/>
        <w:rPr>
          <w:sz w:val="20"/>
          <w:szCs w:val="20"/>
          <w:color w:val="auto"/>
        </w:rPr>
      </w:pPr>
    </w:p>
    <w:p>
      <w:pPr>
        <w:jc w:val="both"/>
        <w:spacing w:after="0" w:line="299" w:lineRule="auto"/>
        <w:rPr>
          <w:sz w:val="20"/>
          <w:szCs w:val="20"/>
          <w:color w:val="auto"/>
        </w:rPr>
      </w:pPr>
      <w:r>
        <w:rPr>
          <w:rFonts w:ascii="Times New Roman" w:cs="Times New Roman" w:eastAsia="Times New Roman" w:hAnsi="Times New Roman"/>
          <w:sz w:val="20"/>
          <w:szCs w:val="20"/>
          <w:color w:val="auto"/>
        </w:rPr>
        <w:t>In 2023, the Company recognized $10.9 million of ROU asset impairment charges driven by updated sublease assumptions for our second headquarter space in Los Angeles, California, pursuant to an operating lease that expires in 2031. In addition, the Company recognized ROU asset impairment charges of $0.6 million and $2.4 million during the years ended December 31, 2022 and 2021, respectively, related to certain ROU assets reducing the carrying values of the lease assets to their estimated fair values based on the discounted cash flows of estimated net rental income for the office spaces subleased.</w:t>
      </w:r>
    </w:p>
    <w:p>
      <w:pPr>
        <w:spacing w:after="0" w:line="72"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The impairment charges of ROU assets are included in asset impairment charges in the consolidated statements of operations.</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See Note 4, “Leases,” to these consolidated financial statements for additional information.</w:t>
      </w:r>
    </w:p>
    <w:p>
      <w:pPr>
        <w:spacing w:after="0" w:line="168"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Warrant Liability</w:t>
      </w:r>
    </w:p>
    <w:p>
      <w:pPr>
        <w:spacing w:after="0" w:line="164" w:lineRule="exact"/>
        <w:rPr>
          <w:sz w:val="20"/>
          <w:szCs w:val="20"/>
          <w:color w:val="auto"/>
        </w:rPr>
      </w:pPr>
    </w:p>
    <w:p>
      <w:pPr>
        <w:jc w:val="both"/>
        <w:spacing w:after="0" w:line="307" w:lineRule="auto"/>
        <w:rPr>
          <w:sz w:val="20"/>
          <w:szCs w:val="20"/>
          <w:color w:val="auto"/>
        </w:rPr>
      </w:pPr>
      <w:r>
        <w:rPr>
          <w:rFonts w:ascii="Times New Roman" w:cs="Times New Roman" w:eastAsia="Times New Roman" w:hAnsi="Times New Roman"/>
          <w:sz w:val="19"/>
          <w:szCs w:val="19"/>
          <w:color w:val="auto"/>
        </w:rPr>
        <w:t>The Company assumed 12,499,993 Public Warrants originally issued in the initial public offering of Silver Spike (the “Public Warrants”) and 7,000,000 Private Placement Warrants that were originally issued in a private placement by Silver Spike (the “Private Placement Warrants” and together with the Public Warrants, the “Warrants”) upon the Closing, all of which were issued in connection with Silver Spike’s initial public offering and entitle the holder to purchase one share of Class A Common Stock at an exercise price of at $11.50 per share. As of December 31, 2023, 12,499,973 Public Warrants and 7,000,000 Private Placement Warrants remained outstanding. The Public Warrants are publicly traded and are exercisable for cash unless certain conditions occur, such as the failure to have an effective registration statement related to the shares issuable upon exercise or redemption by the Company under certain conditions, at which time the warrants may be cashless exercised. The Private Placement Warrants are transferable, assignable or salable in certain limited exceptions. The Private Placement Warrants are exercisable for cash or on a cashless basis, at the holder’s option, and are non-redeemable so long as they are held by the initial purchasers or their permitted transferees. If the Private Placement Warrants are held by someone other than the initial purchasers or their permitted transferees, the Private Placement Warrants will cease to be Private Placement Warrants, and become Public Warrants and be redeemable by the Company and exercisable by such holders on the same basis as the other Public Warrants.</w:t>
      </w:r>
    </w:p>
    <w:p>
      <w:pPr>
        <w:spacing w:after="0" w:line="75" w:lineRule="exact"/>
        <w:rPr>
          <w:sz w:val="20"/>
          <w:szCs w:val="20"/>
          <w:color w:val="auto"/>
        </w:rPr>
      </w:pPr>
    </w:p>
    <w:p>
      <w:pPr>
        <w:jc w:val="both"/>
        <w:spacing w:after="0" w:line="293" w:lineRule="auto"/>
        <w:rPr>
          <w:sz w:val="20"/>
          <w:szCs w:val="20"/>
          <w:color w:val="auto"/>
        </w:rPr>
      </w:pPr>
      <w:r>
        <w:rPr>
          <w:rFonts w:ascii="Times New Roman" w:cs="Times New Roman" w:eastAsia="Times New Roman" w:hAnsi="Times New Roman"/>
          <w:sz w:val="20"/>
          <w:szCs w:val="20"/>
          <w:color w:val="auto"/>
        </w:rPr>
        <w:t xml:space="preserve">The Company evaluated the Warrants under ASC 815-40 </w:t>
      </w:r>
      <w:r>
        <w:rPr>
          <w:rFonts w:ascii="Times New Roman" w:cs="Times New Roman" w:eastAsia="Times New Roman" w:hAnsi="Times New Roman"/>
          <w:sz w:val="20"/>
          <w:szCs w:val="20"/>
          <w:i w:val="1"/>
          <w:iCs w:val="1"/>
          <w:color w:val="auto"/>
        </w:rPr>
        <w:t>- Derivatives and Hedging - Contracts in Entity’s Own Equity</w:t>
      </w:r>
      <w:r>
        <w:rPr>
          <w:rFonts w:ascii="Times New Roman" w:cs="Times New Roman" w:eastAsia="Times New Roman" w:hAnsi="Times New Roman"/>
          <w:sz w:val="20"/>
          <w:szCs w:val="20"/>
          <w:color w:val="auto"/>
        </w:rPr>
        <w:t>, and concluded they do not meet the criteria to be classified in stockholders’ equity. Specifically, the exercise of the Warrants may be settled in cash upon the occurrence of a tender offer or exchange that involves 50% or more of our Class A equity holders. Because not all of the voting stockholders need to participate in such tender offer or exchange to trigger the potential cash settlement and the Company does not control the occurrence of such an event, the Company concluded that the Warrants do not meet the conditions to be classified in equity. Since the Warrants meet the definition of a derivative under ASC 815, the Company recorded these warrants as liabilities on the consolidated balance sheets at fair value, with subsequent changes in their respective fair values recognized in change in fair value of warrant liabilities within the consolidated statements of operations at each reporting date. See Note 12, “Warrant Liability,” to these consolidated financial statements for additional information.</w:t>
      </w:r>
    </w:p>
    <w:p>
      <w:pPr>
        <w:spacing w:after="0" w:line="82"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Tax Receivable Agreement</w:t>
      </w:r>
    </w:p>
    <w:p>
      <w:pPr>
        <w:spacing w:after="0" w:line="164" w:lineRule="exact"/>
        <w:rPr>
          <w:sz w:val="20"/>
          <w:szCs w:val="20"/>
          <w:color w:val="auto"/>
        </w:rPr>
      </w:pPr>
    </w:p>
    <w:p>
      <w:pPr>
        <w:jc w:val="both"/>
        <w:spacing w:after="0" w:line="295" w:lineRule="auto"/>
        <w:rPr>
          <w:sz w:val="20"/>
          <w:szCs w:val="20"/>
          <w:color w:val="auto"/>
        </w:rPr>
      </w:pPr>
      <w:r>
        <w:rPr>
          <w:rFonts w:ascii="Times New Roman" w:cs="Times New Roman" w:eastAsia="Times New Roman" w:hAnsi="Times New Roman"/>
          <w:sz w:val="20"/>
          <w:szCs w:val="20"/>
          <w:color w:val="auto"/>
        </w:rPr>
        <w:t>In connection with the Business Combination, the Company entered into a tax receivable agreement (the “TRA”) with continuing members that provides for a payment to the continuing Class A Unit holders of 85% of the amount of tax benefits, if any, that the Company realizes, or is deemed to realize, as a result of redemptions or exchanges of Units (as defined below). In connection with such potential future tax benefits resulting from the Business Combination, and such subsequent redemptions and exchanges, the Company has established a deferred tax asset for the additional tax basis and a corresponding TRA liability of 85% of the expected benefit. The remaining 15% is recorded to additional paid-in capital.</w:t>
      </w:r>
    </w:p>
    <w:p>
      <w:pPr>
        <w:spacing w:after="0" w:line="75" w:lineRule="exact"/>
        <w:rPr>
          <w:sz w:val="20"/>
          <w:szCs w:val="20"/>
          <w:color w:val="auto"/>
        </w:rPr>
      </w:pPr>
    </w:p>
    <w:p>
      <w:pPr>
        <w:jc w:val="both"/>
        <w:spacing w:after="0" w:line="301" w:lineRule="auto"/>
        <w:rPr>
          <w:sz w:val="20"/>
          <w:szCs w:val="20"/>
          <w:color w:val="auto"/>
        </w:rPr>
      </w:pPr>
      <w:r>
        <w:rPr>
          <w:rFonts w:ascii="Times New Roman" w:cs="Times New Roman" w:eastAsia="Times New Roman" w:hAnsi="Times New Roman"/>
          <w:sz w:val="20"/>
          <w:szCs w:val="20"/>
          <w:color w:val="auto"/>
        </w:rPr>
        <w:t>The TRA liability is subject to remeasurement each reporting period, due to various factors, including changes in federal and state income tax rates and assessment of the probability of payment. As these remeasurement changes are subsequent to the initial measurement, the impact of the remeasurement is recorded in other income (expense), net on the consolidated statements of operations. See Note 16, “Income Taxes,” to these consolidated financial statements for additional information.</w:t>
      </w:r>
    </w:p>
    <w:p>
      <w:pPr>
        <w:spacing w:after="0" w:line="200" w:lineRule="exact"/>
        <w:rPr>
          <w:sz w:val="20"/>
          <w:szCs w:val="20"/>
          <w:color w:val="auto"/>
        </w:rPr>
      </w:pPr>
    </w:p>
    <w:p>
      <w:pPr>
        <w:spacing w:after="0" w:line="22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F-13</w:t>
      </w:r>
    </w:p>
    <w:p>
      <w:pPr>
        <w:sectPr>
          <w:pgSz w:w="12240" w:h="15840" w:orient="portrait"/>
          <w:cols w:equalWidth="0" w:num="1">
            <w:col w:w="10260"/>
          </w:cols>
          <w:pgMar w:left="1000" w:top="731" w:right="980" w:bottom="222" w:gutter="0" w:footer="0" w:header="0"/>
        </w:sectPr>
      </w:pPr>
    </w:p>
    <w:bookmarkStart w:id="133" w:name="page134"/>
    <w:bookmarkEnd w:id="133"/>
    <w:p>
      <w:pPr>
        <w:jc w:val="center"/>
        <w:ind w:right="20"/>
        <w:spacing w:after="0"/>
        <w:rPr>
          <w:sz w:val="20"/>
          <w:szCs w:val="20"/>
          <w:color w:val="auto"/>
        </w:rPr>
      </w:pPr>
      <w:r>
        <w:rPr>
          <w:rFonts w:ascii="Times New Roman" w:cs="Times New Roman" w:eastAsia="Times New Roman" w:hAnsi="Times New Roman"/>
          <w:sz w:val="20"/>
          <w:szCs w:val="20"/>
          <w:b w:val="1"/>
          <w:bCs w:val="1"/>
          <w:color w:val="auto"/>
        </w:rPr>
        <w:t>WM TECHNOLOGY, INC. AND SUBSIDIARIES</w:t>
      </w:r>
    </w:p>
    <w:p>
      <w:pPr>
        <w:spacing w:after="0" w:line="4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NOTES TO CONSOLIDATED FINANCIAL STATEMENTS</w:t>
      </w:r>
    </w:p>
    <w:p>
      <w:pPr>
        <w:spacing w:after="0" w:line="289"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Revenue Recognition</w:t>
      </w:r>
    </w:p>
    <w:p>
      <w:pPr>
        <w:spacing w:after="0" w:line="164" w:lineRule="exact"/>
        <w:rPr>
          <w:sz w:val="20"/>
          <w:szCs w:val="20"/>
          <w:color w:val="auto"/>
        </w:rPr>
      </w:pPr>
    </w:p>
    <w:p>
      <w:pPr>
        <w:jc w:val="both"/>
        <w:spacing w:after="0" w:line="291" w:lineRule="auto"/>
        <w:rPr>
          <w:sz w:val="20"/>
          <w:szCs w:val="20"/>
          <w:color w:val="auto"/>
        </w:rPr>
      </w:pPr>
      <w:r>
        <w:rPr>
          <w:rFonts w:ascii="Times New Roman" w:cs="Times New Roman" w:eastAsia="Times New Roman" w:hAnsi="Times New Roman"/>
          <w:sz w:val="20"/>
          <w:szCs w:val="20"/>
          <w:color w:val="auto"/>
        </w:rPr>
        <w:t xml:space="preserve">The Company recognizes revenue when the fundamental criteria for revenue recognition are met. In accordance with ASC Topic 606, </w:t>
      </w:r>
      <w:r>
        <w:rPr>
          <w:rFonts w:ascii="Times New Roman" w:cs="Times New Roman" w:eastAsia="Times New Roman" w:hAnsi="Times New Roman"/>
          <w:sz w:val="20"/>
          <w:szCs w:val="20"/>
          <w:i w:val="1"/>
          <w:iCs w:val="1"/>
          <w:color w:val="auto"/>
        </w:rPr>
        <w:t>“Revenue from Contracts with Customers,</w:t>
      </w:r>
      <w:r>
        <w:rPr>
          <w:rFonts w:ascii="Times New Roman" w:cs="Times New Roman" w:eastAsia="Times New Roman" w:hAnsi="Times New Roman"/>
          <w:sz w:val="20"/>
          <w:szCs w:val="20"/>
          <w:color w:val="auto"/>
        </w:rPr>
        <w:t>” the Company recognizes revenue by applying the following five steps: the contract with the customer is identified; the performance obligations in the contract are identified; the transaction price is determined; the transaction price is allocated to the performance obligations in the contract; and revenue is recognized when (or as) the Company satisfies these performance obligations in an amount that reflects the consideration it expects to be entitled to in exchange for those services. The Company excludes sales taxes and other similar taxes from the measurement of the transaction price. The transaction price reflects the amount the Company expects to receive for such goods, net of discounts. Discounts issued are primarily related to the Company’s WM Teal program, which stands for “Together for Equity Access and Legislation”, through which the Company provides discounts including free software, advertising, educational materials and training programs to applicants or licenses under social equity licensing programs. The Company provides a discount to license holders who were awarded special status by the state based on owner qualifications. These are typically given in new markets to add more diversity and inclusion in the cannabis space. A license’s social equity status is validated by the Company on the applicable state’s website. For the years ended December 31, 2023, 2022 and 2021, total discounts issued was $4.2 million, $4.5 million and $2.6 million, respectively. For clients that pay in advance for listing and other services, the Company records deferred revenue and recognizes revenue over the applicable subscription term.</w:t>
      </w:r>
    </w:p>
    <w:p>
      <w:pPr>
        <w:spacing w:after="0" w:line="80" w:lineRule="exact"/>
        <w:rPr>
          <w:sz w:val="20"/>
          <w:szCs w:val="20"/>
          <w:color w:val="auto"/>
        </w:rPr>
      </w:pPr>
    </w:p>
    <w:p>
      <w:pPr>
        <w:jc w:val="both"/>
        <w:spacing w:after="0" w:line="308" w:lineRule="auto"/>
        <w:rPr>
          <w:sz w:val="20"/>
          <w:szCs w:val="20"/>
          <w:color w:val="auto"/>
        </w:rPr>
      </w:pPr>
      <w:r>
        <w:rPr>
          <w:rFonts w:ascii="Times New Roman" w:cs="Times New Roman" w:eastAsia="Times New Roman" w:hAnsi="Times New Roman"/>
          <w:sz w:val="19"/>
          <w:szCs w:val="19"/>
          <w:color w:val="auto"/>
        </w:rPr>
        <w:t>The Company’s revenues are derived primarily from monthly subscriptions to Weedmaps for Business, featured and deal listings and other WM Ad solutions. The Company’s Weedmaps for Business subscriptions generally have one-month terms that automatically renew unless notice of cancellation is provided in advance. Featured and deal listings and other WM Ad solutions are offered as add-on products to the Weedmaps for Business subscriptions. Featured and deal listings provide customers with premium placement ad solutions and discount and promotion pricing tools. Other WM Ad solutions include banner ads and promotion tiles on the Company’s marketplace ad as well as other advertising products on and off the Weedmaps marketplace. The Company has a fixed inventory of featured listing and display advertising in each market, and price is generally determined through a competitive auction process that reflects local market demand. Revenues for these arrangements are recognized over-time, generally during a month-to-month subscription period as the services are provided. The Company rarely needs to allocate the transaction price to separate performance obligations. In the rare case that allocation of the transaction price is needed, the Company recognizes revenue in proportion to the standalone selling prices of the underlying services at contract inception.</w:t>
      </w:r>
    </w:p>
    <w:p>
      <w:pPr>
        <w:spacing w:after="0" w:line="69" w:lineRule="exact"/>
        <w:rPr>
          <w:sz w:val="20"/>
          <w:szCs w:val="20"/>
          <w:color w:val="auto"/>
        </w:rPr>
      </w:pPr>
    </w:p>
    <w:p>
      <w:pPr>
        <w:jc w:val="both"/>
        <w:spacing w:after="0" w:line="297" w:lineRule="auto"/>
        <w:rPr>
          <w:sz w:val="20"/>
          <w:szCs w:val="20"/>
          <w:color w:val="auto"/>
        </w:rPr>
      </w:pPr>
      <w:r>
        <w:rPr>
          <w:rFonts w:ascii="Times New Roman" w:cs="Times New Roman" w:eastAsia="Times New Roman" w:hAnsi="Times New Roman"/>
          <w:sz w:val="20"/>
          <w:szCs w:val="20"/>
          <w:color w:val="auto"/>
        </w:rPr>
        <w:t>Revenue for service contracts that the Company assesses are not probable of collection is not recognized until the contract is completed and payment is received. Collectability is reassessed when there is a significant change in facts or circumstances. The assessment of collectability considers whether the Company may limit its exposure to credit risk through its right to stop transferring additional service in the event the customer is delinquent. See Note 3, “Revenue from Contracts with Customers,” to these consolidated financial statements for additional information.</w:t>
      </w:r>
    </w:p>
    <w:p>
      <w:pPr>
        <w:spacing w:after="0" w:line="77"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Cost of Revenues (Exclusive of Depreciation and Amortization)</w:t>
      </w:r>
    </w:p>
    <w:p>
      <w:pPr>
        <w:spacing w:after="0" w:line="164" w:lineRule="exact"/>
        <w:rPr>
          <w:sz w:val="20"/>
          <w:szCs w:val="20"/>
          <w:color w:val="auto"/>
        </w:rPr>
      </w:pPr>
    </w:p>
    <w:p>
      <w:pPr>
        <w:jc w:val="both"/>
        <w:spacing w:after="0" w:line="334" w:lineRule="auto"/>
        <w:rPr>
          <w:sz w:val="20"/>
          <w:szCs w:val="20"/>
          <w:color w:val="auto"/>
        </w:rPr>
      </w:pPr>
      <w:r>
        <w:rPr>
          <w:rFonts w:ascii="Times New Roman" w:cs="Times New Roman" w:eastAsia="Times New Roman" w:hAnsi="Times New Roman"/>
          <w:sz w:val="20"/>
          <w:szCs w:val="20"/>
          <w:color w:val="auto"/>
        </w:rPr>
        <w:t>The Company’s cost of revenue primarily consists of web hosting, internet service costs, credit card processing costs and other third party services.</w:t>
      </w:r>
    </w:p>
    <w:p>
      <w:pPr>
        <w:spacing w:after="0" w:line="39"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Advertising</w:t>
      </w:r>
    </w:p>
    <w:p>
      <w:pPr>
        <w:spacing w:after="0" w:line="164" w:lineRule="exact"/>
        <w:rPr>
          <w:sz w:val="20"/>
          <w:szCs w:val="20"/>
          <w:color w:val="auto"/>
        </w:rPr>
      </w:pPr>
    </w:p>
    <w:p>
      <w:pPr>
        <w:jc w:val="both"/>
        <w:spacing w:after="0" w:line="306" w:lineRule="auto"/>
        <w:rPr>
          <w:sz w:val="20"/>
          <w:szCs w:val="20"/>
          <w:color w:val="auto"/>
        </w:rPr>
      </w:pPr>
      <w:r>
        <w:rPr>
          <w:rFonts w:ascii="Times New Roman" w:cs="Times New Roman" w:eastAsia="Times New Roman" w:hAnsi="Times New Roman"/>
          <w:sz w:val="20"/>
          <w:szCs w:val="20"/>
          <w:color w:val="auto"/>
        </w:rPr>
        <w:t>The Company expenses the cost of advertising in the period incurred. Advertising expense totaled $11.8 million, $14.4 million and $17.7 million for the years ended December 31, 2023, 2022 and 2021, respectively, and are included in sales and marketing expense in the accompanying consolidated statements of operations.</w:t>
      </w:r>
    </w:p>
    <w:p>
      <w:pPr>
        <w:spacing w:after="0" w:line="6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Stock-Based Compensation</w:t>
      </w:r>
    </w:p>
    <w:p>
      <w:pPr>
        <w:spacing w:after="0" w:line="164" w:lineRule="exact"/>
        <w:rPr>
          <w:sz w:val="20"/>
          <w:szCs w:val="20"/>
          <w:color w:val="auto"/>
        </w:rPr>
      </w:pPr>
    </w:p>
    <w:p>
      <w:pPr>
        <w:jc w:val="both"/>
        <w:spacing w:after="0" w:line="301" w:lineRule="auto"/>
        <w:rPr>
          <w:sz w:val="20"/>
          <w:szCs w:val="20"/>
          <w:color w:val="auto"/>
        </w:rPr>
      </w:pPr>
      <w:r>
        <w:rPr>
          <w:rFonts w:ascii="Times New Roman" w:cs="Times New Roman" w:eastAsia="Times New Roman" w:hAnsi="Times New Roman"/>
          <w:sz w:val="20"/>
          <w:szCs w:val="20"/>
          <w:color w:val="auto"/>
        </w:rPr>
        <w:t>The Company measures fair value of employee stock-based compensation awards on the date of grant and allocates the related expense over the requisite service period. The fair value of restricted stock units and performance-based restricted stock units is equal to the market price of the Company’s common stock on the date of grant. The fair value of the Class P Units is measured using the Black-Scholes-Merton valuation model. The expected volatility is based on the historical volatility and implied</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F-14</w:t>
      </w:r>
    </w:p>
    <w:p>
      <w:pPr>
        <w:sectPr>
          <w:pgSz w:w="12240" w:h="15840" w:orient="portrait"/>
          <w:cols w:equalWidth="0" w:num="1">
            <w:col w:w="10260"/>
          </w:cols>
          <w:pgMar w:left="1000" w:top="731" w:right="980" w:bottom="222" w:gutter="0" w:footer="0" w:header="0"/>
        </w:sectPr>
      </w:pPr>
    </w:p>
    <w:bookmarkStart w:id="134" w:name="page135"/>
    <w:bookmarkEnd w:id="134"/>
    <w:p>
      <w:pPr>
        <w:jc w:val="center"/>
        <w:ind w:right="20"/>
        <w:spacing w:after="0"/>
        <w:rPr>
          <w:sz w:val="20"/>
          <w:szCs w:val="20"/>
          <w:color w:val="auto"/>
        </w:rPr>
      </w:pPr>
      <w:r>
        <w:rPr>
          <w:rFonts w:ascii="Times New Roman" w:cs="Times New Roman" w:eastAsia="Times New Roman" w:hAnsi="Times New Roman"/>
          <w:sz w:val="20"/>
          <w:szCs w:val="20"/>
          <w:b w:val="1"/>
          <w:bCs w:val="1"/>
          <w:color w:val="auto"/>
        </w:rPr>
        <w:t>WM TECHNOLOGY, INC. AND SUBSIDIARIES</w:t>
      </w:r>
    </w:p>
    <w:p>
      <w:pPr>
        <w:spacing w:after="0" w:line="4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NOTES TO CONSOLIDATED FINANCIAL STATEMENTS</w:t>
      </w:r>
    </w:p>
    <w:p>
      <w:pPr>
        <w:spacing w:after="0" w:line="286" w:lineRule="exact"/>
        <w:rPr>
          <w:sz w:val="20"/>
          <w:szCs w:val="20"/>
          <w:color w:val="auto"/>
        </w:rPr>
      </w:pPr>
    </w:p>
    <w:p>
      <w:pPr>
        <w:jc w:val="both"/>
        <w:spacing w:after="0" w:line="301" w:lineRule="auto"/>
        <w:rPr>
          <w:sz w:val="20"/>
          <w:szCs w:val="20"/>
          <w:color w:val="auto"/>
        </w:rPr>
      </w:pPr>
      <w:r>
        <w:rPr>
          <w:rFonts w:ascii="Times New Roman" w:cs="Times New Roman" w:eastAsia="Times New Roman" w:hAnsi="Times New Roman"/>
          <w:sz w:val="20"/>
          <w:szCs w:val="20"/>
          <w:color w:val="auto"/>
        </w:rPr>
        <w:t>volatilities for comparable companies, the expected life of the award is based on the simplified method. When awards include a performance condition that impacts the vesting of the award, the Company records compensation cost when it becomes probable that the performance condition will be met and the expense will be attributed over the performance period. See Note 14, “Stock-based Compensation,” to these consolidated financial statements for additional information.</w:t>
      </w:r>
    </w:p>
    <w:p>
      <w:pPr>
        <w:spacing w:after="0" w:line="72"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Employee Benefit Plan</w:t>
      </w:r>
    </w:p>
    <w:p>
      <w:pPr>
        <w:spacing w:after="0" w:line="164" w:lineRule="exact"/>
        <w:rPr>
          <w:sz w:val="20"/>
          <w:szCs w:val="20"/>
          <w:color w:val="auto"/>
        </w:rPr>
      </w:pPr>
    </w:p>
    <w:p>
      <w:pPr>
        <w:jc w:val="both"/>
        <w:spacing w:after="0" w:line="296" w:lineRule="auto"/>
        <w:rPr>
          <w:sz w:val="20"/>
          <w:szCs w:val="20"/>
          <w:color w:val="auto"/>
        </w:rPr>
      </w:pPr>
      <w:r>
        <w:rPr>
          <w:rFonts w:ascii="Times New Roman" w:cs="Times New Roman" w:eastAsia="Times New Roman" w:hAnsi="Times New Roman"/>
          <w:sz w:val="20"/>
          <w:szCs w:val="20"/>
          <w:color w:val="auto"/>
        </w:rPr>
        <w:t>The Company’s 401(k) saving plan is a tax-qualified deferred compensation arrangement under Section 401(k) of the Internal Revenue Code. Under the Company’s 401(k) plan, participating U.S. employees may contribute a portion of their eligible earnings, subject to applicable U.S. Internal Revenue Service and plan limits. The Company matches up to 3.5% of the employee’s eligible compensation, vested upon two years of service. For the years ended December 31, 2023, 2022 and 2021, the Company recognized $2.3 million, $2.4 million and $1.5 million, respectively, of expenses related to employer contributions for the Company’s 401(k) plan.</w:t>
      </w:r>
    </w:p>
    <w:p>
      <w:pPr>
        <w:spacing w:after="0" w:line="79"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Other Income (Expense), net</w:t>
      </w:r>
    </w:p>
    <w:p>
      <w:pPr>
        <w:spacing w:after="0" w:line="164" w:lineRule="exact"/>
        <w:rPr>
          <w:sz w:val="20"/>
          <w:szCs w:val="20"/>
          <w:color w:val="auto"/>
        </w:rPr>
      </w:pPr>
    </w:p>
    <w:p>
      <w:pPr>
        <w:jc w:val="both"/>
        <w:spacing w:after="0" w:line="301" w:lineRule="auto"/>
        <w:rPr>
          <w:sz w:val="20"/>
          <w:szCs w:val="20"/>
          <w:color w:val="auto"/>
        </w:rPr>
      </w:pPr>
      <w:r>
        <w:rPr>
          <w:rFonts w:ascii="Times New Roman" w:cs="Times New Roman" w:eastAsia="Times New Roman" w:hAnsi="Times New Roman"/>
          <w:sz w:val="20"/>
          <w:szCs w:val="20"/>
          <w:color w:val="auto"/>
        </w:rPr>
        <w:t>Other income (expense), net consists primarily of gain resulting from the discharge of a holdback obligation related to a prior acquisition, change in fair value of warrant liability and TRA liability remeasurement, political contributions, interest income, interest expense, financing fees and other tax related expenses. The Company recorded a non-cash gain of $3.7 million during the year ended December 31, 2023 resulting from the discharge of a holdback obligation related to a prior acquisition.</w:t>
      </w:r>
    </w:p>
    <w:p>
      <w:pPr>
        <w:spacing w:after="0" w:line="72"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Income Taxes</w:t>
      </w:r>
    </w:p>
    <w:p>
      <w:pPr>
        <w:spacing w:after="0" w:line="164" w:lineRule="exact"/>
        <w:rPr>
          <w:sz w:val="20"/>
          <w:szCs w:val="20"/>
          <w:color w:val="auto"/>
        </w:rPr>
      </w:pPr>
    </w:p>
    <w:p>
      <w:pPr>
        <w:jc w:val="both"/>
        <w:spacing w:after="0" w:line="292" w:lineRule="auto"/>
        <w:rPr>
          <w:sz w:val="20"/>
          <w:szCs w:val="20"/>
          <w:color w:val="auto"/>
        </w:rPr>
      </w:pPr>
      <w:r>
        <w:rPr>
          <w:rFonts w:ascii="Times New Roman" w:cs="Times New Roman" w:eastAsia="Times New Roman" w:hAnsi="Times New Roman"/>
          <w:sz w:val="20"/>
          <w:szCs w:val="20"/>
          <w:color w:val="auto"/>
        </w:rPr>
        <w:t>The Company accounts for income taxes pursuant to the asset and liability method which requires the recognition of deferred income tax assets and liabilities related to the expected future tax consequences arising from temporary differences between the carrying amounts and tax bases of assets and liabilities based on enacted statutory tax rates applicable to the periods in which the temporary differences are expected to reverse. Any effects of changes in income tax rates or laws are included in income tax expense in the period of enactment. A valuation allowance is recognized if the Company determines it is more-likely-than-not that all or a portion of a deferred tax asset will not be recognized. In making such determination, the Company considers all available evidence, including scheduled reversals of deferred tax liabilities, projected future taxable income, tax planning strategies and recent and expected future results of operation. See Note 16, “Income Taxes,” to these consolidated financial statements for additional information.</w:t>
      </w:r>
    </w:p>
    <w:p>
      <w:pPr>
        <w:spacing w:after="0" w:line="83"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Segment Reporting</w:t>
      </w:r>
    </w:p>
    <w:p>
      <w:pPr>
        <w:spacing w:after="0" w:line="164" w:lineRule="exact"/>
        <w:rPr>
          <w:sz w:val="20"/>
          <w:szCs w:val="20"/>
          <w:color w:val="auto"/>
        </w:rPr>
      </w:pPr>
    </w:p>
    <w:p>
      <w:pPr>
        <w:jc w:val="both"/>
        <w:spacing w:after="0" w:line="309" w:lineRule="auto"/>
        <w:rPr>
          <w:sz w:val="20"/>
          <w:szCs w:val="20"/>
          <w:color w:val="auto"/>
        </w:rPr>
      </w:pPr>
      <w:r>
        <w:rPr>
          <w:rFonts w:ascii="Times New Roman" w:cs="Times New Roman" w:eastAsia="Times New Roman" w:hAnsi="Times New Roman"/>
          <w:sz w:val="20"/>
          <w:szCs w:val="20"/>
          <w:color w:val="auto"/>
        </w:rPr>
        <w:t>The Company has identified one business segment which management also considers to be one reporting unit as the Company’s Executive Chair and Interim Chief Financial Officer allocate resources, assess performance and manage the businesses as one segment.</w:t>
      </w:r>
    </w:p>
    <w:p>
      <w:pPr>
        <w:spacing w:after="0" w:line="64"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Earnings (Loss) Per Share</w:t>
      </w:r>
    </w:p>
    <w:p>
      <w:pPr>
        <w:spacing w:after="0" w:line="164" w:lineRule="exact"/>
        <w:rPr>
          <w:sz w:val="20"/>
          <w:szCs w:val="20"/>
          <w:color w:val="auto"/>
        </w:rPr>
      </w:pPr>
    </w:p>
    <w:p>
      <w:pPr>
        <w:jc w:val="both"/>
        <w:spacing w:after="0" w:line="326" w:lineRule="auto"/>
        <w:rPr>
          <w:sz w:val="20"/>
          <w:szCs w:val="20"/>
          <w:color w:val="auto"/>
        </w:rPr>
      </w:pPr>
      <w:r>
        <w:rPr>
          <w:rFonts w:ascii="Times New Roman" w:cs="Times New Roman" w:eastAsia="Times New Roman" w:hAnsi="Times New Roman"/>
          <w:sz w:val="20"/>
          <w:szCs w:val="20"/>
          <w:color w:val="auto"/>
        </w:rPr>
        <w:t>Basic income (loss) per share is computed by dividing net income (loss) attributable to WM Technology, Inc. by the weighted-average number of shares of Class A Common Stock outstanding during the period.</w:t>
      </w:r>
    </w:p>
    <w:p>
      <w:pPr>
        <w:spacing w:after="0" w:line="45" w:lineRule="exact"/>
        <w:rPr>
          <w:sz w:val="20"/>
          <w:szCs w:val="20"/>
          <w:color w:val="auto"/>
        </w:rPr>
      </w:pPr>
    </w:p>
    <w:p>
      <w:pPr>
        <w:jc w:val="both"/>
        <w:spacing w:after="0" w:line="296" w:lineRule="auto"/>
        <w:rPr>
          <w:sz w:val="20"/>
          <w:szCs w:val="20"/>
          <w:color w:val="auto"/>
        </w:rPr>
      </w:pPr>
      <w:r>
        <w:rPr>
          <w:rFonts w:ascii="Times New Roman" w:cs="Times New Roman" w:eastAsia="Times New Roman" w:hAnsi="Times New Roman"/>
          <w:sz w:val="20"/>
          <w:szCs w:val="20"/>
          <w:color w:val="auto"/>
        </w:rPr>
        <w:t>Diluted income (loss) per share is computed giving effect to all potential weighted-average dilutive shares for the period. The dilutive effect of outstanding awards or financial instruments, if any, is reflected in diluted income (loss) per share by application of the treasury stock method or if-converted method, as applicable. Potential common shares are excluded from the calculation of diluted EPS in the event they are antidilutive or subject to performance conditions for which the necessary conditions have not been satisfied by the end of the reporting period. See Note 15, “Earnings Per Share,” for additional information on dilutive securities.</w:t>
      </w:r>
    </w:p>
    <w:p>
      <w:pPr>
        <w:spacing w:after="0" w:line="78"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Concentrations of Credit Risk</w:t>
      </w:r>
    </w:p>
    <w:p>
      <w:pPr>
        <w:spacing w:after="0" w:line="164" w:lineRule="exact"/>
        <w:rPr>
          <w:sz w:val="20"/>
          <w:szCs w:val="20"/>
          <w:color w:val="auto"/>
        </w:rPr>
      </w:pPr>
    </w:p>
    <w:p>
      <w:pPr>
        <w:jc w:val="both"/>
        <w:spacing w:after="0" w:line="326" w:lineRule="auto"/>
        <w:rPr>
          <w:sz w:val="20"/>
          <w:szCs w:val="20"/>
          <w:color w:val="auto"/>
        </w:rPr>
      </w:pPr>
      <w:r>
        <w:rPr>
          <w:rFonts w:ascii="Times New Roman" w:cs="Times New Roman" w:eastAsia="Times New Roman" w:hAnsi="Times New Roman"/>
          <w:sz w:val="20"/>
          <w:szCs w:val="20"/>
          <w:color w:val="auto"/>
        </w:rPr>
        <w:t>The Company’s financial instruments are potentially subject to concentrations of credit risk. The Company places its cash with high quality credit institutions and the Company’s cash balances at these institutions typically exceed the Federal Deposit</w:t>
      </w:r>
    </w:p>
    <w:p>
      <w:pPr>
        <w:spacing w:after="0" w:line="7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F-15</w:t>
      </w:r>
    </w:p>
    <w:p>
      <w:pPr>
        <w:sectPr>
          <w:pgSz w:w="12240" w:h="15840" w:orient="portrait"/>
          <w:cols w:equalWidth="0" w:num="1">
            <w:col w:w="10260"/>
          </w:cols>
          <w:pgMar w:left="1000" w:top="731" w:right="980" w:bottom="222" w:gutter="0" w:footer="0" w:header="0"/>
        </w:sectPr>
      </w:pPr>
    </w:p>
    <w:bookmarkStart w:id="135" w:name="page136"/>
    <w:bookmarkEnd w:id="135"/>
    <w:p>
      <w:pPr>
        <w:jc w:val="center"/>
        <w:ind w:right="14"/>
        <w:spacing w:after="0"/>
        <w:rPr>
          <w:sz w:val="20"/>
          <w:szCs w:val="20"/>
          <w:color w:val="auto"/>
        </w:rPr>
      </w:pPr>
      <w:r>
        <w:rPr>
          <w:rFonts w:ascii="Times New Roman" w:cs="Times New Roman" w:eastAsia="Times New Roman" w:hAnsi="Times New Roman"/>
          <w:sz w:val="20"/>
          <w:szCs w:val="20"/>
          <w:b w:val="1"/>
          <w:bCs w:val="1"/>
          <w:color w:val="auto"/>
        </w:rPr>
        <w:t>WM TECHNOLOGY, INC. AND SUBSIDIARIES</w:t>
      </w:r>
    </w:p>
    <w:p>
      <w:pPr>
        <w:spacing w:after="0" w:line="48" w:lineRule="exact"/>
        <w:rPr>
          <w:sz w:val="20"/>
          <w:szCs w:val="20"/>
          <w:color w:val="auto"/>
        </w:rPr>
      </w:pPr>
    </w:p>
    <w:p>
      <w:pPr>
        <w:jc w:val="center"/>
        <w:ind w:right="-5"/>
        <w:spacing w:after="0"/>
        <w:rPr>
          <w:sz w:val="20"/>
          <w:szCs w:val="20"/>
          <w:color w:val="auto"/>
        </w:rPr>
      </w:pPr>
      <w:r>
        <w:rPr>
          <w:rFonts w:ascii="Times New Roman" w:cs="Times New Roman" w:eastAsia="Times New Roman" w:hAnsi="Times New Roman"/>
          <w:sz w:val="20"/>
          <w:szCs w:val="20"/>
          <w:b w:val="1"/>
          <w:bCs w:val="1"/>
          <w:color w:val="auto"/>
        </w:rPr>
        <w:t>NOTES TO CONSOLIDATED FINANCIAL STATEMENTS</w:t>
      </w:r>
    </w:p>
    <w:p>
      <w:pPr>
        <w:spacing w:after="0" w:line="286" w:lineRule="exact"/>
        <w:rPr>
          <w:sz w:val="20"/>
          <w:szCs w:val="20"/>
          <w:color w:val="auto"/>
        </w:rPr>
      </w:pPr>
    </w:p>
    <w:p>
      <w:pPr>
        <w:jc w:val="both"/>
        <w:ind w:left="6" w:right="20"/>
        <w:spacing w:after="0" w:line="301" w:lineRule="auto"/>
        <w:rPr>
          <w:sz w:val="20"/>
          <w:szCs w:val="20"/>
          <w:color w:val="auto"/>
        </w:rPr>
      </w:pPr>
      <w:r>
        <w:rPr>
          <w:rFonts w:ascii="Times New Roman" w:cs="Times New Roman" w:eastAsia="Times New Roman" w:hAnsi="Times New Roman"/>
          <w:sz w:val="20"/>
          <w:szCs w:val="20"/>
          <w:color w:val="auto"/>
        </w:rPr>
        <w:t>Insurance Corporation limit. As of December 31, 2023, the Company had cash balances that exceeded the deposit insurance limit with five financial institutions. As of December 31, 2022, the Company had cash balances that exceeded the deposit insurance limit with four financial institutions. Management believes that the risk of loss is not significant and has not experienced any losses in such accounts.</w:t>
      </w:r>
    </w:p>
    <w:p>
      <w:pPr>
        <w:spacing w:after="0" w:line="72" w:lineRule="exact"/>
        <w:rPr>
          <w:sz w:val="20"/>
          <w:szCs w:val="20"/>
          <w:color w:val="auto"/>
        </w:rPr>
      </w:pPr>
    </w:p>
    <w:p>
      <w:pPr>
        <w:ind w:left="6"/>
        <w:spacing w:after="0"/>
        <w:rPr>
          <w:sz w:val="20"/>
          <w:szCs w:val="20"/>
          <w:color w:val="auto"/>
        </w:rPr>
      </w:pPr>
      <w:r>
        <w:rPr>
          <w:rFonts w:ascii="Times New Roman" w:cs="Times New Roman" w:eastAsia="Times New Roman" w:hAnsi="Times New Roman"/>
          <w:sz w:val="20"/>
          <w:szCs w:val="20"/>
          <w:b w:val="1"/>
          <w:bCs w:val="1"/>
          <w:i w:val="1"/>
          <w:iCs w:val="1"/>
          <w:color w:val="auto"/>
        </w:rPr>
        <w:t>Recently Adopted Accounting Pronouncements</w:t>
      </w:r>
    </w:p>
    <w:p>
      <w:pPr>
        <w:spacing w:after="0" w:line="164" w:lineRule="exact"/>
        <w:rPr>
          <w:sz w:val="20"/>
          <w:szCs w:val="20"/>
          <w:color w:val="auto"/>
        </w:rPr>
      </w:pPr>
    </w:p>
    <w:p>
      <w:pPr>
        <w:jc w:val="both"/>
        <w:ind w:left="6"/>
        <w:spacing w:after="0" w:line="326" w:lineRule="auto"/>
        <w:rPr>
          <w:sz w:val="20"/>
          <w:szCs w:val="20"/>
          <w:color w:val="auto"/>
        </w:rPr>
      </w:pPr>
      <w:r>
        <w:rPr>
          <w:rFonts w:ascii="Times New Roman" w:cs="Times New Roman" w:eastAsia="Times New Roman" w:hAnsi="Times New Roman"/>
          <w:sz w:val="20"/>
          <w:szCs w:val="20"/>
          <w:color w:val="auto"/>
        </w:rPr>
        <w:t>The Company reviewed the accounting pronouncements that became effective for fiscal year 2023 and determined that either they were not applicable, or they did not have a material impact on the consolidated financial statements.</w:t>
      </w:r>
    </w:p>
    <w:p>
      <w:pPr>
        <w:spacing w:after="0" w:line="54" w:lineRule="exact"/>
        <w:rPr>
          <w:sz w:val="20"/>
          <w:szCs w:val="20"/>
          <w:color w:val="auto"/>
        </w:rPr>
      </w:pPr>
    </w:p>
    <w:p>
      <w:pPr>
        <w:ind w:left="6"/>
        <w:spacing w:after="0"/>
        <w:rPr>
          <w:sz w:val="20"/>
          <w:szCs w:val="20"/>
          <w:color w:val="auto"/>
        </w:rPr>
      </w:pPr>
      <w:r>
        <w:rPr>
          <w:rFonts w:ascii="Times New Roman" w:cs="Times New Roman" w:eastAsia="Times New Roman" w:hAnsi="Times New Roman"/>
          <w:sz w:val="20"/>
          <w:szCs w:val="20"/>
          <w:b w:val="1"/>
          <w:bCs w:val="1"/>
          <w:i w:val="1"/>
          <w:iCs w:val="1"/>
          <w:color w:val="auto"/>
        </w:rPr>
        <w:t>Recently Issued Accounting Pronouncements</w:t>
      </w:r>
    </w:p>
    <w:p>
      <w:pPr>
        <w:spacing w:after="0" w:line="164" w:lineRule="exact"/>
        <w:rPr>
          <w:sz w:val="20"/>
          <w:szCs w:val="20"/>
          <w:color w:val="auto"/>
        </w:rPr>
      </w:pPr>
    </w:p>
    <w:p>
      <w:pPr>
        <w:jc w:val="both"/>
        <w:ind w:left="6"/>
        <w:spacing w:after="0" w:line="297" w:lineRule="auto"/>
        <w:rPr>
          <w:sz w:val="20"/>
          <w:szCs w:val="20"/>
          <w:color w:val="auto"/>
        </w:rPr>
      </w:pPr>
      <w:r>
        <w:rPr>
          <w:rFonts w:ascii="Times New Roman" w:cs="Times New Roman" w:eastAsia="Times New Roman" w:hAnsi="Times New Roman"/>
          <w:sz w:val="20"/>
          <w:szCs w:val="20"/>
          <w:color w:val="auto"/>
        </w:rPr>
        <w:t xml:space="preserve">In December 2023, the Financial Accounting Standards Board issued Accounting Standards Update (“ASU”) 2023-09, </w:t>
      </w:r>
      <w:r>
        <w:rPr>
          <w:rFonts w:ascii="Times New Roman" w:cs="Times New Roman" w:eastAsia="Times New Roman" w:hAnsi="Times New Roman"/>
          <w:sz w:val="20"/>
          <w:szCs w:val="20"/>
          <w:i w:val="1"/>
          <w:iCs w:val="1"/>
          <w:color w:val="auto"/>
        </w:rPr>
        <w:t>“Income</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i w:val="1"/>
          <w:iCs w:val="1"/>
          <w:color w:val="auto"/>
        </w:rPr>
        <w:t xml:space="preserve">Taxes - Improvements to Income Tax Disclosures” </w:t>
      </w:r>
      <w:r>
        <w:rPr>
          <w:rFonts w:ascii="Times New Roman" w:cs="Times New Roman" w:eastAsia="Times New Roman" w:hAnsi="Times New Roman"/>
          <w:sz w:val="20"/>
          <w:szCs w:val="20"/>
          <w:color w:val="auto"/>
        </w:rPr>
        <w:t>requiring enhancements and further transparency to certain income tax</w:t>
      </w:r>
      <w:r>
        <w:rPr>
          <w:rFonts w:ascii="Times New Roman" w:cs="Times New Roman" w:eastAsia="Times New Roman" w:hAnsi="Times New Roman"/>
          <w:sz w:val="20"/>
          <w:szCs w:val="20"/>
          <w:i w:val="1"/>
          <w:iCs w:val="1"/>
          <w:color w:val="auto"/>
        </w:rPr>
        <w:t xml:space="preserve"> </w:t>
      </w:r>
      <w:r>
        <w:rPr>
          <w:rFonts w:ascii="Times New Roman" w:cs="Times New Roman" w:eastAsia="Times New Roman" w:hAnsi="Times New Roman"/>
          <w:sz w:val="20"/>
          <w:szCs w:val="20"/>
          <w:color w:val="auto"/>
        </w:rPr>
        <w:t>disclosures, most notably the tax rate reconciliation and income taxes paid. This ASU is effective for fiscal years beginning after December 15, 2024 on a prospective basis and retrospective application is permitted. We are currently evaluating the impact of the adoption of this standard.</w:t>
      </w:r>
    </w:p>
    <w:p>
      <w:pPr>
        <w:spacing w:after="0" w:line="74" w:lineRule="exact"/>
        <w:rPr>
          <w:sz w:val="20"/>
          <w:szCs w:val="20"/>
          <w:color w:val="auto"/>
        </w:rPr>
      </w:pPr>
    </w:p>
    <w:p>
      <w:pPr>
        <w:jc w:val="both"/>
        <w:ind w:left="6" w:right="20"/>
        <w:spacing w:after="0" w:line="326" w:lineRule="auto"/>
        <w:rPr>
          <w:sz w:val="20"/>
          <w:szCs w:val="20"/>
          <w:color w:val="auto"/>
        </w:rPr>
      </w:pPr>
      <w:r>
        <w:rPr>
          <w:rFonts w:ascii="Times New Roman" w:cs="Times New Roman" w:eastAsia="Times New Roman" w:hAnsi="Times New Roman"/>
          <w:sz w:val="20"/>
          <w:szCs w:val="20"/>
          <w:color w:val="auto"/>
        </w:rPr>
        <w:t>The Company also reviewed other recently issued accounting pronouncements to be adopted in future periods and determined that they are not expected to have a material impact on the consolidated financial statements.</w:t>
      </w:r>
    </w:p>
    <w:p>
      <w:pPr>
        <w:spacing w:after="0" w:line="43" w:lineRule="exact"/>
        <w:rPr>
          <w:sz w:val="20"/>
          <w:szCs w:val="20"/>
          <w:color w:val="auto"/>
        </w:rPr>
      </w:pPr>
    </w:p>
    <w:p>
      <w:pPr>
        <w:ind w:left="546" w:hanging="546"/>
        <w:spacing w:after="0"/>
        <w:tabs>
          <w:tab w:leader="none" w:pos="546" w:val="left"/>
        </w:tabs>
        <w:numPr>
          <w:ilvl w:val="0"/>
          <w:numId w:val="76"/>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b w:val="1"/>
          <w:bCs w:val="1"/>
          <w:color w:val="auto"/>
        </w:rPr>
        <w:t>Revenue from Contracts with Customers</w:t>
      </w:r>
    </w:p>
    <w:p>
      <w:pPr>
        <w:spacing w:after="0" w:line="168" w:lineRule="exact"/>
        <w:rPr>
          <w:sz w:val="20"/>
          <w:szCs w:val="20"/>
          <w:color w:val="auto"/>
        </w:rPr>
      </w:pPr>
    </w:p>
    <w:p>
      <w:pPr>
        <w:ind w:left="6" w:right="20"/>
        <w:spacing w:after="0" w:line="326" w:lineRule="auto"/>
        <w:rPr>
          <w:sz w:val="20"/>
          <w:szCs w:val="20"/>
          <w:color w:val="auto"/>
        </w:rPr>
      </w:pPr>
      <w:r>
        <w:rPr>
          <w:rFonts w:ascii="Times New Roman" w:cs="Times New Roman" w:eastAsia="Times New Roman" w:hAnsi="Times New Roman"/>
          <w:sz w:val="20"/>
          <w:szCs w:val="20"/>
          <w:color w:val="auto"/>
        </w:rPr>
        <w:t>The Company sells a monthly subscription offering to retailer and brand clients as well as upsell and add-on offerings to licensed clients. The Company’s current Weedmaps for Business monthly subscription package includes:</w:t>
      </w:r>
    </w:p>
    <w:p>
      <w:pPr>
        <w:spacing w:after="0" w:line="45" w:lineRule="exact"/>
        <w:rPr>
          <w:sz w:val="20"/>
          <w:szCs w:val="20"/>
          <w:color w:val="auto"/>
        </w:rPr>
      </w:pPr>
    </w:p>
    <w:p>
      <w:pPr>
        <w:jc w:val="both"/>
        <w:ind w:left="726" w:hanging="366"/>
        <w:spacing w:after="0" w:line="301" w:lineRule="auto"/>
        <w:tabs>
          <w:tab w:leader="none" w:pos="726" w:val="left"/>
        </w:tabs>
        <w:numPr>
          <w:ilvl w:val="0"/>
          <w:numId w:val="7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WM Listings: A listing page with product menu for a retailer or brand on the Weedmaps marketplace, enabling the Company’s clients to be discovered by the marketplace’s users. This also allows clients to disclose their license information, hours of operation, contact information, discount policies and other information that may be required under applicable state law.</w:t>
      </w:r>
    </w:p>
    <w:p>
      <w:pPr>
        <w:spacing w:after="0" w:line="12" w:lineRule="exact"/>
        <w:rPr>
          <w:rFonts w:ascii="Times New Roman" w:cs="Times New Roman" w:eastAsia="Times New Roman" w:hAnsi="Times New Roman"/>
          <w:sz w:val="20"/>
          <w:szCs w:val="20"/>
          <w:color w:val="auto"/>
        </w:rPr>
      </w:pPr>
    </w:p>
    <w:p>
      <w:pPr>
        <w:jc w:val="both"/>
        <w:ind w:left="726" w:hanging="366"/>
        <w:spacing w:after="0" w:line="297" w:lineRule="auto"/>
        <w:tabs>
          <w:tab w:leader="none" w:pos="726" w:val="left"/>
        </w:tabs>
        <w:numPr>
          <w:ilvl w:val="0"/>
          <w:numId w:val="7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WM Orders: Software for retailers to receive pickup and delivery orders directly from a Weedmaps listing and connect orders directly with a client’s POS system (for certain POS systems). The marketplace also enables brands to route customer purchase interest to a retailer that carries the brand’s product. After a dispensary receives the order request from the consumer, the dispensary and the consumer can continue to communicate, adjust items in the request, and handle any stock issues, prior to and while the dispensary processes and fulfills the order.</w:t>
      </w:r>
    </w:p>
    <w:p>
      <w:pPr>
        <w:spacing w:after="0" w:line="16" w:lineRule="exact"/>
        <w:rPr>
          <w:rFonts w:ascii="Times New Roman" w:cs="Times New Roman" w:eastAsia="Times New Roman" w:hAnsi="Times New Roman"/>
          <w:sz w:val="20"/>
          <w:szCs w:val="20"/>
          <w:color w:val="auto"/>
        </w:rPr>
      </w:pPr>
    </w:p>
    <w:p>
      <w:pPr>
        <w:jc w:val="both"/>
        <w:ind w:left="726" w:hanging="366"/>
        <w:spacing w:after="0" w:line="301" w:lineRule="auto"/>
        <w:tabs>
          <w:tab w:leader="none" w:pos="726" w:val="left"/>
        </w:tabs>
        <w:numPr>
          <w:ilvl w:val="0"/>
          <w:numId w:val="7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WM Store: Customizable order and menus embed which allows retailers and brands to import their Weedmaps listing menu or product reservation functionality to their own white-labeled WM Store website or separately owned website. WM Store facilitates customer pickup or delivery orders and enables retailers to reach more customers by bringing the breadth of the Weedmaps marketplace to a client’s own website.</w:t>
      </w:r>
    </w:p>
    <w:p>
      <w:pPr>
        <w:spacing w:after="0" w:line="12" w:lineRule="exact"/>
        <w:rPr>
          <w:rFonts w:ascii="Times New Roman" w:cs="Times New Roman" w:eastAsia="Times New Roman" w:hAnsi="Times New Roman"/>
          <w:sz w:val="20"/>
          <w:szCs w:val="20"/>
          <w:color w:val="auto"/>
        </w:rPr>
      </w:pPr>
    </w:p>
    <w:p>
      <w:pPr>
        <w:jc w:val="both"/>
        <w:ind w:left="726" w:hanging="366"/>
        <w:spacing w:after="0" w:line="297" w:lineRule="auto"/>
        <w:tabs>
          <w:tab w:leader="none" w:pos="727" w:val="left"/>
        </w:tabs>
        <w:numPr>
          <w:ilvl w:val="0"/>
          <w:numId w:val="7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WM Connectors: A centralized integration platform, including API tools, for easier menu management, automatic inventory updates and streamlined order fulfillment to enable clients to save time and more easily integrate into the WM Technology ecosystem and integrate with disparate software systems. This creates business efficiencies and improves the accuracy and timeliness of information across Weedmaps, creating a more positive experience for consumers and businesses.</w:t>
      </w:r>
    </w:p>
    <w:p>
      <w:pPr>
        <w:spacing w:after="0" w:line="17" w:lineRule="exact"/>
        <w:rPr>
          <w:rFonts w:ascii="Times New Roman" w:cs="Times New Roman" w:eastAsia="Times New Roman" w:hAnsi="Times New Roman"/>
          <w:sz w:val="20"/>
          <w:szCs w:val="20"/>
          <w:color w:val="auto"/>
        </w:rPr>
      </w:pPr>
    </w:p>
    <w:p>
      <w:pPr>
        <w:jc w:val="both"/>
        <w:ind w:left="726" w:hanging="366"/>
        <w:spacing w:after="0" w:line="301" w:lineRule="auto"/>
        <w:tabs>
          <w:tab w:leader="none" w:pos="726" w:val="left"/>
        </w:tabs>
        <w:numPr>
          <w:ilvl w:val="0"/>
          <w:numId w:val="7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WM Insights: An insights and analytics platform for clients leveraging data across the Weedmaps marketplace and software solutions. WM Insights provides data and analytics on user engagement and traffic trends to a client’s listing page. For Brand clients, WM Insights allows them to monitor their brand and product rankings, identify retailers not carrying products and keep track of top brands and products by category and state.</w:t>
      </w:r>
    </w:p>
    <w:p>
      <w:pPr>
        <w:spacing w:after="0" w:line="70" w:lineRule="exact"/>
        <w:rPr>
          <w:sz w:val="20"/>
          <w:szCs w:val="20"/>
          <w:color w:val="auto"/>
        </w:rPr>
      </w:pPr>
    </w:p>
    <w:p>
      <w:pPr>
        <w:ind w:left="6"/>
        <w:spacing w:after="0"/>
        <w:rPr>
          <w:sz w:val="20"/>
          <w:szCs w:val="20"/>
          <w:color w:val="auto"/>
        </w:rPr>
      </w:pPr>
      <w:r>
        <w:rPr>
          <w:rFonts w:ascii="Times New Roman" w:cs="Times New Roman" w:eastAsia="Times New Roman" w:hAnsi="Times New Roman"/>
          <w:sz w:val="20"/>
          <w:szCs w:val="20"/>
          <w:color w:val="auto"/>
        </w:rPr>
        <w:t>The Company also offers other add-on products for additional fees, including:</w:t>
      </w:r>
    </w:p>
    <w:p>
      <w:pPr>
        <w:spacing w:after="0" w:line="166" w:lineRule="exact"/>
        <w:rPr>
          <w:sz w:val="20"/>
          <w:szCs w:val="20"/>
          <w:color w:val="auto"/>
        </w:rPr>
      </w:pPr>
    </w:p>
    <w:p>
      <w:pPr>
        <w:ind w:left="726" w:hanging="366"/>
        <w:spacing w:after="0"/>
        <w:tabs>
          <w:tab w:leader="none" w:pos="726" w:val="left"/>
        </w:tabs>
        <w:numPr>
          <w:ilvl w:val="0"/>
          <w:numId w:val="7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WM Ads: Ad solutions on the Weedmaps marketplace designed for clients to amplify their businesses and reach more</w:t>
      </w:r>
    </w:p>
    <w:p>
      <w:pPr>
        <w:spacing w:after="0" w:line="44" w:lineRule="exact"/>
        <w:rPr>
          <w:sz w:val="20"/>
          <w:szCs w:val="20"/>
          <w:color w:val="auto"/>
        </w:rPr>
      </w:pPr>
    </w:p>
    <w:p>
      <w:pPr>
        <w:ind w:left="726"/>
        <w:spacing w:after="0"/>
        <w:rPr>
          <w:sz w:val="20"/>
          <w:szCs w:val="20"/>
          <w:color w:val="auto"/>
        </w:rPr>
      </w:pPr>
      <w:r>
        <w:rPr>
          <w:rFonts w:ascii="Times New Roman" w:cs="Times New Roman" w:eastAsia="Times New Roman" w:hAnsi="Times New Roman"/>
          <w:sz w:val="20"/>
          <w:szCs w:val="20"/>
          <w:color w:val="auto"/>
        </w:rPr>
        <w:t>highly engaged cannabis consumers throughout their buying journey including:</w:t>
      </w:r>
    </w:p>
    <w:p>
      <w:pPr>
        <w:spacing w:after="0" w:line="40" w:lineRule="exact"/>
        <w:rPr>
          <w:sz w:val="20"/>
          <w:szCs w:val="20"/>
          <w:color w:val="auto"/>
        </w:rPr>
      </w:pPr>
    </w:p>
    <w:p>
      <w:pPr>
        <w:ind w:left="4946"/>
        <w:spacing w:after="0"/>
        <w:rPr>
          <w:sz w:val="20"/>
          <w:szCs w:val="20"/>
          <w:color w:val="auto"/>
        </w:rPr>
      </w:pPr>
      <w:r>
        <w:rPr>
          <w:rFonts w:ascii="Times New Roman" w:cs="Times New Roman" w:eastAsia="Times New Roman" w:hAnsi="Times New Roman"/>
          <w:sz w:val="20"/>
          <w:szCs w:val="20"/>
          <w:color w:val="auto"/>
        </w:rPr>
        <w:t>F-16</w:t>
      </w:r>
    </w:p>
    <w:p>
      <w:pPr>
        <w:sectPr>
          <w:pgSz w:w="12240" w:h="15840" w:orient="portrait"/>
          <w:cols w:equalWidth="0" w:num="1">
            <w:col w:w="10266"/>
          </w:cols>
          <w:pgMar w:left="994" w:top="731" w:right="980" w:bottom="218" w:gutter="0" w:footer="0" w:header="0"/>
        </w:sectPr>
      </w:pPr>
    </w:p>
    <w:bookmarkStart w:id="136" w:name="page137"/>
    <w:bookmarkEnd w:id="136"/>
    <w:p>
      <w:pPr>
        <w:jc w:val="center"/>
        <w:ind w:right="14"/>
        <w:spacing w:after="0"/>
        <w:rPr>
          <w:sz w:val="20"/>
          <w:szCs w:val="20"/>
          <w:color w:val="auto"/>
        </w:rPr>
      </w:pPr>
      <w:r>
        <w:rPr>
          <w:rFonts w:ascii="Times New Roman" w:cs="Times New Roman" w:eastAsia="Times New Roman" w:hAnsi="Times New Roman"/>
          <w:sz w:val="20"/>
          <w:szCs w:val="20"/>
          <w:b w:val="1"/>
          <w:bCs w:val="1"/>
          <w:color w:val="auto"/>
        </w:rPr>
        <w:t>WM TECHNOLOGY, INC. AND SUBSIDIARIES</w:t>
      </w:r>
    </w:p>
    <w:p>
      <w:pPr>
        <w:spacing w:after="0" w:line="48" w:lineRule="exact"/>
        <w:rPr>
          <w:sz w:val="20"/>
          <w:szCs w:val="20"/>
          <w:color w:val="auto"/>
        </w:rPr>
      </w:pPr>
    </w:p>
    <w:p>
      <w:pPr>
        <w:jc w:val="center"/>
        <w:ind w:right="-5"/>
        <w:spacing w:after="0"/>
        <w:rPr>
          <w:sz w:val="20"/>
          <w:szCs w:val="20"/>
          <w:color w:val="auto"/>
        </w:rPr>
      </w:pPr>
      <w:r>
        <w:rPr>
          <w:rFonts w:ascii="Times New Roman" w:cs="Times New Roman" w:eastAsia="Times New Roman" w:hAnsi="Times New Roman"/>
          <w:sz w:val="20"/>
          <w:szCs w:val="20"/>
          <w:b w:val="1"/>
          <w:bCs w:val="1"/>
          <w:color w:val="auto"/>
        </w:rPr>
        <w:t>NOTES TO CONSOLIDATED FINANCIAL STATEMENTS</w:t>
      </w:r>
    </w:p>
    <w:p>
      <w:pPr>
        <w:spacing w:after="0" w:line="287" w:lineRule="exact"/>
        <w:rPr>
          <w:sz w:val="20"/>
          <w:szCs w:val="20"/>
          <w:color w:val="auto"/>
        </w:rPr>
      </w:pPr>
    </w:p>
    <w:p>
      <w:pPr>
        <w:ind w:left="1446" w:right="20" w:hanging="367"/>
        <w:spacing w:after="0" w:line="336" w:lineRule="auto"/>
        <w:tabs>
          <w:tab w:leader="none" w:pos="1446" w:val="left"/>
        </w:tabs>
        <w:numPr>
          <w:ilvl w:val="1"/>
          <w:numId w:val="79"/>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Featured Listings: Premium placement ad solutions on high visibility locations on the Weedmaps marketplace (desktop and mobile) to amplify our clients’ businesses and maximize clients’ listings and deal presence.</w:t>
      </w:r>
    </w:p>
    <w:p>
      <w:pPr>
        <w:jc w:val="both"/>
        <w:ind w:left="1446" w:right="20" w:hanging="367"/>
        <w:spacing w:after="0" w:line="308" w:lineRule="auto"/>
        <w:tabs>
          <w:tab w:leader="none" w:pos="1447" w:val="left"/>
        </w:tabs>
        <w:numPr>
          <w:ilvl w:val="1"/>
          <w:numId w:val="7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WM Deals: Discount and promotion pricing tools that let clients strategically reach prospective price-conscious cannabis customers with deals or discounts to drive conversion. In some jurisdictions, it is required by applicable law to showcase discounts.</w:t>
      </w:r>
    </w:p>
    <w:p>
      <w:pPr>
        <w:jc w:val="both"/>
        <w:ind w:left="1446" w:hanging="367"/>
        <w:spacing w:after="0" w:line="309" w:lineRule="auto"/>
        <w:tabs>
          <w:tab w:leader="none" w:pos="1446" w:val="left"/>
        </w:tabs>
        <w:numPr>
          <w:ilvl w:val="1"/>
          <w:numId w:val="7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Other WM Ads solutions: Includes banner ads and promotion tiles on our marketplace as well as banner ads that can be tied to keyword searches. These products provide clients with targeted ad solutions in highly visible slots across our digital surfaces.</w:t>
      </w:r>
    </w:p>
    <w:p>
      <w:pPr>
        <w:spacing w:after="0" w:line="4" w:lineRule="exact"/>
        <w:rPr>
          <w:rFonts w:ascii="Times New Roman" w:cs="Times New Roman" w:eastAsia="Times New Roman" w:hAnsi="Times New Roman"/>
          <w:sz w:val="20"/>
          <w:szCs w:val="20"/>
          <w:color w:val="auto"/>
        </w:rPr>
      </w:pPr>
    </w:p>
    <w:p>
      <w:pPr>
        <w:jc w:val="both"/>
        <w:ind w:left="726" w:hanging="367"/>
        <w:spacing w:after="0" w:line="306" w:lineRule="auto"/>
        <w:tabs>
          <w:tab w:leader="none" w:pos="727" w:val="left"/>
        </w:tabs>
        <w:numPr>
          <w:ilvl w:val="0"/>
          <w:numId w:val="7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WM Dispatch: Compliant, automated and optimized logistics and fulfillment last-mile delivery software (including driver apps) that helps clients manage their delivery fleets. This product streamlines the delivery experience from in-store to front-door.</w:t>
      </w:r>
    </w:p>
    <w:p>
      <w:pPr>
        <w:spacing w:after="0" w:line="128" w:lineRule="exact"/>
        <w:rPr>
          <w:sz w:val="20"/>
          <w:szCs w:val="20"/>
          <w:color w:val="auto"/>
        </w:rPr>
      </w:pPr>
    </w:p>
    <w:p>
      <w:pPr>
        <w:jc w:val="both"/>
        <w:ind w:left="6" w:right="20"/>
        <w:spacing w:after="0" w:line="306" w:lineRule="auto"/>
        <w:rPr>
          <w:sz w:val="20"/>
          <w:szCs w:val="20"/>
          <w:color w:val="auto"/>
        </w:rPr>
      </w:pPr>
      <w:r>
        <w:rPr>
          <w:rFonts w:ascii="Times New Roman" w:cs="Times New Roman" w:eastAsia="Times New Roman" w:hAnsi="Times New Roman"/>
          <w:sz w:val="20"/>
          <w:szCs w:val="20"/>
          <w:color w:val="auto"/>
        </w:rPr>
        <w:t>In December 2023, we completed the sunset of WM AdSuite, WM CRM and WM Screens product offerings as we continue to focus our efforts on other Weedmaps for Business products that support the Weedmaps marketplace and improve the eCommerce experience for our clients and users.</w:t>
      </w:r>
    </w:p>
    <w:p>
      <w:pPr>
        <w:spacing w:after="0" w:line="67" w:lineRule="exact"/>
        <w:rPr>
          <w:sz w:val="20"/>
          <w:szCs w:val="20"/>
          <w:color w:val="auto"/>
        </w:rPr>
      </w:pPr>
    </w:p>
    <w:p>
      <w:pPr>
        <w:ind w:left="6"/>
        <w:spacing w:after="0"/>
        <w:rPr>
          <w:sz w:val="20"/>
          <w:szCs w:val="20"/>
          <w:color w:val="auto"/>
        </w:rPr>
      </w:pPr>
      <w:r>
        <w:rPr>
          <w:rFonts w:ascii="Times New Roman" w:cs="Times New Roman" w:eastAsia="Times New Roman" w:hAnsi="Times New Roman"/>
          <w:sz w:val="20"/>
          <w:szCs w:val="20"/>
          <w:i w:val="1"/>
          <w:iCs w:val="1"/>
          <w:color w:val="auto"/>
        </w:rPr>
        <w:t>Disaggregation of revenue</w:t>
      </w:r>
    </w:p>
    <w:p>
      <w:pPr>
        <w:spacing w:after="0" w:line="169" w:lineRule="exact"/>
        <w:rPr>
          <w:sz w:val="20"/>
          <w:szCs w:val="20"/>
          <w:color w:val="auto"/>
        </w:rPr>
      </w:pPr>
    </w:p>
    <w:p>
      <w:pPr>
        <w:ind w:left="6"/>
        <w:spacing w:after="0"/>
        <w:rPr>
          <w:sz w:val="20"/>
          <w:szCs w:val="20"/>
          <w:color w:val="auto"/>
        </w:rPr>
      </w:pPr>
      <w:r>
        <w:rPr>
          <w:rFonts w:ascii="Times New Roman" w:cs="Times New Roman" w:eastAsia="Times New Roman" w:hAnsi="Times New Roman"/>
          <w:sz w:val="20"/>
          <w:szCs w:val="20"/>
          <w:color w:val="auto"/>
        </w:rPr>
        <w:t>The following table summarizes the Company’s disaggregated net revenue information (in thousands):</w:t>
      </w:r>
    </w:p>
    <w:p>
      <w:pPr>
        <w:spacing w:after="0" w:line="243" w:lineRule="exact"/>
        <w:rPr>
          <w:sz w:val="20"/>
          <w:szCs w:val="20"/>
          <w:color w:val="auto"/>
        </w:rPr>
      </w:pPr>
    </w:p>
    <w:tbl>
      <w:tblPr>
        <w:tblLayout w:type="fixed"/>
        <w:tblInd w:w="6" w:type="dxa"/>
        <w:tblCellMar>
          <w:top w:w="0" w:type="dxa"/>
          <w:left w:w="0" w:type="dxa"/>
          <w:bottom w:w="0" w:type="dxa"/>
          <w:right w:w="0" w:type="dxa"/>
        </w:tblCellMar>
      </w:tblPr>
      <w:tr>
        <w:trPr>
          <w:trHeight w:val="281"/>
        </w:trPr>
        <w:tc>
          <w:tcPr>
            <w:tcW w:w="55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3280" w:type="dxa"/>
            <w:vAlign w:val="bottom"/>
            <w:gridSpan w:val="8"/>
          </w:tcPr>
          <w:p>
            <w:pPr>
              <w:jc w:val="right"/>
              <w:ind w:right="120"/>
              <w:spacing w:after="0"/>
              <w:rPr>
                <w:sz w:val="20"/>
                <w:szCs w:val="20"/>
                <w:color w:val="auto"/>
              </w:rPr>
            </w:pPr>
            <w:r>
              <w:rPr>
                <w:rFonts w:ascii="Times New Roman" w:cs="Times New Roman" w:eastAsia="Times New Roman" w:hAnsi="Times New Roman"/>
                <w:sz w:val="20"/>
                <w:szCs w:val="20"/>
                <w:b w:val="1"/>
                <w:bCs w:val="1"/>
                <w:color w:val="auto"/>
              </w:rPr>
              <w:t>Years Ended December 31,</w:t>
            </w:r>
          </w:p>
        </w:tc>
        <w:tc>
          <w:tcPr>
            <w:tcW w:w="1080" w:type="dxa"/>
            <w:vAlign w:val="bottom"/>
          </w:tcPr>
          <w:p>
            <w:pPr>
              <w:spacing w:after="0"/>
              <w:rPr>
                <w:sz w:val="24"/>
                <w:szCs w:val="24"/>
                <w:color w:val="auto"/>
              </w:rPr>
            </w:pPr>
          </w:p>
        </w:tc>
      </w:tr>
      <w:tr>
        <w:trPr>
          <w:trHeight w:val="271"/>
        </w:trPr>
        <w:tc>
          <w:tcPr>
            <w:tcW w:w="554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340" w:type="dxa"/>
            <w:vAlign w:val="bottom"/>
            <w:tcBorders>
              <w:top w:val="single" w:sz="8" w:color="auto"/>
              <w:bottom w:val="single" w:sz="8" w:color="auto"/>
            </w:tcBorders>
          </w:tcPr>
          <w:p>
            <w:pPr>
              <w:spacing w:after="0"/>
              <w:rPr>
                <w:sz w:val="23"/>
                <w:szCs w:val="23"/>
                <w:color w:val="auto"/>
              </w:rPr>
            </w:pPr>
          </w:p>
        </w:tc>
        <w:tc>
          <w:tcPr>
            <w:tcW w:w="1160" w:type="dxa"/>
            <w:vAlign w:val="bottom"/>
            <w:tcBorders>
              <w:top w:val="single" w:sz="8" w:color="auto"/>
              <w:bottom w:val="single" w:sz="8" w:color="auto"/>
            </w:tcBorders>
          </w:tcPr>
          <w:p>
            <w:pPr>
              <w:jc w:val="right"/>
              <w:ind w:right="459"/>
              <w:spacing w:after="0"/>
              <w:rPr>
                <w:sz w:val="20"/>
                <w:szCs w:val="20"/>
                <w:color w:val="auto"/>
              </w:rPr>
            </w:pPr>
            <w:r>
              <w:rPr>
                <w:rFonts w:ascii="Times New Roman" w:cs="Times New Roman" w:eastAsia="Times New Roman" w:hAnsi="Times New Roman"/>
                <w:sz w:val="20"/>
                <w:szCs w:val="20"/>
                <w:b w:val="1"/>
                <w:bCs w:val="1"/>
                <w:color w:val="auto"/>
              </w:rPr>
              <w:t>2023</w:t>
            </w:r>
          </w:p>
        </w:tc>
        <w:tc>
          <w:tcPr>
            <w:tcW w:w="6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360" w:type="dxa"/>
            <w:vAlign w:val="bottom"/>
            <w:tcBorders>
              <w:top w:val="single" w:sz="8" w:color="auto"/>
              <w:bottom w:val="single" w:sz="8" w:color="auto"/>
            </w:tcBorders>
          </w:tcPr>
          <w:p>
            <w:pPr>
              <w:spacing w:after="0"/>
              <w:rPr>
                <w:sz w:val="23"/>
                <w:szCs w:val="23"/>
                <w:color w:val="auto"/>
              </w:rPr>
            </w:pPr>
          </w:p>
        </w:tc>
        <w:tc>
          <w:tcPr>
            <w:tcW w:w="1160" w:type="dxa"/>
            <w:vAlign w:val="bottom"/>
            <w:tcBorders>
              <w:top w:val="single" w:sz="8" w:color="auto"/>
              <w:bottom w:val="single" w:sz="8" w:color="auto"/>
            </w:tcBorders>
          </w:tcPr>
          <w:p>
            <w:pPr>
              <w:jc w:val="right"/>
              <w:ind w:right="459"/>
              <w:spacing w:after="0"/>
              <w:rPr>
                <w:sz w:val="20"/>
                <w:szCs w:val="20"/>
                <w:color w:val="auto"/>
              </w:rPr>
            </w:pPr>
            <w:r>
              <w:rPr>
                <w:rFonts w:ascii="Times New Roman" w:cs="Times New Roman" w:eastAsia="Times New Roman" w:hAnsi="Times New Roman"/>
                <w:sz w:val="20"/>
                <w:szCs w:val="20"/>
                <w:b w:val="1"/>
                <w:bCs w:val="1"/>
                <w:color w:val="auto"/>
              </w:rPr>
              <w:t>2022</w:t>
            </w:r>
          </w:p>
        </w:tc>
        <w:tc>
          <w:tcPr>
            <w:tcW w:w="6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440" w:type="dxa"/>
            <w:vAlign w:val="bottom"/>
            <w:tcBorders>
              <w:top w:val="single" w:sz="8" w:color="auto"/>
              <w:bottom w:val="single" w:sz="8" w:color="auto"/>
            </w:tcBorders>
          </w:tcPr>
          <w:p>
            <w:pPr>
              <w:spacing w:after="0"/>
              <w:rPr>
                <w:sz w:val="23"/>
                <w:szCs w:val="23"/>
                <w:color w:val="auto"/>
              </w:rPr>
            </w:pPr>
          </w:p>
        </w:tc>
        <w:tc>
          <w:tcPr>
            <w:tcW w:w="1080" w:type="dxa"/>
            <w:vAlign w:val="bottom"/>
            <w:tcBorders>
              <w:top w:val="single" w:sz="8" w:color="auto"/>
              <w:bottom w:val="single" w:sz="8" w:color="auto"/>
            </w:tcBorders>
          </w:tcPr>
          <w:p>
            <w:pPr>
              <w:jc w:val="right"/>
              <w:ind w:right="459"/>
              <w:spacing w:after="0"/>
              <w:rPr>
                <w:sz w:val="20"/>
                <w:szCs w:val="20"/>
                <w:color w:val="auto"/>
              </w:rPr>
            </w:pPr>
            <w:r>
              <w:rPr>
                <w:rFonts w:ascii="Times New Roman" w:cs="Times New Roman" w:eastAsia="Times New Roman" w:hAnsi="Times New Roman"/>
                <w:sz w:val="20"/>
                <w:szCs w:val="20"/>
                <w:b w:val="1"/>
                <w:bCs w:val="1"/>
                <w:color w:val="auto"/>
              </w:rPr>
              <w:t>2021</w:t>
            </w:r>
          </w:p>
        </w:tc>
      </w:tr>
      <w:tr>
        <w:trPr>
          <w:trHeight w:val="261"/>
        </w:trPr>
        <w:tc>
          <w:tcPr>
            <w:tcW w:w="554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116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116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440" w:type="dxa"/>
            <w:vAlign w:val="bottom"/>
          </w:tcPr>
          <w:p>
            <w:pPr>
              <w:spacing w:after="0"/>
              <w:rPr>
                <w:sz w:val="22"/>
                <w:szCs w:val="22"/>
                <w:color w:val="auto"/>
              </w:rPr>
            </w:pPr>
          </w:p>
        </w:tc>
        <w:tc>
          <w:tcPr>
            <w:tcW w:w="1080" w:type="dxa"/>
            <w:vAlign w:val="bottom"/>
          </w:tcPr>
          <w:p>
            <w:pPr>
              <w:spacing w:after="0"/>
              <w:rPr>
                <w:sz w:val="22"/>
                <w:szCs w:val="22"/>
                <w:color w:val="auto"/>
              </w:rPr>
            </w:pPr>
          </w:p>
        </w:tc>
      </w:tr>
      <w:tr>
        <w:trPr>
          <w:trHeight w:val="288"/>
        </w:trPr>
        <w:tc>
          <w:tcPr>
            <w:tcW w:w="5560" w:type="dxa"/>
            <w:vAlign w:val="bottom"/>
            <w:gridSpan w:val="2"/>
            <w:shd w:val="clear" w:color="auto" w:fill="DDDDDD"/>
          </w:tcPr>
          <w:p>
            <w:pPr>
              <w:ind w:left="40"/>
              <w:spacing w:after="0"/>
              <w:rPr>
                <w:sz w:val="20"/>
                <w:szCs w:val="20"/>
                <w:color w:val="auto"/>
              </w:rPr>
            </w:pPr>
            <w:r>
              <w:rPr>
                <w:rFonts w:ascii="Times New Roman" w:cs="Times New Roman" w:eastAsia="Times New Roman" w:hAnsi="Times New Roman"/>
                <w:sz w:val="20"/>
                <w:szCs w:val="20"/>
                <w:color w:val="auto"/>
              </w:rPr>
              <w:t>Net revenues:</w:t>
            </w:r>
          </w:p>
        </w:tc>
        <w:tc>
          <w:tcPr>
            <w:tcW w:w="340" w:type="dxa"/>
            <w:vAlign w:val="bottom"/>
            <w:shd w:val="clear" w:color="auto" w:fill="DDDDDD"/>
          </w:tcPr>
          <w:p>
            <w:pPr>
              <w:spacing w:after="0"/>
              <w:rPr>
                <w:sz w:val="24"/>
                <w:szCs w:val="24"/>
                <w:color w:val="auto"/>
              </w:rPr>
            </w:pPr>
          </w:p>
        </w:tc>
        <w:tc>
          <w:tcPr>
            <w:tcW w:w="1160" w:type="dxa"/>
            <w:vAlign w:val="bottom"/>
            <w:shd w:val="clear" w:color="auto" w:fill="DDDDDD"/>
          </w:tcPr>
          <w:p>
            <w:pPr>
              <w:spacing w:after="0"/>
              <w:rPr>
                <w:sz w:val="24"/>
                <w:szCs w:val="24"/>
                <w:color w:val="auto"/>
              </w:rPr>
            </w:pPr>
          </w:p>
        </w:tc>
        <w:tc>
          <w:tcPr>
            <w:tcW w:w="60" w:type="dxa"/>
            <w:vAlign w:val="bottom"/>
            <w:shd w:val="clear" w:color="auto" w:fill="DDDDDD"/>
          </w:tcPr>
          <w:p>
            <w:pPr>
              <w:spacing w:after="0"/>
              <w:rPr>
                <w:sz w:val="24"/>
                <w:szCs w:val="24"/>
                <w:color w:val="auto"/>
              </w:rPr>
            </w:pPr>
          </w:p>
        </w:tc>
        <w:tc>
          <w:tcPr>
            <w:tcW w:w="20" w:type="dxa"/>
            <w:vAlign w:val="bottom"/>
            <w:shd w:val="clear" w:color="auto" w:fill="DDDDDD"/>
          </w:tcPr>
          <w:p>
            <w:pPr>
              <w:spacing w:after="0"/>
              <w:rPr>
                <w:sz w:val="24"/>
                <w:szCs w:val="24"/>
                <w:color w:val="auto"/>
              </w:rPr>
            </w:pPr>
          </w:p>
        </w:tc>
        <w:tc>
          <w:tcPr>
            <w:tcW w:w="360" w:type="dxa"/>
            <w:vAlign w:val="bottom"/>
            <w:shd w:val="clear" w:color="auto" w:fill="DDDDDD"/>
          </w:tcPr>
          <w:p>
            <w:pPr>
              <w:spacing w:after="0"/>
              <w:rPr>
                <w:sz w:val="24"/>
                <w:szCs w:val="24"/>
                <w:color w:val="auto"/>
              </w:rPr>
            </w:pPr>
          </w:p>
        </w:tc>
        <w:tc>
          <w:tcPr>
            <w:tcW w:w="1160" w:type="dxa"/>
            <w:vAlign w:val="bottom"/>
            <w:shd w:val="clear" w:color="auto" w:fill="DDDDDD"/>
          </w:tcPr>
          <w:p>
            <w:pPr>
              <w:spacing w:after="0"/>
              <w:rPr>
                <w:sz w:val="24"/>
                <w:szCs w:val="24"/>
                <w:color w:val="auto"/>
              </w:rPr>
            </w:pPr>
          </w:p>
        </w:tc>
        <w:tc>
          <w:tcPr>
            <w:tcW w:w="60" w:type="dxa"/>
            <w:vAlign w:val="bottom"/>
            <w:shd w:val="clear" w:color="auto" w:fill="DDDDDD"/>
          </w:tcPr>
          <w:p>
            <w:pPr>
              <w:spacing w:after="0"/>
              <w:rPr>
                <w:sz w:val="24"/>
                <w:szCs w:val="24"/>
                <w:color w:val="auto"/>
              </w:rPr>
            </w:pPr>
          </w:p>
        </w:tc>
        <w:tc>
          <w:tcPr>
            <w:tcW w:w="20" w:type="dxa"/>
            <w:vAlign w:val="bottom"/>
            <w:shd w:val="clear" w:color="auto" w:fill="DDDDDD"/>
          </w:tcPr>
          <w:p>
            <w:pPr>
              <w:spacing w:after="0"/>
              <w:rPr>
                <w:sz w:val="24"/>
                <w:szCs w:val="24"/>
                <w:color w:val="auto"/>
              </w:rPr>
            </w:pPr>
          </w:p>
        </w:tc>
        <w:tc>
          <w:tcPr>
            <w:tcW w:w="440" w:type="dxa"/>
            <w:vAlign w:val="bottom"/>
            <w:shd w:val="clear" w:color="auto" w:fill="DDDDDD"/>
          </w:tcPr>
          <w:p>
            <w:pPr>
              <w:spacing w:after="0"/>
              <w:rPr>
                <w:sz w:val="24"/>
                <w:szCs w:val="24"/>
                <w:color w:val="auto"/>
              </w:rPr>
            </w:pPr>
          </w:p>
        </w:tc>
        <w:tc>
          <w:tcPr>
            <w:tcW w:w="1080" w:type="dxa"/>
            <w:vAlign w:val="bottom"/>
            <w:shd w:val="clear" w:color="auto" w:fill="DDDDDD"/>
          </w:tcPr>
          <w:p>
            <w:pPr>
              <w:spacing w:after="0"/>
              <w:rPr>
                <w:sz w:val="24"/>
                <w:szCs w:val="24"/>
                <w:color w:val="auto"/>
              </w:rPr>
            </w:pPr>
          </w:p>
        </w:tc>
      </w:tr>
      <w:tr>
        <w:trPr>
          <w:trHeight w:val="288"/>
        </w:trPr>
        <w:tc>
          <w:tcPr>
            <w:tcW w:w="5560" w:type="dxa"/>
            <w:vAlign w:val="bottom"/>
            <w:gridSpan w:val="2"/>
          </w:tcPr>
          <w:p>
            <w:pPr>
              <w:ind w:left="160"/>
              <w:spacing w:after="0"/>
              <w:rPr>
                <w:sz w:val="20"/>
                <w:szCs w:val="20"/>
                <w:color w:val="auto"/>
              </w:rPr>
            </w:pPr>
            <w:r>
              <w:rPr>
                <w:rFonts w:ascii="Times New Roman" w:cs="Times New Roman" w:eastAsia="Times New Roman" w:hAnsi="Times New Roman"/>
                <w:sz w:val="20"/>
                <w:szCs w:val="20"/>
                <w:color w:val="auto"/>
              </w:rPr>
              <w:t>Featured and deal listings</w:t>
            </w:r>
          </w:p>
        </w:tc>
        <w:tc>
          <w:tcPr>
            <w:tcW w:w="340" w:type="dxa"/>
            <w:vAlign w:val="bottom"/>
          </w:tcPr>
          <w:p>
            <w:pPr>
              <w:jc w:val="right"/>
              <w:ind w:right="79"/>
              <w:spacing w:after="0"/>
              <w:rPr>
                <w:sz w:val="20"/>
                <w:szCs w:val="20"/>
                <w:color w:val="auto"/>
              </w:rPr>
            </w:pPr>
            <w:r>
              <w:rPr>
                <w:rFonts w:ascii="Times New Roman" w:cs="Times New Roman" w:eastAsia="Times New Roman" w:hAnsi="Times New Roman"/>
                <w:sz w:val="20"/>
                <w:szCs w:val="20"/>
                <w:color w:val="auto"/>
              </w:rPr>
              <w:t>$</w:t>
            </w:r>
          </w:p>
        </w:tc>
        <w:tc>
          <w:tcPr>
            <w:tcW w:w="11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126,546</w:t>
            </w:r>
          </w:p>
        </w:tc>
        <w:tc>
          <w:tcPr>
            <w:tcW w:w="440" w:type="dxa"/>
            <w:vAlign w:val="bottom"/>
            <w:gridSpan w:val="3"/>
          </w:tcPr>
          <w:p>
            <w:pPr>
              <w:jc w:val="right"/>
              <w:ind w:right="200"/>
              <w:spacing w:after="0"/>
              <w:rPr>
                <w:sz w:val="20"/>
                <w:szCs w:val="20"/>
                <w:color w:val="auto"/>
              </w:rPr>
            </w:pPr>
            <w:r>
              <w:rPr>
                <w:rFonts w:ascii="Times New Roman" w:cs="Times New Roman" w:eastAsia="Times New Roman" w:hAnsi="Times New Roman"/>
                <w:sz w:val="20"/>
                <w:szCs w:val="20"/>
                <w:color w:val="auto"/>
              </w:rPr>
              <w:t>$</w:t>
            </w:r>
          </w:p>
        </w:tc>
        <w:tc>
          <w:tcPr>
            <w:tcW w:w="11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149,621</w:t>
            </w:r>
          </w:p>
        </w:tc>
        <w:tc>
          <w:tcPr>
            <w:tcW w:w="520" w:type="dxa"/>
            <w:vAlign w:val="bottom"/>
            <w:gridSpan w:val="3"/>
          </w:tcPr>
          <w:p>
            <w:pPr>
              <w:jc w:val="right"/>
              <w:ind w:right="280"/>
              <w:spacing w:after="0"/>
              <w:rPr>
                <w:sz w:val="20"/>
                <w:szCs w:val="20"/>
                <w:color w:val="auto"/>
              </w:rPr>
            </w:pPr>
            <w:r>
              <w:rPr>
                <w:rFonts w:ascii="Times New Roman" w:cs="Times New Roman" w:eastAsia="Times New Roman" w:hAnsi="Times New Roman"/>
                <w:sz w:val="20"/>
                <w:szCs w:val="20"/>
                <w:color w:val="auto"/>
              </w:rPr>
              <w:t>$</w:t>
            </w:r>
          </w:p>
        </w:tc>
        <w:tc>
          <w:tcPr>
            <w:tcW w:w="10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138,480</w:t>
            </w:r>
          </w:p>
        </w:tc>
      </w:tr>
      <w:tr>
        <w:trPr>
          <w:trHeight w:val="281"/>
        </w:trPr>
        <w:tc>
          <w:tcPr>
            <w:tcW w:w="5560" w:type="dxa"/>
            <w:vAlign w:val="bottom"/>
            <w:gridSpan w:val="2"/>
            <w:shd w:val="clear" w:color="auto" w:fill="DDDDDD"/>
          </w:tcPr>
          <w:p>
            <w:pPr>
              <w:ind w:left="160"/>
              <w:spacing w:after="0"/>
              <w:rPr>
                <w:sz w:val="20"/>
                <w:szCs w:val="20"/>
                <w:color w:val="auto"/>
              </w:rPr>
            </w:pPr>
            <w:r>
              <w:rPr>
                <w:rFonts w:ascii="Times New Roman" w:cs="Times New Roman" w:eastAsia="Times New Roman" w:hAnsi="Times New Roman"/>
                <w:sz w:val="20"/>
                <w:szCs w:val="20"/>
                <w:color w:val="auto"/>
              </w:rPr>
              <w:t>Weedmaps for Business</w:t>
            </w:r>
          </w:p>
        </w:tc>
        <w:tc>
          <w:tcPr>
            <w:tcW w:w="340" w:type="dxa"/>
            <w:vAlign w:val="bottom"/>
            <w:tcBorders>
              <w:bottom w:val="single" w:sz="8" w:color="auto"/>
            </w:tcBorders>
            <w:shd w:val="clear" w:color="auto" w:fill="DDDDDD"/>
          </w:tcPr>
          <w:p>
            <w:pPr>
              <w:spacing w:after="0"/>
              <w:rPr>
                <w:sz w:val="24"/>
                <w:szCs w:val="24"/>
                <w:color w:val="auto"/>
              </w:rPr>
            </w:pPr>
          </w:p>
        </w:tc>
        <w:tc>
          <w:tcPr>
            <w:tcW w:w="1160" w:type="dxa"/>
            <w:vAlign w:val="bottom"/>
            <w:tcBorders>
              <w:bottom w:val="single" w:sz="8" w:color="auto"/>
            </w:tcBorders>
            <w:shd w:val="clear" w:color="auto" w:fill="DDDDDD"/>
          </w:tcPr>
          <w:p>
            <w:pPr>
              <w:jc w:val="right"/>
              <w:spacing w:after="0"/>
              <w:rPr>
                <w:sz w:val="20"/>
                <w:szCs w:val="20"/>
                <w:color w:val="auto"/>
              </w:rPr>
            </w:pPr>
            <w:r>
              <w:rPr>
                <w:rFonts w:ascii="Times New Roman" w:cs="Times New Roman" w:eastAsia="Times New Roman" w:hAnsi="Times New Roman"/>
                <w:sz w:val="20"/>
                <w:szCs w:val="20"/>
                <w:color w:val="auto"/>
              </w:rPr>
              <w:t>46,730</w:t>
            </w:r>
          </w:p>
        </w:tc>
        <w:tc>
          <w:tcPr>
            <w:tcW w:w="60" w:type="dxa"/>
            <w:vAlign w:val="bottom"/>
            <w:shd w:val="clear" w:color="auto" w:fill="DDDDDD"/>
          </w:tcPr>
          <w:p>
            <w:pPr>
              <w:spacing w:after="0"/>
              <w:rPr>
                <w:sz w:val="24"/>
                <w:szCs w:val="24"/>
                <w:color w:val="auto"/>
              </w:rPr>
            </w:pPr>
          </w:p>
        </w:tc>
        <w:tc>
          <w:tcPr>
            <w:tcW w:w="20" w:type="dxa"/>
            <w:vAlign w:val="bottom"/>
            <w:shd w:val="clear" w:color="auto" w:fill="DDDDDD"/>
          </w:tcPr>
          <w:p>
            <w:pPr>
              <w:spacing w:after="0"/>
              <w:rPr>
                <w:sz w:val="24"/>
                <w:szCs w:val="24"/>
                <w:color w:val="auto"/>
              </w:rPr>
            </w:pPr>
          </w:p>
        </w:tc>
        <w:tc>
          <w:tcPr>
            <w:tcW w:w="360" w:type="dxa"/>
            <w:vAlign w:val="bottom"/>
            <w:tcBorders>
              <w:bottom w:val="single" w:sz="8" w:color="auto"/>
            </w:tcBorders>
            <w:shd w:val="clear" w:color="auto" w:fill="DDDDDD"/>
          </w:tcPr>
          <w:p>
            <w:pPr>
              <w:spacing w:after="0"/>
              <w:rPr>
                <w:sz w:val="24"/>
                <w:szCs w:val="24"/>
                <w:color w:val="auto"/>
              </w:rPr>
            </w:pPr>
          </w:p>
        </w:tc>
        <w:tc>
          <w:tcPr>
            <w:tcW w:w="1160" w:type="dxa"/>
            <w:vAlign w:val="bottom"/>
            <w:tcBorders>
              <w:bottom w:val="single" w:sz="8" w:color="auto"/>
            </w:tcBorders>
            <w:shd w:val="clear" w:color="auto" w:fill="DDDDDD"/>
          </w:tcPr>
          <w:p>
            <w:pPr>
              <w:jc w:val="right"/>
              <w:spacing w:after="0"/>
              <w:rPr>
                <w:sz w:val="20"/>
                <w:szCs w:val="20"/>
                <w:color w:val="auto"/>
              </w:rPr>
            </w:pPr>
            <w:r>
              <w:rPr>
                <w:rFonts w:ascii="Times New Roman" w:cs="Times New Roman" w:eastAsia="Times New Roman" w:hAnsi="Times New Roman"/>
                <w:sz w:val="20"/>
                <w:szCs w:val="20"/>
                <w:color w:val="auto"/>
              </w:rPr>
              <w:t>50,662</w:t>
            </w:r>
          </w:p>
        </w:tc>
        <w:tc>
          <w:tcPr>
            <w:tcW w:w="60" w:type="dxa"/>
            <w:vAlign w:val="bottom"/>
            <w:shd w:val="clear" w:color="auto" w:fill="DDDDDD"/>
          </w:tcPr>
          <w:p>
            <w:pPr>
              <w:spacing w:after="0"/>
              <w:rPr>
                <w:sz w:val="24"/>
                <w:szCs w:val="24"/>
                <w:color w:val="auto"/>
              </w:rPr>
            </w:pPr>
          </w:p>
        </w:tc>
        <w:tc>
          <w:tcPr>
            <w:tcW w:w="20" w:type="dxa"/>
            <w:vAlign w:val="bottom"/>
            <w:shd w:val="clear" w:color="auto" w:fill="DDDDDD"/>
          </w:tcPr>
          <w:p>
            <w:pPr>
              <w:spacing w:after="0"/>
              <w:rPr>
                <w:sz w:val="24"/>
                <w:szCs w:val="24"/>
                <w:color w:val="auto"/>
              </w:rPr>
            </w:pPr>
          </w:p>
        </w:tc>
        <w:tc>
          <w:tcPr>
            <w:tcW w:w="440" w:type="dxa"/>
            <w:vAlign w:val="bottom"/>
            <w:tcBorders>
              <w:bottom w:val="single" w:sz="8" w:color="auto"/>
            </w:tcBorders>
            <w:shd w:val="clear" w:color="auto" w:fill="DDDDDD"/>
          </w:tcPr>
          <w:p>
            <w:pPr>
              <w:spacing w:after="0"/>
              <w:rPr>
                <w:sz w:val="24"/>
                <w:szCs w:val="24"/>
                <w:color w:val="auto"/>
              </w:rPr>
            </w:pPr>
          </w:p>
        </w:tc>
        <w:tc>
          <w:tcPr>
            <w:tcW w:w="1080" w:type="dxa"/>
            <w:vAlign w:val="bottom"/>
            <w:tcBorders>
              <w:bottom w:val="single" w:sz="8" w:color="auto"/>
            </w:tcBorders>
            <w:shd w:val="clear" w:color="auto" w:fill="DDDDDD"/>
          </w:tcPr>
          <w:p>
            <w:pPr>
              <w:jc w:val="right"/>
              <w:spacing w:after="0"/>
              <w:rPr>
                <w:sz w:val="20"/>
                <w:szCs w:val="20"/>
                <w:color w:val="auto"/>
              </w:rPr>
            </w:pPr>
            <w:r>
              <w:rPr>
                <w:rFonts w:ascii="Times New Roman" w:cs="Times New Roman" w:eastAsia="Times New Roman" w:hAnsi="Times New Roman"/>
                <w:sz w:val="20"/>
                <w:szCs w:val="20"/>
                <w:color w:val="auto"/>
              </w:rPr>
              <w:t>42,611</w:t>
            </w:r>
          </w:p>
        </w:tc>
      </w:tr>
      <w:tr>
        <w:trPr>
          <w:trHeight w:val="268"/>
        </w:trPr>
        <w:tc>
          <w:tcPr>
            <w:tcW w:w="5560" w:type="dxa"/>
            <w:vAlign w:val="bottom"/>
            <w:gridSpan w:val="2"/>
          </w:tcPr>
          <w:p>
            <w:pPr>
              <w:ind w:left="280"/>
              <w:spacing w:after="0"/>
              <w:rPr>
                <w:sz w:val="20"/>
                <w:szCs w:val="20"/>
                <w:color w:val="auto"/>
              </w:rPr>
            </w:pPr>
            <w:r>
              <w:rPr>
                <w:rFonts w:ascii="Times New Roman" w:cs="Times New Roman" w:eastAsia="Times New Roman" w:hAnsi="Times New Roman"/>
                <w:sz w:val="20"/>
                <w:szCs w:val="20"/>
                <w:color w:val="auto"/>
              </w:rPr>
              <w:t>Subtotal</w:t>
            </w:r>
          </w:p>
        </w:tc>
        <w:tc>
          <w:tcPr>
            <w:tcW w:w="340" w:type="dxa"/>
            <w:vAlign w:val="bottom"/>
          </w:tcPr>
          <w:p>
            <w:pPr>
              <w:spacing w:after="0"/>
              <w:rPr>
                <w:sz w:val="23"/>
                <w:szCs w:val="23"/>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173,276</w:t>
            </w:r>
          </w:p>
        </w:tc>
        <w:tc>
          <w:tcPr>
            <w:tcW w:w="6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200,283</w:t>
            </w:r>
          </w:p>
        </w:tc>
        <w:tc>
          <w:tcPr>
            <w:tcW w:w="6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440" w:type="dxa"/>
            <w:vAlign w:val="bottom"/>
          </w:tcPr>
          <w:p>
            <w:pPr>
              <w:spacing w:after="0"/>
              <w:rPr>
                <w:sz w:val="23"/>
                <w:szCs w:val="23"/>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181,091</w:t>
            </w:r>
          </w:p>
        </w:tc>
      </w:tr>
      <w:tr>
        <w:trPr>
          <w:trHeight w:val="281"/>
        </w:trPr>
        <w:tc>
          <w:tcPr>
            <w:tcW w:w="5560" w:type="dxa"/>
            <w:vAlign w:val="bottom"/>
            <w:gridSpan w:val="2"/>
            <w:shd w:val="clear" w:color="auto" w:fill="DDDDDD"/>
          </w:tcPr>
          <w:p>
            <w:pPr>
              <w:ind w:left="140"/>
              <w:spacing w:after="0"/>
              <w:rPr>
                <w:sz w:val="20"/>
                <w:szCs w:val="20"/>
                <w:color w:val="auto"/>
              </w:rPr>
            </w:pPr>
            <w:r>
              <w:rPr>
                <w:rFonts w:ascii="Times New Roman" w:cs="Times New Roman" w:eastAsia="Times New Roman" w:hAnsi="Times New Roman"/>
                <w:sz w:val="20"/>
                <w:szCs w:val="20"/>
                <w:color w:val="auto"/>
              </w:rPr>
              <w:t>Other ad solutions</w:t>
            </w:r>
          </w:p>
        </w:tc>
        <w:tc>
          <w:tcPr>
            <w:tcW w:w="340" w:type="dxa"/>
            <w:vAlign w:val="bottom"/>
            <w:tcBorders>
              <w:bottom w:val="single" w:sz="8" w:color="auto"/>
            </w:tcBorders>
            <w:shd w:val="clear" w:color="auto" w:fill="DDDDDD"/>
          </w:tcPr>
          <w:p>
            <w:pPr>
              <w:spacing w:after="0"/>
              <w:rPr>
                <w:sz w:val="24"/>
                <w:szCs w:val="24"/>
                <w:color w:val="auto"/>
              </w:rPr>
            </w:pPr>
          </w:p>
        </w:tc>
        <w:tc>
          <w:tcPr>
            <w:tcW w:w="1160" w:type="dxa"/>
            <w:vAlign w:val="bottom"/>
            <w:tcBorders>
              <w:bottom w:val="single" w:sz="8" w:color="auto"/>
            </w:tcBorders>
            <w:shd w:val="clear" w:color="auto" w:fill="DDDDDD"/>
          </w:tcPr>
          <w:p>
            <w:pPr>
              <w:jc w:val="right"/>
              <w:spacing w:after="0"/>
              <w:rPr>
                <w:sz w:val="20"/>
                <w:szCs w:val="20"/>
                <w:color w:val="auto"/>
              </w:rPr>
            </w:pPr>
            <w:r>
              <w:rPr>
                <w:rFonts w:ascii="Times New Roman" w:cs="Times New Roman" w:eastAsia="Times New Roman" w:hAnsi="Times New Roman"/>
                <w:sz w:val="20"/>
                <w:szCs w:val="20"/>
                <w:color w:val="auto"/>
              </w:rPr>
              <w:t>14,717</w:t>
            </w:r>
          </w:p>
        </w:tc>
        <w:tc>
          <w:tcPr>
            <w:tcW w:w="60" w:type="dxa"/>
            <w:vAlign w:val="bottom"/>
            <w:shd w:val="clear" w:color="auto" w:fill="DDDDDD"/>
          </w:tcPr>
          <w:p>
            <w:pPr>
              <w:spacing w:after="0"/>
              <w:rPr>
                <w:sz w:val="24"/>
                <w:szCs w:val="24"/>
                <w:color w:val="auto"/>
              </w:rPr>
            </w:pPr>
          </w:p>
        </w:tc>
        <w:tc>
          <w:tcPr>
            <w:tcW w:w="20" w:type="dxa"/>
            <w:vAlign w:val="bottom"/>
            <w:shd w:val="clear" w:color="auto" w:fill="DDDDDD"/>
          </w:tcPr>
          <w:p>
            <w:pPr>
              <w:spacing w:after="0"/>
              <w:rPr>
                <w:sz w:val="24"/>
                <w:szCs w:val="24"/>
                <w:color w:val="auto"/>
              </w:rPr>
            </w:pPr>
          </w:p>
        </w:tc>
        <w:tc>
          <w:tcPr>
            <w:tcW w:w="360" w:type="dxa"/>
            <w:vAlign w:val="bottom"/>
            <w:tcBorders>
              <w:bottom w:val="single" w:sz="8" w:color="auto"/>
            </w:tcBorders>
            <w:shd w:val="clear" w:color="auto" w:fill="DDDDDD"/>
          </w:tcPr>
          <w:p>
            <w:pPr>
              <w:spacing w:after="0"/>
              <w:rPr>
                <w:sz w:val="24"/>
                <w:szCs w:val="24"/>
                <w:color w:val="auto"/>
              </w:rPr>
            </w:pPr>
          </w:p>
        </w:tc>
        <w:tc>
          <w:tcPr>
            <w:tcW w:w="1160" w:type="dxa"/>
            <w:vAlign w:val="bottom"/>
            <w:tcBorders>
              <w:bottom w:val="single" w:sz="8" w:color="auto"/>
            </w:tcBorders>
            <w:shd w:val="clear" w:color="auto" w:fill="DDDDDD"/>
          </w:tcPr>
          <w:p>
            <w:pPr>
              <w:jc w:val="right"/>
              <w:spacing w:after="0"/>
              <w:rPr>
                <w:sz w:val="20"/>
                <w:szCs w:val="20"/>
                <w:color w:val="auto"/>
              </w:rPr>
            </w:pPr>
            <w:r>
              <w:rPr>
                <w:rFonts w:ascii="Times New Roman" w:cs="Times New Roman" w:eastAsia="Times New Roman" w:hAnsi="Times New Roman"/>
                <w:sz w:val="20"/>
                <w:szCs w:val="20"/>
                <w:color w:val="auto"/>
              </w:rPr>
              <w:t>15,248</w:t>
            </w:r>
          </w:p>
        </w:tc>
        <w:tc>
          <w:tcPr>
            <w:tcW w:w="60" w:type="dxa"/>
            <w:vAlign w:val="bottom"/>
            <w:shd w:val="clear" w:color="auto" w:fill="DDDDDD"/>
          </w:tcPr>
          <w:p>
            <w:pPr>
              <w:spacing w:after="0"/>
              <w:rPr>
                <w:sz w:val="24"/>
                <w:szCs w:val="24"/>
                <w:color w:val="auto"/>
              </w:rPr>
            </w:pPr>
          </w:p>
        </w:tc>
        <w:tc>
          <w:tcPr>
            <w:tcW w:w="20" w:type="dxa"/>
            <w:vAlign w:val="bottom"/>
            <w:shd w:val="clear" w:color="auto" w:fill="DDDDDD"/>
          </w:tcPr>
          <w:p>
            <w:pPr>
              <w:spacing w:after="0"/>
              <w:rPr>
                <w:sz w:val="24"/>
                <w:szCs w:val="24"/>
                <w:color w:val="auto"/>
              </w:rPr>
            </w:pPr>
          </w:p>
        </w:tc>
        <w:tc>
          <w:tcPr>
            <w:tcW w:w="440" w:type="dxa"/>
            <w:vAlign w:val="bottom"/>
            <w:tcBorders>
              <w:bottom w:val="single" w:sz="8" w:color="auto"/>
            </w:tcBorders>
            <w:shd w:val="clear" w:color="auto" w:fill="DDDDDD"/>
          </w:tcPr>
          <w:p>
            <w:pPr>
              <w:spacing w:after="0"/>
              <w:rPr>
                <w:sz w:val="24"/>
                <w:szCs w:val="24"/>
                <w:color w:val="auto"/>
              </w:rPr>
            </w:pPr>
          </w:p>
        </w:tc>
        <w:tc>
          <w:tcPr>
            <w:tcW w:w="1080" w:type="dxa"/>
            <w:vAlign w:val="bottom"/>
            <w:tcBorders>
              <w:bottom w:val="single" w:sz="8" w:color="auto"/>
            </w:tcBorders>
            <w:shd w:val="clear" w:color="auto" w:fill="DDDDDD"/>
          </w:tcPr>
          <w:p>
            <w:pPr>
              <w:jc w:val="right"/>
              <w:spacing w:after="0"/>
              <w:rPr>
                <w:sz w:val="20"/>
                <w:szCs w:val="20"/>
                <w:color w:val="auto"/>
              </w:rPr>
            </w:pPr>
            <w:r>
              <w:rPr>
                <w:rFonts w:ascii="Times New Roman" w:cs="Times New Roman" w:eastAsia="Times New Roman" w:hAnsi="Times New Roman"/>
                <w:sz w:val="20"/>
                <w:szCs w:val="20"/>
                <w:color w:val="auto"/>
              </w:rPr>
              <w:t>12,055</w:t>
            </w:r>
          </w:p>
        </w:tc>
      </w:tr>
      <w:tr>
        <w:trPr>
          <w:trHeight w:val="275"/>
        </w:trPr>
        <w:tc>
          <w:tcPr>
            <w:tcW w:w="5540" w:type="dxa"/>
            <w:vAlign w:val="bottom"/>
          </w:tcPr>
          <w:p>
            <w:pPr>
              <w:ind w:left="280"/>
              <w:spacing w:after="0" w:line="275" w:lineRule="exact"/>
              <w:rPr>
                <w:sz w:val="20"/>
                <w:szCs w:val="20"/>
                <w:color w:val="auto"/>
              </w:rPr>
            </w:pPr>
            <w:r>
              <w:rPr>
                <w:rFonts w:ascii="Times New Roman" w:cs="Times New Roman" w:eastAsia="Times New Roman" w:hAnsi="Times New Roman"/>
                <w:sz w:val="20"/>
                <w:szCs w:val="20"/>
                <w:color w:val="auto"/>
              </w:rPr>
              <w:t>Total net revenues</w:t>
            </w:r>
            <w:r>
              <w:rPr>
                <w:rFonts w:ascii="Times New Roman" w:cs="Times New Roman" w:eastAsia="Times New Roman" w:hAnsi="Times New Roman"/>
                <w:sz w:val="25"/>
                <w:szCs w:val="25"/>
                <w:color w:val="auto"/>
                <w:vertAlign w:val="superscript"/>
              </w:rPr>
              <w:t>1</w:t>
            </w:r>
          </w:p>
        </w:tc>
        <w:tc>
          <w:tcPr>
            <w:tcW w:w="20" w:type="dxa"/>
            <w:vAlign w:val="bottom"/>
            <w:tcBorders>
              <w:bottom w:val="single" w:sz="8" w:color="auto"/>
            </w:tcBorders>
          </w:tcPr>
          <w:p>
            <w:pPr>
              <w:spacing w:after="0"/>
              <w:rPr>
                <w:sz w:val="23"/>
                <w:szCs w:val="23"/>
                <w:color w:val="auto"/>
              </w:rPr>
            </w:pPr>
          </w:p>
        </w:tc>
        <w:tc>
          <w:tcPr>
            <w:tcW w:w="340" w:type="dxa"/>
            <w:vAlign w:val="bottom"/>
            <w:tcBorders>
              <w:bottom w:val="single" w:sz="8" w:color="auto"/>
            </w:tcBorders>
          </w:tcPr>
          <w:p>
            <w:pPr>
              <w:jc w:val="right"/>
              <w:ind w:right="79"/>
              <w:spacing w:after="0"/>
              <w:rPr>
                <w:sz w:val="20"/>
                <w:szCs w:val="20"/>
                <w:color w:val="auto"/>
              </w:rPr>
            </w:pPr>
            <w:r>
              <w:rPr>
                <w:rFonts w:ascii="Times New Roman" w:cs="Times New Roman" w:eastAsia="Times New Roman" w:hAnsi="Times New Roman"/>
                <w:sz w:val="20"/>
                <w:szCs w:val="20"/>
                <w:color w:val="auto"/>
              </w:rPr>
              <w:t>$</w:t>
            </w: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187,993</w:t>
            </w:r>
          </w:p>
        </w:tc>
        <w:tc>
          <w:tcPr>
            <w:tcW w:w="60" w:type="dxa"/>
            <w:vAlign w:val="bottom"/>
          </w:tcPr>
          <w:p>
            <w:pPr>
              <w:spacing w:after="0"/>
              <w:rPr>
                <w:sz w:val="23"/>
                <w:szCs w:val="23"/>
                <w:color w:val="auto"/>
              </w:rPr>
            </w:pPr>
          </w:p>
        </w:tc>
        <w:tc>
          <w:tcPr>
            <w:tcW w:w="380" w:type="dxa"/>
            <w:vAlign w:val="bottom"/>
            <w:tcBorders>
              <w:bottom w:val="single" w:sz="8" w:color="auto"/>
            </w:tcBorders>
            <w:gridSpan w:val="2"/>
          </w:tcPr>
          <w:p>
            <w:pPr>
              <w:jc w:val="right"/>
              <w:ind w:right="200"/>
              <w:spacing w:after="0"/>
              <w:rPr>
                <w:sz w:val="20"/>
                <w:szCs w:val="20"/>
                <w:color w:val="auto"/>
              </w:rPr>
            </w:pPr>
            <w:r>
              <w:rPr>
                <w:rFonts w:ascii="Times New Roman" w:cs="Times New Roman" w:eastAsia="Times New Roman" w:hAnsi="Times New Roman"/>
                <w:sz w:val="20"/>
                <w:szCs w:val="20"/>
                <w:color w:val="auto"/>
              </w:rPr>
              <w:t>$</w:t>
            </w: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215,531</w:t>
            </w:r>
          </w:p>
        </w:tc>
        <w:tc>
          <w:tcPr>
            <w:tcW w:w="60" w:type="dxa"/>
            <w:vAlign w:val="bottom"/>
          </w:tcPr>
          <w:p>
            <w:pPr>
              <w:spacing w:after="0"/>
              <w:rPr>
                <w:sz w:val="23"/>
                <w:szCs w:val="23"/>
                <w:color w:val="auto"/>
              </w:rPr>
            </w:pPr>
          </w:p>
        </w:tc>
        <w:tc>
          <w:tcPr>
            <w:tcW w:w="460" w:type="dxa"/>
            <w:vAlign w:val="bottom"/>
            <w:tcBorders>
              <w:bottom w:val="single" w:sz="8" w:color="auto"/>
            </w:tcBorders>
            <w:gridSpan w:val="2"/>
          </w:tcPr>
          <w:p>
            <w:pPr>
              <w:jc w:val="right"/>
              <w:ind w:right="280"/>
              <w:spacing w:after="0"/>
              <w:rPr>
                <w:sz w:val="20"/>
                <w:szCs w:val="20"/>
                <w:color w:val="auto"/>
              </w:rPr>
            </w:pPr>
            <w:r>
              <w:rPr>
                <w:rFonts w:ascii="Times New Roman" w:cs="Times New Roman" w:eastAsia="Times New Roman" w:hAnsi="Times New Roman"/>
                <w:sz w:val="20"/>
                <w:szCs w:val="20"/>
                <w:color w:val="auto"/>
              </w:rPr>
              <w:t>$</w:t>
            </w: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193,146</w:t>
            </w:r>
          </w:p>
        </w:tc>
      </w:tr>
    </w:tbl>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3533775</wp:posOffset>
                </wp:positionH>
                <wp:positionV relativeFrom="paragraph">
                  <wp:posOffset>-546100</wp:posOffset>
                </wp:positionV>
                <wp:extent cx="955675" cy="0"/>
                <wp:wrapNone/>
                <wp:docPr id="81" name="Shape 81"/>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955675" cy="4763"/>
                        </a:xfrm>
                        <a:prstGeom prst="line">
                          <a:avLst/>
                        </a:prstGeom>
                        <a:solidFill>
                          <a:srgbClr val="FFFFFF"/>
                        </a:solidFill>
                        <a:ln w="4572">
                          <a:solidFill>
                            <a:srgbClr val="FFFFFF"/>
                          </a:solidFill>
                          <a:miter lim="800000"/>
                          <a:headEnd/>
                          <a:tailEnd/>
                        </a:ln>
                      </wps:spPr>
                      <wps:bodyPr/>
                    </wps:wsp>
                  </a:graphicData>
                </a:graphic>
              </wp:anchor>
            </w:drawing>
          </mc:Choice>
          <mc:Fallback>
            <w:pict>
              <v:line id="Shape 81" o:spid="_x0000_s1106"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278.25pt,-43pt" to="353.5pt,-43pt" o:allowincell="f" strokecolor="#FFFFFF" strokeweight="0.36pt"/>
            </w:pict>
          </mc:Fallback>
        </mc:AlternateContent>
        <mc:AlternateContent>
          <mc:Choice Requires="wps">
            <w:drawing>
              <wp:anchor simplePos="0" relativeHeight="251657728" behindDoc="1" locked="0" layoutInCell="0" allowOverlap="1">
                <wp:simplePos x="0" y="0"/>
                <wp:positionH relativeFrom="column">
                  <wp:posOffset>4539615</wp:posOffset>
                </wp:positionH>
                <wp:positionV relativeFrom="paragraph">
                  <wp:posOffset>-546100</wp:posOffset>
                </wp:positionV>
                <wp:extent cx="960120" cy="0"/>
                <wp:wrapNone/>
                <wp:docPr id="82" name="Shape 82"/>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960120" cy="4763"/>
                        </a:xfrm>
                        <a:prstGeom prst="line">
                          <a:avLst/>
                        </a:prstGeom>
                        <a:solidFill>
                          <a:srgbClr val="FFFFFF"/>
                        </a:solidFill>
                        <a:ln w="4572">
                          <a:solidFill>
                            <a:srgbClr val="FFFFFF"/>
                          </a:solidFill>
                          <a:miter lim="800000"/>
                          <a:headEnd/>
                          <a:tailEnd/>
                        </a:ln>
                      </wps:spPr>
                      <wps:bodyPr/>
                    </wps:wsp>
                  </a:graphicData>
                </a:graphic>
              </wp:anchor>
            </w:drawing>
          </mc:Choice>
          <mc:Fallback>
            <w:pict>
              <v:line id="Shape 82" o:spid="_x0000_s1107"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357.45pt,-43pt" to="433.05pt,-43pt" o:allowincell="f" strokecolor="#FFFFFF" strokeweight="0.36pt"/>
            </w:pict>
          </mc:Fallback>
        </mc:AlternateContent>
        <mc:AlternateContent>
          <mc:Choice Requires="wps">
            <w:drawing>
              <wp:anchor simplePos="0" relativeHeight="251657728" behindDoc="1" locked="0" layoutInCell="0" allowOverlap="1">
                <wp:simplePos x="0" y="0"/>
                <wp:positionH relativeFrom="column">
                  <wp:posOffset>5554980</wp:posOffset>
                </wp:positionH>
                <wp:positionV relativeFrom="paragraph">
                  <wp:posOffset>-546100</wp:posOffset>
                </wp:positionV>
                <wp:extent cx="960120" cy="0"/>
                <wp:wrapNone/>
                <wp:docPr id="83" name="Shape 83"/>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960120" cy="4763"/>
                        </a:xfrm>
                        <a:prstGeom prst="line">
                          <a:avLst/>
                        </a:prstGeom>
                        <a:solidFill>
                          <a:srgbClr val="FFFFFF"/>
                        </a:solidFill>
                        <a:ln w="4572">
                          <a:solidFill>
                            <a:srgbClr val="FFFFFF"/>
                          </a:solidFill>
                          <a:miter lim="800000"/>
                          <a:headEnd/>
                          <a:tailEnd/>
                        </a:ln>
                      </wps:spPr>
                      <wps:bodyPr/>
                    </wps:wsp>
                  </a:graphicData>
                </a:graphic>
              </wp:anchor>
            </w:drawing>
          </mc:Choice>
          <mc:Fallback>
            <w:pict>
              <v:line id="Shape 83" o:spid="_x0000_s1108"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437.4pt,-43pt" to="513pt,-43pt" o:allowincell="f" strokecolor="#FFFFFF" strokeweight="0.36pt"/>
            </w:pict>
          </mc:Fallback>
        </mc:AlternateContent>
        <mc:AlternateContent>
          <mc:Choice Requires="wps">
            <w:drawing>
              <wp:anchor simplePos="0" relativeHeight="251657728" behindDoc="1" locked="0" layoutInCell="0" allowOverlap="1">
                <wp:simplePos x="0" y="0"/>
                <wp:positionH relativeFrom="column">
                  <wp:posOffset>3533775</wp:posOffset>
                </wp:positionH>
                <wp:positionV relativeFrom="paragraph">
                  <wp:posOffset>-184785</wp:posOffset>
                </wp:positionV>
                <wp:extent cx="955675" cy="0"/>
                <wp:wrapNone/>
                <wp:docPr id="84" name="Shape 84"/>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955675" cy="4763"/>
                        </a:xfrm>
                        <a:prstGeom prst="line">
                          <a:avLst/>
                        </a:prstGeom>
                        <a:solidFill>
                          <a:srgbClr val="FFFFFF"/>
                        </a:solidFill>
                        <a:ln w="4572">
                          <a:solidFill>
                            <a:srgbClr val="FFFFFF"/>
                          </a:solidFill>
                          <a:miter lim="800000"/>
                          <a:headEnd/>
                          <a:tailEnd/>
                        </a:ln>
                      </wps:spPr>
                      <wps:bodyPr/>
                    </wps:wsp>
                  </a:graphicData>
                </a:graphic>
              </wp:anchor>
            </w:drawing>
          </mc:Choice>
          <mc:Fallback>
            <w:pict>
              <v:line id="Shape 84" o:spid="_x0000_s1109"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278.25pt,-14.5499pt" to="353.5pt,-14.5499pt" o:allowincell="f" strokecolor="#FFFFFF" strokeweight="0.36pt"/>
            </w:pict>
          </mc:Fallback>
        </mc:AlternateContent>
        <mc:AlternateContent>
          <mc:Choice Requires="wps">
            <w:drawing>
              <wp:anchor simplePos="0" relativeHeight="251657728" behindDoc="1" locked="0" layoutInCell="0" allowOverlap="1">
                <wp:simplePos x="0" y="0"/>
                <wp:positionH relativeFrom="column">
                  <wp:posOffset>4539615</wp:posOffset>
                </wp:positionH>
                <wp:positionV relativeFrom="paragraph">
                  <wp:posOffset>-184785</wp:posOffset>
                </wp:positionV>
                <wp:extent cx="960120" cy="0"/>
                <wp:wrapNone/>
                <wp:docPr id="85" name="Shape 85"/>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960120" cy="4763"/>
                        </a:xfrm>
                        <a:prstGeom prst="line">
                          <a:avLst/>
                        </a:prstGeom>
                        <a:solidFill>
                          <a:srgbClr val="FFFFFF"/>
                        </a:solidFill>
                        <a:ln w="4572">
                          <a:solidFill>
                            <a:srgbClr val="FFFFFF"/>
                          </a:solidFill>
                          <a:miter lim="800000"/>
                          <a:headEnd/>
                          <a:tailEnd/>
                        </a:ln>
                      </wps:spPr>
                      <wps:bodyPr/>
                    </wps:wsp>
                  </a:graphicData>
                </a:graphic>
              </wp:anchor>
            </w:drawing>
          </mc:Choice>
          <mc:Fallback>
            <w:pict>
              <v:line id="Shape 85" o:spid="_x0000_s1110"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357.45pt,-14.5499pt" to="433.05pt,-14.5499pt" o:allowincell="f" strokecolor="#FFFFFF" strokeweight="0.36pt"/>
            </w:pict>
          </mc:Fallback>
        </mc:AlternateContent>
        <mc:AlternateContent>
          <mc:Choice Requires="wps">
            <w:drawing>
              <wp:anchor simplePos="0" relativeHeight="251657728" behindDoc="1" locked="0" layoutInCell="0" allowOverlap="1">
                <wp:simplePos x="0" y="0"/>
                <wp:positionH relativeFrom="column">
                  <wp:posOffset>5554980</wp:posOffset>
                </wp:positionH>
                <wp:positionV relativeFrom="paragraph">
                  <wp:posOffset>-184785</wp:posOffset>
                </wp:positionV>
                <wp:extent cx="960120" cy="0"/>
                <wp:wrapNone/>
                <wp:docPr id="86" name="Shape 86"/>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960120" cy="4763"/>
                        </a:xfrm>
                        <a:prstGeom prst="line">
                          <a:avLst/>
                        </a:prstGeom>
                        <a:solidFill>
                          <a:srgbClr val="FFFFFF"/>
                        </a:solidFill>
                        <a:ln w="4572">
                          <a:solidFill>
                            <a:srgbClr val="FFFFFF"/>
                          </a:solidFill>
                          <a:miter lim="800000"/>
                          <a:headEnd/>
                          <a:tailEnd/>
                        </a:ln>
                      </wps:spPr>
                      <wps:bodyPr/>
                    </wps:wsp>
                  </a:graphicData>
                </a:graphic>
              </wp:anchor>
            </w:drawing>
          </mc:Choice>
          <mc:Fallback>
            <w:pict>
              <v:line id="Shape 86" o:spid="_x0000_s1111"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437.4pt,-14.5499pt" to="513pt,-14.5499pt" o:allowincell="f" strokecolor="#FFFFFF" strokeweight="0.36pt"/>
            </w:pict>
          </mc:Fallback>
        </mc:AlternateContent>
      </w:r>
    </w:p>
    <w:p>
      <w:pPr>
        <w:spacing w:after="0" w:line="80" w:lineRule="exact"/>
        <w:rPr>
          <w:sz w:val="20"/>
          <w:szCs w:val="20"/>
          <w:color w:val="auto"/>
        </w:rPr>
      </w:pPr>
    </w:p>
    <w:p>
      <w:pPr>
        <w:ind w:left="6"/>
        <w:spacing w:after="0"/>
        <w:rPr>
          <w:sz w:val="20"/>
          <w:szCs w:val="20"/>
          <w:color w:val="auto"/>
        </w:rPr>
      </w:pPr>
      <w:r>
        <w:rPr>
          <w:rFonts w:ascii="Times New Roman" w:cs="Times New Roman" w:eastAsia="Times New Roman" w:hAnsi="Times New Roman"/>
          <w:sz w:val="20"/>
          <w:szCs w:val="20"/>
          <w:color w:val="auto"/>
        </w:rPr>
        <w:t>____________</w:t>
      </w:r>
    </w:p>
    <w:p>
      <w:pPr>
        <w:spacing w:after="0" w:line="159" w:lineRule="exact"/>
        <w:rPr>
          <w:sz w:val="20"/>
          <w:szCs w:val="20"/>
          <w:color w:val="auto"/>
        </w:rPr>
      </w:pPr>
    </w:p>
    <w:p>
      <w:pPr>
        <w:jc w:val="both"/>
        <w:ind w:left="6" w:hanging="6"/>
        <w:spacing w:after="0" w:line="269" w:lineRule="auto"/>
        <w:tabs>
          <w:tab w:leader="none" w:pos="107" w:val="left"/>
        </w:tabs>
        <w:numPr>
          <w:ilvl w:val="0"/>
          <w:numId w:val="80"/>
        </w:numPr>
        <w:rPr>
          <w:rFonts w:ascii="Times New Roman" w:cs="Times New Roman" w:eastAsia="Times New Roman" w:hAnsi="Times New Roman"/>
          <w:sz w:val="26"/>
          <w:szCs w:val="26"/>
          <w:color w:val="auto"/>
          <w:vertAlign w:val="superscript"/>
        </w:rPr>
      </w:pPr>
      <w:r>
        <w:rPr>
          <w:rFonts w:ascii="Times New Roman" w:cs="Times New Roman" w:eastAsia="Times New Roman" w:hAnsi="Times New Roman"/>
          <w:sz w:val="20"/>
          <w:szCs w:val="20"/>
          <w:color w:val="auto"/>
        </w:rPr>
        <w:t>Net revenues are net of discounts of $4.2 million in 2023, $4.5 million in 2022 and $2.6 million in 2021, primary related to the Company’s Teal program. See “Revenue Recognition” of Note 2, “Summary of Significant Accounting Policies” to the consolidated financial statements for further discussion.</w:t>
      </w:r>
    </w:p>
    <w:p>
      <w:pPr>
        <w:spacing w:after="0" w:line="100" w:lineRule="exact"/>
        <w:rPr>
          <w:sz w:val="20"/>
          <w:szCs w:val="20"/>
          <w:color w:val="auto"/>
        </w:rPr>
      </w:pPr>
    </w:p>
    <w:p>
      <w:pPr>
        <w:jc w:val="both"/>
        <w:ind w:left="6"/>
        <w:spacing w:after="0" w:line="294" w:lineRule="auto"/>
        <w:rPr>
          <w:sz w:val="20"/>
          <w:szCs w:val="20"/>
          <w:color w:val="auto"/>
        </w:rPr>
      </w:pPr>
      <w:r>
        <w:rPr>
          <w:rFonts w:ascii="Times New Roman" w:cs="Times New Roman" w:eastAsia="Times New Roman" w:hAnsi="Times New Roman"/>
          <w:sz w:val="20"/>
          <w:szCs w:val="20"/>
          <w:color w:val="auto"/>
        </w:rPr>
        <w:t>Deferred revenue primarily consists of billings or payments received in advance of revenue recognition from subscription offerings, as described above, and is recognized as the revenue recognition criteria are met. The deferred revenue balance as of December 31, 2023 was $5.9 million and is expected to be fully recognized within the next twelve months. The deferred revenue balances as of December 31, 2022 and 2021 were $6.3 million and $8.1 million, respectively, and were fully recognized in the first quarter of the following fiscal year. The Company generally invoices customers and receives payment on an upfront basis and payments do not include significant financing components or variable consideration and there are generally no rights of return or refunds after the subscription period has passed.</w:t>
      </w:r>
    </w:p>
    <w:p>
      <w:pPr>
        <w:spacing w:after="0" w:line="80" w:lineRule="exact"/>
        <w:rPr>
          <w:sz w:val="20"/>
          <w:szCs w:val="20"/>
          <w:color w:val="auto"/>
        </w:rPr>
      </w:pPr>
    </w:p>
    <w:p>
      <w:pPr>
        <w:jc w:val="both"/>
        <w:ind w:left="6" w:right="20"/>
        <w:spacing w:after="0" w:line="309" w:lineRule="auto"/>
        <w:rPr>
          <w:sz w:val="20"/>
          <w:szCs w:val="20"/>
          <w:color w:val="auto"/>
        </w:rPr>
      </w:pPr>
      <w:r>
        <w:rPr>
          <w:rFonts w:ascii="Times New Roman" w:cs="Times New Roman" w:eastAsia="Times New Roman" w:hAnsi="Times New Roman"/>
          <w:sz w:val="20"/>
          <w:szCs w:val="20"/>
          <w:color w:val="auto"/>
        </w:rPr>
        <w:t>Substantially all of the Company’s revenue has been generated in the United States for the years ended December 31, 2023, 2022 and 2021. For the year ended December 31, 2023, approximately 52% of the Company’s net revenue originated in California compared with 56% for the year ended December 31, 2022 and 61% for the year ended December 31, 2021.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3" w:lineRule="exact"/>
        <w:rPr>
          <w:sz w:val="20"/>
          <w:szCs w:val="20"/>
          <w:color w:val="auto"/>
        </w:rPr>
      </w:pPr>
    </w:p>
    <w:p>
      <w:pPr>
        <w:jc w:val="center"/>
        <w:ind w:right="-5"/>
        <w:spacing w:after="0"/>
        <w:rPr>
          <w:sz w:val="20"/>
          <w:szCs w:val="20"/>
          <w:color w:val="auto"/>
        </w:rPr>
      </w:pPr>
      <w:r>
        <w:rPr>
          <w:rFonts w:ascii="Times New Roman" w:cs="Times New Roman" w:eastAsia="Times New Roman" w:hAnsi="Times New Roman"/>
          <w:sz w:val="20"/>
          <w:szCs w:val="20"/>
          <w:color w:val="auto"/>
        </w:rPr>
        <w:t>F-17</w:t>
      </w:r>
    </w:p>
    <w:p>
      <w:pPr>
        <w:sectPr>
          <w:pgSz w:w="12240" w:h="15840" w:orient="portrait"/>
          <w:cols w:equalWidth="0" w:num="1">
            <w:col w:w="10266"/>
          </w:cols>
          <w:pgMar w:left="994" w:top="731" w:right="980" w:bottom="222" w:gutter="0" w:footer="0" w:header="0"/>
        </w:sectPr>
      </w:pPr>
    </w:p>
    <w:bookmarkStart w:id="137" w:name="page138"/>
    <w:bookmarkEnd w:id="137"/>
    <w:p>
      <w:pPr>
        <w:jc w:val="center"/>
        <w:ind w:right="14"/>
        <w:spacing w:after="0"/>
        <w:rPr>
          <w:sz w:val="20"/>
          <w:szCs w:val="20"/>
          <w:color w:val="auto"/>
        </w:rPr>
      </w:pPr>
      <w:r>
        <w:rPr>
          <w:rFonts w:ascii="Times New Roman" w:cs="Times New Roman" w:eastAsia="Times New Roman" w:hAnsi="Times New Roman"/>
          <w:sz w:val="20"/>
          <w:szCs w:val="20"/>
          <w:b w:val="1"/>
          <w:bCs w:val="1"/>
          <w:color w:val="auto"/>
        </w:rPr>
        <w:t>WM TECHNOLOGY, INC. AND SUBSIDIARIES</w:t>
      </w:r>
    </w:p>
    <w:p>
      <w:pPr>
        <w:spacing w:after="0" w:line="48" w:lineRule="exact"/>
        <w:rPr>
          <w:sz w:val="20"/>
          <w:szCs w:val="20"/>
          <w:color w:val="auto"/>
        </w:rPr>
      </w:pPr>
    </w:p>
    <w:p>
      <w:pPr>
        <w:jc w:val="center"/>
        <w:ind w:right="14"/>
        <w:spacing w:after="0"/>
        <w:rPr>
          <w:sz w:val="20"/>
          <w:szCs w:val="20"/>
          <w:color w:val="auto"/>
        </w:rPr>
      </w:pPr>
      <w:r>
        <w:rPr>
          <w:rFonts w:ascii="Times New Roman" w:cs="Times New Roman" w:eastAsia="Times New Roman" w:hAnsi="Times New Roman"/>
          <w:sz w:val="20"/>
          <w:szCs w:val="20"/>
          <w:b w:val="1"/>
          <w:bCs w:val="1"/>
          <w:color w:val="auto"/>
        </w:rPr>
        <w:t>NOTES TO CONSOLIDATED FINANCIAL STATEMENTS</w:t>
      </w:r>
    </w:p>
    <w:p>
      <w:pPr>
        <w:spacing w:after="0" w:line="284" w:lineRule="exact"/>
        <w:rPr>
          <w:sz w:val="20"/>
          <w:szCs w:val="20"/>
          <w:color w:val="auto"/>
        </w:rPr>
      </w:pPr>
    </w:p>
    <w:p>
      <w:pPr>
        <w:ind w:left="546" w:hanging="546"/>
        <w:spacing w:after="0"/>
        <w:tabs>
          <w:tab w:leader="none" w:pos="546" w:val="left"/>
        </w:tabs>
        <w:numPr>
          <w:ilvl w:val="0"/>
          <w:numId w:val="81"/>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b w:val="1"/>
          <w:bCs w:val="1"/>
          <w:color w:val="auto"/>
        </w:rPr>
        <w:t>Leases</w:t>
      </w:r>
    </w:p>
    <w:p>
      <w:pPr>
        <w:spacing w:after="0" w:line="168" w:lineRule="exact"/>
        <w:rPr>
          <w:sz w:val="20"/>
          <w:szCs w:val="20"/>
          <w:color w:val="auto"/>
        </w:rPr>
      </w:pPr>
    </w:p>
    <w:p>
      <w:pPr>
        <w:jc w:val="both"/>
        <w:ind w:left="6"/>
        <w:spacing w:after="0" w:line="309" w:lineRule="auto"/>
        <w:rPr>
          <w:sz w:val="20"/>
          <w:szCs w:val="20"/>
          <w:color w:val="auto"/>
        </w:rPr>
      </w:pPr>
      <w:r>
        <w:rPr>
          <w:rFonts w:ascii="Times New Roman" w:cs="Times New Roman" w:eastAsia="Times New Roman" w:hAnsi="Times New Roman"/>
          <w:sz w:val="20"/>
          <w:szCs w:val="20"/>
          <w:color w:val="auto"/>
        </w:rPr>
        <w:t xml:space="preserve">Effective January 1, 2021, the Company adopted ASC 842 - </w:t>
      </w:r>
      <w:r>
        <w:rPr>
          <w:rFonts w:ascii="Times New Roman" w:cs="Times New Roman" w:eastAsia="Times New Roman" w:hAnsi="Times New Roman"/>
          <w:sz w:val="20"/>
          <w:szCs w:val="20"/>
          <w:i w:val="1"/>
          <w:iCs w:val="1"/>
          <w:color w:val="auto"/>
        </w:rPr>
        <w:t>Leases</w:t>
      </w:r>
      <w:r>
        <w:rPr>
          <w:rFonts w:ascii="Times New Roman" w:cs="Times New Roman" w:eastAsia="Times New Roman" w:hAnsi="Times New Roman"/>
          <w:sz w:val="20"/>
          <w:szCs w:val="20"/>
          <w:color w:val="auto"/>
        </w:rPr>
        <w:t xml:space="preserve"> using the modified retrospective transition approach for recording ROU assets and operating lease liabilities for its operating leases. The Company’s operating leases consist of office space located primarily in the United States. The Company does not have any leases classified as financing leases.</w:t>
      </w:r>
    </w:p>
    <w:p>
      <w:pPr>
        <w:spacing w:after="0" w:line="62" w:lineRule="exact"/>
        <w:rPr>
          <w:sz w:val="20"/>
          <w:szCs w:val="20"/>
          <w:color w:val="auto"/>
        </w:rPr>
      </w:pPr>
    </w:p>
    <w:p>
      <w:pPr>
        <w:ind w:left="6"/>
        <w:spacing w:after="0"/>
        <w:rPr>
          <w:sz w:val="20"/>
          <w:szCs w:val="20"/>
          <w:color w:val="auto"/>
        </w:rPr>
      </w:pPr>
      <w:r>
        <w:rPr>
          <w:rFonts w:ascii="Times New Roman" w:cs="Times New Roman" w:eastAsia="Times New Roman" w:hAnsi="Times New Roman"/>
          <w:sz w:val="19"/>
          <w:szCs w:val="19"/>
          <w:color w:val="auto"/>
        </w:rPr>
        <w:t>The components of lease related costs, net for the years ended December 31, 2023, 2022 and 2021 are as follows (in thousands):</w:t>
      </w:r>
    </w:p>
    <w:p>
      <w:pPr>
        <w:spacing w:after="0" w:line="226" w:lineRule="exact"/>
        <w:rPr>
          <w:sz w:val="20"/>
          <w:szCs w:val="20"/>
          <w:color w:val="auto"/>
        </w:rPr>
      </w:pPr>
    </w:p>
    <w:tbl>
      <w:tblPr>
        <w:tblLayout w:type="fixed"/>
        <w:tblInd w:w="6" w:type="dxa"/>
        <w:tblCellMar>
          <w:top w:w="0" w:type="dxa"/>
          <w:left w:w="0" w:type="dxa"/>
          <w:bottom w:w="0" w:type="dxa"/>
          <w:right w:w="0" w:type="dxa"/>
        </w:tblCellMar>
      </w:tblPr>
      <w:tr>
        <w:trPr>
          <w:trHeight w:val="281"/>
        </w:trPr>
        <w:tc>
          <w:tcPr>
            <w:tcW w:w="5580" w:type="dxa"/>
            <w:vAlign w:val="bottom"/>
          </w:tcPr>
          <w:p>
            <w:pPr>
              <w:spacing w:after="0"/>
              <w:rPr>
                <w:sz w:val="24"/>
                <w:szCs w:val="24"/>
                <w:color w:val="auto"/>
              </w:rPr>
            </w:pPr>
          </w:p>
        </w:tc>
        <w:tc>
          <w:tcPr>
            <w:tcW w:w="980" w:type="dxa"/>
            <w:vAlign w:val="bottom"/>
            <w:tcBorders>
              <w:bottom w:val="single" w:sz="8" w:color="auto"/>
            </w:tcBorders>
          </w:tcPr>
          <w:p>
            <w:pPr>
              <w:spacing w:after="0"/>
              <w:rPr>
                <w:sz w:val="24"/>
                <w:szCs w:val="24"/>
                <w:color w:val="auto"/>
              </w:rPr>
            </w:pPr>
          </w:p>
        </w:tc>
        <w:tc>
          <w:tcPr>
            <w:tcW w:w="2620" w:type="dxa"/>
            <w:vAlign w:val="bottom"/>
            <w:tcBorders>
              <w:bottom w:val="single" w:sz="8" w:color="auto"/>
            </w:tcBorders>
            <w:gridSpan w:val="7"/>
          </w:tcPr>
          <w:p>
            <w:pPr>
              <w:jc w:val="right"/>
              <w:ind w:right="19"/>
              <w:spacing w:after="0"/>
              <w:rPr>
                <w:sz w:val="20"/>
                <w:szCs w:val="20"/>
                <w:color w:val="auto"/>
              </w:rPr>
            </w:pPr>
            <w:r>
              <w:rPr>
                <w:rFonts w:ascii="Times New Roman" w:cs="Times New Roman" w:eastAsia="Times New Roman" w:hAnsi="Times New Roman"/>
                <w:sz w:val="20"/>
                <w:szCs w:val="20"/>
                <w:b w:val="1"/>
                <w:bCs w:val="1"/>
                <w:color w:val="auto"/>
              </w:rPr>
              <w:t>Years Ended December 31,</w:t>
            </w:r>
          </w:p>
        </w:tc>
        <w:tc>
          <w:tcPr>
            <w:tcW w:w="1080" w:type="dxa"/>
            <w:vAlign w:val="bottom"/>
            <w:tcBorders>
              <w:bottom w:val="single" w:sz="8" w:color="auto"/>
            </w:tcBorders>
          </w:tcPr>
          <w:p>
            <w:pPr>
              <w:spacing w:after="0"/>
              <w:rPr>
                <w:sz w:val="24"/>
                <w:szCs w:val="24"/>
                <w:color w:val="auto"/>
              </w:rPr>
            </w:pPr>
          </w:p>
        </w:tc>
      </w:tr>
      <w:tr>
        <w:trPr>
          <w:trHeight w:val="297"/>
        </w:trPr>
        <w:tc>
          <w:tcPr>
            <w:tcW w:w="5580" w:type="dxa"/>
            <w:vAlign w:val="bottom"/>
            <w:tcBorders>
              <w:bottom w:val="single" w:sz="8" w:color="DDDDDD"/>
            </w:tcBorders>
          </w:tcPr>
          <w:p>
            <w:pPr>
              <w:spacing w:after="0"/>
              <w:rPr>
                <w:sz w:val="24"/>
                <w:szCs w:val="24"/>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b w:val="1"/>
                <w:bCs w:val="1"/>
                <w:color w:val="auto"/>
              </w:rPr>
              <w:t>2023</w:t>
            </w:r>
          </w:p>
        </w:tc>
        <w:tc>
          <w:tcPr>
            <w:tcW w:w="540" w:type="dxa"/>
            <w:vAlign w:val="bottom"/>
            <w:tcBorders>
              <w:bottom w:val="single" w:sz="8" w:color="auto"/>
            </w:tcBorders>
          </w:tcPr>
          <w:p>
            <w:pPr>
              <w:spacing w:after="0"/>
              <w:rPr>
                <w:sz w:val="24"/>
                <w:szCs w:val="24"/>
                <w:color w:val="auto"/>
              </w:rPr>
            </w:pPr>
          </w:p>
        </w:tc>
        <w:tc>
          <w:tcPr>
            <w:tcW w:w="60" w:type="dxa"/>
            <w:vAlign w:val="bottom"/>
          </w:tcPr>
          <w:p>
            <w:pPr>
              <w:spacing w:after="0"/>
              <w:rPr>
                <w:sz w:val="24"/>
                <w:szCs w:val="24"/>
                <w:color w:val="auto"/>
              </w:rPr>
            </w:pPr>
          </w:p>
        </w:tc>
        <w:tc>
          <w:tcPr>
            <w:tcW w:w="360" w:type="dxa"/>
            <w:vAlign w:val="bottom"/>
            <w:tcBorders>
              <w:bottom w:val="single" w:sz="8" w:color="auto"/>
            </w:tcBorders>
          </w:tcPr>
          <w:p>
            <w:pPr>
              <w:spacing w:after="0"/>
              <w:rPr>
                <w:sz w:val="24"/>
                <w:szCs w:val="24"/>
                <w:color w:val="auto"/>
              </w:rPr>
            </w:pPr>
          </w:p>
        </w:tc>
        <w:tc>
          <w:tcPr>
            <w:tcW w:w="1160" w:type="dxa"/>
            <w:vAlign w:val="bottom"/>
            <w:tcBorders>
              <w:bottom w:val="single" w:sz="8" w:color="auto"/>
            </w:tcBorders>
          </w:tcPr>
          <w:p>
            <w:pPr>
              <w:jc w:val="right"/>
              <w:ind w:right="459"/>
              <w:spacing w:after="0"/>
              <w:rPr>
                <w:sz w:val="20"/>
                <w:szCs w:val="20"/>
                <w:color w:val="auto"/>
              </w:rPr>
            </w:pPr>
            <w:r>
              <w:rPr>
                <w:rFonts w:ascii="Times New Roman" w:cs="Times New Roman" w:eastAsia="Times New Roman" w:hAnsi="Times New Roman"/>
                <w:sz w:val="20"/>
                <w:szCs w:val="20"/>
                <w:b w:val="1"/>
                <w:bCs w:val="1"/>
                <w:color w:val="auto"/>
              </w:rPr>
              <w:t>2022</w:t>
            </w:r>
          </w:p>
        </w:tc>
        <w:tc>
          <w:tcPr>
            <w:tcW w:w="40" w:type="dxa"/>
            <w:vAlign w:val="bottom"/>
            <w:tcBorders>
              <w:bottom w:val="single" w:sz="8" w:color="DDDDDD"/>
            </w:tcBorders>
          </w:tcPr>
          <w:p>
            <w:pPr>
              <w:spacing w:after="0"/>
              <w:rPr>
                <w:sz w:val="24"/>
                <w:szCs w:val="24"/>
                <w:color w:val="auto"/>
              </w:rPr>
            </w:pPr>
          </w:p>
        </w:tc>
        <w:tc>
          <w:tcPr>
            <w:tcW w:w="20" w:type="dxa"/>
            <w:vAlign w:val="bottom"/>
            <w:tcBorders>
              <w:bottom w:val="single" w:sz="8" w:color="DDDDDD"/>
            </w:tcBorders>
          </w:tcPr>
          <w:p>
            <w:pPr>
              <w:spacing w:after="0"/>
              <w:rPr>
                <w:sz w:val="24"/>
                <w:szCs w:val="24"/>
                <w:color w:val="auto"/>
              </w:rPr>
            </w:pPr>
          </w:p>
        </w:tc>
        <w:tc>
          <w:tcPr>
            <w:tcW w:w="440" w:type="dxa"/>
            <w:vAlign w:val="bottom"/>
            <w:tcBorders>
              <w:bottom w:val="single" w:sz="8" w:color="auto"/>
            </w:tcBorders>
          </w:tcPr>
          <w:p>
            <w:pPr>
              <w:spacing w:after="0"/>
              <w:rPr>
                <w:sz w:val="24"/>
                <w:szCs w:val="24"/>
                <w:color w:val="auto"/>
              </w:rPr>
            </w:pPr>
          </w:p>
        </w:tc>
        <w:tc>
          <w:tcPr>
            <w:tcW w:w="1080" w:type="dxa"/>
            <w:vAlign w:val="bottom"/>
            <w:tcBorders>
              <w:bottom w:val="single" w:sz="8" w:color="auto"/>
            </w:tcBorders>
          </w:tcPr>
          <w:p>
            <w:pPr>
              <w:jc w:val="right"/>
              <w:ind w:right="459"/>
              <w:spacing w:after="0"/>
              <w:rPr>
                <w:sz w:val="20"/>
                <w:szCs w:val="20"/>
                <w:color w:val="auto"/>
              </w:rPr>
            </w:pPr>
            <w:r>
              <w:rPr>
                <w:rFonts w:ascii="Times New Roman" w:cs="Times New Roman" w:eastAsia="Times New Roman" w:hAnsi="Times New Roman"/>
                <w:sz w:val="20"/>
                <w:szCs w:val="20"/>
                <w:b w:val="1"/>
                <w:bCs w:val="1"/>
                <w:color w:val="auto"/>
              </w:rPr>
              <w:t>2021</w:t>
            </w:r>
          </w:p>
        </w:tc>
      </w:tr>
      <w:tr>
        <w:trPr>
          <w:trHeight w:val="293"/>
        </w:trPr>
        <w:tc>
          <w:tcPr>
            <w:tcW w:w="5580" w:type="dxa"/>
            <w:vAlign w:val="bottom"/>
            <w:shd w:val="clear" w:color="auto" w:fill="DDDDDD"/>
          </w:tcPr>
          <w:p>
            <w:pPr>
              <w:ind w:left="40"/>
              <w:spacing w:after="0"/>
              <w:rPr>
                <w:sz w:val="20"/>
                <w:szCs w:val="20"/>
                <w:color w:val="auto"/>
              </w:rPr>
            </w:pPr>
            <w:r>
              <w:rPr>
                <w:rFonts w:ascii="Times New Roman" w:cs="Times New Roman" w:eastAsia="Times New Roman" w:hAnsi="Times New Roman"/>
                <w:sz w:val="20"/>
                <w:szCs w:val="20"/>
                <w:color w:val="auto"/>
              </w:rPr>
              <w:t>Operating lease cost</w:t>
            </w:r>
          </w:p>
        </w:tc>
        <w:tc>
          <w:tcPr>
            <w:tcW w:w="980" w:type="dxa"/>
            <w:vAlign w:val="bottom"/>
            <w:shd w:val="clear" w:color="auto" w:fill="DDDDDD"/>
          </w:tcPr>
          <w:p>
            <w:pPr>
              <w:jc w:val="right"/>
              <w:ind w:right="719"/>
              <w:spacing w:after="0"/>
              <w:rPr>
                <w:sz w:val="20"/>
                <w:szCs w:val="20"/>
                <w:color w:val="auto"/>
              </w:rPr>
            </w:pPr>
            <w:r>
              <w:rPr>
                <w:rFonts w:ascii="Times New Roman" w:cs="Times New Roman" w:eastAsia="Times New Roman" w:hAnsi="Times New Roman"/>
                <w:sz w:val="20"/>
                <w:szCs w:val="20"/>
                <w:color w:val="auto"/>
              </w:rPr>
              <w:t>$</w:t>
            </w:r>
          </w:p>
        </w:tc>
        <w:tc>
          <w:tcPr>
            <w:tcW w:w="540" w:type="dxa"/>
            <w:vAlign w:val="bottom"/>
            <w:shd w:val="clear" w:color="auto" w:fill="DDDDDD"/>
          </w:tcPr>
          <w:p>
            <w:pPr>
              <w:jc w:val="right"/>
              <w:spacing w:after="0"/>
              <w:rPr>
                <w:sz w:val="20"/>
                <w:szCs w:val="20"/>
                <w:color w:val="auto"/>
              </w:rPr>
            </w:pPr>
            <w:r>
              <w:rPr>
                <w:rFonts w:ascii="Times New Roman" w:cs="Times New Roman" w:eastAsia="Times New Roman" w:hAnsi="Times New Roman"/>
                <w:sz w:val="20"/>
                <w:szCs w:val="20"/>
                <w:color w:val="auto"/>
                <w:w w:val="97"/>
              </w:rPr>
              <w:t>7,208</w:t>
            </w:r>
          </w:p>
        </w:tc>
        <w:tc>
          <w:tcPr>
            <w:tcW w:w="60" w:type="dxa"/>
            <w:vAlign w:val="bottom"/>
            <w:shd w:val="clear" w:color="auto" w:fill="DDDDDD"/>
          </w:tcPr>
          <w:p>
            <w:pPr>
              <w:spacing w:after="0"/>
              <w:rPr>
                <w:sz w:val="24"/>
                <w:szCs w:val="24"/>
                <w:color w:val="auto"/>
              </w:rPr>
            </w:pPr>
          </w:p>
        </w:tc>
        <w:tc>
          <w:tcPr>
            <w:tcW w:w="360" w:type="dxa"/>
            <w:vAlign w:val="bottom"/>
            <w:shd w:val="clear" w:color="auto" w:fill="DDDDDD"/>
          </w:tcPr>
          <w:p>
            <w:pPr>
              <w:jc w:val="right"/>
              <w:ind w:right="99"/>
              <w:spacing w:after="0"/>
              <w:rPr>
                <w:sz w:val="20"/>
                <w:szCs w:val="20"/>
                <w:color w:val="auto"/>
              </w:rPr>
            </w:pPr>
            <w:r>
              <w:rPr>
                <w:rFonts w:ascii="Times New Roman" w:cs="Times New Roman" w:eastAsia="Times New Roman" w:hAnsi="Times New Roman"/>
                <w:sz w:val="20"/>
                <w:szCs w:val="20"/>
                <w:color w:val="auto"/>
              </w:rPr>
              <w:t>$</w:t>
            </w:r>
          </w:p>
        </w:tc>
        <w:tc>
          <w:tcPr>
            <w:tcW w:w="1160" w:type="dxa"/>
            <w:vAlign w:val="bottom"/>
            <w:shd w:val="clear" w:color="auto" w:fill="DDDDDD"/>
          </w:tcPr>
          <w:p>
            <w:pPr>
              <w:jc w:val="right"/>
              <w:spacing w:after="0"/>
              <w:rPr>
                <w:sz w:val="20"/>
                <w:szCs w:val="20"/>
                <w:color w:val="auto"/>
              </w:rPr>
            </w:pPr>
            <w:r>
              <w:rPr>
                <w:rFonts w:ascii="Times New Roman" w:cs="Times New Roman" w:eastAsia="Times New Roman" w:hAnsi="Times New Roman"/>
                <w:sz w:val="20"/>
                <w:szCs w:val="20"/>
                <w:color w:val="auto"/>
              </w:rPr>
              <w:t>7,537</w:t>
            </w:r>
          </w:p>
        </w:tc>
        <w:tc>
          <w:tcPr>
            <w:tcW w:w="40" w:type="dxa"/>
            <w:vAlign w:val="bottom"/>
            <w:shd w:val="clear" w:color="auto" w:fill="DDDDDD"/>
          </w:tcPr>
          <w:p>
            <w:pPr>
              <w:spacing w:after="0"/>
              <w:rPr>
                <w:sz w:val="24"/>
                <w:szCs w:val="24"/>
                <w:color w:val="auto"/>
              </w:rPr>
            </w:pPr>
          </w:p>
        </w:tc>
        <w:tc>
          <w:tcPr>
            <w:tcW w:w="20" w:type="dxa"/>
            <w:vAlign w:val="bottom"/>
            <w:shd w:val="clear" w:color="auto" w:fill="DDDDDD"/>
          </w:tcPr>
          <w:p>
            <w:pPr>
              <w:spacing w:after="0"/>
              <w:rPr>
                <w:sz w:val="24"/>
                <w:szCs w:val="24"/>
                <w:color w:val="auto"/>
              </w:rPr>
            </w:pPr>
          </w:p>
        </w:tc>
        <w:tc>
          <w:tcPr>
            <w:tcW w:w="440" w:type="dxa"/>
            <w:vAlign w:val="bottom"/>
            <w:shd w:val="clear" w:color="auto" w:fill="DDDDDD"/>
          </w:tcPr>
          <w:p>
            <w:pPr>
              <w:jc w:val="right"/>
              <w:ind w:right="179"/>
              <w:spacing w:after="0"/>
              <w:rPr>
                <w:sz w:val="20"/>
                <w:szCs w:val="20"/>
                <w:color w:val="auto"/>
              </w:rPr>
            </w:pPr>
            <w:r>
              <w:rPr>
                <w:rFonts w:ascii="Times New Roman" w:cs="Times New Roman" w:eastAsia="Times New Roman" w:hAnsi="Times New Roman"/>
                <w:sz w:val="20"/>
                <w:szCs w:val="20"/>
                <w:color w:val="auto"/>
              </w:rPr>
              <w:t>$</w:t>
            </w:r>
          </w:p>
        </w:tc>
        <w:tc>
          <w:tcPr>
            <w:tcW w:w="1080" w:type="dxa"/>
            <w:vAlign w:val="bottom"/>
            <w:shd w:val="clear" w:color="auto" w:fill="DDDDDD"/>
          </w:tcPr>
          <w:p>
            <w:pPr>
              <w:jc w:val="right"/>
              <w:spacing w:after="0"/>
              <w:rPr>
                <w:sz w:val="20"/>
                <w:szCs w:val="20"/>
                <w:color w:val="auto"/>
              </w:rPr>
            </w:pPr>
            <w:r>
              <w:rPr>
                <w:rFonts w:ascii="Times New Roman" w:cs="Times New Roman" w:eastAsia="Times New Roman" w:hAnsi="Times New Roman"/>
                <w:sz w:val="20"/>
                <w:szCs w:val="20"/>
                <w:color w:val="auto"/>
              </w:rPr>
              <w:t>9,229</w:t>
            </w:r>
          </w:p>
        </w:tc>
      </w:tr>
      <w:tr>
        <w:trPr>
          <w:trHeight w:val="311"/>
        </w:trPr>
        <w:tc>
          <w:tcPr>
            <w:tcW w:w="5580" w:type="dxa"/>
            <w:vAlign w:val="bottom"/>
            <w:tcBorders>
              <w:bottom w:val="single" w:sz="8" w:color="DDDDDD"/>
            </w:tcBorders>
          </w:tcPr>
          <w:p>
            <w:pPr>
              <w:ind w:left="40"/>
              <w:spacing w:after="0"/>
              <w:rPr>
                <w:sz w:val="20"/>
                <w:szCs w:val="20"/>
                <w:color w:val="auto"/>
              </w:rPr>
            </w:pPr>
            <w:r>
              <w:rPr>
                <w:rFonts w:ascii="Times New Roman" w:cs="Times New Roman" w:eastAsia="Times New Roman" w:hAnsi="Times New Roman"/>
                <w:sz w:val="20"/>
                <w:szCs w:val="20"/>
                <w:color w:val="auto"/>
              </w:rPr>
              <w:t>Variable lease cost</w:t>
            </w:r>
          </w:p>
        </w:tc>
        <w:tc>
          <w:tcPr>
            <w:tcW w:w="980" w:type="dxa"/>
            <w:vAlign w:val="bottom"/>
            <w:tcBorders>
              <w:bottom w:val="single" w:sz="8" w:color="auto"/>
            </w:tcBorders>
          </w:tcPr>
          <w:p>
            <w:pPr>
              <w:spacing w:after="0"/>
              <w:rPr>
                <w:sz w:val="24"/>
                <w:szCs w:val="24"/>
                <w:color w:val="auto"/>
              </w:rPr>
            </w:pPr>
          </w:p>
        </w:tc>
        <w:tc>
          <w:tcPr>
            <w:tcW w:w="5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w w:val="97"/>
              </w:rPr>
              <w:t>1,549</w:t>
            </w:r>
          </w:p>
        </w:tc>
        <w:tc>
          <w:tcPr>
            <w:tcW w:w="60" w:type="dxa"/>
            <w:vAlign w:val="bottom"/>
          </w:tcPr>
          <w:p>
            <w:pPr>
              <w:spacing w:after="0"/>
              <w:rPr>
                <w:sz w:val="24"/>
                <w:szCs w:val="24"/>
                <w:color w:val="auto"/>
              </w:rPr>
            </w:pPr>
          </w:p>
        </w:tc>
        <w:tc>
          <w:tcPr>
            <w:tcW w:w="360" w:type="dxa"/>
            <w:vAlign w:val="bottom"/>
            <w:tcBorders>
              <w:bottom w:val="single" w:sz="8" w:color="auto"/>
            </w:tcBorders>
          </w:tcPr>
          <w:p>
            <w:pPr>
              <w:spacing w:after="0"/>
              <w:rPr>
                <w:sz w:val="24"/>
                <w:szCs w:val="24"/>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1,525</w:t>
            </w:r>
          </w:p>
        </w:tc>
        <w:tc>
          <w:tcPr>
            <w:tcW w:w="40" w:type="dxa"/>
            <w:vAlign w:val="bottom"/>
            <w:tcBorders>
              <w:bottom w:val="single" w:sz="8" w:color="DDDDDD"/>
            </w:tcBorders>
          </w:tcPr>
          <w:p>
            <w:pPr>
              <w:spacing w:after="0"/>
              <w:rPr>
                <w:sz w:val="24"/>
                <w:szCs w:val="24"/>
                <w:color w:val="auto"/>
              </w:rPr>
            </w:pPr>
          </w:p>
        </w:tc>
        <w:tc>
          <w:tcPr>
            <w:tcW w:w="20" w:type="dxa"/>
            <w:vAlign w:val="bottom"/>
            <w:tcBorders>
              <w:bottom w:val="single" w:sz="8" w:color="DDDDDD"/>
            </w:tcBorders>
          </w:tcPr>
          <w:p>
            <w:pPr>
              <w:spacing w:after="0"/>
              <w:rPr>
                <w:sz w:val="24"/>
                <w:szCs w:val="24"/>
                <w:color w:val="auto"/>
              </w:rPr>
            </w:pPr>
          </w:p>
        </w:tc>
        <w:tc>
          <w:tcPr>
            <w:tcW w:w="440" w:type="dxa"/>
            <w:vAlign w:val="bottom"/>
            <w:tcBorders>
              <w:bottom w:val="single" w:sz="8" w:color="auto"/>
            </w:tcBorders>
          </w:tcPr>
          <w:p>
            <w:pPr>
              <w:spacing w:after="0"/>
              <w:rPr>
                <w:sz w:val="24"/>
                <w:szCs w:val="24"/>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2,217</w:t>
            </w:r>
          </w:p>
        </w:tc>
      </w:tr>
      <w:tr>
        <w:trPr>
          <w:trHeight w:val="295"/>
        </w:trPr>
        <w:tc>
          <w:tcPr>
            <w:tcW w:w="5580" w:type="dxa"/>
            <w:vAlign w:val="bottom"/>
            <w:shd w:val="clear" w:color="auto" w:fill="DDDDDD"/>
          </w:tcPr>
          <w:p>
            <w:pPr>
              <w:ind w:left="160"/>
              <w:spacing w:after="0"/>
              <w:rPr>
                <w:sz w:val="20"/>
                <w:szCs w:val="20"/>
                <w:color w:val="auto"/>
              </w:rPr>
            </w:pPr>
            <w:r>
              <w:rPr>
                <w:rFonts w:ascii="Times New Roman" w:cs="Times New Roman" w:eastAsia="Times New Roman" w:hAnsi="Times New Roman"/>
                <w:sz w:val="20"/>
                <w:szCs w:val="20"/>
                <w:color w:val="auto"/>
              </w:rPr>
              <w:t>Operating lease cost</w:t>
            </w:r>
          </w:p>
        </w:tc>
        <w:tc>
          <w:tcPr>
            <w:tcW w:w="980" w:type="dxa"/>
            <w:vAlign w:val="bottom"/>
            <w:shd w:val="clear" w:color="auto" w:fill="DDDDDD"/>
          </w:tcPr>
          <w:p>
            <w:pPr>
              <w:spacing w:after="0"/>
              <w:rPr>
                <w:sz w:val="24"/>
                <w:szCs w:val="24"/>
                <w:color w:val="auto"/>
              </w:rPr>
            </w:pPr>
          </w:p>
        </w:tc>
        <w:tc>
          <w:tcPr>
            <w:tcW w:w="540" w:type="dxa"/>
            <w:vAlign w:val="bottom"/>
            <w:shd w:val="clear" w:color="auto" w:fill="DDDDDD"/>
          </w:tcPr>
          <w:p>
            <w:pPr>
              <w:jc w:val="right"/>
              <w:spacing w:after="0"/>
              <w:rPr>
                <w:sz w:val="20"/>
                <w:szCs w:val="20"/>
                <w:color w:val="auto"/>
              </w:rPr>
            </w:pPr>
            <w:r>
              <w:rPr>
                <w:rFonts w:ascii="Times New Roman" w:cs="Times New Roman" w:eastAsia="Times New Roman" w:hAnsi="Times New Roman"/>
                <w:sz w:val="20"/>
                <w:szCs w:val="20"/>
                <w:color w:val="auto"/>
                <w:w w:val="97"/>
              </w:rPr>
              <w:t>8,757</w:t>
            </w:r>
          </w:p>
        </w:tc>
        <w:tc>
          <w:tcPr>
            <w:tcW w:w="60" w:type="dxa"/>
            <w:vAlign w:val="bottom"/>
            <w:shd w:val="clear" w:color="auto" w:fill="DDDDDD"/>
          </w:tcPr>
          <w:p>
            <w:pPr>
              <w:spacing w:after="0"/>
              <w:rPr>
                <w:sz w:val="24"/>
                <w:szCs w:val="24"/>
                <w:color w:val="auto"/>
              </w:rPr>
            </w:pPr>
          </w:p>
        </w:tc>
        <w:tc>
          <w:tcPr>
            <w:tcW w:w="360" w:type="dxa"/>
            <w:vAlign w:val="bottom"/>
            <w:shd w:val="clear" w:color="auto" w:fill="DDDDDD"/>
          </w:tcPr>
          <w:p>
            <w:pPr>
              <w:spacing w:after="0"/>
              <w:rPr>
                <w:sz w:val="24"/>
                <w:szCs w:val="24"/>
                <w:color w:val="auto"/>
              </w:rPr>
            </w:pPr>
          </w:p>
        </w:tc>
        <w:tc>
          <w:tcPr>
            <w:tcW w:w="1160" w:type="dxa"/>
            <w:vAlign w:val="bottom"/>
            <w:shd w:val="clear" w:color="auto" w:fill="DDDDDD"/>
          </w:tcPr>
          <w:p>
            <w:pPr>
              <w:jc w:val="right"/>
              <w:spacing w:after="0"/>
              <w:rPr>
                <w:sz w:val="20"/>
                <w:szCs w:val="20"/>
                <w:color w:val="auto"/>
              </w:rPr>
            </w:pPr>
            <w:r>
              <w:rPr>
                <w:rFonts w:ascii="Times New Roman" w:cs="Times New Roman" w:eastAsia="Times New Roman" w:hAnsi="Times New Roman"/>
                <w:sz w:val="20"/>
                <w:szCs w:val="20"/>
                <w:color w:val="auto"/>
              </w:rPr>
              <w:t>9,062</w:t>
            </w:r>
          </w:p>
        </w:tc>
        <w:tc>
          <w:tcPr>
            <w:tcW w:w="40" w:type="dxa"/>
            <w:vAlign w:val="bottom"/>
            <w:shd w:val="clear" w:color="auto" w:fill="DDDDDD"/>
          </w:tcPr>
          <w:p>
            <w:pPr>
              <w:spacing w:after="0"/>
              <w:rPr>
                <w:sz w:val="24"/>
                <w:szCs w:val="24"/>
                <w:color w:val="auto"/>
              </w:rPr>
            </w:pPr>
          </w:p>
        </w:tc>
        <w:tc>
          <w:tcPr>
            <w:tcW w:w="20" w:type="dxa"/>
            <w:vAlign w:val="bottom"/>
            <w:shd w:val="clear" w:color="auto" w:fill="DDDDDD"/>
          </w:tcPr>
          <w:p>
            <w:pPr>
              <w:spacing w:after="0"/>
              <w:rPr>
                <w:sz w:val="24"/>
                <w:szCs w:val="24"/>
                <w:color w:val="auto"/>
              </w:rPr>
            </w:pPr>
          </w:p>
        </w:tc>
        <w:tc>
          <w:tcPr>
            <w:tcW w:w="440" w:type="dxa"/>
            <w:vAlign w:val="bottom"/>
            <w:shd w:val="clear" w:color="auto" w:fill="DDDDDD"/>
          </w:tcPr>
          <w:p>
            <w:pPr>
              <w:spacing w:after="0"/>
              <w:rPr>
                <w:sz w:val="24"/>
                <w:szCs w:val="24"/>
                <w:color w:val="auto"/>
              </w:rPr>
            </w:pPr>
          </w:p>
        </w:tc>
        <w:tc>
          <w:tcPr>
            <w:tcW w:w="1080" w:type="dxa"/>
            <w:vAlign w:val="bottom"/>
            <w:shd w:val="clear" w:color="auto" w:fill="DDDDDD"/>
          </w:tcPr>
          <w:p>
            <w:pPr>
              <w:jc w:val="right"/>
              <w:spacing w:after="0"/>
              <w:rPr>
                <w:sz w:val="20"/>
                <w:szCs w:val="20"/>
                <w:color w:val="auto"/>
              </w:rPr>
            </w:pPr>
            <w:r>
              <w:rPr>
                <w:rFonts w:ascii="Times New Roman" w:cs="Times New Roman" w:eastAsia="Times New Roman" w:hAnsi="Times New Roman"/>
                <w:sz w:val="20"/>
                <w:szCs w:val="20"/>
                <w:color w:val="auto"/>
              </w:rPr>
              <w:t>11,446</w:t>
            </w:r>
          </w:p>
        </w:tc>
      </w:tr>
      <w:tr>
        <w:trPr>
          <w:trHeight w:val="304"/>
        </w:trPr>
        <w:tc>
          <w:tcPr>
            <w:tcW w:w="5580" w:type="dxa"/>
            <w:vAlign w:val="bottom"/>
            <w:tcBorders>
              <w:bottom w:val="single" w:sz="8" w:color="DDDDDD"/>
            </w:tcBorders>
          </w:tcPr>
          <w:p>
            <w:pPr>
              <w:ind w:left="40"/>
              <w:spacing w:after="0"/>
              <w:rPr>
                <w:sz w:val="20"/>
                <w:szCs w:val="20"/>
                <w:color w:val="auto"/>
              </w:rPr>
            </w:pPr>
            <w:r>
              <w:rPr>
                <w:rFonts w:ascii="Times New Roman" w:cs="Times New Roman" w:eastAsia="Times New Roman" w:hAnsi="Times New Roman"/>
                <w:sz w:val="20"/>
                <w:szCs w:val="20"/>
                <w:color w:val="auto"/>
              </w:rPr>
              <w:t>Short-term lease cost</w:t>
            </w:r>
          </w:p>
        </w:tc>
        <w:tc>
          <w:tcPr>
            <w:tcW w:w="980" w:type="dxa"/>
            <w:vAlign w:val="bottom"/>
            <w:tcBorders>
              <w:bottom w:val="single" w:sz="8" w:color="auto"/>
            </w:tcBorders>
          </w:tcPr>
          <w:p>
            <w:pPr>
              <w:spacing w:after="0"/>
              <w:rPr>
                <w:sz w:val="24"/>
                <w:szCs w:val="24"/>
                <w:color w:val="auto"/>
              </w:rPr>
            </w:pPr>
          </w:p>
        </w:tc>
        <w:tc>
          <w:tcPr>
            <w:tcW w:w="5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89</w:t>
            </w:r>
          </w:p>
        </w:tc>
        <w:tc>
          <w:tcPr>
            <w:tcW w:w="60" w:type="dxa"/>
            <w:vAlign w:val="bottom"/>
          </w:tcPr>
          <w:p>
            <w:pPr>
              <w:spacing w:after="0"/>
              <w:rPr>
                <w:sz w:val="24"/>
                <w:szCs w:val="24"/>
                <w:color w:val="auto"/>
              </w:rPr>
            </w:pPr>
          </w:p>
        </w:tc>
        <w:tc>
          <w:tcPr>
            <w:tcW w:w="360" w:type="dxa"/>
            <w:vAlign w:val="bottom"/>
            <w:tcBorders>
              <w:bottom w:val="single" w:sz="8" w:color="auto"/>
            </w:tcBorders>
          </w:tcPr>
          <w:p>
            <w:pPr>
              <w:spacing w:after="0"/>
              <w:rPr>
                <w:sz w:val="24"/>
                <w:szCs w:val="24"/>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12</w:t>
            </w:r>
          </w:p>
        </w:tc>
        <w:tc>
          <w:tcPr>
            <w:tcW w:w="40" w:type="dxa"/>
            <w:vAlign w:val="bottom"/>
            <w:tcBorders>
              <w:bottom w:val="single" w:sz="8" w:color="DDDDDD"/>
            </w:tcBorders>
          </w:tcPr>
          <w:p>
            <w:pPr>
              <w:spacing w:after="0"/>
              <w:rPr>
                <w:sz w:val="24"/>
                <w:szCs w:val="24"/>
                <w:color w:val="auto"/>
              </w:rPr>
            </w:pPr>
          </w:p>
        </w:tc>
        <w:tc>
          <w:tcPr>
            <w:tcW w:w="20" w:type="dxa"/>
            <w:vAlign w:val="bottom"/>
            <w:tcBorders>
              <w:bottom w:val="single" w:sz="8" w:color="DDDDDD"/>
            </w:tcBorders>
          </w:tcPr>
          <w:p>
            <w:pPr>
              <w:spacing w:after="0"/>
              <w:rPr>
                <w:sz w:val="24"/>
                <w:szCs w:val="24"/>
                <w:color w:val="auto"/>
              </w:rPr>
            </w:pPr>
          </w:p>
        </w:tc>
        <w:tc>
          <w:tcPr>
            <w:tcW w:w="440" w:type="dxa"/>
            <w:vAlign w:val="bottom"/>
            <w:tcBorders>
              <w:bottom w:val="single" w:sz="8" w:color="auto"/>
            </w:tcBorders>
          </w:tcPr>
          <w:p>
            <w:pPr>
              <w:spacing w:after="0"/>
              <w:rPr>
                <w:sz w:val="24"/>
                <w:szCs w:val="24"/>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88</w:t>
            </w:r>
          </w:p>
        </w:tc>
      </w:tr>
      <w:tr>
        <w:trPr>
          <w:trHeight w:val="302"/>
        </w:trPr>
        <w:tc>
          <w:tcPr>
            <w:tcW w:w="5580" w:type="dxa"/>
            <w:vAlign w:val="bottom"/>
            <w:shd w:val="clear" w:color="auto" w:fill="DDDDDD"/>
          </w:tcPr>
          <w:p>
            <w:pPr>
              <w:ind w:left="160"/>
              <w:spacing w:after="0"/>
              <w:rPr>
                <w:sz w:val="20"/>
                <w:szCs w:val="20"/>
                <w:color w:val="auto"/>
              </w:rPr>
            </w:pPr>
            <w:r>
              <w:rPr>
                <w:rFonts w:ascii="Times New Roman" w:cs="Times New Roman" w:eastAsia="Times New Roman" w:hAnsi="Times New Roman"/>
                <w:sz w:val="20"/>
                <w:szCs w:val="20"/>
                <w:color w:val="auto"/>
              </w:rPr>
              <w:t>Total lease cost, net</w:t>
            </w:r>
          </w:p>
        </w:tc>
        <w:tc>
          <w:tcPr>
            <w:tcW w:w="980" w:type="dxa"/>
            <w:vAlign w:val="bottom"/>
            <w:shd w:val="clear" w:color="auto" w:fill="DDDDDD"/>
          </w:tcPr>
          <w:p>
            <w:pPr>
              <w:jc w:val="right"/>
              <w:ind w:right="719"/>
              <w:spacing w:after="0"/>
              <w:rPr>
                <w:sz w:val="20"/>
                <w:szCs w:val="20"/>
                <w:color w:val="auto"/>
              </w:rPr>
            </w:pPr>
            <w:r>
              <w:rPr>
                <w:rFonts w:ascii="Times New Roman" w:cs="Times New Roman" w:eastAsia="Times New Roman" w:hAnsi="Times New Roman"/>
                <w:sz w:val="20"/>
                <w:szCs w:val="20"/>
                <w:color w:val="auto"/>
              </w:rPr>
              <w:t>$</w:t>
            </w:r>
          </w:p>
        </w:tc>
        <w:tc>
          <w:tcPr>
            <w:tcW w:w="540" w:type="dxa"/>
            <w:vAlign w:val="bottom"/>
            <w:shd w:val="clear" w:color="auto" w:fill="DDDDDD"/>
          </w:tcPr>
          <w:p>
            <w:pPr>
              <w:jc w:val="right"/>
              <w:spacing w:after="0"/>
              <w:rPr>
                <w:sz w:val="20"/>
                <w:szCs w:val="20"/>
                <w:color w:val="auto"/>
              </w:rPr>
            </w:pPr>
            <w:r>
              <w:rPr>
                <w:rFonts w:ascii="Times New Roman" w:cs="Times New Roman" w:eastAsia="Times New Roman" w:hAnsi="Times New Roman"/>
                <w:sz w:val="20"/>
                <w:szCs w:val="20"/>
                <w:color w:val="auto"/>
                <w:w w:val="97"/>
              </w:rPr>
              <w:t>8,846</w:t>
            </w:r>
          </w:p>
        </w:tc>
        <w:tc>
          <w:tcPr>
            <w:tcW w:w="60" w:type="dxa"/>
            <w:vAlign w:val="bottom"/>
            <w:shd w:val="clear" w:color="auto" w:fill="DDDDDD"/>
          </w:tcPr>
          <w:p>
            <w:pPr>
              <w:spacing w:after="0"/>
              <w:rPr>
                <w:sz w:val="24"/>
                <w:szCs w:val="24"/>
                <w:color w:val="auto"/>
              </w:rPr>
            </w:pPr>
          </w:p>
        </w:tc>
        <w:tc>
          <w:tcPr>
            <w:tcW w:w="360" w:type="dxa"/>
            <w:vAlign w:val="bottom"/>
            <w:shd w:val="clear" w:color="auto" w:fill="DDDDDD"/>
          </w:tcPr>
          <w:p>
            <w:pPr>
              <w:jc w:val="right"/>
              <w:ind w:right="99"/>
              <w:spacing w:after="0"/>
              <w:rPr>
                <w:sz w:val="20"/>
                <w:szCs w:val="20"/>
                <w:color w:val="auto"/>
              </w:rPr>
            </w:pPr>
            <w:r>
              <w:rPr>
                <w:rFonts w:ascii="Times New Roman" w:cs="Times New Roman" w:eastAsia="Times New Roman" w:hAnsi="Times New Roman"/>
                <w:sz w:val="20"/>
                <w:szCs w:val="20"/>
                <w:color w:val="auto"/>
              </w:rPr>
              <w:t>$</w:t>
            </w:r>
          </w:p>
        </w:tc>
        <w:tc>
          <w:tcPr>
            <w:tcW w:w="1160" w:type="dxa"/>
            <w:vAlign w:val="bottom"/>
            <w:shd w:val="clear" w:color="auto" w:fill="DDDDDD"/>
          </w:tcPr>
          <w:p>
            <w:pPr>
              <w:jc w:val="right"/>
              <w:spacing w:after="0"/>
              <w:rPr>
                <w:sz w:val="20"/>
                <w:szCs w:val="20"/>
                <w:color w:val="auto"/>
              </w:rPr>
            </w:pPr>
            <w:r>
              <w:rPr>
                <w:rFonts w:ascii="Times New Roman" w:cs="Times New Roman" w:eastAsia="Times New Roman" w:hAnsi="Times New Roman"/>
                <w:sz w:val="20"/>
                <w:szCs w:val="20"/>
                <w:color w:val="auto"/>
              </w:rPr>
              <w:t>9,074</w:t>
            </w:r>
          </w:p>
        </w:tc>
        <w:tc>
          <w:tcPr>
            <w:tcW w:w="40" w:type="dxa"/>
            <w:vAlign w:val="bottom"/>
            <w:shd w:val="clear" w:color="auto" w:fill="DDDDDD"/>
          </w:tcPr>
          <w:p>
            <w:pPr>
              <w:spacing w:after="0"/>
              <w:rPr>
                <w:sz w:val="24"/>
                <w:szCs w:val="24"/>
                <w:color w:val="auto"/>
              </w:rPr>
            </w:pPr>
          </w:p>
        </w:tc>
        <w:tc>
          <w:tcPr>
            <w:tcW w:w="20" w:type="dxa"/>
            <w:vAlign w:val="bottom"/>
            <w:shd w:val="clear" w:color="auto" w:fill="DDDDDD"/>
          </w:tcPr>
          <w:p>
            <w:pPr>
              <w:spacing w:after="0"/>
              <w:rPr>
                <w:sz w:val="24"/>
                <w:szCs w:val="24"/>
                <w:color w:val="auto"/>
              </w:rPr>
            </w:pPr>
          </w:p>
        </w:tc>
        <w:tc>
          <w:tcPr>
            <w:tcW w:w="440" w:type="dxa"/>
            <w:vAlign w:val="bottom"/>
            <w:shd w:val="clear" w:color="auto" w:fill="DDDDDD"/>
          </w:tcPr>
          <w:p>
            <w:pPr>
              <w:jc w:val="right"/>
              <w:ind w:right="179"/>
              <w:spacing w:after="0"/>
              <w:rPr>
                <w:sz w:val="20"/>
                <w:szCs w:val="20"/>
                <w:color w:val="auto"/>
              </w:rPr>
            </w:pPr>
            <w:r>
              <w:rPr>
                <w:rFonts w:ascii="Times New Roman" w:cs="Times New Roman" w:eastAsia="Times New Roman" w:hAnsi="Times New Roman"/>
                <w:sz w:val="20"/>
                <w:szCs w:val="20"/>
                <w:color w:val="auto"/>
              </w:rPr>
              <w:t>$</w:t>
            </w:r>
          </w:p>
        </w:tc>
        <w:tc>
          <w:tcPr>
            <w:tcW w:w="1080" w:type="dxa"/>
            <w:vAlign w:val="bottom"/>
            <w:shd w:val="clear" w:color="auto" w:fill="DDDDDD"/>
          </w:tcPr>
          <w:p>
            <w:pPr>
              <w:jc w:val="right"/>
              <w:spacing w:after="0"/>
              <w:rPr>
                <w:sz w:val="20"/>
                <w:szCs w:val="20"/>
                <w:color w:val="auto"/>
              </w:rPr>
            </w:pPr>
            <w:r>
              <w:rPr>
                <w:rFonts w:ascii="Times New Roman" w:cs="Times New Roman" w:eastAsia="Times New Roman" w:hAnsi="Times New Roman"/>
                <w:sz w:val="20"/>
                <w:szCs w:val="20"/>
                <w:color w:val="auto"/>
              </w:rPr>
              <w:t>11,534</w:t>
            </w:r>
          </w:p>
        </w:tc>
      </w:tr>
      <w:tr>
        <w:trPr>
          <w:trHeight w:val="20"/>
        </w:trPr>
        <w:tc>
          <w:tcPr>
            <w:tcW w:w="5580" w:type="dxa"/>
            <w:vAlign w:val="bottom"/>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r>
      <w:tr>
        <w:trPr>
          <w:trHeight w:val="20"/>
        </w:trPr>
        <w:tc>
          <w:tcPr>
            <w:tcW w:w="5580" w:type="dxa"/>
            <w:vAlign w:val="bottom"/>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4516755</wp:posOffset>
                </wp:positionH>
                <wp:positionV relativeFrom="paragraph">
                  <wp:posOffset>-1028700</wp:posOffset>
                </wp:positionV>
                <wp:extent cx="36830" cy="13970"/>
                <wp:wrapNone/>
                <wp:docPr id="87" name="Shape 87"/>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36830" cy="13970"/>
                        </a:xfrm>
                        <a:prstGeom prst="rect">
                          <a:avLst/>
                        </a:prstGeom>
                        <a:solidFill>
                          <a:srgbClr val="DDDDDD"/>
                        </a:solidFill>
                      </wps:spPr>
                      <wps:bodyPr/>
                    </wps:wsp>
                  </a:graphicData>
                </a:graphic>
              </wp:anchor>
            </w:drawing>
          </mc:Choice>
          <mc:Fallback>
            <w:pict>
              <v:rect id="Shape 87" o:spid="_x0000_s1112" style="position:absolute;margin-left:355.65pt;margin-top:-81pt;width:2.9pt;height:1.1pt;z-index:-251657728;visibility:visible;mso-wrap-style:square;mso-width-percent:0;mso-height-percent:0;mso-wrap-distance-left:0pt;mso-wrap-distance-top:0;mso-wrap-distance-right:0pt;mso-wrap-distance-bottom:0;mso-position-horizontal:absolute;mso-position-horizontal-relative:text;mso-position-vertical:absolute;mso-position-vertical-relative:text;mso-width-percent:0;mso-height-percent:0;mso-width-relative:page;mso-height-relative:page;v-text-anchor:top" o:allowincell="f" fillcolor="#DDDDDD" stroked="f"/>
            </w:pict>
          </mc:Fallback>
        </mc:AlternateContent>
        <mc:AlternateContent>
          <mc:Choice Requires="wps">
            <w:drawing>
              <wp:anchor simplePos="0" relativeHeight="251657728" behindDoc="1" locked="0" layoutInCell="0" allowOverlap="1">
                <wp:simplePos x="0" y="0"/>
                <wp:positionH relativeFrom="column">
                  <wp:posOffset>4516755</wp:posOffset>
                </wp:positionH>
                <wp:positionV relativeFrom="paragraph">
                  <wp:posOffset>-630555</wp:posOffset>
                </wp:positionV>
                <wp:extent cx="36830" cy="13335"/>
                <wp:wrapNone/>
                <wp:docPr id="88" name="Shape 88"/>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36830" cy="13335"/>
                        </a:xfrm>
                        <a:prstGeom prst="rect">
                          <a:avLst/>
                        </a:prstGeom>
                        <a:solidFill>
                          <a:srgbClr val="DDDDDD"/>
                        </a:solidFill>
                      </wps:spPr>
                      <wps:bodyPr/>
                    </wps:wsp>
                  </a:graphicData>
                </a:graphic>
              </wp:anchor>
            </w:drawing>
          </mc:Choice>
          <mc:Fallback>
            <w:pict>
              <v:rect id="Shape 88" o:spid="_x0000_s1113" style="position:absolute;margin-left:355.65pt;margin-top:-49.6499pt;width:2.9pt;height:1.05pt;z-index:-251657728;visibility:visible;mso-wrap-style:square;mso-width-percent:0;mso-height-percent:0;mso-wrap-distance-left:0pt;mso-wrap-distance-top:0;mso-wrap-distance-right:0pt;mso-wrap-distance-bottom:0;mso-position-horizontal:absolute;mso-position-horizontal-relative:text;mso-position-vertical:absolute;mso-position-vertical-relative:text;mso-width-percent:0;mso-height-percent:0;mso-width-relative:page;mso-height-relative:page;v-text-anchor:top" o:allowincell="f" fillcolor="#DDDDDD" stroked="f"/>
            </w:pict>
          </mc:Fallback>
        </mc:AlternateContent>
        <mc:AlternateContent>
          <mc:Choice Requires="wps">
            <w:drawing>
              <wp:anchor simplePos="0" relativeHeight="251657728" behindDoc="1" locked="0" layoutInCell="0" allowOverlap="1">
                <wp:simplePos x="0" y="0"/>
                <wp:positionH relativeFrom="column">
                  <wp:posOffset>4516755</wp:posOffset>
                </wp:positionH>
                <wp:positionV relativeFrom="paragraph">
                  <wp:posOffset>-237490</wp:posOffset>
                </wp:positionV>
                <wp:extent cx="36830" cy="13970"/>
                <wp:wrapNone/>
                <wp:docPr id="89" name="Shape 89"/>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36830" cy="13970"/>
                        </a:xfrm>
                        <a:prstGeom prst="rect">
                          <a:avLst/>
                        </a:prstGeom>
                        <a:solidFill>
                          <a:srgbClr val="DDDDDD"/>
                        </a:solidFill>
                      </wps:spPr>
                      <wps:bodyPr/>
                    </wps:wsp>
                  </a:graphicData>
                </a:graphic>
              </wp:anchor>
            </w:drawing>
          </mc:Choice>
          <mc:Fallback>
            <w:pict>
              <v:rect id="Shape 89" o:spid="_x0000_s1114" style="position:absolute;margin-left:355.65pt;margin-top:-18.6999pt;width:2.9pt;height:1.1pt;z-index:-251657728;visibility:visible;mso-wrap-style:square;mso-width-percent:0;mso-height-percent:0;mso-wrap-distance-left:0pt;mso-wrap-distance-top:0;mso-wrap-distance-right:0pt;mso-wrap-distance-bottom:0;mso-position-horizontal:absolute;mso-position-horizontal-relative:text;mso-position-vertical:absolute;mso-position-vertical-relative:text;mso-width-percent:0;mso-height-percent:0;mso-width-relative:page;mso-height-relative:page;v-text-anchor:top" o:allowincell="f" fillcolor="#DDDDDD" stroked="f"/>
            </w:pict>
          </mc:Fallback>
        </mc:AlternateContent>
      </w:r>
    </w:p>
    <w:p>
      <w:pPr>
        <w:spacing w:after="0" w:line="80" w:lineRule="exact"/>
        <w:rPr>
          <w:sz w:val="20"/>
          <w:szCs w:val="20"/>
          <w:color w:val="auto"/>
        </w:rPr>
      </w:pPr>
    </w:p>
    <w:p>
      <w:pPr>
        <w:jc w:val="both"/>
        <w:ind w:left="6"/>
        <w:spacing w:after="0" w:line="301" w:lineRule="auto"/>
        <w:rPr>
          <w:sz w:val="20"/>
          <w:szCs w:val="20"/>
          <w:color w:val="auto"/>
        </w:rPr>
      </w:pPr>
      <w:r>
        <w:rPr>
          <w:rFonts w:ascii="Times New Roman" w:cs="Times New Roman" w:eastAsia="Times New Roman" w:hAnsi="Times New Roman"/>
          <w:sz w:val="20"/>
          <w:szCs w:val="20"/>
          <w:color w:val="auto"/>
        </w:rPr>
        <w:t>Net rent expense is included in general and administrative expense in the accompanying consolidated statements of operations. During the years ended December 31, 2023, 2022 and 2021, the Company made cash payments of $9.9 million, $9.6 million and $8.2 million respectively, on its operating leases, all of which were included in cash flows from operating activities within the consolidated statements of cash flows.</w:t>
      </w:r>
    </w:p>
    <w:p>
      <w:pPr>
        <w:spacing w:after="0" w:line="70" w:lineRule="exact"/>
        <w:rPr>
          <w:sz w:val="20"/>
          <w:szCs w:val="20"/>
          <w:color w:val="auto"/>
        </w:rPr>
      </w:pPr>
    </w:p>
    <w:p>
      <w:pPr>
        <w:jc w:val="both"/>
        <w:ind w:left="6" w:right="20"/>
        <w:spacing w:after="0" w:line="296" w:lineRule="auto"/>
        <w:rPr>
          <w:sz w:val="20"/>
          <w:szCs w:val="20"/>
          <w:color w:val="auto"/>
        </w:rPr>
      </w:pPr>
      <w:r>
        <w:rPr>
          <w:rFonts w:ascii="Times New Roman" w:cs="Times New Roman" w:eastAsia="Times New Roman" w:hAnsi="Times New Roman"/>
          <w:sz w:val="20"/>
          <w:szCs w:val="20"/>
          <w:color w:val="auto"/>
        </w:rPr>
        <w:t>Sublease rental income is recognized as a reduction to the related lease expense on a straight-line basis over the sublease term. For the years ended December 31, 2023, 2022 and 2021, the Company recorded rent income related to a sublease of $2.2 million, $1.9 million and $0.2 million, respectively. In 2022, the Company entered into a sublease agreement with an affiliate of the Executive Chair. The sublease commenced on June 1, 2022, and the term is for the remainder of the original lease and will expire on February 28, 2025, or sooner in the event that the original lease is cancelled prior to the expiration date. See Note 17, “Related Party Transactions,” to these consolidated financial statements for additional information.</w:t>
      </w:r>
    </w:p>
    <w:p>
      <w:pPr>
        <w:spacing w:after="0" w:line="77" w:lineRule="exact"/>
        <w:rPr>
          <w:sz w:val="20"/>
          <w:szCs w:val="20"/>
          <w:color w:val="auto"/>
        </w:rPr>
      </w:pPr>
    </w:p>
    <w:p>
      <w:pPr>
        <w:ind w:left="6"/>
        <w:spacing w:after="0"/>
        <w:rPr>
          <w:sz w:val="20"/>
          <w:szCs w:val="20"/>
          <w:color w:val="auto"/>
        </w:rPr>
      </w:pPr>
      <w:r>
        <w:rPr>
          <w:rFonts w:ascii="Times New Roman" w:cs="Times New Roman" w:eastAsia="Times New Roman" w:hAnsi="Times New Roman"/>
          <w:sz w:val="20"/>
          <w:szCs w:val="20"/>
          <w:color w:val="auto"/>
        </w:rPr>
        <w:t>As of December 31, 2023, future minimum payments for the next five years and thereafter are as follows (in thousands):</w:t>
      </w:r>
    </w:p>
    <w:p>
      <w:pPr>
        <w:spacing w:after="0" w:line="214" w:lineRule="exact"/>
        <w:rPr>
          <w:sz w:val="20"/>
          <w:szCs w:val="20"/>
          <w:color w:val="auto"/>
        </w:rPr>
      </w:pPr>
    </w:p>
    <w:tbl>
      <w:tblPr>
        <w:tblLayout w:type="fixed"/>
        <w:tblInd w:w="6" w:type="dxa"/>
        <w:tblCellMar>
          <w:top w:w="0" w:type="dxa"/>
          <w:left w:w="0" w:type="dxa"/>
          <w:bottom w:w="0" w:type="dxa"/>
          <w:right w:w="0" w:type="dxa"/>
        </w:tblCellMar>
      </w:tblPr>
      <w:tr>
        <w:trPr>
          <w:trHeight w:val="230"/>
        </w:trPr>
        <w:tc>
          <w:tcPr>
            <w:tcW w:w="83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580" w:type="dxa"/>
            <w:vAlign w:val="bottom"/>
          </w:tcPr>
          <w:p>
            <w:pPr>
              <w:jc w:val="right"/>
              <w:ind w:right="419"/>
              <w:spacing w:after="0"/>
              <w:rPr>
                <w:sz w:val="20"/>
                <w:szCs w:val="20"/>
                <w:color w:val="auto"/>
              </w:rPr>
            </w:pPr>
            <w:r>
              <w:rPr>
                <w:rFonts w:ascii="Times New Roman" w:cs="Times New Roman" w:eastAsia="Times New Roman" w:hAnsi="Times New Roman"/>
                <w:sz w:val="20"/>
                <w:szCs w:val="20"/>
                <w:b w:val="1"/>
                <w:bCs w:val="1"/>
                <w:color w:val="auto"/>
              </w:rPr>
              <w:t>Operating</w:t>
            </w:r>
          </w:p>
        </w:tc>
      </w:tr>
      <w:tr>
        <w:trPr>
          <w:trHeight w:val="281"/>
        </w:trPr>
        <w:tc>
          <w:tcPr>
            <w:tcW w:w="8340" w:type="dxa"/>
            <w:vAlign w:val="bottom"/>
            <w:tcBorders>
              <w:bottom w:val="single" w:sz="8" w:color="DDDDDD"/>
            </w:tcBorders>
          </w:tcPr>
          <w:p>
            <w:pPr>
              <w:spacing w:after="0"/>
              <w:rPr>
                <w:sz w:val="24"/>
                <w:szCs w:val="24"/>
                <w:color w:val="auto"/>
              </w:rPr>
            </w:pPr>
          </w:p>
        </w:tc>
        <w:tc>
          <w:tcPr>
            <w:tcW w:w="20" w:type="dxa"/>
            <w:vAlign w:val="bottom"/>
            <w:tcBorders>
              <w:bottom w:val="single" w:sz="8" w:color="DDDDDD"/>
            </w:tcBorders>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1580" w:type="dxa"/>
            <w:vAlign w:val="bottom"/>
            <w:tcBorders>
              <w:bottom w:val="single" w:sz="8" w:color="auto"/>
            </w:tcBorders>
          </w:tcPr>
          <w:p>
            <w:pPr>
              <w:jc w:val="right"/>
              <w:ind w:right="579"/>
              <w:spacing w:after="0"/>
              <w:rPr>
                <w:sz w:val="20"/>
                <w:szCs w:val="20"/>
                <w:color w:val="auto"/>
              </w:rPr>
            </w:pPr>
            <w:r>
              <w:rPr>
                <w:rFonts w:ascii="Times New Roman" w:cs="Times New Roman" w:eastAsia="Times New Roman" w:hAnsi="Times New Roman"/>
                <w:sz w:val="20"/>
                <w:szCs w:val="20"/>
                <w:b w:val="1"/>
                <w:bCs w:val="1"/>
                <w:color w:val="auto"/>
              </w:rPr>
              <w:t>Leases</w:t>
            </w:r>
          </w:p>
        </w:tc>
      </w:tr>
      <w:tr>
        <w:trPr>
          <w:trHeight w:val="293"/>
        </w:trPr>
        <w:tc>
          <w:tcPr>
            <w:tcW w:w="8360" w:type="dxa"/>
            <w:vAlign w:val="bottom"/>
            <w:gridSpan w:val="2"/>
            <w:shd w:val="clear" w:color="auto" w:fill="DDDDDD"/>
          </w:tcPr>
          <w:p>
            <w:pPr>
              <w:ind w:left="40"/>
              <w:spacing w:after="0"/>
              <w:rPr>
                <w:sz w:val="20"/>
                <w:szCs w:val="20"/>
                <w:color w:val="auto"/>
              </w:rPr>
            </w:pPr>
            <w:r>
              <w:rPr>
                <w:rFonts w:ascii="Times New Roman" w:cs="Times New Roman" w:eastAsia="Times New Roman" w:hAnsi="Times New Roman"/>
                <w:sz w:val="20"/>
                <w:szCs w:val="20"/>
                <w:color w:val="auto"/>
              </w:rPr>
              <w:t>Years Ending December 31,</w:t>
            </w:r>
          </w:p>
        </w:tc>
        <w:tc>
          <w:tcPr>
            <w:tcW w:w="320" w:type="dxa"/>
            <w:vAlign w:val="bottom"/>
            <w:shd w:val="clear" w:color="auto" w:fill="DDDDDD"/>
          </w:tcPr>
          <w:p>
            <w:pPr>
              <w:spacing w:after="0"/>
              <w:rPr>
                <w:sz w:val="24"/>
                <w:szCs w:val="24"/>
                <w:color w:val="auto"/>
              </w:rPr>
            </w:pPr>
          </w:p>
        </w:tc>
        <w:tc>
          <w:tcPr>
            <w:tcW w:w="1580" w:type="dxa"/>
            <w:vAlign w:val="bottom"/>
            <w:shd w:val="clear" w:color="auto" w:fill="DDDDDD"/>
          </w:tcPr>
          <w:p>
            <w:pPr>
              <w:spacing w:after="0"/>
              <w:rPr>
                <w:sz w:val="24"/>
                <w:szCs w:val="24"/>
                <w:color w:val="auto"/>
              </w:rPr>
            </w:pPr>
          </w:p>
        </w:tc>
      </w:tr>
      <w:tr>
        <w:trPr>
          <w:trHeight w:val="307"/>
        </w:trPr>
        <w:tc>
          <w:tcPr>
            <w:tcW w:w="8340" w:type="dxa"/>
            <w:vAlign w:val="bottom"/>
          </w:tcPr>
          <w:p>
            <w:pPr>
              <w:ind w:left="40"/>
              <w:spacing w:after="0"/>
              <w:rPr>
                <w:sz w:val="20"/>
                <w:szCs w:val="20"/>
                <w:color w:val="auto"/>
              </w:rPr>
            </w:pPr>
            <w:r>
              <w:rPr>
                <w:rFonts w:ascii="Times New Roman" w:cs="Times New Roman" w:eastAsia="Times New Roman" w:hAnsi="Times New Roman"/>
                <w:sz w:val="20"/>
                <w:szCs w:val="20"/>
                <w:color w:val="auto"/>
              </w:rPr>
              <w:t>2024</w:t>
            </w:r>
          </w:p>
        </w:tc>
        <w:tc>
          <w:tcPr>
            <w:tcW w:w="20" w:type="dxa"/>
            <w:vAlign w:val="bottom"/>
          </w:tcPr>
          <w:p>
            <w:pPr>
              <w:spacing w:after="0"/>
              <w:rPr>
                <w:sz w:val="24"/>
                <w:szCs w:val="24"/>
                <w:color w:val="auto"/>
              </w:rPr>
            </w:pPr>
          </w:p>
        </w:tc>
        <w:tc>
          <w:tcPr>
            <w:tcW w:w="320" w:type="dxa"/>
            <w:vAlign w:val="bottom"/>
          </w:tcPr>
          <w:p>
            <w:pPr>
              <w:jc w:val="right"/>
              <w:ind w:right="79"/>
              <w:spacing w:after="0"/>
              <w:rPr>
                <w:sz w:val="20"/>
                <w:szCs w:val="20"/>
                <w:color w:val="auto"/>
              </w:rPr>
            </w:pPr>
            <w:r>
              <w:rPr>
                <w:rFonts w:ascii="Times New Roman" w:cs="Times New Roman" w:eastAsia="Times New Roman" w:hAnsi="Times New Roman"/>
                <w:sz w:val="20"/>
                <w:szCs w:val="20"/>
                <w:color w:val="auto"/>
              </w:rPr>
              <w:t>$</w:t>
            </w:r>
          </w:p>
        </w:tc>
        <w:tc>
          <w:tcPr>
            <w:tcW w:w="15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9,405</w:t>
            </w:r>
          </w:p>
        </w:tc>
      </w:tr>
      <w:tr>
        <w:trPr>
          <w:trHeight w:val="319"/>
        </w:trPr>
        <w:tc>
          <w:tcPr>
            <w:tcW w:w="8340" w:type="dxa"/>
            <w:vAlign w:val="bottom"/>
            <w:shd w:val="clear" w:color="auto" w:fill="DDDDDD"/>
          </w:tcPr>
          <w:p>
            <w:pPr>
              <w:ind w:left="40"/>
              <w:spacing w:after="0"/>
              <w:rPr>
                <w:sz w:val="20"/>
                <w:szCs w:val="20"/>
                <w:color w:val="auto"/>
              </w:rPr>
            </w:pPr>
            <w:r>
              <w:rPr>
                <w:rFonts w:ascii="Times New Roman" w:cs="Times New Roman" w:eastAsia="Times New Roman" w:hAnsi="Times New Roman"/>
                <w:sz w:val="20"/>
                <w:szCs w:val="20"/>
                <w:color w:val="auto"/>
              </w:rPr>
              <w:t>2025</w:t>
            </w:r>
          </w:p>
        </w:tc>
        <w:tc>
          <w:tcPr>
            <w:tcW w:w="20" w:type="dxa"/>
            <w:vAlign w:val="bottom"/>
            <w:shd w:val="clear" w:color="auto" w:fill="DDDDDD"/>
          </w:tcPr>
          <w:p>
            <w:pPr>
              <w:spacing w:after="0"/>
              <w:rPr>
                <w:sz w:val="24"/>
                <w:szCs w:val="24"/>
                <w:color w:val="auto"/>
              </w:rPr>
            </w:pPr>
          </w:p>
        </w:tc>
        <w:tc>
          <w:tcPr>
            <w:tcW w:w="320" w:type="dxa"/>
            <w:vAlign w:val="bottom"/>
            <w:shd w:val="clear" w:color="auto" w:fill="DDDDDD"/>
          </w:tcPr>
          <w:p>
            <w:pPr>
              <w:spacing w:after="0"/>
              <w:rPr>
                <w:sz w:val="24"/>
                <w:szCs w:val="24"/>
                <w:color w:val="auto"/>
              </w:rPr>
            </w:pPr>
          </w:p>
        </w:tc>
        <w:tc>
          <w:tcPr>
            <w:tcW w:w="1580" w:type="dxa"/>
            <w:vAlign w:val="bottom"/>
            <w:shd w:val="clear" w:color="auto" w:fill="DDDDDD"/>
          </w:tcPr>
          <w:p>
            <w:pPr>
              <w:jc w:val="right"/>
              <w:spacing w:after="0"/>
              <w:rPr>
                <w:sz w:val="20"/>
                <w:szCs w:val="20"/>
                <w:color w:val="auto"/>
              </w:rPr>
            </w:pPr>
            <w:r>
              <w:rPr>
                <w:rFonts w:ascii="Times New Roman" w:cs="Times New Roman" w:eastAsia="Times New Roman" w:hAnsi="Times New Roman"/>
                <w:sz w:val="20"/>
                <w:szCs w:val="20"/>
                <w:color w:val="auto"/>
              </w:rPr>
              <w:t>5,830</w:t>
            </w:r>
          </w:p>
        </w:tc>
      </w:tr>
      <w:tr>
        <w:trPr>
          <w:trHeight w:val="307"/>
        </w:trPr>
        <w:tc>
          <w:tcPr>
            <w:tcW w:w="8340" w:type="dxa"/>
            <w:vAlign w:val="bottom"/>
          </w:tcPr>
          <w:p>
            <w:pPr>
              <w:ind w:left="40"/>
              <w:spacing w:after="0"/>
              <w:rPr>
                <w:sz w:val="20"/>
                <w:szCs w:val="20"/>
                <w:color w:val="auto"/>
              </w:rPr>
            </w:pPr>
            <w:r>
              <w:rPr>
                <w:rFonts w:ascii="Times New Roman" w:cs="Times New Roman" w:eastAsia="Times New Roman" w:hAnsi="Times New Roman"/>
                <w:sz w:val="20"/>
                <w:szCs w:val="20"/>
                <w:color w:val="auto"/>
              </w:rPr>
              <w:t>2026</w:t>
            </w:r>
          </w:p>
        </w:tc>
        <w:tc>
          <w:tcPr>
            <w:tcW w:w="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5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5,408</w:t>
            </w:r>
          </w:p>
        </w:tc>
      </w:tr>
      <w:tr>
        <w:trPr>
          <w:trHeight w:val="319"/>
        </w:trPr>
        <w:tc>
          <w:tcPr>
            <w:tcW w:w="8340" w:type="dxa"/>
            <w:vAlign w:val="bottom"/>
            <w:shd w:val="clear" w:color="auto" w:fill="DDDDDD"/>
          </w:tcPr>
          <w:p>
            <w:pPr>
              <w:ind w:left="40"/>
              <w:spacing w:after="0"/>
              <w:rPr>
                <w:sz w:val="20"/>
                <w:szCs w:val="20"/>
                <w:color w:val="auto"/>
              </w:rPr>
            </w:pPr>
            <w:r>
              <w:rPr>
                <w:rFonts w:ascii="Times New Roman" w:cs="Times New Roman" w:eastAsia="Times New Roman" w:hAnsi="Times New Roman"/>
                <w:sz w:val="20"/>
                <w:szCs w:val="20"/>
                <w:color w:val="auto"/>
              </w:rPr>
              <w:t>2027</w:t>
            </w:r>
          </w:p>
        </w:tc>
        <w:tc>
          <w:tcPr>
            <w:tcW w:w="20" w:type="dxa"/>
            <w:vAlign w:val="bottom"/>
            <w:shd w:val="clear" w:color="auto" w:fill="DDDDDD"/>
          </w:tcPr>
          <w:p>
            <w:pPr>
              <w:spacing w:after="0"/>
              <w:rPr>
                <w:sz w:val="24"/>
                <w:szCs w:val="24"/>
                <w:color w:val="auto"/>
              </w:rPr>
            </w:pPr>
          </w:p>
        </w:tc>
        <w:tc>
          <w:tcPr>
            <w:tcW w:w="320" w:type="dxa"/>
            <w:vAlign w:val="bottom"/>
            <w:shd w:val="clear" w:color="auto" w:fill="DDDDDD"/>
          </w:tcPr>
          <w:p>
            <w:pPr>
              <w:spacing w:after="0"/>
              <w:rPr>
                <w:sz w:val="24"/>
                <w:szCs w:val="24"/>
                <w:color w:val="auto"/>
              </w:rPr>
            </w:pPr>
          </w:p>
        </w:tc>
        <w:tc>
          <w:tcPr>
            <w:tcW w:w="1580" w:type="dxa"/>
            <w:vAlign w:val="bottom"/>
            <w:shd w:val="clear" w:color="auto" w:fill="DDDDDD"/>
          </w:tcPr>
          <w:p>
            <w:pPr>
              <w:jc w:val="right"/>
              <w:spacing w:after="0"/>
              <w:rPr>
                <w:sz w:val="20"/>
                <w:szCs w:val="20"/>
                <w:color w:val="auto"/>
              </w:rPr>
            </w:pPr>
            <w:r>
              <w:rPr>
                <w:rFonts w:ascii="Times New Roman" w:cs="Times New Roman" w:eastAsia="Times New Roman" w:hAnsi="Times New Roman"/>
                <w:sz w:val="20"/>
                <w:szCs w:val="20"/>
                <w:color w:val="auto"/>
              </w:rPr>
              <w:t>5,570</w:t>
            </w:r>
          </w:p>
        </w:tc>
      </w:tr>
      <w:tr>
        <w:trPr>
          <w:trHeight w:val="307"/>
        </w:trPr>
        <w:tc>
          <w:tcPr>
            <w:tcW w:w="8340" w:type="dxa"/>
            <w:vAlign w:val="bottom"/>
          </w:tcPr>
          <w:p>
            <w:pPr>
              <w:ind w:left="40"/>
              <w:spacing w:after="0"/>
              <w:rPr>
                <w:sz w:val="20"/>
                <w:szCs w:val="20"/>
                <w:color w:val="auto"/>
              </w:rPr>
            </w:pPr>
            <w:r>
              <w:rPr>
                <w:rFonts w:ascii="Times New Roman" w:cs="Times New Roman" w:eastAsia="Times New Roman" w:hAnsi="Times New Roman"/>
                <w:sz w:val="20"/>
                <w:szCs w:val="20"/>
                <w:color w:val="auto"/>
              </w:rPr>
              <w:t>2028</w:t>
            </w:r>
          </w:p>
        </w:tc>
        <w:tc>
          <w:tcPr>
            <w:tcW w:w="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5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5,737</w:t>
            </w:r>
          </w:p>
        </w:tc>
      </w:tr>
      <w:tr>
        <w:trPr>
          <w:trHeight w:val="316"/>
        </w:trPr>
        <w:tc>
          <w:tcPr>
            <w:tcW w:w="8360" w:type="dxa"/>
            <w:vAlign w:val="bottom"/>
            <w:gridSpan w:val="2"/>
            <w:shd w:val="clear" w:color="auto" w:fill="DDDDDD"/>
          </w:tcPr>
          <w:p>
            <w:pPr>
              <w:ind w:left="40"/>
              <w:spacing w:after="0"/>
              <w:rPr>
                <w:sz w:val="20"/>
                <w:szCs w:val="20"/>
                <w:color w:val="auto"/>
              </w:rPr>
            </w:pPr>
            <w:r>
              <w:rPr>
                <w:rFonts w:ascii="Times New Roman" w:cs="Times New Roman" w:eastAsia="Times New Roman" w:hAnsi="Times New Roman"/>
                <w:sz w:val="20"/>
                <w:szCs w:val="20"/>
                <w:color w:val="auto"/>
              </w:rPr>
              <w:t>Thereafter</w:t>
            </w:r>
          </w:p>
        </w:tc>
        <w:tc>
          <w:tcPr>
            <w:tcW w:w="320" w:type="dxa"/>
            <w:vAlign w:val="bottom"/>
            <w:tcBorders>
              <w:bottom w:val="single" w:sz="8" w:color="auto"/>
            </w:tcBorders>
            <w:shd w:val="clear" w:color="auto" w:fill="DDDDDD"/>
          </w:tcPr>
          <w:p>
            <w:pPr>
              <w:spacing w:after="0"/>
              <w:rPr>
                <w:sz w:val="24"/>
                <w:szCs w:val="24"/>
                <w:color w:val="auto"/>
              </w:rPr>
            </w:pPr>
          </w:p>
        </w:tc>
        <w:tc>
          <w:tcPr>
            <w:tcW w:w="1580" w:type="dxa"/>
            <w:vAlign w:val="bottom"/>
            <w:tcBorders>
              <w:bottom w:val="single" w:sz="8" w:color="auto"/>
            </w:tcBorders>
            <w:shd w:val="clear" w:color="auto" w:fill="DDDDDD"/>
          </w:tcPr>
          <w:p>
            <w:pPr>
              <w:jc w:val="right"/>
              <w:spacing w:after="0"/>
              <w:rPr>
                <w:sz w:val="20"/>
                <w:szCs w:val="20"/>
                <w:color w:val="auto"/>
              </w:rPr>
            </w:pPr>
            <w:r>
              <w:rPr>
                <w:rFonts w:ascii="Times New Roman" w:cs="Times New Roman" w:eastAsia="Times New Roman" w:hAnsi="Times New Roman"/>
                <w:sz w:val="20"/>
                <w:szCs w:val="20"/>
                <w:color w:val="auto"/>
              </w:rPr>
              <w:t>13,016</w:t>
            </w:r>
          </w:p>
        </w:tc>
      </w:tr>
      <w:tr>
        <w:trPr>
          <w:trHeight w:val="294"/>
        </w:trPr>
        <w:tc>
          <w:tcPr>
            <w:tcW w:w="8360" w:type="dxa"/>
            <w:vAlign w:val="bottom"/>
            <w:gridSpan w:val="2"/>
          </w:tcPr>
          <w:p>
            <w:pPr>
              <w:ind w:left="160"/>
              <w:spacing w:after="0"/>
              <w:rPr>
                <w:sz w:val="20"/>
                <w:szCs w:val="20"/>
                <w:color w:val="auto"/>
              </w:rPr>
            </w:pPr>
            <w:r>
              <w:rPr>
                <w:rFonts w:ascii="Times New Roman" w:cs="Times New Roman" w:eastAsia="Times New Roman" w:hAnsi="Times New Roman"/>
                <w:sz w:val="20"/>
                <w:szCs w:val="20"/>
                <w:color w:val="auto"/>
              </w:rPr>
              <w:t>Total</w:t>
            </w:r>
          </w:p>
        </w:tc>
        <w:tc>
          <w:tcPr>
            <w:tcW w:w="320" w:type="dxa"/>
            <w:vAlign w:val="bottom"/>
          </w:tcPr>
          <w:p>
            <w:pPr>
              <w:jc w:val="right"/>
              <w:ind w:right="79"/>
              <w:spacing w:after="0"/>
              <w:rPr>
                <w:sz w:val="20"/>
                <w:szCs w:val="20"/>
                <w:color w:val="auto"/>
              </w:rPr>
            </w:pPr>
            <w:r>
              <w:rPr>
                <w:rFonts w:ascii="Times New Roman" w:cs="Times New Roman" w:eastAsia="Times New Roman" w:hAnsi="Times New Roman"/>
                <w:sz w:val="20"/>
                <w:szCs w:val="20"/>
                <w:color w:val="auto"/>
              </w:rPr>
              <w:t>$</w:t>
            </w:r>
          </w:p>
        </w:tc>
        <w:tc>
          <w:tcPr>
            <w:tcW w:w="15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44,966</w:t>
            </w:r>
          </w:p>
        </w:tc>
      </w:tr>
      <w:tr>
        <w:trPr>
          <w:trHeight w:val="310"/>
        </w:trPr>
        <w:tc>
          <w:tcPr>
            <w:tcW w:w="8360" w:type="dxa"/>
            <w:vAlign w:val="bottom"/>
            <w:gridSpan w:val="2"/>
            <w:shd w:val="clear" w:color="auto" w:fill="DDDDDD"/>
          </w:tcPr>
          <w:p>
            <w:pPr>
              <w:ind w:left="40"/>
              <w:spacing w:after="0"/>
              <w:rPr>
                <w:sz w:val="20"/>
                <w:szCs w:val="20"/>
                <w:color w:val="auto"/>
              </w:rPr>
            </w:pPr>
            <w:r>
              <w:rPr>
                <w:rFonts w:ascii="Times New Roman" w:cs="Times New Roman" w:eastAsia="Times New Roman" w:hAnsi="Times New Roman"/>
                <w:sz w:val="20"/>
                <w:szCs w:val="20"/>
                <w:color w:val="auto"/>
              </w:rPr>
              <w:t>Less present value discount</w:t>
            </w:r>
          </w:p>
        </w:tc>
        <w:tc>
          <w:tcPr>
            <w:tcW w:w="320" w:type="dxa"/>
            <w:vAlign w:val="bottom"/>
            <w:tcBorders>
              <w:bottom w:val="single" w:sz="8" w:color="auto"/>
            </w:tcBorders>
            <w:shd w:val="clear" w:color="auto" w:fill="DDDDDD"/>
          </w:tcPr>
          <w:p>
            <w:pPr>
              <w:spacing w:after="0"/>
              <w:rPr>
                <w:sz w:val="24"/>
                <w:szCs w:val="24"/>
                <w:color w:val="auto"/>
              </w:rPr>
            </w:pPr>
          </w:p>
        </w:tc>
        <w:tc>
          <w:tcPr>
            <w:tcW w:w="1580" w:type="dxa"/>
            <w:vAlign w:val="bottom"/>
            <w:tcBorders>
              <w:bottom w:val="single" w:sz="8" w:color="auto"/>
            </w:tcBorders>
            <w:shd w:val="clear" w:color="auto" w:fill="DDDDDD"/>
          </w:tcPr>
          <w:p>
            <w:pPr>
              <w:jc w:val="right"/>
              <w:spacing w:after="0"/>
              <w:rPr>
                <w:sz w:val="20"/>
                <w:szCs w:val="20"/>
                <w:color w:val="auto"/>
              </w:rPr>
            </w:pPr>
            <w:r>
              <w:rPr>
                <w:rFonts w:ascii="Times New Roman" w:cs="Times New Roman" w:eastAsia="Times New Roman" w:hAnsi="Times New Roman"/>
                <w:sz w:val="20"/>
                <w:szCs w:val="20"/>
                <w:color w:val="auto"/>
              </w:rPr>
              <w:t>(11,923)</w:t>
            </w:r>
          </w:p>
        </w:tc>
      </w:tr>
      <w:tr>
        <w:trPr>
          <w:trHeight w:val="290"/>
        </w:trPr>
        <w:tc>
          <w:tcPr>
            <w:tcW w:w="8360" w:type="dxa"/>
            <w:vAlign w:val="bottom"/>
            <w:gridSpan w:val="2"/>
          </w:tcPr>
          <w:p>
            <w:pPr>
              <w:ind w:left="160"/>
              <w:spacing w:after="0"/>
              <w:rPr>
                <w:sz w:val="20"/>
                <w:szCs w:val="20"/>
                <w:color w:val="auto"/>
              </w:rPr>
            </w:pPr>
            <w:r>
              <w:rPr>
                <w:rFonts w:ascii="Times New Roman" w:cs="Times New Roman" w:eastAsia="Times New Roman" w:hAnsi="Times New Roman"/>
                <w:sz w:val="20"/>
                <w:szCs w:val="20"/>
                <w:color w:val="auto"/>
              </w:rPr>
              <w:t>Operating lease liabilities</w:t>
            </w:r>
          </w:p>
        </w:tc>
        <w:tc>
          <w:tcPr>
            <w:tcW w:w="320" w:type="dxa"/>
            <w:vAlign w:val="bottom"/>
          </w:tcPr>
          <w:p>
            <w:pPr>
              <w:jc w:val="right"/>
              <w:ind w:right="79"/>
              <w:spacing w:after="0"/>
              <w:rPr>
                <w:sz w:val="20"/>
                <w:szCs w:val="20"/>
                <w:color w:val="auto"/>
              </w:rPr>
            </w:pPr>
            <w:r>
              <w:rPr>
                <w:rFonts w:ascii="Times New Roman" w:cs="Times New Roman" w:eastAsia="Times New Roman" w:hAnsi="Times New Roman"/>
                <w:sz w:val="20"/>
                <w:szCs w:val="20"/>
                <w:color w:val="auto"/>
              </w:rPr>
              <w:t>$</w:t>
            </w:r>
          </w:p>
        </w:tc>
        <w:tc>
          <w:tcPr>
            <w:tcW w:w="15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33,043</w:t>
            </w:r>
          </w:p>
        </w:tc>
      </w:tr>
      <w:tr>
        <w:trPr>
          <w:trHeight w:val="26"/>
        </w:trPr>
        <w:tc>
          <w:tcPr>
            <w:tcW w:w="8340" w:type="dxa"/>
            <w:vAlign w:val="bottom"/>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580" w:type="dxa"/>
            <w:vAlign w:val="bottom"/>
            <w:tcBorders>
              <w:bottom w:val="single" w:sz="8" w:color="auto"/>
            </w:tcBorders>
          </w:tcPr>
          <w:p>
            <w:pPr>
              <w:spacing w:after="0"/>
              <w:rPr>
                <w:sz w:val="2"/>
                <w:szCs w:val="2"/>
                <w:color w:val="auto"/>
              </w:rPr>
            </w:pPr>
          </w:p>
        </w:tc>
      </w:tr>
      <w:tr>
        <w:trPr>
          <w:trHeight w:val="20"/>
        </w:trPr>
        <w:tc>
          <w:tcPr>
            <w:tcW w:w="834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580" w:type="dxa"/>
            <w:vAlign w:val="bottom"/>
            <w:tcBorders>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5303520</wp:posOffset>
                </wp:positionH>
                <wp:positionV relativeFrom="paragraph">
                  <wp:posOffset>-623570</wp:posOffset>
                </wp:positionV>
                <wp:extent cx="1211580" cy="0"/>
                <wp:wrapNone/>
                <wp:docPr id="90" name="Shape 90"/>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1211580" cy="4763"/>
                        </a:xfrm>
                        <a:prstGeom prst="line">
                          <a:avLst/>
                        </a:prstGeom>
                        <a:solidFill>
                          <a:srgbClr val="FFFFFF"/>
                        </a:solidFill>
                        <a:ln w="4572">
                          <a:solidFill>
                            <a:srgbClr val="FFFFFF"/>
                          </a:solidFill>
                          <a:miter lim="800000"/>
                          <a:headEnd/>
                          <a:tailEnd/>
                        </a:ln>
                      </wps:spPr>
                      <wps:bodyPr/>
                    </wps:wsp>
                  </a:graphicData>
                </a:graphic>
              </wp:anchor>
            </w:drawing>
          </mc:Choice>
          <mc:Fallback>
            <w:pict>
              <v:line id="Shape 90" o:spid="_x0000_s1115"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417.6pt,-49.0999pt" to="513pt,-49.0999pt" o:allowincell="f" strokecolor="#FFFFFF" strokeweight="0.36pt"/>
            </w:pict>
          </mc:Fallback>
        </mc:AlternateContent>
      </w:r>
    </w:p>
    <w:p>
      <w:pPr>
        <w:spacing w:after="0" w:line="80" w:lineRule="exact"/>
        <w:rPr>
          <w:sz w:val="20"/>
          <w:szCs w:val="20"/>
          <w:color w:val="auto"/>
        </w:rPr>
      </w:pPr>
    </w:p>
    <w:p>
      <w:pPr>
        <w:jc w:val="both"/>
        <w:ind w:left="6"/>
        <w:spacing w:after="0" w:line="295" w:lineRule="auto"/>
        <w:rPr>
          <w:sz w:val="20"/>
          <w:szCs w:val="20"/>
          <w:color w:val="auto"/>
        </w:rPr>
      </w:pPr>
      <w:r>
        <w:rPr>
          <w:rFonts w:ascii="Times New Roman" w:cs="Times New Roman" w:eastAsia="Times New Roman" w:hAnsi="Times New Roman"/>
          <w:sz w:val="20"/>
          <w:szCs w:val="20"/>
          <w:color w:val="auto"/>
        </w:rPr>
        <w:t>As of December 31, 2023 and 2022, the Company’s operating leases had a weighted average remaining lease term of 6.3 years and 6.8 years and a weighted-average discount rate of 9.8%. The Company’s lease agreements do not provide an implicit rate and as a result, the Company used an estimated incremental borrowing rate, which was derived from third-party information available at the time the Company adopted ASC 842 in determining the present value of future lease payments. The rate used is for a secured borrowing of a similar term as the right of use asset. The fair value was estimated using an income approach based on management’s forecast of future cash flows expected to be derived based on current sublease market rent.</w:t>
      </w:r>
    </w:p>
    <w:p>
      <w:pPr>
        <w:spacing w:after="0" w:line="241" w:lineRule="exact"/>
        <w:rPr>
          <w:sz w:val="20"/>
          <w:szCs w:val="20"/>
          <w:color w:val="auto"/>
        </w:rPr>
      </w:pPr>
    </w:p>
    <w:p>
      <w:pPr>
        <w:jc w:val="center"/>
        <w:ind w:right="-5"/>
        <w:spacing w:after="0"/>
        <w:rPr>
          <w:sz w:val="20"/>
          <w:szCs w:val="20"/>
          <w:color w:val="auto"/>
        </w:rPr>
      </w:pPr>
      <w:r>
        <w:rPr>
          <w:rFonts w:ascii="Times New Roman" w:cs="Times New Roman" w:eastAsia="Times New Roman" w:hAnsi="Times New Roman"/>
          <w:sz w:val="20"/>
          <w:szCs w:val="20"/>
          <w:color w:val="auto"/>
        </w:rPr>
        <w:t>F-18</w:t>
      </w:r>
    </w:p>
    <w:p>
      <w:pPr>
        <w:sectPr>
          <w:pgSz w:w="12240" w:h="15840" w:orient="portrait"/>
          <w:cols w:equalWidth="0" w:num="1">
            <w:col w:w="10266"/>
          </w:cols>
          <w:pgMar w:left="994" w:top="731" w:right="980" w:bottom="222" w:gutter="0" w:footer="0" w:header="0"/>
        </w:sectPr>
      </w:pPr>
    </w:p>
    <w:bookmarkStart w:id="138" w:name="page139"/>
    <w:bookmarkEnd w:id="138"/>
    <w:p>
      <w:pPr>
        <w:jc w:val="center"/>
        <w:ind w:right="14"/>
        <w:spacing w:after="0"/>
        <w:rPr>
          <w:sz w:val="20"/>
          <w:szCs w:val="20"/>
          <w:color w:val="auto"/>
        </w:rPr>
      </w:pPr>
      <w:r>
        <w:rPr>
          <w:rFonts w:ascii="Times New Roman" w:cs="Times New Roman" w:eastAsia="Times New Roman" w:hAnsi="Times New Roman"/>
          <w:sz w:val="20"/>
          <w:szCs w:val="20"/>
          <w:b w:val="1"/>
          <w:bCs w:val="1"/>
          <w:color w:val="auto"/>
        </w:rPr>
        <w:t>WM TECHNOLOGY, INC. AND SUBSIDIARIES</w:t>
      </w:r>
    </w:p>
    <w:p>
      <w:pPr>
        <w:spacing w:after="0" w:line="48" w:lineRule="exact"/>
        <w:rPr>
          <w:sz w:val="20"/>
          <w:szCs w:val="20"/>
          <w:color w:val="auto"/>
        </w:rPr>
      </w:pPr>
    </w:p>
    <w:p>
      <w:pPr>
        <w:jc w:val="center"/>
        <w:ind w:right="-5"/>
        <w:spacing w:after="0"/>
        <w:rPr>
          <w:sz w:val="20"/>
          <w:szCs w:val="20"/>
          <w:color w:val="auto"/>
        </w:rPr>
      </w:pPr>
      <w:r>
        <w:rPr>
          <w:rFonts w:ascii="Times New Roman" w:cs="Times New Roman" w:eastAsia="Times New Roman" w:hAnsi="Times New Roman"/>
          <w:sz w:val="20"/>
          <w:szCs w:val="20"/>
          <w:b w:val="1"/>
          <w:bCs w:val="1"/>
          <w:color w:val="auto"/>
        </w:rPr>
        <w:t>NOTES TO CONSOLIDATED FINANCIAL STATEMENTS</w:t>
      </w:r>
    </w:p>
    <w:p>
      <w:pPr>
        <w:spacing w:after="0" w:line="286" w:lineRule="exact"/>
        <w:rPr>
          <w:sz w:val="20"/>
          <w:szCs w:val="20"/>
          <w:color w:val="auto"/>
        </w:rPr>
      </w:pPr>
    </w:p>
    <w:p>
      <w:pPr>
        <w:jc w:val="both"/>
        <w:ind w:left="6"/>
        <w:spacing w:after="0" w:line="301" w:lineRule="auto"/>
        <w:rPr>
          <w:sz w:val="20"/>
          <w:szCs w:val="20"/>
          <w:color w:val="auto"/>
        </w:rPr>
      </w:pPr>
      <w:r>
        <w:rPr>
          <w:rFonts w:ascii="Times New Roman" w:cs="Times New Roman" w:eastAsia="Times New Roman" w:hAnsi="Times New Roman"/>
          <w:sz w:val="20"/>
          <w:szCs w:val="20"/>
          <w:color w:val="auto"/>
        </w:rPr>
        <w:t>The Company assesses impairment of ROU assets when an event and change in circumstance indicates that the carrying value of such ROU assets may not be recoverable. If an event and a change in circumstance indicates that the carrying value of an ROU asset may not be recoverable and the estimated fair value attributable to the ROU asset is less than its carrying value, an impairment loss equals to the excess of the ROU asset’s carrying value over its fair value is recognized.</w:t>
      </w:r>
    </w:p>
    <w:p>
      <w:pPr>
        <w:spacing w:after="0" w:line="70" w:lineRule="exact"/>
        <w:rPr>
          <w:sz w:val="20"/>
          <w:szCs w:val="20"/>
          <w:color w:val="auto"/>
        </w:rPr>
      </w:pPr>
    </w:p>
    <w:p>
      <w:pPr>
        <w:jc w:val="both"/>
        <w:ind w:left="6"/>
        <w:spacing w:after="0" w:line="310" w:lineRule="auto"/>
        <w:rPr>
          <w:sz w:val="20"/>
          <w:szCs w:val="20"/>
          <w:color w:val="auto"/>
        </w:rPr>
      </w:pPr>
      <w:r>
        <w:rPr>
          <w:rFonts w:ascii="Times New Roman" w:cs="Times New Roman" w:eastAsia="Times New Roman" w:hAnsi="Times New Roman"/>
          <w:sz w:val="19"/>
          <w:szCs w:val="19"/>
          <w:color w:val="auto"/>
        </w:rPr>
        <w:t>The fair values of ROU assets were estimated using an income approach based on management’s forecast of future cash flows expected to be derived based on the sublease market rent. First, the Company tests the asset group for recoverability by comparing the undiscounted cash flows of the asset group, which include expected future lease payments related to the lease agreement offset by expected sublease income, to the carrying amount of the asset group. If the first step of the long-lived asset impairment test concludes that the carrying amount of the asset group is not recoverable, the Company performs the second step of the long-lived asset impairment test by comparing the fair value of the asset group to its carrying amount and recognizing a lease impairment charge for the amount by which the carrying amount exceeds the fair value. To estimate the fair value of the asset group, the Company relies on a discounted cash flow approach using market participant assumptions of the expected cash flows.</w:t>
      </w:r>
    </w:p>
    <w:p>
      <w:pPr>
        <w:spacing w:after="0" w:line="68" w:lineRule="exact"/>
        <w:rPr>
          <w:sz w:val="20"/>
          <w:szCs w:val="20"/>
          <w:color w:val="auto"/>
        </w:rPr>
      </w:pPr>
    </w:p>
    <w:p>
      <w:pPr>
        <w:jc w:val="both"/>
        <w:ind w:left="6"/>
        <w:spacing w:after="0" w:line="294" w:lineRule="auto"/>
        <w:rPr>
          <w:sz w:val="20"/>
          <w:szCs w:val="20"/>
          <w:color w:val="auto"/>
        </w:rPr>
      </w:pPr>
      <w:r>
        <w:rPr>
          <w:rFonts w:ascii="Times New Roman" w:cs="Times New Roman" w:eastAsia="Times New Roman" w:hAnsi="Times New Roman"/>
          <w:sz w:val="20"/>
          <w:szCs w:val="20"/>
          <w:color w:val="auto"/>
        </w:rPr>
        <w:t>In 2023, the Company recognized a ROU asset impairment charge of $10.9 million and impairment of related leasehold improvements of $1.3 million, driven by updated sublease assumptions for our second headquarter space in Los Angeles, California, pursuant to an operating lease that expires in 2031. In addition, the Company recognized ROU asset impairment charges of $0.6 million and $2.4 million during the years ended December 31, 2022 and 2021, respectively, related to certain ROU assets reducing the carrying values of the lease assets to their estimated fair values based on the discounted cash flows of estimated net rental income for the office spaces subleased. The ROU impairment charges are included in asset impairment charges in the consolidated statements of operations.</w:t>
      </w:r>
    </w:p>
    <w:p>
      <w:pPr>
        <w:spacing w:after="0" w:line="100" w:lineRule="exact"/>
        <w:rPr>
          <w:sz w:val="20"/>
          <w:szCs w:val="20"/>
          <w:color w:val="auto"/>
        </w:rPr>
      </w:pPr>
    </w:p>
    <w:p>
      <w:pPr>
        <w:ind w:left="546" w:hanging="546"/>
        <w:spacing w:after="0"/>
        <w:tabs>
          <w:tab w:leader="none" w:pos="546" w:val="left"/>
        </w:tabs>
        <w:numPr>
          <w:ilvl w:val="0"/>
          <w:numId w:val="82"/>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b w:val="1"/>
          <w:bCs w:val="1"/>
          <w:color w:val="auto"/>
        </w:rPr>
        <w:t>Commitments and Contingencies</w:t>
      </w:r>
    </w:p>
    <w:p>
      <w:pPr>
        <w:spacing w:after="0" w:line="170" w:lineRule="exact"/>
        <w:rPr>
          <w:sz w:val="20"/>
          <w:szCs w:val="20"/>
          <w:color w:val="auto"/>
        </w:rPr>
      </w:pPr>
    </w:p>
    <w:p>
      <w:pPr>
        <w:ind w:left="6"/>
        <w:spacing w:after="0"/>
        <w:rPr>
          <w:sz w:val="20"/>
          <w:szCs w:val="20"/>
          <w:color w:val="auto"/>
        </w:rPr>
      </w:pPr>
      <w:r>
        <w:rPr>
          <w:rFonts w:ascii="Times New Roman" w:cs="Times New Roman" w:eastAsia="Times New Roman" w:hAnsi="Times New Roman"/>
          <w:sz w:val="20"/>
          <w:szCs w:val="20"/>
          <w:b w:val="1"/>
          <w:bCs w:val="1"/>
          <w:i w:val="1"/>
          <w:iCs w:val="1"/>
          <w:color w:val="auto"/>
        </w:rPr>
        <w:t>Litigation</w:t>
      </w:r>
    </w:p>
    <w:p>
      <w:pPr>
        <w:spacing w:after="0" w:line="164" w:lineRule="exact"/>
        <w:rPr>
          <w:sz w:val="20"/>
          <w:szCs w:val="20"/>
          <w:color w:val="auto"/>
        </w:rPr>
      </w:pPr>
    </w:p>
    <w:p>
      <w:pPr>
        <w:jc w:val="both"/>
        <w:ind w:left="6" w:right="20"/>
        <w:spacing w:after="0" w:line="306" w:lineRule="auto"/>
        <w:rPr>
          <w:sz w:val="20"/>
          <w:szCs w:val="20"/>
          <w:color w:val="auto"/>
        </w:rPr>
      </w:pPr>
      <w:r>
        <w:rPr>
          <w:rFonts w:ascii="Times New Roman" w:cs="Times New Roman" w:eastAsia="Times New Roman" w:hAnsi="Times New Roman"/>
          <w:sz w:val="20"/>
          <w:szCs w:val="20"/>
          <w:color w:val="auto"/>
        </w:rPr>
        <w:t>During the ordinary course of the Company’s business, it is subject to various claims and litigation. Management believes that the outcome of such claims or litigation will not have a material adverse effect on the Company’s financial position, results of operations or cash flow.</w:t>
      </w:r>
    </w:p>
    <w:p>
      <w:pPr>
        <w:spacing w:after="0" w:line="65" w:lineRule="exact"/>
        <w:rPr>
          <w:sz w:val="20"/>
          <w:szCs w:val="20"/>
          <w:color w:val="auto"/>
        </w:rPr>
      </w:pPr>
    </w:p>
    <w:p>
      <w:pPr>
        <w:ind w:left="6"/>
        <w:spacing w:after="0"/>
        <w:rPr>
          <w:sz w:val="20"/>
          <w:szCs w:val="20"/>
          <w:color w:val="auto"/>
        </w:rPr>
      </w:pPr>
      <w:r>
        <w:rPr>
          <w:rFonts w:ascii="Times New Roman" w:cs="Times New Roman" w:eastAsia="Times New Roman" w:hAnsi="Times New Roman"/>
          <w:sz w:val="20"/>
          <w:szCs w:val="20"/>
          <w:b w:val="1"/>
          <w:bCs w:val="1"/>
          <w:i w:val="1"/>
          <w:iCs w:val="1"/>
          <w:color w:val="auto"/>
        </w:rPr>
        <w:t>Purchase Obligations</w:t>
      </w:r>
    </w:p>
    <w:p>
      <w:pPr>
        <w:spacing w:after="0" w:line="171" w:lineRule="exact"/>
        <w:rPr>
          <w:sz w:val="20"/>
          <w:szCs w:val="20"/>
          <w:color w:val="auto"/>
        </w:rPr>
      </w:pPr>
    </w:p>
    <w:p>
      <w:pPr>
        <w:jc w:val="both"/>
        <w:ind w:left="6"/>
        <w:spacing w:after="0" w:line="306" w:lineRule="auto"/>
        <w:rPr>
          <w:sz w:val="20"/>
          <w:szCs w:val="20"/>
          <w:color w:val="auto"/>
        </w:rPr>
      </w:pPr>
      <w:r>
        <w:rPr>
          <w:rFonts w:ascii="Times New Roman" w:cs="Times New Roman" w:eastAsia="Times New Roman" w:hAnsi="Times New Roman"/>
          <w:sz w:val="20"/>
          <w:szCs w:val="20"/>
          <w:color w:val="auto"/>
        </w:rPr>
        <w:t>The Company has minimum outstanding purchase obligations of $7.1 million in 2024, $7.3 million in 2025 and $7.5 million in 2026, due under software license agreements, of which the majority relates to the Company’s three-year AWS Enterprise agreement.</w:t>
      </w:r>
    </w:p>
    <w:p>
      <w:pPr>
        <w:spacing w:after="0" w:line="65" w:lineRule="exact"/>
        <w:rPr>
          <w:sz w:val="20"/>
          <w:szCs w:val="20"/>
          <w:color w:val="auto"/>
        </w:rPr>
      </w:pPr>
    </w:p>
    <w:p>
      <w:pPr>
        <w:ind w:left="6"/>
        <w:spacing w:after="0"/>
        <w:rPr>
          <w:sz w:val="20"/>
          <w:szCs w:val="20"/>
          <w:color w:val="auto"/>
        </w:rPr>
      </w:pPr>
      <w:r>
        <w:rPr>
          <w:rFonts w:ascii="Times New Roman" w:cs="Times New Roman" w:eastAsia="Times New Roman" w:hAnsi="Times New Roman"/>
          <w:sz w:val="20"/>
          <w:szCs w:val="20"/>
          <w:b w:val="1"/>
          <w:bCs w:val="1"/>
          <w:i w:val="1"/>
          <w:iCs w:val="1"/>
          <w:color w:val="auto"/>
        </w:rPr>
        <w:t>Employee Termination Costs</w:t>
      </w:r>
    </w:p>
    <w:p>
      <w:pPr>
        <w:spacing w:after="0" w:line="164" w:lineRule="exact"/>
        <w:rPr>
          <w:sz w:val="20"/>
          <w:szCs w:val="20"/>
          <w:color w:val="auto"/>
        </w:rPr>
      </w:pPr>
    </w:p>
    <w:p>
      <w:pPr>
        <w:jc w:val="both"/>
        <w:ind w:left="6" w:right="20"/>
        <w:spacing w:after="0" w:line="309" w:lineRule="auto"/>
        <w:rPr>
          <w:sz w:val="20"/>
          <w:szCs w:val="20"/>
          <w:color w:val="auto"/>
        </w:rPr>
      </w:pPr>
      <w:r>
        <w:rPr>
          <w:rFonts w:ascii="Times New Roman" w:cs="Times New Roman" w:eastAsia="Times New Roman" w:hAnsi="Times New Roman"/>
          <w:sz w:val="20"/>
          <w:szCs w:val="20"/>
          <w:color w:val="auto"/>
        </w:rPr>
        <w:t>During the year ended December 31, 2022, Company approved plans to reduce the workforce based on cost-reduction initiatives intended to reduce operating expenses and sharpen the Company’s focus on key growth priorities. The Company also incurred termination costs related to the departures of the Company’s former executives.</w:t>
      </w:r>
    </w:p>
    <w:p>
      <w:pPr>
        <w:spacing w:after="0" w:line="62" w:lineRule="exact"/>
        <w:rPr>
          <w:sz w:val="20"/>
          <w:szCs w:val="20"/>
          <w:color w:val="auto"/>
        </w:rPr>
      </w:pPr>
    </w:p>
    <w:p>
      <w:pPr>
        <w:ind w:left="6"/>
        <w:spacing w:after="0"/>
        <w:rPr>
          <w:sz w:val="20"/>
          <w:szCs w:val="20"/>
          <w:color w:val="auto"/>
        </w:rPr>
      </w:pPr>
      <w:r>
        <w:rPr>
          <w:rFonts w:ascii="Times New Roman" w:cs="Times New Roman" w:eastAsia="Times New Roman" w:hAnsi="Times New Roman"/>
          <w:sz w:val="20"/>
          <w:szCs w:val="20"/>
          <w:color w:val="auto"/>
        </w:rPr>
        <w:t>The following table provides a roll forward of employee termination costs:</w:t>
      </w:r>
    </w:p>
    <w:p>
      <w:pPr>
        <w:spacing w:after="0" w:line="42" w:lineRule="exact"/>
        <w:rPr>
          <w:sz w:val="20"/>
          <w:szCs w:val="20"/>
          <w:color w:val="auto"/>
        </w:rPr>
      </w:pPr>
    </w:p>
    <w:tbl>
      <w:tblPr>
        <w:tblLayout w:type="fixed"/>
        <w:tblInd w:w="6" w:type="dxa"/>
        <w:tblCellMar>
          <w:top w:w="0" w:type="dxa"/>
          <w:left w:w="0" w:type="dxa"/>
          <w:bottom w:w="0" w:type="dxa"/>
          <w:right w:w="0" w:type="dxa"/>
        </w:tblCellMar>
      </w:tblPr>
      <w:tr>
        <w:trPr>
          <w:trHeight w:val="230"/>
        </w:trPr>
        <w:tc>
          <w:tcPr>
            <w:tcW w:w="81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800" w:type="dxa"/>
            <w:vAlign w:val="bottom"/>
          </w:tcPr>
          <w:p>
            <w:pPr>
              <w:jc w:val="right"/>
              <w:ind w:right="459"/>
              <w:spacing w:after="0"/>
              <w:rPr>
                <w:sz w:val="20"/>
                <w:szCs w:val="20"/>
                <w:color w:val="auto"/>
              </w:rPr>
            </w:pPr>
            <w:r>
              <w:rPr>
                <w:rFonts w:ascii="Times New Roman" w:cs="Times New Roman" w:eastAsia="Times New Roman" w:hAnsi="Times New Roman"/>
                <w:sz w:val="20"/>
                <w:szCs w:val="20"/>
                <w:b w:val="1"/>
                <w:bCs w:val="1"/>
                <w:color w:val="auto"/>
              </w:rPr>
              <w:t>Employee</w:t>
            </w:r>
          </w:p>
        </w:tc>
      </w:tr>
      <w:tr>
        <w:trPr>
          <w:trHeight w:val="255"/>
        </w:trPr>
        <w:tc>
          <w:tcPr>
            <w:tcW w:w="8180" w:type="dxa"/>
            <w:vAlign w:val="bottom"/>
            <w:tcBorders>
              <w:bottom w:val="single" w:sz="8" w:color="DDDDDD"/>
            </w:tcBorders>
          </w:tcPr>
          <w:p>
            <w:pPr>
              <w:spacing w:after="0"/>
              <w:rPr>
                <w:sz w:val="22"/>
                <w:szCs w:val="22"/>
                <w:color w:val="auto"/>
              </w:rPr>
            </w:pPr>
          </w:p>
        </w:tc>
        <w:tc>
          <w:tcPr>
            <w:tcW w:w="100" w:type="dxa"/>
            <w:vAlign w:val="bottom"/>
            <w:tcBorders>
              <w:bottom w:val="single" w:sz="8" w:color="DDDDDD"/>
            </w:tcBorders>
          </w:tcPr>
          <w:p>
            <w:pPr>
              <w:spacing w:after="0"/>
              <w:rPr>
                <w:sz w:val="22"/>
                <w:szCs w:val="22"/>
                <w:color w:val="auto"/>
              </w:rPr>
            </w:pPr>
          </w:p>
        </w:tc>
        <w:tc>
          <w:tcPr>
            <w:tcW w:w="180" w:type="dxa"/>
            <w:vAlign w:val="bottom"/>
            <w:tcBorders>
              <w:bottom w:val="single" w:sz="8" w:color="auto"/>
            </w:tcBorders>
          </w:tcPr>
          <w:p>
            <w:pPr>
              <w:spacing w:after="0"/>
              <w:rPr>
                <w:sz w:val="22"/>
                <w:szCs w:val="22"/>
                <w:color w:val="auto"/>
              </w:rPr>
            </w:pPr>
          </w:p>
        </w:tc>
        <w:tc>
          <w:tcPr>
            <w:tcW w:w="1800" w:type="dxa"/>
            <w:vAlign w:val="bottom"/>
            <w:tcBorders>
              <w:bottom w:val="single" w:sz="8" w:color="auto"/>
            </w:tcBorders>
          </w:tcPr>
          <w:p>
            <w:pPr>
              <w:jc w:val="right"/>
              <w:ind w:right="99"/>
              <w:spacing w:after="0"/>
              <w:rPr>
                <w:sz w:val="20"/>
                <w:szCs w:val="20"/>
                <w:color w:val="auto"/>
              </w:rPr>
            </w:pPr>
            <w:r>
              <w:rPr>
                <w:rFonts w:ascii="Times New Roman" w:cs="Times New Roman" w:eastAsia="Times New Roman" w:hAnsi="Times New Roman"/>
                <w:sz w:val="20"/>
                <w:szCs w:val="20"/>
                <w:b w:val="1"/>
                <w:bCs w:val="1"/>
                <w:color w:val="auto"/>
                <w:w w:val="99"/>
              </w:rPr>
              <w:t>Termination Costs</w:t>
            </w:r>
          </w:p>
        </w:tc>
      </w:tr>
      <w:tr>
        <w:trPr>
          <w:trHeight w:val="290"/>
        </w:trPr>
        <w:tc>
          <w:tcPr>
            <w:tcW w:w="8180" w:type="dxa"/>
            <w:vAlign w:val="bottom"/>
            <w:shd w:val="clear" w:color="auto" w:fill="DDDDDD"/>
          </w:tcPr>
          <w:p>
            <w:pPr>
              <w:ind w:left="40"/>
              <w:spacing w:after="0"/>
              <w:rPr>
                <w:sz w:val="20"/>
                <w:szCs w:val="20"/>
                <w:color w:val="auto"/>
              </w:rPr>
            </w:pPr>
            <w:r>
              <w:rPr>
                <w:rFonts w:ascii="Times New Roman" w:cs="Times New Roman" w:eastAsia="Times New Roman" w:hAnsi="Times New Roman"/>
                <w:sz w:val="20"/>
                <w:szCs w:val="20"/>
                <w:color w:val="auto"/>
              </w:rPr>
              <w:t>Unpaid employee termination costs, January 1, 2022</w:t>
            </w:r>
          </w:p>
        </w:tc>
        <w:tc>
          <w:tcPr>
            <w:tcW w:w="100" w:type="dxa"/>
            <w:vAlign w:val="bottom"/>
            <w:shd w:val="clear" w:color="auto" w:fill="DDDDDD"/>
          </w:tcPr>
          <w:p>
            <w:pPr>
              <w:spacing w:after="0"/>
              <w:rPr>
                <w:sz w:val="24"/>
                <w:szCs w:val="24"/>
                <w:color w:val="auto"/>
              </w:rPr>
            </w:pPr>
          </w:p>
        </w:tc>
        <w:tc>
          <w:tcPr>
            <w:tcW w:w="180" w:type="dxa"/>
            <w:vAlign w:val="bottom"/>
            <w:shd w:val="clear" w:color="auto" w:fill="DDDDDD"/>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1800" w:type="dxa"/>
            <w:vAlign w:val="bottom"/>
            <w:shd w:val="clear" w:color="auto" w:fill="DDDDDD"/>
          </w:tcPr>
          <w:p>
            <w:pPr>
              <w:jc w:val="right"/>
              <w:spacing w:after="0"/>
              <w:rPr>
                <w:sz w:val="20"/>
                <w:szCs w:val="20"/>
                <w:color w:val="auto"/>
              </w:rPr>
            </w:pPr>
            <w:r>
              <w:rPr>
                <w:rFonts w:ascii="Times New Roman" w:cs="Times New Roman" w:eastAsia="Times New Roman" w:hAnsi="Times New Roman"/>
                <w:sz w:val="20"/>
                <w:szCs w:val="20"/>
                <w:color w:val="auto"/>
              </w:rPr>
              <w:t>—</w:t>
            </w:r>
          </w:p>
        </w:tc>
      </w:tr>
      <w:tr>
        <w:trPr>
          <w:trHeight w:val="288"/>
        </w:trPr>
        <w:tc>
          <w:tcPr>
            <w:tcW w:w="8180" w:type="dxa"/>
            <w:vAlign w:val="bottom"/>
          </w:tcPr>
          <w:p>
            <w:pPr>
              <w:ind w:left="40"/>
              <w:spacing w:after="0"/>
              <w:rPr>
                <w:sz w:val="20"/>
                <w:szCs w:val="20"/>
                <w:color w:val="auto"/>
              </w:rPr>
            </w:pPr>
            <w:r>
              <w:rPr>
                <w:rFonts w:ascii="Times New Roman" w:cs="Times New Roman" w:eastAsia="Times New Roman" w:hAnsi="Times New Roman"/>
                <w:sz w:val="20"/>
                <w:szCs w:val="20"/>
                <w:color w:val="auto"/>
              </w:rPr>
              <w:t>Employee termination costs - severance and other cash costs</w:t>
            </w: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8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8,076</w:t>
            </w:r>
          </w:p>
        </w:tc>
      </w:tr>
      <w:tr>
        <w:trPr>
          <w:trHeight w:val="288"/>
        </w:trPr>
        <w:tc>
          <w:tcPr>
            <w:tcW w:w="8180" w:type="dxa"/>
            <w:vAlign w:val="bottom"/>
            <w:shd w:val="clear" w:color="auto" w:fill="DDDDDD"/>
          </w:tcPr>
          <w:p>
            <w:pPr>
              <w:ind w:left="40"/>
              <w:spacing w:after="0"/>
              <w:rPr>
                <w:sz w:val="20"/>
                <w:szCs w:val="20"/>
                <w:color w:val="auto"/>
              </w:rPr>
            </w:pPr>
            <w:r>
              <w:rPr>
                <w:rFonts w:ascii="Times New Roman" w:cs="Times New Roman" w:eastAsia="Times New Roman" w:hAnsi="Times New Roman"/>
                <w:sz w:val="20"/>
                <w:szCs w:val="20"/>
                <w:color w:val="auto"/>
              </w:rPr>
              <w:t>Total paid</w:t>
            </w:r>
          </w:p>
        </w:tc>
        <w:tc>
          <w:tcPr>
            <w:tcW w:w="100" w:type="dxa"/>
            <w:vAlign w:val="bottom"/>
            <w:shd w:val="clear" w:color="auto" w:fill="DDDDDD"/>
          </w:tcPr>
          <w:p>
            <w:pPr>
              <w:spacing w:after="0"/>
              <w:rPr>
                <w:sz w:val="24"/>
                <w:szCs w:val="24"/>
                <w:color w:val="auto"/>
              </w:rPr>
            </w:pPr>
          </w:p>
        </w:tc>
        <w:tc>
          <w:tcPr>
            <w:tcW w:w="180" w:type="dxa"/>
            <w:vAlign w:val="bottom"/>
            <w:tcBorders>
              <w:bottom w:val="single" w:sz="8" w:color="auto"/>
            </w:tcBorders>
            <w:shd w:val="clear" w:color="auto" w:fill="DDDDDD"/>
          </w:tcPr>
          <w:p>
            <w:pPr>
              <w:spacing w:after="0"/>
              <w:rPr>
                <w:sz w:val="24"/>
                <w:szCs w:val="24"/>
                <w:color w:val="auto"/>
              </w:rPr>
            </w:pPr>
          </w:p>
        </w:tc>
        <w:tc>
          <w:tcPr>
            <w:tcW w:w="1800" w:type="dxa"/>
            <w:vAlign w:val="bottom"/>
            <w:tcBorders>
              <w:bottom w:val="single" w:sz="8" w:color="auto"/>
            </w:tcBorders>
            <w:shd w:val="clear" w:color="auto" w:fill="DDDDDD"/>
          </w:tcPr>
          <w:p>
            <w:pPr>
              <w:jc w:val="right"/>
              <w:spacing w:after="0"/>
              <w:rPr>
                <w:sz w:val="20"/>
                <w:szCs w:val="20"/>
                <w:color w:val="auto"/>
              </w:rPr>
            </w:pPr>
            <w:r>
              <w:rPr>
                <w:rFonts w:ascii="Times New Roman" w:cs="Times New Roman" w:eastAsia="Times New Roman" w:hAnsi="Times New Roman"/>
                <w:sz w:val="20"/>
                <w:szCs w:val="20"/>
                <w:color w:val="auto"/>
              </w:rPr>
              <w:t>(4,430)</w:t>
            </w:r>
          </w:p>
        </w:tc>
      </w:tr>
      <w:tr>
        <w:trPr>
          <w:trHeight w:val="282"/>
        </w:trPr>
        <w:tc>
          <w:tcPr>
            <w:tcW w:w="8180" w:type="dxa"/>
            <w:vAlign w:val="bottom"/>
          </w:tcPr>
          <w:p>
            <w:pPr>
              <w:ind w:left="40"/>
              <w:spacing w:after="0"/>
              <w:rPr>
                <w:sz w:val="20"/>
                <w:szCs w:val="20"/>
                <w:color w:val="auto"/>
              </w:rPr>
            </w:pPr>
            <w:r>
              <w:rPr>
                <w:rFonts w:ascii="Times New Roman" w:cs="Times New Roman" w:eastAsia="Times New Roman" w:hAnsi="Times New Roman"/>
                <w:sz w:val="20"/>
                <w:szCs w:val="20"/>
                <w:color w:val="auto"/>
              </w:rPr>
              <w:t>Unpaid employee termination costs, December 31, 2022</w:t>
            </w:r>
          </w:p>
        </w:tc>
        <w:tc>
          <w:tcPr>
            <w:tcW w:w="28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18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3,646</w:t>
            </w:r>
          </w:p>
        </w:tc>
      </w:tr>
      <w:tr>
        <w:trPr>
          <w:trHeight w:val="288"/>
        </w:trPr>
        <w:tc>
          <w:tcPr>
            <w:tcW w:w="8180" w:type="dxa"/>
            <w:vAlign w:val="bottom"/>
            <w:shd w:val="clear" w:color="auto" w:fill="DDDDDD"/>
          </w:tcPr>
          <w:p>
            <w:pPr>
              <w:ind w:left="40"/>
              <w:spacing w:after="0"/>
              <w:rPr>
                <w:sz w:val="20"/>
                <w:szCs w:val="20"/>
                <w:color w:val="auto"/>
              </w:rPr>
            </w:pPr>
            <w:r>
              <w:rPr>
                <w:rFonts w:ascii="Times New Roman" w:cs="Times New Roman" w:eastAsia="Times New Roman" w:hAnsi="Times New Roman"/>
                <w:sz w:val="20"/>
                <w:szCs w:val="20"/>
                <w:color w:val="auto"/>
              </w:rPr>
              <w:t>Employee termination costs - severance and other cash costs</w:t>
            </w:r>
          </w:p>
        </w:tc>
        <w:tc>
          <w:tcPr>
            <w:tcW w:w="100" w:type="dxa"/>
            <w:vAlign w:val="bottom"/>
            <w:shd w:val="clear" w:color="auto" w:fill="DDDDDD"/>
          </w:tcPr>
          <w:p>
            <w:pPr>
              <w:spacing w:after="0"/>
              <w:rPr>
                <w:sz w:val="24"/>
                <w:szCs w:val="24"/>
                <w:color w:val="auto"/>
              </w:rPr>
            </w:pPr>
          </w:p>
        </w:tc>
        <w:tc>
          <w:tcPr>
            <w:tcW w:w="180" w:type="dxa"/>
            <w:vAlign w:val="bottom"/>
            <w:shd w:val="clear" w:color="auto" w:fill="DDDDDD"/>
          </w:tcPr>
          <w:p>
            <w:pPr>
              <w:spacing w:after="0"/>
              <w:rPr>
                <w:sz w:val="24"/>
                <w:szCs w:val="24"/>
                <w:color w:val="auto"/>
              </w:rPr>
            </w:pPr>
          </w:p>
        </w:tc>
        <w:tc>
          <w:tcPr>
            <w:tcW w:w="1800" w:type="dxa"/>
            <w:vAlign w:val="bottom"/>
            <w:shd w:val="clear" w:color="auto" w:fill="DDDDDD"/>
          </w:tcPr>
          <w:p>
            <w:pPr>
              <w:jc w:val="right"/>
              <w:spacing w:after="0"/>
              <w:rPr>
                <w:sz w:val="20"/>
                <w:szCs w:val="20"/>
                <w:color w:val="auto"/>
              </w:rPr>
            </w:pPr>
            <w:r>
              <w:rPr>
                <w:rFonts w:ascii="Times New Roman" w:cs="Times New Roman" w:eastAsia="Times New Roman" w:hAnsi="Times New Roman"/>
                <w:sz w:val="20"/>
                <w:szCs w:val="20"/>
                <w:color w:val="auto"/>
              </w:rPr>
              <w:t>194</w:t>
            </w:r>
          </w:p>
        </w:tc>
      </w:tr>
      <w:tr>
        <w:trPr>
          <w:trHeight w:val="288"/>
        </w:trPr>
        <w:tc>
          <w:tcPr>
            <w:tcW w:w="8180" w:type="dxa"/>
            <w:vAlign w:val="bottom"/>
            <w:tcBorders>
              <w:bottom w:val="single" w:sz="8" w:color="DDDDDD"/>
            </w:tcBorders>
          </w:tcPr>
          <w:p>
            <w:pPr>
              <w:ind w:left="40"/>
              <w:spacing w:after="0"/>
              <w:rPr>
                <w:sz w:val="20"/>
                <w:szCs w:val="20"/>
                <w:color w:val="auto"/>
              </w:rPr>
            </w:pPr>
            <w:r>
              <w:rPr>
                <w:rFonts w:ascii="Times New Roman" w:cs="Times New Roman" w:eastAsia="Times New Roman" w:hAnsi="Times New Roman"/>
                <w:sz w:val="20"/>
                <w:szCs w:val="20"/>
                <w:color w:val="auto"/>
              </w:rPr>
              <w:t>Total paid</w:t>
            </w:r>
          </w:p>
        </w:tc>
        <w:tc>
          <w:tcPr>
            <w:tcW w:w="100" w:type="dxa"/>
            <w:vAlign w:val="bottom"/>
            <w:tcBorders>
              <w:bottom w:val="single" w:sz="8" w:color="DDDDDD"/>
            </w:tcBorders>
          </w:tcPr>
          <w:p>
            <w:pPr>
              <w:spacing w:after="0"/>
              <w:rPr>
                <w:sz w:val="24"/>
                <w:szCs w:val="24"/>
                <w:color w:val="auto"/>
              </w:rPr>
            </w:pPr>
          </w:p>
        </w:tc>
        <w:tc>
          <w:tcPr>
            <w:tcW w:w="180" w:type="dxa"/>
            <w:vAlign w:val="bottom"/>
            <w:tcBorders>
              <w:bottom w:val="single" w:sz="8" w:color="DDDDDD"/>
            </w:tcBorders>
          </w:tcPr>
          <w:p>
            <w:pPr>
              <w:spacing w:after="0"/>
              <w:rPr>
                <w:sz w:val="24"/>
                <w:szCs w:val="24"/>
                <w:color w:val="auto"/>
              </w:rPr>
            </w:pPr>
          </w:p>
        </w:tc>
        <w:tc>
          <w:tcPr>
            <w:tcW w:w="1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(3,840)</w:t>
            </w:r>
          </w:p>
        </w:tc>
      </w:tr>
      <w:tr>
        <w:trPr>
          <w:trHeight w:val="290"/>
        </w:trPr>
        <w:tc>
          <w:tcPr>
            <w:tcW w:w="8180" w:type="dxa"/>
            <w:vAlign w:val="bottom"/>
            <w:shd w:val="clear" w:color="auto" w:fill="DDDDDD"/>
          </w:tcPr>
          <w:p>
            <w:pPr>
              <w:ind w:left="40"/>
              <w:spacing w:after="0"/>
              <w:rPr>
                <w:sz w:val="20"/>
                <w:szCs w:val="20"/>
                <w:color w:val="auto"/>
              </w:rPr>
            </w:pPr>
            <w:r>
              <w:rPr>
                <w:rFonts w:ascii="Times New Roman" w:cs="Times New Roman" w:eastAsia="Times New Roman" w:hAnsi="Times New Roman"/>
                <w:sz w:val="20"/>
                <w:szCs w:val="20"/>
                <w:color w:val="auto"/>
              </w:rPr>
              <w:t>Unpaid employee termination costs, December 31, 2023</w:t>
            </w:r>
          </w:p>
        </w:tc>
        <w:tc>
          <w:tcPr>
            <w:tcW w:w="100" w:type="dxa"/>
            <w:vAlign w:val="bottom"/>
            <w:shd w:val="clear" w:color="auto" w:fill="DDDDDD"/>
          </w:tcPr>
          <w:p>
            <w:pPr>
              <w:spacing w:after="0"/>
              <w:rPr>
                <w:sz w:val="24"/>
                <w:szCs w:val="24"/>
                <w:color w:val="auto"/>
              </w:rPr>
            </w:pPr>
          </w:p>
        </w:tc>
        <w:tc>
          <w:tcPr>
            <w:tcW w:w="180" w:type="dxa"/>
            <w:vAlign w:val="bottom"/>
            <w:shd w:val="clear" w:color="auto" w:fill="DDDDDD"/>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1800" w:type="dxa"/>
            <w:vAlign w:val="bottom"/>
            <w:shd w:val="clear" w:color="auto" w:fill="DDDDDD"/>
          </w:tcPr>
          <w:p>
            <w:pPr>
              <w:jc w:val="right"/>
              <w:spacing w:after="0"/>
              <w:rPr>
                <w:sz w:val="20"/>
                <w:szCs w:val="20"/>
                <w:color w:val="auto"/>
              </w:rPr>
            </w:pPr>
            <w:r>
              <w:rPr>
                <w:rFonts w:ascii="Times New Roman" w:cs="Times New Roman" w:eastAsia="Times New Roman" w:hAnsi="Times New Roman"/>
                <w:sz w:val="20"/>
                <w:szCs w:val="20"/>
                <w:color w:val="auto"/>
              </w:rPr>
              <w:t>—</w:t>
            </w:r>
          </w:p>
        </w:tc>
      </w:tr>
      <w:tr>
        <w:trPr>
          <w:trHeight w:val="22"/>
        </w:trPr>
        <w:tc>
          <w:tcPr>
            <w:tcW w:w="8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800" w:type="dxa"/>
            <w:vAlign w:val="bottom"/>
            <w:tcBorders>
              <w:bottom w:val="single" w:sz="8" w:color="auto"/>
            </w:tcBorders>
          </w:tcPr>
          <w:p>
            <w:pPr>
              <w:spacing w:after="0" w:line="20" w:lineRule="exact"/>
              <w:rPr>
                <w:sz w:val="1"/>
                <w:szCs w:val="1"/>
                <w:color w:val="auto"/>
              </w:rPr>
            </w:pPr>
          </w:p>
        </w:tc>
      </w:tr>
      <w:tr>
        <w:trPr>
          <w:trHeight w:val="20"/>
        </w:trPr>
        <w:tc>
          <w:tcPr>
            <w:tcW w:w="8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800" w:type="dxa"/>
            <w:vAlign w:val="bottom"/>
            <w:tcBorders>
              <w:bottom w:val="single" w:sz="8" w:color="auto"/>
            </w:tcBorders>
          </w:tcPr>
          <w:p>
            <w:pPr>
              <w:spacing w:after="0" w:line="20" w:lineRule="exact"/>
              <w:rPr>
                <w:sz w:val="1"/>
                <w:szCs w:val="1"/>
                <w:color w:val="auto"/>
              </w:rPr>
            </w:pPr>
          </w:p>
        </w:tc>
      </w:tr>
    </w:tbl>
    <w:p>
      <w:pPr>
        <w:spacing w:after="0" w:line="42" w:lineRule="exact"/>
        <w:rPr>
          <w:sz w:val="20"/>
          <w:szCs w:val="20"/>
          <w:color w:val="auto"/>
        </w:rPr>
      </w:pPr>
    </w:p>
    <w:p>
      <w:pPr>
        <w:jc w:val="center"/>
        <w:ind w:right="194"/>
        <w:spacing w:after="0" w:line="364" w:lineRule="auto"/>
        <w:rPr>
          <w:sz w:val="20"/>
          <w:szCs w:val="20"/>
          <w:color w:val="auto"/>
        </w:rPr>
      </w:pPr>
      <w:r>
        <w:rPr>
          <w:rFonts w:ascii="Times New Roman" w:cs="Times New Roman" w:eastAsia="Times New Roman" w:hAnsi="Times New Roman"/>
          <w:sz w:val="20"/>
          <w:szCs w:val="20"/>
          <w:color w:val="auto"/>
        </w:rPr>
        <w:t>Employee termination costs are included in general and administrative expenses on the consolidated statements of operations. F-19</w:t>
      </w:r>
    </w:p>
    <w:p>
      <w:pPr>
        <w:sectPr>
          <w:pgSz w:w="12240" w:h="15840" w:orient="portrait"/>
          <w:cols w:equalWidth="0" w:num="1">
            <w:col w:w="10266"/>
          </w:cols>
          <w:pgMar w:left="994" w:top="731" w:right="980" w:bottom="63" w:gutter="0" w:footer="0" w:header="0"/>
        </w:sectPr>
      </w:pPr>
    </w:p>
    <w:bookmarkStart w:id="139" w:name="page140"/>
    <w:bookmarkEnd w:id="139"/>
    <w:p>
      <w:pPr>
        <w:jc w:val="center"/>
        <w:ind w:right="13"/>
        <w:spacing w:after="0"/>
        <w:rPr>
          <w:sz w:val="20"/>
          <w:szCs w:val="20"/>
          <w:color w:val="auto"/>
        </w:rPr>
      </w:pPr>
      <w:r>
        <w:rPr>
          <w:rFonts w:ascii="Times New Roman" w:cs="Times New Roman" w:eastAsia="Times New Roman" w:hAnsi="Times New Roman"/>
          <w:sz w:val="20"/>
          <w:szCs w:val="20"/>
          <w:b w:val="1"/>
          <w:bCs w:val="1"/>
          <w:color w:val="auto"/>
        </w:rPr>
        <w:t>WM TECHNOLOGY, INC. AND SUBSIDIARIES</w:t>
      </w:r>
    </w:p>
    <w:p>
      <w:pPr>
        <w:spacing w:after="0" w:line="48" w:lineRule="exact"/>
        <w:rPr>
          <w:sz w:val="20"/>
          <w:szCs w:val="20"/>
          <w:color w:val="auto"/>
        </w:rPr>
      </w:pPr>
    </w:p>
    <w:p>
      <w:pPr>
        <w:jc w:val="center"/>
        <w:ind w:right="-6"/>
        <w:spacing w:after="0"/>
        <w:rPr>
          <w:sz w:val="20"/>
          <w:szCs w:val="20"/>
          <w:color w:val="auto"/>
        </w:rPr>
      </w:pPr>
      <w:r>
        <w:rPr>
          <w:rFonts w:ascii="Times New Roman" w:cs="Times New Roman" w:eastAsia="Times New Roman" w:hAnsi="Times New Roman"/>
          <w:sz w:val="20"/>
          <w:szCs w:val="20"/>
          <w:b w:val="1"/>
          <w:bCs w:val="1"/>
          <w:color w:val="auto"/>
        </w:rPr>
        <w:t>NOTES TO CONSOLIDATED FINANCIAL STATEMENTS</w:t>
      </w:r>
    </w:p>
    <w:p>
      <w:pPr>
        <w:spacing w:after="0" w:line="284" w:lineRule="exact"/>
        <w:rPr>
          <w:sz w:val="20"/>
          <w:szCs w:val="20"/>
          <w:color w:val="auto"/>
        </w:rPr>
      </w:pPr>
    </w:p>
    <w:p>
      <w:pPr>
        <w:ind w:left="547" w:hanging="547"/>
        <w:spacing w:after="0"/>
        <w:tabs>
          <w:tab w:leader="none" w:pos="547" w:val="left"/>
        </w:tabs>
        <w:numPr>
          <w:ilvl w:val="0"/>
          <w:numId w:val="83"/>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b w:val="1"/>
          <w:bCs w:val="1"/>
          <w:color w:val="auto"/>
        </w:rPr>
        <w:t>Fair Value Measurements</w:t>
      </w:r>
    </w:p>
    <w:p>
      <w:pPr>
        <w:spacing w:after="0" w:line="170" w:lineRule="exact"/>
        <w:rPr>
          <w:sz w:val="20"/>
          <w:szCs w:val="20"/>
          <w:color w:val="auto"/>
        </w:rPr>
      </w:pPr>
    </w:p>
    <w:p>
      <w:pPr>
        <w:ind w:left="7"/>
        <w:spacing w:after="0"/>
        <w:rPr>
          <w:sz w:val="20"/>
          <w:szCs w:val="20"/>
          <w:color w:val="auto"/>
        </w:rPr>
      </w:pPr>
      <w:r>
        <w:rPr>
          <w:rFonts w:ascii="Times New Roman" w:cs="Times New Roman" w:eastAsia="Times New Roman" w:hAnsi="Times New Roman"/>
          <w:sz w:val="20"/>
          <w:szCs w:val="20"/>
          <w:b w:val="1"/>
          <w:bCs w:val="1"/>
          <w:i w:val="1"/>
          <w:iCs w:val="1"/>
          <w:color w:val="auto"/>
        </w:rPr>
        <w:t>Fair Value Measurements</w:t>
      </w:r>
    </w:p>
    <w:p>
      <w:pPr>
        <w:spacing w:after="0" w:line="164" w:lineRule="exact"/>
        <w:rPr>
          <w:sz w:val="20"/>
          <w:szCs w:val="20"/>
          <w:color w:val="auto"/>
        </w:rPr>
      </w:pPr>
    </w:p>
    <w:p>
      <w:pPr>
        <w:jc w:val="both"/>
        <w:ind w:left="7" w:right="20"/>
        <w:spacing w:after="0" w:line="326" w:lineRule="auto"/>
        <w:rPr>
          <w:sz w:val="20"/>
          <w:szCs w:val="20"/>
          <w:color w:val="auto"/>
        </w:rPr>
      </w:pPr>
      <w:r>
        <w:rPr>
          <w:rFonts w:ascii="Times New Roman" w:cs="Times New Roman" w:eastAsia="Times New Roman" w:hAnsi="Times New Roman"/>
          <w:sz w:val="20"/>
          <w:szCs w:val="20"/>
          <w:color w:val="auto"/>
        </w:rPr>
        <w:t xml:space="preserve">The Company follows the guidance in ASC 820 - </w:t>
      </w:r>
      <w:r>
        <w:rPr>
          <w:rFonts w:ascii="Times New Roman" w:cs="Times New Roman" w:eastAsia="Times New Roman" w:hAnsi="Times New Roman"/>
          <w:sz w:val="20"/>
          <w:szCs w:val="20"/>
          <w:i w:val="1"/>
          <w:iCs w:val="1"/>
          <w:color w:val="auto"/>
        </w:rPr>
        <w:t>Fair Value Measurements</w:t>
      </w:r>
      <w:r>
        <w:rPr>
          <w:rFonts w:ascii="Times New Roman" w:cs="Times New Roman" w:eastAsia="Times New Roman" w:hAnsi="Times New Roman"/>
          <w:sz w:val="20"/>
          <w:szCs w:val="20"/>
          <w:color w:val="auto"/>
        </w:rPr>
        <w:t xml:space="preserve"> for its financial assets and liabilities that are re-measured and reported at fair value at each reporting period.</w:t>
      </w:r>
    </w:p>
    <w:p>
      <w:pPr>
        <w:spacing w:after="0" w:line="52" w:lineRule="exact"/>
        <w:rPr>
          <w:sz w:val="20"/>
          <w:szCs w:val="20"/>
          <w:color w:val="auto"/>
        </w:rPr>
      </w:pPr>
    </w:p>
    <w:p>
      <w:pPr>
        <w:jc w:val="both"/>
        <w:ind w:left="7"/>
        <w:spacing w:after="0" w:line="293" w:lineRule="auto"/>
        <w:rPr>
          <w:sz w:val="20"/>
          <w:szCs w:val="20"/>
          <w:color w:val="auto"/>
        </w:rPr>
      </w:pPr>
      <w:r>
        <w:rPr>
          <w:rFonts w:ascii="Times New Roman" w:cs="Times New Roman" w:eastAsia="Times New Roman" w:hAnsi="Times New Roman"/>
          <w:sz w:val="20"/>
          <w:szCs w:val="20"/>
          <w:color w:val="auto"/>
        </w:rPr>
        <w:t>The fair value of the Company’s financial assets and liabilities reflects management’s estimate of amounts that the Company would have received in connection with the sale of the assets or paid in connection with the transfer of the liabilities in an orderly transaction between market participants at the measurement date. In connection with measuring the fair value of its assets and liabilities, the Company seeks to maximize the use of observable inputs (market data obtained from independent sources) and to minimize the use of unobservable inputs (internal assumptions about how market participants would price assets and liabilities). The following fair value hierarchy is used to classify assets and liabilities based on the observable inputs and unobservable inputs used in order to value the assets and liabilities:</w:t>
      </w:r>
    </w:p>
    <w:p>
      <w:pPr>
        <w:spacing w:after="0" w:line="29" w:lineRule="exact"/>
        <w:rPr>
          <w:sz w:val="20"/>
          <w:szCs w:val="20"/>
          <w:color w:val="auto"/>
        </w:rPr>
      </w:pPr>
    </w:p>
    <w:p>
      <w:pPr>
        <w:jc w:val="both"/>
        <w:ind w:left="727" w:hanging="367"/>
        <w:spacing w:after="0" w:line="306" w:lineRule="auto"/>
        <w:tabs>
          <w:tab w:leader="none" w:pos="727" w:val="left"/>
        </w:tabs>
        <w:numPr>
          <w:ilvl w:val="0"/>
          <w:numId w:val="8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Level 1: Quoted prices in active markets for identical assets or liabilities. An active market for an asset or liability is a market in which transactions for the asset or liability occur with sufficient frequency and volume to provide pricing information on an ongoing basis.</w:t>
      </w:r>
    </w:p>
    <w:p>
      <w:pPr>
        <w:spacing w:after="0" w:line="5" w:lineRule="exact"/>
        <w:rPr>
          <w:rFonts w:ascii="Times New Roman" w:cs="Times New Roman" w:eastAsia="Times New Roman" w:hAnsi="Times New Roman"/>
          <w:sz w:val="20"/>
          <w:szCs w:val="20"/>
          <w:color w:val="auto"/>
        </w:rPr>
      </w:pPr>
    </w:p>
    <w:p>
      <w:pPr>
        <w:ind w:left="727" w:right="20" w:hanging="367"/>
        <w:spacing w:after="0" w:line="319" w:lineRule="auto"/>
        <w:tabs>
          <w:tab w:leader="none" w:pos="727" w:val="left"/>
        </w:tabs>
        <w:numPr>
          <w:ilvl w:val="0"/>
          <w:numId w:val="8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Level 2: Observable inputs other than Level 1 inputs. Examples of Level 2 inputs include quoted prices in active markets for similar assets or liabilities and quoted prices for identical assets or liabilities in markets that are not active.</w:t>
      </w:r>
    </w:p>
    <w:p>
      <w:pPr>
        <w:ind w:left="727" w:right="20" w:hanging="367"/>
        <w:spacing w:after="0" w:line="326" w:lineRule="auto"/>
        <w:tabs>
          <w:tab w:leader="none" w:pos="727" w:val="left"/>
        </w:tabs>
        <w:numPr>
          <w:ilvl w:val="0"/>
          <w:numId w:val="8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Level 3: Unobservable inputs based on the Company assessment of the assumptions that market participants would use in pricing the asset or liability.</w:t>
      </w:r>
    </w:p>
    <w:p>
      <w:pPr>
        <w:spacing w:after="0" w:line="45" w:lineRule="exact"/>
        <w:rPr>
          <w:sz w:val="20"/>
          <w:szCs w:val="20"/>
          <w:color w:val="auto"/>
        </w:rPr>
      </w:pPr>
    </w:p>
    <w:p>
      <w:pPr>
        <w:jc w:val="both"/>
        <w:ind w:left="7"/>
        <w:spacing w:after="0" w:line="304" w:lineRule="auto"/>
        <w:rPr>
          <w:sz w:val="20"/>
          <w:szCs w:val="20"/>
          <w:color w:val="auto"/>
        </w:rPr>
      </w:pPr>
      <w:r>
        <w:rPr>
          <w:rFonts w:ascii="Times New Roman" w:cs="Times New Roman" w:eastAsia="Times New Roman" w:hAnsi="Times New Roman"/>
          <w:sz w:val="20"/>
          <w:szCs w:val="20"/>
          <w:color w:val="auto"/>
        </w:rPr>
        <w:t>The following table presents information about the Company’s liabilities that are measured at fair value on a recurring basis at December 31, 2023 and 2022, and indicates the fair value hierarchy of the valuation inputs the Company utilized to determine such fair value (in thousands):</w:t>
      </w:r>
    </w:p>
    <w:p>
      <w:pPr>
        <w:spacing w:after="0" w:line="3" w:lineRule="exact"/>
        <w:rPr>
          <w:sz w:val="20"/>
          <w:szCs w:val="20"/>
          <w:color w:val="auto"/>
        </w:rPr>
      </w:pPr>
    </w:p>
    <w:tbl>
      <w:tblPr>
        <w:tblLayout w:type="fixed"/>
        <w:tblInd w:w="7" w:type="dxa"/>
        <w:tblCellMar>
          <w:top w:w="0" w:type="dxa"/>
          <w:left w:w="0" w:type="dxa"/>
          <w:bottom w:w="0" w:type="dxa"/>
          <w:right w:w="0" w:type="dxa"/>
        </w:tblCellMar>
      </w:tblPr>
      <w:tr>
        <w:trPr>
          <w:trHeight w:val="281"/>
        </w:trPr>
        <w:tc>
          <w:tcPr>
            <w:tcW w:w="4390" w:type="dxa"/>
            <w:vAlign w:val="bottom"/>
            <w:tcBorders>
              <w:bottom w:val="single" w:sz="8" w:color="DDDDDD"/>
            </w:tcBorders>
          </w:tcPr>
          <w:p>
            <w:pPr>
              <w:spacing w:after="0"/>
              <w:rPr>
                <w:sz w:val="24"/>
                <w:szCs w:val="24"/>
                <w:color w:val="auto"/>
              </w:rPr>
            </w:pPr>
          </w:p>
        </w:tc>
        <w:tc>
          <w:tcPr>
            <w:tcW w:w="30" w:type="dxa"/>
            <w:vAlign w:val="bottom"/>
            <w:tcBorders>
              <w:bottom w:val="single" w:sz="8" w:color="DDDDDD"/>
            </w:tcBorders>
          </w:tcPr>
          <w:p>
            <w:pPr>
              <w:spacing w:after="0"/>
              <w:rPr>
                <w:sz w:val="24"/>
                <w:szCs w:val="24"/>
                <w:color w:val="auto"/>
              </w:rPr>
            </w:pPr>
          </w:p>
        </w:tc>
        <w:tc>
          <w:tcPr>
            <w:tcW w:w="19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20"/>
                <w:szCs w:val="20"/>
                <w:b w:val="1"/>
                <w:bCs w:val="1"/>
                <w:color w:val="auto"/>
                <w:w w:val="98"/>
              </w:rPr>
              <w:t>Level</w:t>
            </w:r>
          </w:p>
        </w:tc>
        <w:tc>
          <w:tcPr>
            <w:tcW w:w="60" w:type="dxa"/>
            <w:vAlign w:val="bottom"/>
            <w:tcBorders>
              <w:bottom w:val="single" w:sz="8" w:color="DDDDDD"/>
            </w:tcBorders>
          </w:tcPr>
          <w:p>
            <w:pPr>
              <w:spacing w:after="0"/>
              <w:rPr>
                <w:sz w:val="24"/>
                <w:szCs w:val="24"/>
                <w:color w:val="auto"/>
              </w:rPr>
            </w:pPr>
          </w:p>
        </w:tc>
        <w:tc>
          <w:tcPr>
            <w:tcW w:w="20" w:type="dxa"/>
            <w:vAlign w:val="bottom"/>
            <w:tcBorders>
              <w:bottom w:val="single" w:sz="8" w:color="DDDDDD"/>
            </w:tcBorders>
          </w:tcPr>
          <w:p>
            <w:pPr>
              <w:spacing w:after="0"/>
              <w:rPr>
                <w:sz w:val="24"/>
                <w:szCs w:val="24"/>
                <w:color w:val="auto"/>
              </w:rPr>
            </w:pPr>
          </w:p>
        </w:tc>
        <w:tc>
          <w:tcPr>
            <w:tcW w:w="1900" w:type="dxa"/>
            <w:vAlign w:val="bottom"/>
            <w:tcBorders>
              <w:bottom w:val="single" w:sz="8" w:color="auto"/>
            </w:tcBorders>
            <w:gridSpan w:val="2"/>
          </w:tcPr>
          <w:p>
            <w:pPr>
              <w:jc w:val="right"/>
              <w:ind w:right="39"/>
              <w:spacing w:after="0"/>
              <w:rPr>
                <w:sz w:val="20"/>
                <w:szCs w:val="20"/>
                <w:color w:val="auto"/>
              </w:rPr>
            </w:pPr>
            <w:r>
              <w:rPr>
                <w:rFonts w:ascii="Times New Roman" w:cs="Times New Roman" w:eastAsia="Times New Roman" w:hAnsi="Times New Roman"/>
                <w:sz w:val="20"/>
                <w:szCs w:val="20"/>
                <w:b w:val="1"/>
                <w:bCs w:val="1"/>
                <w:color w:val="auto"/>
              </w:rPr>
              <w:t>December 31, 2023</w:t>
            </w:r>
          </w:p>
        </w:tc>
        <w:tc>
          <w:tcPr>
            <w:tcW w:w="4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1900" w:type="dxa"/>
            <w:vAlign w:val="bottom"/>
            <w:tcBorders>
              <w:bottom w:val="single" w:sz="8" w:color="auto"/>
            </w:tcBorders>
            <w:gridSpan w:val="2"/>
          </w:tcPr>
          <w:p>
            <w:pPr>
              <w:jc w:val="right"/>
              <w:ind w:right="59"/>
              <w:spacing w:after="0"/>
              <w:rPr>
                <w:sz w:val="20"/>
                <w:szCs w:val="20"/>
                <w:color w:val="auto"/>
              </w:rPr>
            </w:pPr>
            <w:r>
              <w:rPr>
                <w:rFonts w:ascii="Times New Roman" w:cs="Times New Roman" w:eastAsia="Times New Roman" w:hAnsi="Times New Roman"/>
                <w:sz w:val="20"/>
                <w:szCs w:val="20"/>
                <w:b w:val="1"/>
                <w:bCs w:val="1"/>
                <w:color w:val="auto"/>
              </w:rPr>
              <w:t>December 31, 2022</w:t>
            </w:r>
          </w:p>
        </w:tc>
      </w:tr>
      <w:tr>
        <w:trPr>
          <w:trHeight w:val="300"/>
        </w:trPr>
        <w:tc>
          <w:tcPr>
            <w:tcW w:w="4390" w:type="dxa"/>
            <w:vAlign w:val="bottom"/>
            <w:shd w:val="clear" w:color="auto" w:fill="DDDDDD"/>
          </w:tcPr>
          <w:p>
            <w:pPr>
              <w:ind w:left="40"/>
              <w:spacing w:after="0"/>
              <w:rPr>
                <w:sz w:val="20"/>
                <w:szCs w:val="20"/>
                <w:color w:val="auto"/>
              </w:rPr>
            </w:pPr>
            <w:r>
              <w:rPr>
                <w:rFonts w:ascii="Times New Roman" w:cs="Times New Roman" w:eastAsia="Times New Roman" w:hAnsi="Times New Roman"/>
                <w:sz w:val="20"/>
                <w:szCs w:val="20"/>
                <w:color w:val="auto"/>
              </w:rPr>
              <w:t>Liabilities:</w:t>
            </w:r>
          </w:p>
        </w:tc>
        <w:tc>
          <w:tcPr>
            <w:tcW w:w="30" w:type="dxa"/>
            <w:vAlign w:val="bottom"/>
            <w:shd w:val="clear" w:color="auto" w:fill="DDDDDD"/>
          </w:tcPr>
          <w:p>
            <w:pPr>
              <w:spacing w:after="0"/>
              <w:rPr>
                <w:sz w:val="24"/>
                <w:szCs w:val="24"/>
                <w:color w:val="auto"/>
              </w:rPr>
            </w:pPr>
          </w:p>
        </w:tc>
        <w:tc>
          <w:tcPr>
            <w:tcW w:w="1900" w:type="dxa"/>
            <w:vAlign w:val="bottom"/>
            <w:shd w:val="clear" w:color="auto" w:fill="DDDDDD"/>
          </w:tcPr>
          <w:p>
            <w:pPr>
              <w:spacing w:after="0"/>
              <w:rPr>
                <w:sz w:val="24"/>
                <w:szCs w:val="24"/>
                <w:color w:val="auto"/>
              </w:rPr>
            </w:pPr>
          </w:p>
        </w:tc>
        <w:tc>
          <w:tcPr>
            <w:tcW w:w="60" w:type="dxa"/>
            <w:vAlign w:val="bottom"/>
            <w:shd w:val="clear" w:color="auto" w:fill="DDDDDD"/>
          </w:tcPr>
          <w:p>
            <w:pPr>
              <w:spacing w:after="0"/>
              <w:rPr>
                <w:sz w:val="24"/>
                <w:szCs w:val="24"/>
                <w:color w:val="auto"/>
              </w:rPr>
            </w:pPr>
          </w:p>
        </w:tc>
        <w:tc>
          <w:tcPr>
            <w:tcW w:w="20" w:type="dxa"/>
            <w:vAlign w:val="bottom"/>
            <w:shd w:val="clear" w:color="auto" w:fill="DDDDDD"/>
          </w:tcPr>
          <w:p>
            <w:pPr>
              <w:spacing w:after="0"/>
              <w:rPr>
                <w:sz w:val="24"/>
                <w:szCs w:val="24"/>
                <w:color w:val="auto"/>
              </w:rPr>
            </w:pPr>
          </w:p>
        </w:tc>
        <w:tc>
          <w:tcPr>
            <w:tcW w:w="820" w:type="dxa"/>
            <w:vAlign w:val="bottom"/>
            <w:shd w:val="clear" w:color="auto" w:fill="DDDDDD"/>
          </w:tcPr>
          <w:p>
            <w:pPr>
              <w:spacing w:after="0"/>
              <w:rPr>
                <w:sz w:val="24"/>
                <w:szCs w:val="24"/>
                <w:color w:val="auto"/>
              </w:rPr>
            </w:pPr>
          </w:p>
        </w:tc>
        <w:tc>
          <w:tcPr>
            <w:tcW w:w="1080" w:type="dxa"/>
            <w:vAlign w:val="bottom"/>
            <w:shd w:val="clear" w:color="auto" w:fill="DDDDDD"/>
          </w:tcPr>
          <w:p>
            <w:pPr>
              <w:spacing w:after="0"/>
              <w:rPr>
                <w:sz w:val="24"/>
                <w:szCs w:val="24"/>
                <w:color w:val="auto"/>
              </w:rPr>
            </w:pPr>
          </w:p>
        </w:tc>
        <w:tc>
          <w:tcPr>
            <w:tcW w:w="40" w:type="dxa"/>
            <w:vAlign w:val="bottom"/>
            <w:shd w:val="clear" w:color="auto" w:fill="DDDDDD"/>
          </w:tcPr>
          <w:p>
            <w:pPr>
              <w:spacing w:after="0"/>
              <w:rPr>
                <w:sz w:val="24"/>
                <w:szCs w:val="24"/>
                <w:color w:val="auto"/>
              </w:rPr>
            </w:pPr>
          </w:p>
        </w:tc>
        <w:tc>
          <w:tcPr>
            <w:tcW w:w="20" w:type="dxa"/>
            <w:vAlign w:val="bottom"/>
            <w:shd w:val="clear" w:color="auto" w:fill="DDDDDD"/>
          </w:tcPr>
          <w:p>
            <w:pPr>
              <w:spacing w:after="0"/>
              <w:rPr>
                <w:sz w:val="24"/>
                <w:szCs w:val="24"/>
                <w:color w:val="auto"/>
              </w:rPr>
            </w:pPr>
          </w:p>
        </w:tc>
        <w:tc>
          <w:tcPr>
            <w:tcW w:w="760" w:type="dxa"/>
            <w:vAlign w:val="bottom"/>
            <w:shd w:val="clear" w:color="auto" w:fill="DDDDDD"/>
          </w:tcPr>
          <w:p>
            <w:pPr>
              <w:spacing w:after="0"/>
              <w:rPr>
                <w:sz w:val="24"/>
                <w:szCs w:val="24"/>
                <w:color w:val="auto"/>
              </w:rPr>
            </w:pPr>
          </w:p>
        </w:tc>
        <w:tc>
          <w:tcPr>
            <w:tcW w:w="1140" w:type="dxa"/>
            <w:vAlign w:val="bottom"/>
            <w:shd w:val="clear" w:color="auto" w:fill="DDDDDD"/>
          </w:tcPr>
          <w:p>
            <w:pPr>
              <w:spacing w:after="0"/>
              <w:rPr>
                <w:sz w:val="24"/>
                <w:szCs w:val="24"/>
                <w:color w:val="auto"/>
              </w:rPr>
            </w:pPr>
          </w:p>
        </w:tc>
      </w:tr>
      <w:tr>
        <w:trPr>
          <w:trHeight w:val="304"/>
        </w:trPr>
        <w:tc>
          <w:tcPr>
            <w:tcW w:w="4420" w:type="dxa"/>
            <w:vAlign w:val="bottom"/>
            <w:gridSpan w:val="2"/>
          </w:tcPr>
          <w:p>
            <w:pPr>
              <w:ind w:left="40"/>
              <w:spacing w:after="0"/>
              <w:rPr>
                <w:sz w:val="20"/>
                <w:szCs w:val="20"/>
                <w:color w:val="auto"/>
              </w:rPr>
            </w:pPr>
            <w:r>
              <w:rPr>
                <w:rFonts w:ascii="Times New Roman" w:cs="Times New Roman" w:eastAsia="Times New Roman" w:hAnsi="Times New Roman"/>
                <w:sz w:val="20"/>
                <w:szCs w:val="20"/>
                <w:color w:val="auto"/>
              </w:rPr>
              <w:t>Warrant liability – Public Warrants</w:t>
            </w:r>
          </w:p>
        </w:tc>
        <w:tc>
          <w:tcPr>
            <w:tcW w:w="1900" w:type="dxa"/>
            <w:vAlign w:val="bottom"/>
          </w:tcPr>
          <w:p>
            <w:pPr>
              <w:jc w:val="center"/>
              <w:spacing w:after="0"/>
              <w:rPr>
                <w:sz w:val="20"/>
                <w:szCs w:val="20"/>
                <w:color w:val="auto"/>
              </w:rPr>
            </w:pPr>
            <w:r>
              <w:rPr>
                <w:rFonts w:ascii="Times New Roman" w:cs="Times New Roman" w:eastAsia="Times New Roman" w:hAnsi="Times New Roman"/>
                <w:sz w:val="20"/>
                <w:szCs w:val="20"/>
                <w:color w:val="auto"/>
                <w:w w:val="99"/>
              </w:rPr>
              <w:t>1</w:t>
            </w:r>
          </w:p>
        </w:tc>
        <w:tc>
          <w:tcPr>
            <w:tcW w:w="900" w:type="dxa"/>
            <w:vAlign w:val="bottom"/>
            <w:gridSpan w:val="3"/>
          </w:tcPr>
          <w:p>
            <w:pPr>
              <w:jc w:val="right"/>
              <w:ind w:right="579"/>
              <w:spacing w:after="0"/>
              <w:rPr>
                <w:sz w:val="20"/>
                <w:szCs w:val="20"/>
                <w:color w:val="auto"/>
              </w:rPr>
            </w:pPr>
            <w:r>
              <w:rPr>
                <w:rFonts w:ascii="Times New Roman" w:cs="Times New Roman" w:eastAsia="Times New Roman" w:hAnsi="Times New Roman"/>
                <w:sz w:val="20"/>
                <w:szCs w:val="20"/>
                <w:color w:val="auto"/>
              </w:rPr>
              <w:t>$</w:t>
            </w:r>
          </w:p>
        </w:tc>
        <w:tc>
          <w:tcPr>
            <w:tcW w:w="10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375</w:t>
            </w:r>
          </w:p>
        </w:tc>
        <w:tc>
          <w:tcPr>
            <w:tcW w:w="820" w:type="dxa"/>
            <w:vAlign w:val="bottom"/>
            <w:gridSpan w:val="3"/>
          </w:tcPr>
          <w:p>
            <w:pPr>
              <w:jc w:val="right"/>
              <w:ind w:right="519"/>
              <w:spacing w:after="0"/>
              <w:rPr>
                <w:sz w:val="20"/>
                <w:szCs w:val="20"/>
                <w:color w:val="auto"/>
              </w:rPr>
            </w:pPr>
            <w:r>
              <w:rPr>
                <w:rFonts w:ascii="Times New Roman" w:cs="Times New Roman" w:eastAsia="Times New Roman" w:hAnsi="Times New Roman"/>
                <w:sz w:val="20"/>
                <w:szCs w:val="20"/>
                <w:color w:val="auto"/>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1,250</w:t>
            </w:r>
          </w:p>
        </w:tc>
      </w:tr>
      <w:tr>
        <w:trPr>
          <w:trHeight w:val="310"/>
        </w:trPr>
        <w:tc>
          <w:tcPr>
            <w:tcW w:w="4390" w:type="dxa"/>
            <w:vAlign w:val="bottom"/>
            <w:shd w:val="clear" w:color="auto" w:fill="DDDDDD"/>
          </w:tcPr>
          <w:p>
            <w:pPr>
              <w:ind w:left="40"/>
              <w:spacing w:after="0"/>
              <w:rPr>
                <w:sz w:val="20"/>
                <w:szCs w:val="20"/>
                <w:color w:val="auto"/>
              </w:rPr>
            </w:pPr>
            <w:r>
              <w:rPr>
                <w:rFonts w:ascii="Times New Roman" w:cs="Times New Roman" w:eastAsia="Times New Roman" w:hAnsi="Times New Roman"/>
                <w:sz w:val="20"/>
                <w:szCs w:val="20"/>
                <w:color w:val="auto"/>
              </w:rPr>
              <w:t>Warrant liability – Private Placement Warrants</w:t>
            </w:r>
          </w:p>
        </w:tc>
        <w:tc>
          <w:tcPr>
            <w:tcW w:w="30" w:type="dxa"/>
            <w:vAlign w:val="bottom"/>
            <w:shd w:val="clear" w:color="auto" w:fill="DDDDDD"/>
          </w:tcPr>
          <w:p>
            <w:pPr>
              <w:spacing w:after="0"/>
              <w:rPr>
                <w:sz w:val="24"/>
                <w:szCs w:val="24"/>
                <w:color w:val="auto"/>
              </w:rPr>
            </w:pPr>
          </w:p>
        </w:tc>
        <w:tc>
          <w:tcPr>
            <w:tcW w:w="1900" w:type="dxa"/>
            <w:vAlign w:val="bottom"/>
            <w:shd w:val="clear" w:color="auto" w:fill="DDDDDD"/>
          </w:tcPr>
          <w:p>
            <w:pPr>
              <w:jc w:val="center"/>
              <w:spacing w:after="0"/>
              <w:rPr>
                <w:sz w:val="20"/>
                <w:szCs w:val="20"/>
                <w:color w:val="auto"/>
              </w:rPr>
            </w:pPr>
            <w:r>
              <w:rPr>
                <w:rFonts w:ascii="Times New Roman" w:cs="Times New Roman" w:eastAsia="Times New Roman" w:hAnsi="Times New Roman"/>
                <w:sz w:val="20"/>
                <w:szCs w:val="20"/>
                <w:color w:val="auto"/>
                <w:w w:val="99"/>
              </w:rPr>
              <w:t>3</w:t>
            </w:r>
          </w:p>
        </w:tc>
        <w:tc>
          <w:tcPr>
            <w:tcW w:w="60" w:type="dxa"/>
            <w:vAlign w:val="bottom"/>
            <w:shd w:val="clear" w:color="auto" w:fill="DDDDDD"/>
          </w:tcPr>
          <w:p>
            <w:pPr>
              <w:spacing w:after="0"/>
              <w:rPr>
                <w:sz w:val="24"/>
                <w:szCs w:val="24"/>
                <w:color w:val="auto"/>
              </w:rPr>
            </w:pPr>
          </w:p>
        </w:tc>
        <w:tc>
          <w:tcPr>
            <w:tcW w:w="20" w:type="dxa"/>
            <w:vAlign w:val="bottom"/>
            <w:shd w:val="clear" w:color="auto" w:fill="DDDDDD"/>
          </w:tcPr>
          <w:p>
            <w:pPr>
              <w:spacing w:after="0"/>
              <w:rPr>
                <w:sz w:val="24"/>
                <w:szCs w:val="24"/>
                <w:color w:val="auto"/>
              </w:rPr>
            </w:pPr>
          </w:p>
        </w:tc>
        <w:tc>
          <w:tcPr>
            <w:tcW w:w="820" w:type="dxa"/>
            <w:vAlign w:val="bottom"/>
            <w:tcBorders>
              <w:bottom w:val="single" w:sz="8" w:color="auto"/>
            </w:tcBorders>
            <w:shd w:val="clear" w:color="auto" w:fill="DDDDDD"/>
          </w:tcPr>
          <w:p>
            <w:pPr>
              <w:spacing w:after="0"/>
              <w:rPr>
                <w:sz w:val="24"/>
                <w:szCs w:val="24"/>
                <w:color w:val="auto"/>
              </w:rPr>
            </w:pPr>
          </w:p>
        </w:tc>
        <w:tc>
          <w:tcPr>
            <w:tcW w:w="1080" w:type="dxa"/>
            <w:vAlign w:val="bottom"/>
            <w:tcBorders>
              <w:bottom w:val="single" w:sz="8" w:color="auto"/>
            </w:tcBorders>
            <w:shd w:val="clear" w:color="auto" w:fill="DDDDDD"/>
          </w:tcPr>
          <w:p>
            <w:pPr>
              <w:jc w:val="right"/>
              <w:spacing w:after="0"/>
              <w:rPr>
                <w:sz w:val="20"/>
                <w:szCs w:val="20"/>
                <w:color w:val="auto"/>
              </w:rPr>
            </w:pPr>
            <w:r>
              <w:rPr>
                <w:rFonts w:ascii="Times New Roman" w:cs="Times New Roman" w:eastAsia="Times New Roman" w:hAnsi="Times New Roman"/>
                <w:sz w:val="20"/>
                <w:szCs w:val="20"/>
                <w:color w:val="auto"/>
              </w:rPr>
              <w:t>210</w:t>
            </w:r>
          </w:p>
        </w:tc>
        <w:tc>
          <w:tcPr>
            <w:tcW w:w="40" w:type="dxa"/>
            <w:vAlign w:val="bottom"/>
            <w:shd w:val="clear" w:color="auto" w:fill="DDDDDD"/>
          </w:tcPr>
          <w:p>
            <w:pPr>
              <w:spacing w:after="0"/>
              <w:rPr>
                <w:sz w:val="24"/>
                <w:szCs w:val="24"/>
                <w:color w:val="auto"/>
              </w:rPr>
            </w:pPr>
          </w:p>
        </w:tc>
        <w:tc>
          <w:tcPr>
            <w:tcW w:w="20" w:type="dxa"/>
            <w:vAlign w:val="bottom"/>
            <w:shd w:val="clear" w:color="auto" w:fill="DDDDDD"/>
          </w:tcPr>
          <w:p>
            <w:pPr>
              <w:spacing w:after="0"/>
              <w:rPr>
                <w:sz w:val="24"/>
                <w:szCs w:val="24"/>
                <w:color w:val="auto"/>
              </w:rPr>
            </w:pPr>
          </w:p>
        </w:tc>
        <w:tc>
          <w:tcPr>
            <w:tcW w:w="760" w:type="dxa"/>
            <w:vAlign w:val="bottom"/>
            <w:tcBorders>
              <w:bottom w:val="single" w:sz="8" w:color="auto"/>
            </w:tcBorders>
            <w:shd w:val="clear" w:color="auto" w:fill="DDDDDD"/>
          </w:tcPr>
          <w:p>
            <w:pPr>
              <w:spacing w:after="0"/>
              <w:rPr>
                <w:sz w:val="24"/>
                <w:szCs w:val="24"/>
                <w:color w:val="auto"/>
              </w:rPr>
            </w:pPr>
          </w:p>
        </w:tc>
        <w:tc>
          <w:tcPr>
            <w:tcW w:w="1140" w:type="dxa"/>
            <w:vAlign w:val="bottom"/>
            <w:tcBorders>
              <w:bottom w:val="single" w:sz="8" w:color="auto"/>
            </w:tcBorders>
            <w:shd w:val="clear" w:color="auto" w:fill="DDDDDD"/>
          </w:tcPr>
          <w:p>
            <w:pPr>
              <w:jc w:val="right"/>
              <w:spacing w:after="0"/>
              <w:rPr>
                <w:sz w:val="20"/>
                <w:szCs w:val="20"/>
                <w:color w:val="auto"/>
              </w:rPr>
            </w:pPr>
            <w:r>
              <w:rPr>
                <w:rFonts w:ascii="Times New Roman" w:cs="Times New Roman" w:eastAsia="Times New Roman" w:hAnsi="Times New Roman"/>
                <w:sz w:val="20"/>
                <w:szCs w:val="20"/>
                <w:color w:val="auto"/>
              </w:rPr>
              <w:t>840</w:t>
            </w:r>
          </w:p>
        </w:tc>
      </w:tr>
      <w:tr>
        <w:trPr>
          <w:trHeight w:val="290"/>
        </w:trPr>
        <w:tc>
          <w:tcPr>
            <w:tcW w:w="4420" w:type="dxa"/>
            <w:vAlign w:val="bottom"/>
            <w:gridSpan w:val="2"/>
          </w:tcPr>
          <w:p>
            <w:pPr>
              <w:ind w:left="160"/>
              <w:spacing w:after="0"/>
              <w:rPr>
                <w:sz w:val="20"/>
                <w:szCs w:val="20"/>
                <w:color w:val="auto"/>
              </w:rPr>
            </w:pPr>
            <w:r>
              <w:rPr>
                <w:rFonts w:ascii="Times New Roman" w:cs="Times New Roman" w:eastAsia="Times New Roman" w:hAnsi="Times New Roman"/>
                <w:sz w:val="20"/>
                <w:szCs w:val="20"/>
                <w:color w:val="auto"/>
              </w:rPr>
              <w:t>Total warrant liability</w:t>
            </w:r>
          </w:p>
        </w:tc>
        <w:tc>
          <w:tcPr>
            <w:tcW w:w="1900" w:type="dxa"/>
            <w:vAlign w:val="bottom"/>
          </w:tcPr>
          <w:p>
            <w:pPr>
              <w:spacing w:after="0"/>
              <w:rPr>
                <w:sz w:val="24"/>
                <w:szCs w:val="24"/>
                <w:color w:val="auto"/>
              </w:rPr>
            </w:pPr>
          </w:p>
        </w:tc>
        <w:tc>
          <w:tcPr>
            <w:tcW w:w="900" w:type="dxa"/>
            <w:vAlign w:val="bottom"/>
            <w:gridSpan w:val="3"/>
          </w:tcPr>
          <w:p>
            <w:pPr>
              <w:jc w:val="right"/>
              <w:ind w:right="579"/>
              <w:spacing w:after="0"/>
              <w:rPr>
                <w:sz w:val="20"/>
                <w:szCs w:val="20"/>
                <w:color w:val="auto"/>
              </w:rPr>
            </w:pPr>
            <w:r>
              <w:rPr>
                <w:rFonts w:ascii="Times New Roman" w:cs="Times New Roman" w:eastAsia="Times New Roman" w:hAnsi="Times New Roman"/>
                <w:sz w:val="20"/>
                <w:szCs w:val="20"/>
                <w:color w:val="auto"/>
              </w:rPr>
              <w:t>$</w:t>
            </w:r>
          </w:p>
        </w:tc>
        <w:tc>
          <w:tcPr>
            <w:tcW w:w="10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585</w:t>
            </w:r>
          </w:p>
        </w:tc>
        <w:tc>
          <w:tcPr>
            <w:tcW w:w="820" w:type="dxa"/>
            <w:vAlign w:val="bottom"/>
            <w:gridSpan w:val="3"/>
          </w:tcPr>
          <w:p>
            <w:pPr>
              <w:jc w:val="right"/>
              <w:ind w:right="519"/>
              <w:spacing w:after="0"/>
              <w:rPr>
                <w:sz w:val="20"/>
                <w:szCs w:val="20"/>
                <w:color w:val="auto"/>
              </w:rPr>
            </w:pPr>
            <w:r>
              <w:rPr>
                <w:rFonts w:ascii="Times New Roman" w:cs="Times New Roman" w:eastAsia="Times New Roman" w:hAnsi="Times New Roman"/>
                <w:sz w:val="20"/>
                <w:szCs w:val="20"/>
                <w:color w:val="auto"/>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2,090</w:t>
            </w:r>
          </w:p>
        </w:tc>
      </w:tr>
      <w:tr>
        <w:trPr>
          <w:trHeight w:val="26"/>
        </w:trPr>
        <w:tc>
          <w:tcPr>
            <w:tcW w:w="4390" w:type="dxa"/>
            <w:vAlign w:val="bottom"/>
          </w:tcPr>
          <w:p>
            <w:pPr>
              <w:spacing w:after="0"/>
              <w:rPr>
                <w:sz w:val="2"/>
                <w:szCs w:val="2"/>
                <w:color w:val="auto"/>
              </w:rPr>
            </w:pPr>
          </w:p>
        </w:tc>
        <w:tc>
          <w:tcPr>
            <w:tcW w:w="30" w:type="dxa"/>
            <w:vAlign w:val="bottom"/>
          </w:tcPr>
          <w:p>
            <w:pPr>
              <w:spacing w:after="0"/>
              <w:rPr>
                <w:sz w:val="2"/>
                <w:szCs w:val="2"/>
                <w:color w:val="auto"/>
              </w:rPr>
            </w:pPr>
          </w:p>
        </w:tc>
        <w:tc>
          <w:tcPr>
            <w:tcW w:w="1900" w:type="dxa"/>
            <w:vAlign w:val="bottom"/>
          </w:tcPr>
          <w:p>
            <w:pPr>
              <w:spacing w:after="0"/>
              <w:rPr>
                <w:sz w:val="2"/>
                <w:szCs w:val="2"/>
                <w:color w:val="auto"/>
              </w:rPr>
            </w:pPr>
          </w:p>
        </w:tc>
        <w:tc>
          <w:tcPr>
            <w:tcW w:w="60" w:type="dxa"/>
            <w:vAlign w:val="bottom"/>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40" w:type="dxa"/>
            <w:vAlign w:val="bottom"/>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r>
      <w:tr>
        <w:trPr>
          <w:trHeight w:val="20"/>
        </w:trPr>
        <w:tc>
          <w:tcPr>
            <w:tcW w:w="4390" w:type="dxa"/>
            <w:vAlign w:val="bottom"/>
          </w:tcPr>
          <w:p>
            <w:pPr>
              <w:spacing w:after="0" w:line="20" w:lineRule="exact"/>
              <w:rPr>
                <w:sz w:val="1"/>
                <w:szCs w:val="1"/>
                <w:color w:val="auto"/>
              </w:rPr>
            </w:pPr>
          </w:p>
        </w:tc>
        <w:tc>
          <w:tcPr>
            <w:tcW w:w="30" w:type="dxa"/>
            <w:vAlign w:val="bottom"/>
          </w:tcPr>
          <w:p>
            <w:pPr>
              <w:spacing w:after="0" w:line="20" w:lineRule="exact"/>
              <w:rPr>
                <w:sz w:val="1"/>
                <w:szCs w:val="1"/>
                <w:color w:val="auto"/>
              </w:rPr>
            </w:pPr>
          </w:p>
        </w:tc>
        <w:tc>
          <w:tcPr>
            <w:tcW w:w="19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r>
    </w:tbl>
    <w:p>
      <w:pPr>
        <w:spacing w:after="0" w:line="258" w:lineRule="exact"/>
        <w:rPr>
          <w:sz w:val="20"/>
          <w:szCs w:val="20"/>
          <w:color w:val="auto"/>
        </w:rPr>
      </w:pPr>
    </w:p>
    <w:p>
      <w:pPr>
        <w:ind w:left="7"/>
        <w:spacing w:after="0"/>
        <w:rPr>
          <w:sz w:val="20"/>
          <w:szCs w:val="20"/>
          <w:color w:val="auto"/>
        </w:rPr>
      </w:pPr>
      <w:r>
        <w:rPr>
          <w:rFonts w:ascii="Times New Roman" w:cs="Times New Roman" w:eastAsia="Times New Roman" w:hAnsi="Times New Roman"/>
          <w:sz w:val="20"/>
          <w:szCs w:val="20"/>
          <w:color w:val="auto"/>
        </w:rPr>
        <w:t>The following tables summarize the changes in the fair value of the warrant liabilities (in thousands):</w:t>
      </w:r>
    </w:p>
    <w:p>
      <w:pPr>
        <w:spacing w:after="0" w:line="214" w:lineRule="exact"/>
        <w:rPr>
          <w:sz w:val="20"/>
          <w:szCs w:val="20"/>
          <w:color w:val="auto"/>
        </w:rPr>
      </w:pPr>
    </w:p>
    <w:tbl>
      <w:tblPr>
        <w:tblLayout w:type="fixed"/>
        <w:tblInd w:w="7" w:type="dxa"/>
        <w:tblCellMar>
          <w:top w:w="0" w:type="dxa"/>
          <w:left w:w="0" w:type="dxa"/>
          <w:bottom w:w="0" w:type="dxa"/>
          <w:right w:w="0" w:type="dxa"/>
        </w:tblCellMar>
      </w:tblPr>
      <w:tr>
        <w:trPr>
          <w:trHeight w:val="281"/>
        </w:trPr>
        <w:tc>
          <w:tcPr>
            <w:tcW w:w="4420" w:type="dxa"/>
            <w:vAlign w:val="bottom"/>
          </w:tcPr>
          <w:p>
            <w:pPr>
              <w:spacing w:after="0"/>
              <w:rPr>
                <w:sz w:val="24"/>
                <w:szCs w:val="24"/>
                <w:color w:val="auto"/>
              </w:rPr>
            </w:pPr>
          </w:p>
        </w:tc>
        <w:tc>
          <w:tcPr>
            <w:tcW w:w="17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3880" w:type="dxa"/>
            <w:vAlign w:val="bottom"/>
            <w:tcBorders>
              <w:bottom w:val="single" w:sz="8" w:color="auto"/>
            </w:tcBorders>
            <w:gridSpan w:val="9"/>
          </w:tcPr>
          <w:p>
            <w:pPr>
              <w:jc w:val="center"/>
              <w:ind w:right="79"/>
              <w:spacing w:after="0"/>
              <w:rPr>
                <w:sz w:val="20"/>
                <w:szCs w:val="20"/>
                <w:color w:val="auto"/>
              </w:rPr>
            </w:pPr>
            <w:r>
              <w:rPr>
                <w:rFonts w:ascii="Times New Roman" w:cs="Times New Roman" w:eastAsia="Times New Roman" w:hAnsi="Times New Roman"/>
                <w:sz w:val="20"/>
                <w:szCs w:val="20"/>
                <w:b w:val="1"/>
                <w:bCs w:val="1"/>
                <w:color w:val="auto"/>
                <w:w w:val="98"/>
              </w:rPr>
              <w:t>Year Ended December 31, 2023</w:t>
            </w:r>
          </w:p>
        </w:tc>
        <w:tc>
          <w:tcPr>
            <w:tcW w:w="0" w:type="dxa"/>
            <w:vAlign w:val="bottom"/>
          </w:tcPr>
          <w:p>
            <w:pPr>
              <w:spacing w:after="0"/>
              <w:rPr>
                <w:sz w:val="1"/>
                <w:szCs w:val="1"/>
                <w:color w:val="auto"/>
              </w:rPr>
            </w:pPr>
          </w:p>
        </w:tc>
      </w:tr>
      <w:tr>
        <w:trPr>
          <w:trHeight w:val="239"/>
        </w:trPr>
        <w:tc>
          <w:tcPr>
            <w:tcW w:w="4420" w:type="dxa"/>
            <w:vAlign w:val="bottom"/>
          </w:tcPr>
          <w:p>
            <w:pPr>
              <w:spacing w:after="0"/>
              <w:rPr>
                <w:sz w:val="20"/>
                <w:szCs w:val="20"/>
                <w:color w:val="auto"/>
              </w:rPr>
            </w:pPr>
          </w:p>
        </w:tc>
        <w:tc>
          <w:tcPr>
            <w:tcW w:w="17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200" w:type="dxa"/>
            <w:vAlign w:val="bottom"/>
            <w:gridSpan w:val="3"/>
            <w:vMerge w:val="restart"/>
          </w:tcPr>
          <w:p>
            <w:pPr>
              <w:jc w:val="center"/>
              <w:ind w:right="260"/>
              <w:spacing w:after="0"/>
              <w:rPr>
                <w:sz w:val="20"/>
                <w:szCs w:val="20"/>
                <w:color w:val="auto"/>
              </w:rPr>
            </w:pPr>
            <w:r>
              <w:rPr>
                <w:rFonts w:ascii="Times New Roman" w:cs="Times New Roman" w:eastAsia="Times New Roman" w:hAnsi="Times New Roman"/>
                <w:sz w:val="20"/>
                <w:szCs w:val="20"/>
                <w:b w:val="1"/>
                <w:bCs w:val="1"/>
                <w:color w:val="auto"/>
                <w:w w:val="99"/>
              </w:rPr>
              <w:t>Public</w:t>
            </w:r>
          </w:p>
        </w:tc>
        <w:tc>
          <w:tcPr>
            <w:tcW w:w="160" w:type="dxa"/>
            <w:vAlign w:val="bottom"/>
          </w:tcPr>
          <w:p>
            <w:pPr>
              <w:spacing w:after="0"/>
              <w:rPr>
                <w:sz w:val="20"/>
                <w:szCs w:val="20"/>
                <w:color w:val="auto"/>
              </w:rPr>
            </w:pPr>
          </w:p>
        </w:tc>
        <w:tc>
          <w:tcPr>
            <w:tcW w:w="1140" w:type="dxa"/>
            <w:vAlign w:val="bottom"/>
          </w:tcPr>
          <w:p>
            <w:pPr>
              <w:jc w:val="center"/>
              <w:ind w:right="59"/>
              <w:spacing w:after="0"/>
              <w:rPr>
                <w:sz w:val="20"/>
                <w:szCs w:val="20"/>
                <w:color w:val="auto"/>
              </w:rPr>
            </w:pPr>
            <w:r>
              <w:rPr>
                <w:rFonts w:ascii="Times New Roman" w:cs="Times New Roman" w:eastAsia="Times New Roman" w:hAnsi="Times New Roman"/>
                <w:sz w:val="20"/>
                <w:szCs w:val="20"/>
                <w:b w:val="1"/>
                <w:bCs w:val="1"/>
                <w:color w:val="auto"/>
                <w:w w:val="99"/>
              </w:rPr>
              <w:t>Private</w:t>
            </w:r>
          </w:p>
        </w:tc>
        <w:tc>
          <w:tcPr>
            <w:tcW w:w="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120" w:type="dxa"/>
            <w:vAlign w:val="bottom"/>
            <w:vMerge w:val="restart"/>
          </w:tcPr>
          <w:p>
            <w:pPr>
              <w:jc w:val="center"/>
              <w:ind w:right="79"/>
              <w:spacing w:after="0"/>
              <w:rPr>
                <w:sz w:val="20"/>
                <w:szCs w:val="20"/>
                <w:color w:val="auto"/>
              </w:rPr>
            </w:pPr>
            <w:r>
              <w:rPr>
                <w:rFonts w:ascii="Times New Roman" w:cs="Times New Roman" w:eastAsia="Times New Roman" w:hAnsi="Times New Roman"/>
                <w:sz w:val="20"/>
                <w:szCs w:val="20"/>
                <w:b w:val="1"/>
                <w:bCs w:val="1"/>
                <w:color w:val="auto"/>
                <w:w w:val="97"/>
              </w:rPr>
              <w:t>Warrant</w:t>
            </w:r>
          </w:p>
        </w:tc>
        <w:tc>
          <w:tcPr>
            <w:tcW w:w="0" w:type="dxa"/>
            <w:vAlign w:val="bottom"/>
          </w:tcPr>
          <w:p>
            <w:pPr>
              <w:spacing w:after="0"/>
              <w:rPr>
                <w:sz w:val="1"/>
                <w:szCs w:val="1"/>
                <w:color w:val="auto"/>
              </w:rPr>
            </w:pPr>
          </w:p>
        </w:tc>
      </w:tr>
      <w:tr>
        <w:trPr>
          <w:trHeight w:val="230"/>
        </w:trPr>
        <w:tc>
          <w:tcPr>
            <w:tcW w:w="4420" w:type="dxa"/>
            <w:vAlign w:val="bottom"/>
          </w:tcPr>
          <w:p>
            <w:pPr>
              <w:spacing w:after="0"/>
              <w:rPr>
                <w:sz w:val="20"/>
                <w:szCs w:val="20"/>
                <w:color w:val="auto"/>
              </w:rPr>
            </w:pPr>
          </w:p>
        </w:tc>
        <w:tc>
          <w:tcPr>
            <w:tcW w:w="17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200" w:type="dxa"/>
            <w:vAlign w:val="bottom"/>
            <w:gridSpan w:val="3"/>
            <w:vMerge w:val="continue"/>
          </w:tcPr>
          <w:p>
            <w:pPr>
              <w:spacing w:after="0"/>
              <w:rPr>
                <w:sz w:val="20"/>
                <w:szCs w:val="20"/>
                <w:color w:val="auto"/>
              </w:rPr>
            </w:pPr>
          </w:p>
        </w:tc>
        <w:tc>
          <w:tcPr>
            <w:tcW w:w="160" w:type="dxa"/>
            <w:vAlign w:val="bottom"/>
          </w:tcPr>
          <w:p>
            <w:pPr>
              <w:spacing w:after="0"/>
              <w:rPr>
                <w:sz w:val="20"/>
                <w:szCs w:val="20"/>
                <w:color w:val="auto"/>
              </w:rPr>
            </w:pPr>
          </w:p>
        </w:tc>
        <w:tc>
          <w:tcPr>
            <w:tcW w:w="1140" w:type="dxa"/>
            <w:vAlign w:val="bottom"/>
          </w:tcPr>
          <w:p>
            <w:pPr>
              <w:jc w:val="center"/>
              <w:ind w:right="79"/>
              <w:spacing w:after="0"/>
              <w:rPr>
                <w:sz w:val="20"/>
                <w:szCs w:val="20"/>
                <w:color w:val="auto"/>
              </w:rPr>
            </w:pPr>
            <w:r>
              <w:rPr>
                <w:rFonts w:ascii="Times New Roman" w:cs="Times New Roman" w:eastAsia="Times New Roman" w:hAnsi="Times New Roman"/>
                <w:sz w:val="20"/>
                <w:szCs w:val="20"/>
                <w:b w:val="1"/>
                <w:bCs w:val="1"/>
                <w:color w:val="auto"/>
                <w:w w:val="98"/>
              </w:rPr>
              <w:t>Placement</w:t>
            </w:r>
          </w:p>
        </w:tc>
        <w:tc>
          <w:tcPr>
            <w:tcW w:w="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120" w:type="dxa"/>
            <w:vAlign w:val="bottom"/>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281"/>
        </w:trPr>
        <w:tc>
          <w:tcPr>
            <w:tcW w:w="4420" w:type="dxa"/>
            <w:vAlign w:val="bottom"/>
          </w:tcPr>
          <w:p>
            <w:pPr>
              <w:spacing w:after="0"/>
              <w:rPr>
                <w:sz w:val="24"/>
                <w:szCs w:val="24"/>
                <w:color w:val="auto"/>
              </w:rPr>
            </w:pPr>
          </w:p>
        </w:tc>
        <w:tc>
          <w:tcPr>
            <w:tcW w:w="17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00" w:type="dxa"/>
            <w:vAlign w:val="bottom"/>
            <w:gridSpan w:val="3"/>
          </w:tcPr>
          <w:p>
            <w:pPr>
              <w:jc w:val="center"/>
              <w:ind w:right="260"/>
              <w:spacing w:after="0"/>
              <w:rPr>
                <w:sz w:val="20"/>
                <w:szCs w:val="20"/>
                <w:color w:val="auto"/>
              </w:rPr>
            </w:pPr>
            <w:r>
              <w:rPr>
                <w:rFonts w:ascii="Times New Roman" w:cs="Times New Roman" w:eastAsia="Times New Roman" w:hAnsi="Times New Roman"/>
                <w:sz w:val="20"/>
                <w:szCs w:val="20"/>
                <w:b w:val="1"/>
                <w:bCs w:val="1"/>
                <w:color w:val="auto"/>
                <w:w w:val="98"/>
              </w:rPr>
              <w:t>Warrants</w:t>
            </w:r>
          </w:p>
        </w:tc>
        <w:tc>
          <w:tcPr>
            <w:tcW w:w="160" w:type="dxa"/>
            <w:vAlign w:val="bottom"/>
          </w:tcPr>
          <w:p>
            <w:pPr>
              <w:spacing w:after="0"/>
              <w:rPr>
                <w:sz w:val="24"/>
                <w:szCs w:val="24"/>
                <w:color w:val="auto"/>
              </w:rPr>
            </w:pPr>
          </w:p>
        </w:tc>
        <w:tc>
          <w:tcPr>
            <w:tcW w:w="1140" w:type="dxa"/>
            <w:vAlign w:val="bottom"/>
          </w:tcPr>
          <w:p>
            <w:pPr>
              <w:jc w:val="center"/>
              <w:ind w:right="59"/>
              <w:spacing w:after="0"/>
              <w:rPr>
                <w:sz w:val="20"/>
                <w:szCs w:val="20"/>
                <w:color w:val="auto"/>
              </w:rPr>
            </w:pPr>
            <w:r>
              <w:rPr>
                <w:rFonts w:ascii="Times New Roman" w:cs="Times New Roman" w:eastAsia="Times New Roman" w:hAnsi="Times New Roman"/>
                <w:sz w:val="20"/>
                <w:szCs w:val="20"/>
                <w:b w:val="1"/>
                <w:bCs w:val="1"/>
                <w:color w:val="auto"/>
                <w:w w:val="98"/>
              </w:rPr>
              <w:t>Warrants</w:t>
            </w: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120" w:type="dxa"/>
            <w:vAlign w:val="bottom"/>
          </w:tcPr>
          <w:p>
            <w:pPr>
              <w:jc w:val="center"/>
              <w:ind w:right="79"/>
              <w:spacing w:after="0"/>
              <w:rPr>
                <w:sz w:val="20"/>
                <w:szCs w:val="20"/>
                <w:color w:val="auto"/>
              </w:rPr>
            </w:pPr>
            <w:r>
              <w:rPr>
                <w:rFonts w:ascii="Times New Roman" w:cs="Times New Roman" w:eastAsia="Times New Roman" w:hAnsi="Times New Roman"/>
                <w:sz w:val="20"/>
                <w:szCs w:val="20"/>
                <w:b w:val="1"/>
                <w:bCs w:val="1"/>
                <w:color w:val="auto"/>
              </w:rPr>
              <w:t>Liabilities</w:t>
            </w:r>
          </w:p>
        </w:tc>
        <w:tc>
          <w:tcPr>
            <w:tcW w:w="0" w:type="dxa"/>
            <w:vAlign w:val="bottom"/>
          </w:tcPr>
          <w:p>
            <w:pPr>
              <w:spacing w:after="0"/>
              <w:rPr>
                <w:sz w:val="1"/>
                <w:szCs w:val="1"/>
                <w:color w:val="auto"/>
              </w:rPr>
            </w:pPr>
          </w:p>
        </w:tc>
      </w:tr>
      <w:tr>
        <w:trPr>
          <w:trHeight w:val="300"/>
        </w:trPr>
        <w:tc>
          <w:tcPr>
            <w:tcW w:w="4420" w:type="dxa"/>
            <w:vAlign w:val="bottom"/>
            <w:tcBorders>
              <w:top w:val="single" w:sz="8" w:color="DDDDDD"/>
            </w:tcBorders>
            <w:shd w:val="clear" w:color="auto" w:fill="DDDDDD"/>
          </w:tcPr>
          <w:p>
            <w:pPr>
              <w:ind w:left="40"/>
              <w:spacing w:after="0"/>
              <w:rPr>
                <w:sz w:val="20"/>
                <w:szCs w:val="20"/>
                <w:color w:val="auto"/>
              </w:rPr>
            </w:pPr>
            <w:r>
              <w:rPr>
                <w:rFonts w:ascii="Times New Roman" w:cs="Times New Roman" w:eastAsia="Times New Roman" w:hAnsi="Times New Roman"/>
                <w:sz w:val="20"/>
                <w:szCs w:val="20"/>
                <w:color w:val="auto"/>
              </w:rPr>
              <w:t>Fair value, beginning of period</w:t>
            </w:r>
          </w:p>
        </w:tc>
        <w:tc>
          <w:tcPr>
            <w:tcW w:w="1760" w:type="dxa"/>
            <w:vAlign w:val="bottom"/>
            <w:tcBorders>
              <w:top w:val="single" w:sz="8" w:color="DDDDDD"/>
            </w:tcBorders>
            <w:shd w:val="clear" w:color="auto" w:fill="DDDDDD"/>
          </w:tcPr>
          <w:p>
            <w:pPr>
              <w:spacing w:after="0"/>
              <w:rPr>
                <w:sz w:val="24"/>
                <w:szCs w:val="24"/>
                <w:color w:val="auto"/>
              </w:rPr>
            </w:pPr>
          </w:p>
        </w:tc>
        <w:tc>
          <w:tcPr>
            <w:tcW w:w="20" w:type="dxa"/>
            <w:vAlign w:val="bottom"/>
            <w:tcBorders>
              <w:top w:val="single" w:sz="8" w:color="DDDDDD"/>
            </w:tcBorders>
            <w:shd w:val="clear" w:color="auto" w:fill="DDDDDD"/>
          </w:tcPr>
          <w:p>
            <w:pPr>
              <w:spacing w:after="0"/>
              <w:rPr>
                <w:sz w:val="24"/>
                <w:szCs w:val="24"/>
                <w:color w:val="auto"/>
              </w:rPr>
            </w:pPr>
          </w:p>
        </w:tc>
        <w:tc>
          <w:tcPr>
            <w:tcW w:w="180" w:type="dxa"/>
            <w:vAlign w:val="bottom"/>
            <w:tcBorders>
              <w:top w:val="single" w:sz="8" w:color="auto"/>
            </w:tcBorders>
            <w:shd w:val="clear" w:color="auto" w:fill="DDDDDD"/>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1120" w:type="dxa"/>
            <w:vAlign w:val="bottom"/>
            <w:tcBorders>
              <w:top w:val="single" w:sz="8" w:color="auto"/>
            </w:tcBorders>
            <w:shd w:val="clear" w:color="auto" w:fill="DDDDDD"/>
          </w:tcPr>
          <w:p>
            <w:pPr>
              <w:jc w:val="right"/>
              <w:spacing w:after="0"/>
              <w:rPr>
                <w:sz w:val="20"/>
                <w:szCs w:val="20"/>
                <w:color w:val="auto"/>
              </w:rPr>
            </w:pPr>
            <w:r>
              <w:rPr>
                <w:rFonts w:ascii="Times New Roman" w:cs="Times New Roman" w:eastAsia="Times New Roman" w:hAnsi="Times New Roman"/>
                <w:sz w:val="20"/>
                <w:szCs w:val="20"/>
                <w:color w:val="auto"/>
              </w:rPr>
              <w:t>1,250</w:t>
            </w:r>
          </w:p>
        </w:tc>
        <w:tc>
          <w:tcPr>
            <w:tcW w:w="60" w:type="dxa"/>
            <w:vAlign w:val="bottom"/>
            <w:tcBorders>
              <w:top w:val="single" w:sz="8" w:color="DDDDDD"/>
            </w:tcBorders>
            <w:shd w:val="clear" w:color="auto" w:fill="DDDDDD"/>
          </w:tcPr>
          <w:p>
            <w:pPr>
              <w:spacing w:after="0"/>
              <w:rPr>
                <w:sz w:val="24"/>
                <w:szCs w:val="24"/>
                <w:color w:val="auto"/>
              </w:rPr>
            </w:pPr>
          </w:p>
        </w:tc>
        <w:tc>
          <w:tcPr>
            <w:tcW w:w="20" w:type="dxa"/>
            <w:vAlign w:val="bottom"/>
            <w:tcBorders>
              <w:top w:val="single" w:sz="8" w:color="DDDDDD"/>
            </w:tcBorders>
            <w:shd w:val="clear" w:color="auto" w:fill="DDDDDD"/>
          </w:tcPr>
          <w:p>
            <w:pPr>
              <w:spacing w:after="0"/>
              <w:rPr>
                <w:sz w:val="24"/>
                <w:szCs w:val="24"/>
                <w:color w:val="auto"/>
              </w:rPr>
            </w:pPr>
          </w:p>
        </w:tc>
        <w:tc>
          <w:tcPr>
            <w:tcW w:w="160" w:type="dxa"/>
            <w:vAlign w:val="bottom"/>
            <w:tcBorders>
              <w:top w:val="single" w:sz="8" w:color="auto"/>
            </w:tcBorders>
            <w:shd w:val="clear" w:color="auto" w:fill="DDDDDD"/>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1140" w:type="dxa"/>
            <w:vAlign w:val="bottom"/>
            <w:tcBorders>
              <w:top w:val="single" w:sz="8" w:color="auto"/>
            </w:tcBorders>
            <w:shd w:val="clear" w:color="auto" w:fill="DDDDDD"/>
          </w:tcPr>
          <w:p>
            <w:pPr>
              <w:jc w:val="right"/>
              <w:spacing w:after="0"/>
              <w:rPr>
                <w:sz w:val="20"/>
                <w:szCs w:val="20"/>
                <w:color w:val="auto"/>
              </w:rPr>
            </w:pPr>
            <w:r>
              <w:rPr>
                <w:rFonts w:ascii="Times New Roman" w:cs="Times New Roman" w:eastAsia="Times New Roman" w:hAnsi="Times New Roman"/>
                <w:sz w:val="20"/>
                <w:szCs w:val="20"/>
                <w:color w:val="auto"/>
              </w:rPr>
              <w:t>840</w:t>
            </w:r>
          </w:p>
        </w:tc>
        <w:tc>
          <w:tcPr>
            <w:tcW w:w="60" w:type="dxa"/>
            <w:vAlign w:val="bottom"/>
            <w:tcBorders>
              <w:top w:val="single" w:sz="8" w:color="DDDDDD"/>
            </w:tcBorders>
            <w:shd w:val="clear" w:color="auto" w:fill="DDDDDD"/>
          </w:tcPr>
          <w:p>
            <w:pPr>
              <w:spacing w:after="0"/>
              <w:rPr>
                <w:sz w:val="24"/>
                <w:szCs w:val="24"/>
                <w:color w:val="auto"/>
              </w:rPr>
            </w:pPr>
          </w:p>
        </w:tc>
        <w:tc>
          <w:tcPr>
            <w:tcW w:w="20" w:type="dxa"/>
            <w:vAlign w:val="bottom"/>
            <w:tcBorders>
              <w:top w:val="single" w:sz="8" w:color="DDDDDD"/>
            </w:tcBorders>
            <w:shd w:val="clear" w:color="auto" w:fill="DDDDDD"/>
          </w:tcPr>
          <w:p>
            <w:pPr>
              <w:spacing w:after="0"/>
              <w:rPr>
                <w:sz w:val="24"/>
                <w:szCs w:val="24"/>
                <w:color w:val="auto"/>
              </w:rPr>
            </w:pPr>
          </w:p>
        </w:tc>
        <w:tc>
          <w:tcPr>
            <w:tcW w:w="180" w:type="dxa"/>
            <w:vAlign w:val="bottom"/>
            <w:tcBorders>
              <w:top w:val="single" w:sz="8" w:color="auto"/>
            </w:tcBorders>
            <w:shd w:val="clear" w:color="auto" w:fill="DDDDDD"/>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1120" w:type="dxa"/>
            <w:vAlign w:val="bottom"/>
            <w:tcBorders>
              <w:top w:val="single" w:sz="8" w:color="auto"/>
            </w:tcBorders>
            <w:shd w:val="clear" w:color="auto" w:fill="DDDDDD"/>
          </w:tcPr>
          <w:p>
            <w:pPr>
              <w:jc w:val="right"/>
              <w:spacing w:after="0"/>
              <w:rPr>
                <w:sz w:val="20"/>
                <w:szCs w:val="20"/>
                <w:color w:val="auto"/>
              </w:rPr>
            </w:pPr>
            <w:r>
              <w:rPr>
                <w:rFonts w:ascii="Times New Roman" w:cs="Times New Roman" w:eastAsia="Times New Roman" w:hAnsi="Times New Roman"/>
                <w:sz w:val="20"/>
                <w:szCs w:val="20"/>
                <w:color w:val="auto"/>
              </w:rPr>
              <w:t>2,090</w:t>
            </w:r>
          </w:p>
        </w:tc>
        <w:tc>
          <w:tcPr>
            <w:tcW w:w="0" w:type="dxa"/>
            <w:vAlign w:val="bottom"/>
          </w:tcPr>
          <w:p>
            <w:pPr>
              <w:spacing w:after="0"/>
              <w:rPr>
                <w:sz w:val="1"/>
                <w:szCs w:val="1"/>
                <w:color w:val="auto"/>
              </w:rPr>
            </w:pPr>
          </w:p>
        </w:tc>
      </w:tr>
      <w:tr>
        <w:trPr>
          <w:trHeight w:val="304"/>
        </w:trPr>
        <w:tc>
          <w:tcPr>
            <w:tcW w:w="4420" w:type="dxa"/>
            <w:vAlign w:val="bottom"/>
            <w:tcBorders>
              <w:bottom w:val="single" w:sz="8" w:color="DDDDDD"/>
            </w:tcBorders>
          </w:tcPr>
          <w:p>
            <w:pPr>
              <w:ind w:left="40"/>
              <w:spacing w:after="0"/>
              <w:rPr>
                <w:sz w:val="20"/>
                <w:szCs w:val="20"/>
                <w:color w:val="auto"/>
              </w:rPr>
            </w:pPr>
            <w:r>
              <w:rPr>
                <w:rFonts w:ascii="Times New Roman" w:cs="Times New Roman" w:eastAsia="Times New Roman" w:hAnsi="Times New Roman"/>
                <w:sz w:val="20"/>
                <w:szCs w:val="20"/>
                <w:color w:val="auto"/>
              </w:rPr>
              <w:t>Change in valuation inputs or other assumptions</w:t>
            </w:r>
          </w:p>
        </w:tc>
        <w:tc>
          <w:tcPr>
            <w:tcW w:w="1760" w:type="dxa"/>
            <w:vAlign w:val="bottom"/>
            <w:tcBorders>
              <w:bottom w:val="single" w:sz="8" w:color="DDDDDD"/>
            </w:tcBorders>
          </w:tcPr>
          <w:p>
            <w:pPr>
              <w:spacing w:after="0"/>
              <w:rPr>
                <w:sz w:val="24"/>
                <w:szCs w:val="24"/>
                <w:color w:val="auto"/>
              </w:rPr>
            </w:pPr>
          </w:p>
        </w:tc>
        <w:tc>
          <w:tcPr>
            <w:tcW w:w="20" w:type="dxa"/>
            <w:vAlign w:val="bottom"/>
            <w:tcBorders>
              <w:bottom w:val="single" w:sz="8" w:color="DDDDDD"/>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(875)</w:t>
            </w:r>
          </w:p>
        </w:tc>
        <w:tc>
          <w:tcPr>
            <w:tcW w:w="60" w:type="dxa"/>
            <w:vAlign w:val="bottom"/>
            <w:tcBorders>
              <w:bottom w:val="single" w:sz="8" w:color="DDDDDD"/>
            </w:tcBorders>
          </w:tcPr>
          <w:p>
            <w:pPr>
              <w:spacing w:after="0"/>
              <w:rPr>
                <w:sz w:val="24"/>
                <w:szCs w:val="24"/>
                <w:color w:val="auto"/>
              </w:rPr>
            </w:pPr>
          </w:p>
        </w:tc>
        <w:tc>
          <w:tcPr>
            <w:tcW w:w="20" w:type="dxa"/>
            <w:vAlign w:val="bottom"/>
            <w:tcBorders>
              <w:bottom w:val="single" w:sz="8" w:color="DDDDDD"/>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(630)</w:t>
            </w:r>
          </w:p>
        </w:tc>
        <w:tc>
          <w:tcPr>
            <w:tcW w:w="60" w:type="dxa"/>
            <w:vAlign w:val="bottom"/>
            <w:tcBorders>
              <w:bottom w:val="single" w:sz="8" w:color="DDDDDD"/>
            </w:tcBorders>
          </w:tcPr>
          <w:p>
            <w:pPr>
              <w:spacing w:after="0"/>
              <w:rPr>
                <w:sz w:val="24"/>
                <w:szCs w:val="24"/>
                <w:color w:val="auto"/>
              </w:rPr>
            </w:pPr>
          </w:p>
        </w:tc>
        <w:tc>
          <w:tcPr>
            <w:tcW w:w="20" w:type="dxa"/>
            <w:vAlign w:val="bottom"/>
            <w:tcBorders>
              <w:bottom w:val="single" w:sz="8" w:color="DDDDDD"/>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(1,505)</w:t>
            </w:r>
          </w:p>
        </w:tc>
        <w:tc>
          <w:tcPr>
            <w:tcW w:w="0" w:type="dxa"/>
            <w:vAlign w:val="bottom"/>
          </w:tcPr>
          <w:p>
            <w:pPr>
              <w:spacing w:after="0"/>
              <w:rPr>
                <w:sz w:val="1"/>
                <w:szCs w:val="1"/>
                <w:color w:val="auto"/>
              </w:rPr>
            </w:pPr>
          </w:p>
        </w:tc>
      </w:tr>
      <w:tr>
        <w:trPr>
          <w:trHeight w:val="302"/>
        </w:trPr>
        <w:tc>
          <w:tcPr>
            <w:tcW w:w="4420" w:type="dxa"/>
            <w:vAlign w:val="bottom"/>
            <w:shd w:val="clear" w:color="auto" w:fill="DDDDDD"/>
          </w:tcPr>
          <w:p>
            <w:pPr>
              <w:ind w:left="160"/>
              <w:spacing w:after="0"/>
              <w:rPr>
                <w:sz w:val="20"/>
                <w:szCs w:val="20"/>
                <w:color w:val="auto"/>
              </w:rPr>
            </w:pPr>
            <w:r>
              <w:rPr>
                <w:rFonts w:ascii="Times New Roman" w:cs="Times New Roman" w:eastAsia="Times New Roman" w:hAnsi="Times New Roman"/>
                <w:sz w:val="20"/>
                <w:szCs w:val="20"/>
                <w:color w:val="auto"/>
              </w:rPr>
              <w:t>Fair value, end of period</w:t>
            </w:r>
          </w:p>
        </w:tc>
        <w:tc>
          <w:tcPr>
            <w:tcW w:w="1760" w:type="dxa"/>
            <w:vAlign w:val="bottom"/>
            <w:shd w:val="clear" w:color="auto" w:fill="DDDDDD"/>
          </w:tcPr>
          <w:p>
            <w:pPr>
              <w:spacing w:after="0"/>
              <w:rPr>
                <w:sz w:val="24"/>
                <w:szCs w:val="24"/>
                <w:color w:val="auto"/>
              </w:rPr>
            </w:pPr>
          </w:p>
        </w:tc>
        <w:tc>
          <w:tcPr>
            <w:tcW w:w="20" w:type="dxa"/>
            <w:vAlign w:val="bottom"/>
            <w:shd w:val="clear" w:color="auto" w:fill="DDDDDD"/>
          </w:tcPr>
          <w:p>
            <w:pPr>
              <w:spacing w:after="0"/>
              <w:rPr>
                <w:sz w:val="24"/>
                <w:szCs w:val="24"/>
                <w:color w:val="auto"/>
              </w:rPr>
            </w:pPr>
          </w:p>
        </w:tc>
        <w:tc>
          <w:tcPr>
            <w:tcW w:w="180" w:type="dxa"/>
            <w:vAlign w:val="bottom"/>
            <w:shd w:val="clear" w:color="auto" w:fill="DDDDDD"/>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1120" w:type="dxa"/>
            <w:vAlign w:val="bottom"/>
            <w:shd w:val="clear" w:color="auto" w:fill="DDDDDD"/>
          </w:tcPr>
          <w:p>
            <w:pPr>
              <w:jc w:val="right"/>
              <w:spacing w:after="0"/>
              <w:rPr>
                <w:sz w:val="20"/>
                <w:szCs w:val="20"/>
                <w:color w:val="auto"/>
              </w:rPr>
            </w:pPr>
            <w:r>
              <w:rPr>
                <w:rFonts w:ascii="Times New Roman" w:cs="Times New Roman" w:eastAsia="Times New Roman" w:hAnsi="Times New Roman"/>
                <w:sz w:val="20"/>
                <w:szCs w:val="20"/>
                <w:color w:val="auto"/>
              </w:rPr>
              <w:t>375</w:t>
            </w:r>
          </w:p>
        </w:tc>
        <w:tc>
          <w:tcPr>
            <w:tcW w:w="60" w:type="dxa"/>
            <w:vAlign w:val="bottom"/>
            <w:shd w:val="clear" w:color="auto" w:fill="DDDDDD"/>
          </w:tcPr>
          <w:p>
            <w:pPr>
              <w:spacing w:after="0"/>
              <w:rPr>
                <w:sz w:val="24"/>
                <w:szCs w:val="24"/>
                <w:color w:val="auto"/>
              </w:rPr>
            </w:pPr>
          </w:p>
        </w:tc>
        <w:tc>
          <w:tcPr>
            <w:tcW w:w="20" w:type="dxa"/>
            <w:vAlign w:val="bottom"/>
            <w:shd w:val="clear" w:color="auto" w:fill="DDDDDD"/>
          </w:tcPr>
          <w:p>
            <w:pPr>
              <w:spacing w:after="0"/>
              <w:rPr>
                <w:sz w:val="24"/>
                <w:szCs w:val="24"/>
                <w:color w:val="auto"/>
              </w:rPr>
            </w:pPr>
          </w:p>
        </w:tc>
        <w:tc>
          <w:tcPr>
            <w:tcW w:w="160" w:type="dxa"/>
            <w:vAlign w:val="bottom"/>
            <w:shd w:val="clear" w:color="auto" w:fill="DDDDDD"/>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1140" w:type="dxa"/>
            <w:vAlign w:val="bottom"/>
            <w:shd w:val="clear" w:color="auto" w:fill="DDDDDD"/>
          </w:tcPr>
          <w:p>
            <w:pPr>
              <w:jc w:val="right"/>
              <w:spacing w:after="0"/>
              <w:rPr>
                <w:sz w:val="20"/>
                <w:szCs w:val="20"/>
                <w:color w:val="auto"/>
              </w:rPr>
            </w:pPr>
            <w:r>
              <w:rPr>
                <w:rFonts w:ascii="Times New Roman" w:cs="Times New Roman" w:eastAsia="Times New Roman" w:hAnsi="Times New Roman"/>
                <w:sz w:val="20"/>
                <w:szCs w:val="20"/>
                <w:color w:val="auto"/>
              </w:rPr>
              <w:t>210</w:t>
            </w:r>
          </w:p>
        </w:tc>
        <w:tc>
          <w:tcPr>
            <w:tcW w:w="60" w:type="dxa"/>
            <w:vAlign w:val="bottom"/>
            <w:shd w:val="clear" w:color="auto" w:fill="DDDDDD"/>
          </w:tcPr>
          <w:p>
            <w:pPr>
              <w:spacing w:after="0"/>
              <w:rPr>
                <w:sz w:val="24"/>
                <w:szCs w:val="24"/>
                <w:color w:val="auto"/>
              </w:rPr>
            </w:pPr>
          </w:p>
        </w:tc>
        <w:tc>
          <w:tcPr>
            <w:tcW w:w="20" w:type="dxa"/>
            <w:vAlign w:val="bottom"/>
            <w:shd w:val="clear" w:color="auto" w:fill="DDDDDD"/>
          </w:tcPr>
          <w:p>
            <w:pPr>
              <w:spacing w:after="0"/>
              <w:rPr>
                <w:sz w:val="24"/>
                <w:szCs w:val="24"/>
                <w:color w:val="auto"/>
              </w:rPr>
            </w:pPr>
          </w:p>
        </w:tc>
        <w:tc>
          <w:tcPr>
            <w:tcW w:w="180" w:type="dxa"/>
            <w:vAlign w:val="bottom"/>
            <w:shd w:val="clear" w:color="auto" w:fill="DDDDDD"/>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1120" w:type="dxa"/>
            <w:vAlign w:val="bottom"/>
            <w:shd w:val="clear" w:color="auto" w:fill="DDDDDD"/>
          </w:tcPr>
          <w:p>
            <w:pPr>
              <w:jc w:val="right"/>
              <w:spacing w:after="0"/>
              <w:rPr>
                <w:sz w:val="20"/>
                <w:szCs w:val="20"/>
                <w:color w:val="auto"/>
              </w:rPr>
            </w:pPr>
            <w:r>
              <w:rPr>
                <w:rFonts w:ascii="Times New Roman" w:cs="Times New Roman" w:eastAsia="Times New Roman" w:hAnsi="Times New Roman"/>
                <w:sz w:val="20"/>
                <w:szCs w:val="20"/>
                <w:color w:val="auto"/>
              </w:rPr>
              <w:t>585</w:t>
            </w:r>
          </w:p>
        </w:tc>
        <w:tc>
          <w:tcPr>
            <w:tcW w:w="0" w:type="dxa"/>
            <w:vAlign w:val="bottom"/>
          </w:tcPr>
          <w:p>
            <w:pPr>
              <w:spacing w:after="0"/>
              <w:rPr>
                <w:sz w:val="1"/>
                <w:szCs w:val="1"/>
                <w:color w:val="auto"/>
              </w:rPr>
            </w:pPr>
          </w:p>
        </w:tc>
      </w:tr>
      <w:tr>
        <w:trPr>
          <w:trHeight w:val="20"/>
        </w:trPr>
        <w:tc>
          <w:tcPr>
            <w:tcW w:w="4420" w:type="dxa"/>
            <w:vAlign w:val="bottom"/>
          </w:tcPr>
          <w:p>
            <w:pPr>
              <w:spacing w:after="0" w:line="20" w:lineRule="exact"/>
              <w:rPr>
                <w:sz w:val="1"/>
                <w:szCs w:val="1"/>
                <w:color w:val="auto"/>
              </w:rPr>
            </w:pPr>
          </w:p>
        </w:tc>
        <w:tc>
          <w:tcPr>
            <w:tcW w:w="17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180" w:type="dxa"/>
            <w:vAlign w:val="bottom"/>
            <w:gridSpan w:val="2"/>
          </w:tcPr>
          <w:p>
            <w:pPr>
              <w:spacing w:after="0" w:line="20" w:lineRule="exact"/>
              <w:rPr>
                <w:sz w:val="1"/>
                <w:szCs w:val="1"/>
                <w:color w:val="auto"/>
              </w:rPr>
            </w:pPr>
          </w:p>
        </w:tc>
        <w:tc>
          <w:tcPr>
            <w:tcW w:w="1380" w:type="dxa"/>
            <w:vAlign w:val="bottom"/>
            <w:gridSpan w:val="4"/>
          </w:tcPr>
          <w:p>
            <w:pPr>
              <w:spacing w:after="0" w:line="20" w:lineRule="exact"/>
              <w:rPr>
                <w:sz w:val="1"/>
                <w:szCs w:val="1"/>
                <w:color w:val="auto"/>
              </w:rPr>
            </w:pPr>
          </w:p>
        </w:tc>
        <w:tc>
          <w:tcPr>
            <w:tcW w:w="1320" w:type="dxa"/>
            <w:vAlign w:val="bottom"/>
            <w:gridSpan w:val="3"/>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
        </w:trPr>
        <w:tc>
          <w:tcPr>
            <w:tcW w:w="4420" w:type="dxa"/>
            <w:vAlign w:val="bottom"/>
          </w:tcPr>
          <w:p>
            <w:pPr>
              <w:spacing w:after="0" w:line="20" w:lineRule="exact"/>
              <w:rPr>
                <w:sz w:val="1"/>
                <w:szCs w:val="1"/>
                <w:color w:val="auto"/>
              </w:rPr>
            </w:pPr>
          </w:p>
        </w:tc>
        <w:tc>
          <w:tcPr>
            <w:tcW w:w="1760" w:type="dxa"/>
            <w:vAlign w:val="bottom"/>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43"/>
        </w:trPr>
        <w:tc>
          <w:tcPr>
            <w:tcW w:w="4420" w:type="dxa"/>
            <w:vAlign w:val="bottom"/>
          </w:tcPr>
          <w:p>
            <w:pPr>
              <w:spacing w:after="0"/>
              <w:rPr>
                <w:sz w:val="24"/>
                <w:szCs w:val="24"/>
                <w:color w:val="auto"/>
              </w:rPr>
            </w:pPr>
          </w:p>
        </w:tc>
        <w:tc>
          <w:tcPr>
            <w:tcW w:w="17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3880" w:type="dxa"/>
            <w:vAlign w:val="bottom"/>
            <w:tcBorders>
              <w:bottom w:val="single" w:sz="8" w:color="auto"/>
            </w:tcBorders>
            <w:gridSpan w:val="9"/>
          </w:tcPr>
          <w:p>
            <w:pPr>
              <w:jc w:val="center"/>
              <w:ind w:right="79"/>
              <w:spacing w:after="0"/>
              <w:rPr>
                <w:sz w:val="20"/>
                <w:szCs w:val="20"/>
                <w:color w:val="auto"/>
              </w:rPr>
            </w:pPr>
            <w:r>
              <w:rPr>
                <w:rFonts w:ascii="Times New Roman" w:cs="Times New Roman" w:eastAsia="Times New Roman" w:hAnsi="Times New Roman"/>
                <w:sz w:val="20"/>
                <w:szCs w:val="20"/>
                <w:b w:val="1"/>
                <w:bCs w:val="1"/>
                <w:color w:val="auto"/>
                <w:w w:val="98"/>
              </w:rPr>
              <w:t>Year Ended December 31, 2022</w:t>
            </w:r>
          </w:p>
        </w:tc>
        <w:tc>
          <w:tcPr>
            <w:tcW w:w="0" w:type="dxa"/>
            <w:vAlign w:val="bottom"/>
          </w:tcPr>
          <w:p>
            <w:pPr>
              <w:spacing w:after="0"/>
              <w:rPr>
                <w:sz w:val="1"/>
                <w:szCs w:val="1"/>
                <w:color w:val="auto"/>
              </w:rPr>
            </w:pPr>
          </w:p>
        </w:tc>
      </w:tr>
      <w:tr>
        <w:trPr>
          <w:trHeight w:val="247"/>
        </w:trPr>
        <w:tc>
          <w:tcPr>
            <w:tcW w:w="4420" w:type="dxa"/>
            <w:vAlign w:val="bottom"/>
          </w:tcPr>
          <w:p>
            <w:pPr>
              <w:spacing w:after="0"/>
              <w:rPr>
                <w:sz w:val="21"/>
                <w:szCs w:val="21"/>
                <w:color w:val="auto"/>
              </w:rPr>
            </w:pPr>
          </w:p>
        </w:tc>
        <w:tc>
          <w:tcPr>
            <w:tcW w:w="176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200" w:type="dxa"/>
            <w:vAlign w:val="bottom"/>
            <w:gridSpan w:val="3"/>
            <w:vMerge w:val="restart"/>
          </w:tcPr>
          <w:p>
            <w:pPr>
              <w:jc w:val="center"/>
              <w:ind w:right="260"/>
              <w:spacing w:after="0"/>
              <w:rPr>
                <w:sz w:val="20"/>
                <w:szCs w:val="20"/>
                <w:color w:val="auto"/>
              </w:rPr>
            </w:pPr>
            <w:r>
              <w:rPr>
                <w:rFonts w:ascii="Times New Roman" w:cs="Times New Roman" w:eastAsia="Times New Roman" w:hAnsi="Times New Roman"/>
                <w:sz w:val="20"/>
                <w:szCs w:val="20"/>
                <w:b w:val="1"/>
                <w:bCs w:val="1"/>
                <w:color w:val="auto"/>
                <w:w w:val="99"/>
              </w:rPr>
              <w:t>Public</w:t>
            </w:r>
          </w:p>
        </w:tc>
        <w:tc>
          <w:tcPr>
            <w:tcW w:w="160" w:type="dxa"/>
            <w:vAlign w:val="bottom"/>
          </w:tcPr>
          <w:p>
            <w:pPr>
              <w:spacing w:after="0"/>
              <w:rPr>
                <w:sz w:val="21"/>
                <w:szCs w:val="21"/>
                <w:color w:val="auto"/>
              </w:rPr>
            </w:pPr>
          </w:p>
        </w:tc>
        <w:tc>
          <w:tcPr>
            <w:tcW w:w="1140" w:type="dxa"/>
            <w:vAlign w:val="bottom"/>
          </w:tcPr>
          <w:p>
            <w:pPr>
              <w:jc w:val="center"/>
              <w:ind w:right="59"/>
              <w:spacing w:after="0"/>
              <w:rPr>
                <w:sz w:val="20"/>
                <w:szCs w:val="20"/>
                <w:color w:val="auto"/>
              </w:rPr>
            </w:pPr>
            <w:r>
              <w:rPr>
                <w:rFonts w:ascii="Times New Roman" w:cs="Times New Roman" w:eastAsia="Times New Roman" w:hAnsi="Times New Roman"/>
                <w:sz w:val="20"/>
                <w:szCs w:val="20"/>
                <w:b w:val="1"/>
                <w:bCs w:val="1"/>
                <w:color w:val="auto"/>
                <w:w w:val="99"/>
              </w:rPr>
              <w:t>Private</w:t>
            </w:r>
          </w:p>
        </w:tc>
        <w:tc>
          <w:tcPr>
            <w:tcW w:w="6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20" w:type="dxa"/>
            <w:vAlign w:val="bottom"/>
            <w:vMerge w:val="restart"/>
          </w:tcPr>
          <w:p>
            <w:pPr>
              <w:jc w:val="center"/>
              <w:ind w:right="79"/>
              <w:spacing w:after="0"/>
              <w:rPr>
                <w:sz w:val="20"/>
                <w:szCs w:val="20"/>
                <w:color w:val="auto"/>
              </w:rPr>
            </w:pPr>
            <w:r>
              <w:rPr>
                <w:rFonts w:ascii="Times New Roman" w:cs="Times New Roman" w:eastAsia="Times New Roman" w:hAnsi="Times New Roman"/>
                <w:sz w:val="20"/>
                <w:szCs w:val="20"/>
                <w:b w:val="1"/>
                <w:bCs w:val="1"/>
                <w:color w:val="auto"/>
                <w:w w:val="97"/>
              </w:rPr>
              <w:t>Warrant</w:t>
            </w:r>
          </w:p>
        </w:tc>
        <w:tc>
          <w:tcPr>
            <w:tcW w:w="0" w:type="dxa"/>
            <w:vAlign w:val="bottom"/>
          </w:tcPr>
          <w:p>
            <w:pPr>
              <w:spacing w:after="0"/>
              <w:rPr>
                <w:sz w:val="1"/>
                <w:szCs w:val="1"/>
                <w:color w:val="auto"/>
              </w:rPr>
            </w:pPr>
          </w:p>
        </w:tc>
      </w:tr>
      <w:tr>
        <w:trPr>
          <w:trHeight w:val="230"/>
        </w:trPr>
        <w:tc>
          <w:tcPr>
            <w:tcW w:w="4420" w:type="dxa"/>
            <w:vAlign w:val="bottom"/>
          </w:tcPr>
          <w:p>
            <w:pPr>
              <w:spacing w:after="0"/>
              <w:rPr>
                <w:sz w:val="20"/>
                <w:szCs w:val="20"/>
                <w:color w:val="auto"/>
              </w:rPr>
            </w:pPr>
          </w:p>
        </w:tc>
        <w:tc>
          <w:tcPr>
            <w:tcW w:w="17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200" w:type="dxa"/>
            <w:vAlign w:val="bottom"/>
            <w:gridSpan w:val="3"/>
            <w:vMerge w:val="continue"/>
          </w:tcPr>
          <w:p>
            <w:pPr>
              <w:spacing w:after="0"/>
              <w:rPr>
                <w:sz w:val="20"/>
                <w:szCs w:val="20"/>
                <w:color w:val="auto"/>
              </w:rPr>
            </w:pPr>
          </w:p>
        </w:tc>
        <w:tc>
          <w:tcPr>
            <w:tcW w:w="160" w:type="dxa"/>
            <w:vAlign w:val="bottom"/>
          </w:tcPr>
          <w:p>
            <w:pPr>
              <w:spacing w:after="0"/>
              <w:rPr>
                <w:sz w:val="20"/>
                <w:szCs w:val="20"/>
                <w:color w:val="auto"/>
              </w:rPr>
            </w:pPr>
          </w:p>
        </w:tc>
        <w:tc>
          <w:tcPr>
            <w:tcW w:w="1140" w:type="dxa"/>
            <w:vAlign w:val="bottom"/>
          </w:tcPr>
          <w:p>
            <w:pPr>
              <w:jc w:val="center"/>
              <w:ind w:right="79"/>
              <w:spacing w:after="0"/>
              <w:rPr>
                <w:sz w:val="20"/>
                <w:szCs w:val="20"/>
                <w:color w:val="auto"/>
              </w:rPr>
            </w:pPr>
            <w:r>
              <w:rPr>
                <w:rFonts w:ascii="Times New Roman" w:cs="Times New Roman" w:eastAsia="Times New Roman" w:hAnsi="Times New Roman"/>
                <w:sz w:val="20"/>
                <w:szCs w:val="20"/>
                <w:b w:val="1"/>
                <w:bCs w:val="1"/>
                <w:color w:val="auto"/>
                <w:w w:val="98"/>
              </w:rPr>
              <w:t>Placement</w:t>
            </w:r>
          </w:p>
        </w:tc>
        <w:tc>
          <w:tcPr>
            <w:tcW w:w="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120" w:type="dxa"/>
            <w:vAlign w:val="bottom"/>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281"/>
        </w:trPr>
        <w:tc>
          <w:tcPr>
            <w:tcW w:w="4420" w:type="dxa"/>
            <w:vAlign w:val="bottom"/>
          </w:tcPr>
          <w:p>
            <w:pPr>
              <w:spacing w:after="0"/>
              <w:rPr>
                <w:sz w:val="24"/>
                <w:szCs w:val="24"/>
                <w:color w:val="auto"/>
              </w:rPr>
            </w:pPr>
          </w:p>
        </w:tc>
        <w:tc>
          <w:tcPr>
            <w:tcW w:w="17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00" w:type="dxa"/>
            <w:vAlign w:val="bottom"/>
            <w:gridSpan w:val="3"/>
          </w:tcPr>
          <w:p>
            <w:pPr>
              <w:jc w:val="center"/>
              <w:ind w:right="260"/>
              <w:spacing w:after="0"/>
              <w:rPr>
                <w:sz w:val="20"/>
                <w:szCs w:val="20"/>
                <w:color w:val="auto"/>
              </w:rPr>
            </w:pPr>
            <w:r>
              <w:rPr>
                <w:rFonts w:ascii="Times New Roman" w:cs="Times New Roman" w:eastAsia="Times New Roman" w:hAnsi="Times New Roman"/>
                <w:sz w:val="20"/>
                <w:szCs w:val="20"/>
                <w:b w:val="1"/>
                <w:bCs w:val="1"/>
                <w:color w:val="auto"/>
                <w:w w:val="98"/>
              </w:rPr>
              <w:t>Warrants</w:t>
            </w:r>
          </w:p>
        </w:tc>
        <w:tc>
          <w:tcPr>
            <w:tcW w:w="160" w:type="dxa"/>
            <w:vAlign w:val="bottom"/>
          </w:tcPr>
          <w:p>
            <w:pPr>
              <w:spacing w:after="0"/>
              <w:rPr>
                <w:sz w:val="24"/>
                <w:szCs w:val="24"/>
                <w:color w:val="auto"/>
              </w:rPr>
            </w:pPr>
          </w:p>
        </w:tc>
        <w:tc>
          <w:tcPr>
            <w:tcW w:w="1140" w:type="dxa"/>
            <w:vAlign w:val="bottom"/>
          </w:tcPr>
          <w:p>
            <w:pPr>
              <w:jc w:val="center"/>
              <w:ind w:right="59"/>
              <w:spacing w:after="0"/>
              <w:rPr>
                <w:sz w:val="20"/>
                <w:szCs w:val="20"/>
                <w:color w:val="auto"/>
              </w:rPr>
            </w:pPr>
            <w:r>
              <w:rPr>
                <w:rFonts w:ascii="Times New Roman" w:cs="Times New Roman" w:eastAsia="Times New Roman" w:hAnsi="Times New Roman"/>
                <w:sz w:val="20"/>
                <w:szCs w:val="20"/>
                <w:b w:val="1"/>
                <w:bCs w:val="1"/>
                <w:color w:val="auto"/>
                <w:w w:val="98"/>
              </w:rPr>
              <w:t>Warrants</w:t>
            </w: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120" w:type="dxa"/>
            <w:vAlign w:val="bottom"/>
          </w:tcPr>
          <w:p>
            <w:pPr>
              <w:jc w:val="center"/>
              <w:ind w:right="79"/>
              <w:spacing w:after="0"/>
              <w:rPr>
                <w:sz w:val="20"/>
                <w:szCs w:val="20"/>
                <w:color w:val="auto"/>
              </w:rPr>
            </w:pPr>
            <w:r>
              <w:rPr>
                <w:rFonts w:ascii="Times New Roman" w:cs="Times New Roman" w:eastAsia="Times New Roman" w:hAnsi="Times New Roman"/>
                <w:sz w:val="20"/>
                <w:szCs w:val="20"/>
                <w:b w:val="1"/>
                <w:bCs w:val="1"/>
                <w:color w:val="auto"/>
              </w:rPr>
              <w:t>Liabilities</w:t>
            </w:r>
          </w:p>
        </w:tc>
        <w:tc>
          <w:tcPr>
            <w:tcW w:w="0" w:type="dxa"/>
            <w:vAlign w:val="bottom"/>
          </w:tcPr>
          <w:p>
            <w:pPr>
              <w:spacing w:after="0"/>
              <w:rPr>
                <w:sz w:val="1"/>
                <w:szCs w:val="1"/>
                <w:color w:val="auto"/>
              </w:rPr>
            </w:pPr>
          </w:p>
        </w:tc>
      </w:tr>
      <w:tr>
        <w:trPr>
          <w:trHeight w:val="293"/>
        </w:trPr>
        <w:tc>
          <w:tcPr>
            <w:tcW w:w="4420" w:type="dxa"/>
            <w:vAlign w:val="bottom"/>
            <w:tcBorders>
              <w:top w:val="single" w:sz="8" w:color="DDDDDD"/>
            </w:tcBorders>
            <w:shd w:val="clear" w:color="auto" w:fill="DDDDDD"/>
          </w:tcPr>
          <w:p>
            <w:pPr>
              <w:ind w:left="40"/>
              <w:spacing w:after="0"/>
              <w:rPr>
                <w:sz w:val="20"/>
                <w:szCs w:val="20"/>
                <w:color w:val="auto"/>
              </w:rPr>
            </w:pPr>
            <w:r>
              <w:rPr>
                <w:rFonts w:ascii="Times New Roman" w:cs="Times New Roman" w:eastAsia="Times New Roman" w:hAnsi="Times New Roman"/>
                <w:sz w:val="20"/>
                <w:szCs w:val="20"/>
                <w:color w:val="auto"/>
              </w:rPr>
              <w:t>Fair value, beginning of period</w:t>
            </w:r>
          </w:p>
        </w:tc>
        <w:tc>
          <w:tcPr>
            <w:tcW w:w="1780" w:type="dxa"/>
            <w:vAlign w:val="bottom"/>
            <w:tcBorders>
              <w:top w:val="single" w:sz="8" w:color="DDDDDD"/>
            </w:tcBorders>
            <w:gridSpan w:val="2"/>
            <w:shd w:val="clear" w:color="auto" w:fill="DDDDDD"/>
          </w:tcPr>
          <w:p>
            <w:pPr>
              <w:spacing w:after="0"/>
              <w:rPr>
                <w:sz w:val="24"/>
                <w:szCs w:val="24"/>
                <w:color w:val="auto"/>
              </w:rPr>
            </w:pPr>
          </w:p>
        </w:tc>
        <w:tc>
          <w:tcPr>
            <w:tcW w:w="180" w:type="dxa"/>
            <w:vAlign w:val="bottom"/>
            <w:tcBorders>
              <w:top w:val="single" w:sz="8" w:color="auto"/>
            </w:tcBorders>
            <w:shd w:val="clear" w:color="auto" w:fill="DDDDDD"/>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1120" w:type="dxa"/>
            <w:vAlign w:val="bottom"/>
            <w:tcBorders>
              <w:top w:val="single" w:sz="8" w:color="auto"/>
            </w:tcBorders>
            <w:shd w:val="clear" w:color="auto" w:fill="DDDDDD"/>
          </w:tcPr>
          <w:p>
            <w:pPr>
              <w:jc w:val="right"/>
              <w:spacing w:after="0"/>
              <w:rPr>
                <w:sz w:val="20"/>
                <w:szCs w:val="20"/>
                <w:color w:val="auto"/>
              </w:rPr>
            </w:pPr>
            <w:r>
              <w:rPr>
                <w:rFonts w:ascii="Times New Roman" w:cs="Times New Roman" w:eastAsia="Times New Roman" w:hAnsi="Times New Roman"/>
                <w:sz w:val="20"/>
                <w:szCs w:val="20"/>
                <w:color w:val="auto"/>
              </w:rPr>
              <w:t>16,750</w:t>
            </w:r>
          </w:p>
        </w:tc>
        <w:tc>
          <w:tcPr>
            <w:tcW w:w="60" w:type="dxa"/>
            <w:vAlign w:val="bottom"/>
            <w:tcBorders>
              <w:top w:val="single" w:sz="8" w:color="DDDDDD"/>
            </w:tcBorders>
            <w:shd w:val="clear" w:color="auto" w:fill="DDDDDD"/>
          </w:tcPr>
          <w:p>
            <w:pPr>
              <w:spacing w:after="0"/>
              <w:rPr>
                <w:sz w:val="24"/>
                <w:szCs w:val="24"/>
                <w:color w:val="auto"/>
              </w:rPr>
            </w:pPr>
          </w:p>
        </w:tc>
        <w:tc>
          <w:tcPr>
            <w:tcW w:w="20" w:type="dxa"/>
            <w:vAlign w:val="bottom"/>
            <w:tcBorders>
              <w:top w:val="single" w:sz="8" w:color="DDDDDD"/>
            </w:tcBorders>
            <w:shd w:val="clear" w:color="auto" w:fill="DDDDDD"/>
          </w:tcPr>
          <w:p>
            <w:pPr>
              <w:spacing w:after="0"/>
              <w:rPr>
                <w:sz w:val="24"/>
                <w:szCs w:val="24"/>
                <w:color w:val="auto"/>
              </w:rPr>
            </w:pPr>
          </w:p>
        </w:tc>
        <w:tc>
          <w:tcPr>
            <w:tcW w:w="160" w:type="dxa"/>
            <w:vAlign w:val="bottom"/>
            <w:tcBorders>
              <w:top w:val="single" w:sz="8" w:color="auto"/>
            </w:tcBorders>
            <w:shd w:val="clear" w:color="auto" w:fill="DDDDDD"/>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1140" w:type="dxa"/>
            <w:vAlign w:val="bottom"/>
            <w:tcBorders>
              <w:top w:val="single" w:sz="8" w:color="auto"/>
            </w:tcBorders>
            <w:shd w:val="clear" w:color="auto" w:fill="DDDDDD"/>
          </w:tcPr>
          <w:p>
            <w:pPr>
              <w:jc w:val="right"/>
              <w:spacing w:after="0"/>
              <w:rPr>
                <w:sz w:val="20"/>
                <w:szCs w:val="20"/>
                <w:color w:val="auto"/>
              </w:rPr>
            </w:pPr>
            <w:r>
              <w:rPr>
                <w:rFonts w:ascii="Times New Roman" w:cs="Times New Roman" w:eastAsia="Times New Roman" w:hAnsi="Times New Roman"/>
                <w:sz w:val="20"/>
                <w:szCs w:val="20"/>
                <w:color w:val="auto"/>
              </w:rPr>
              <w:t>10,710</w:t>
            </w:r>
          </w:p>
        </w:tc>
        <w:tc>
          <w:tcPr>
            <w:tcW w:w="80" w:type="dxa"/>
            <w:vAlign w:val="bottom"/>
            <w:tcBorders>
              <w:top w:val="single" w:sz="8" w:color="DDDDDD"/>
            </w:tcBorders>
            <w:gridSpan w:val="2"/>
            <w:shd w:val="clear" w:color="auto" w:fill="DDDDDD"/>
          </w:tcPr>
          <w:p>
            <w:pPr>
              <w:spacing w:after="0"/>
              <w:rPr>
                <w:sz w:val="24"/>
                <w:szCs w:val="24"/>
                <w:color w:val="auto"/>
              </w:rPr>
            </w:pPr>
          </w:p>
        </w:tc>
        <w:tc>
          <w:tcPr>
            <w:tcW w:w="180" w:type="dxa"/>
            <w:vAlign w:val="bottom"/>
            <w:tcBorders>
              <w:top w:val="single" w:sz="8" w:color="auto"/>
            </w:tcBorders>
            <w:shd w:val="clear" w:color="auto" w:fill="DDDDDD"/>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1120" w:type="dxa"/>
            <w:vAlign w:val="bottom"/>
            <w:tcBorders>
              <w:top w:val="single" w:sz="8" w:color="auto"/>
            </w:tcBorders>
            <w:shd w:val="clear" w:color="auto" w:fill="DDDDDD"/>
          </w:tcPr>
          <w:p>
            <w:pPr>
              <w:jc w:val="right"/>
              <w:spacing w:after="0"/>
              <w:rPr>
                <w:sz w:val="20"/>
                <w:szCs w:val="20"/>
                <w:color w:val="auto"/>
              </w:rPr>
            </w:pPr>
            <w:r>
              <w:rPr>
                <w:rFonts w:ascii="Times New Roman" w:cs="Times New Roman" w:eastAsia="Times New Roman" w:hAnsi="Times New Roman"/>
                <w:sz w:val="20"/>
                <w:szCs w:val="20"/>
                <w:color w:val="auto"/>
              </w:rPr>
              <w:t>27,460</w:t>
            </w:r>
          </w:p>
        </w:tc>
        <w:tc>
          <w:tcPr>
            <w:tcW w:w="0" w:type="dxa"/>
            <w:vAlign w:val="bottom"/>
          </w:tcPr>
          <w:p>
            <w:pPr>
              <w:spacing w:after="0"/>
              <w:rPr>
                <w:sz w:val="1"/>
                <w:szCs w:val="1"/>
                <w:color w:val="auto"/>
              </w:rPr>
            </w:pPr>
          </w:p>
        </w:tc>
      </w:tr>
      <w:tr>
        <w:trPr>
          <w:trHeight w:val="311"/>
        </w:trPr>
        <w:tc>
          <w:tcPr>
            <w:tcW w:w="4420" w:type="dxa"/>
            <w:vAlign w:val="bottom"/>
            <w:tcBorders>
              <w:bottom w:val="single" w:sz="8" w:color="DDDDDD"/>
            </w:tcBorders>
          </w:tcPr>
          <w:p>
            <w:pPr>
              <w:ind w:left="40"/>
              <w:spacing w:after="0"/>
              <w:rPr>
                <w:sz w:val="20"/>
                <w:szCs w:val="20"/>
                <w:color w:val="auto"/>
              </w:rPr>
            </w:pPr>
            <w:r>
              <w:rPr>
                <w:rFonts w:ascii="Times New Roman" w:cs="Times New Roman" w:eastAsia="Times New Roman" w:hAnsi="Times New Roman"/>
                <w:sz w:val="20"/>
                <w:szCs w:val="20"/>
                <w:color w:val="auto"/>
              </w:rPr>
              <w:t>Change in valuation inputs or other assumptions</w:t>
            </w:r>
          </w:p>
        </w:tc>
        <w:tc>
          <w:tcPr>
            <w:tcW w:w="1760" w:type="dxa"/>
            <w:vAlign w:val="bottom"/>
            <w:tcBorders>
              <w:bottom w:val="single" w:sz="8" w:color="DDDDDD"/>
            </w:tcBorders>
          </w:tcPr>
          <w:p>
            <w:pPr>
              <w:spacing w:after="0"/>
              <w:rPr>
                <w:sz w:val="24"/>
                <w:szCs w:val="24"/>
                <w:color w:val="auto"/>
              </w:rPr>
            </w:pPr>
          </w:p>
        </w:tc>
        <w:tc>
          <w:tcPr>
            <w:tcW w:w="20" w:type="dxa"/>
            <w:vAlign w:val="bottom"/>
            <w:tcBorders>
              <w:bottom w:val="single" w:sz="8" w:color="DDDDDD"/>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(15,500)</w:t>
            </w:r>
          </w:p>
        </w:tc>
        <w:tc>
          <w:tcPr>
            <w:tcW w:w="60" w:type="dxa"/>
            <w:vAlign w:val="bottom"/>
            <w:tcBorders>
              <w:bottom w:val="single" w:sz="8" w:color="DDDDDD"/>
            </w:tcBorders>
          </w:tcPr>
          <w:p>
            <w:pPr>
              <w:spacing w:after="0"/>
              <w:rPr>
                <w:sz w:val="24"/>
                <w:szCs w:val="24"/>
                <w:color w:val="auto"/>
              </w:rPr>
            </w:pPr>
          </w:p>
        </w:tc>
        <w:tc>
          <w:tcPr>
            <w:tcW w:w="20" w:type="dxa"/>
            <w:vAlign w:val="bottom"/>
            <w:tcBorders>
              <w:bottom w:val="single" w:sz="8" w:color="DDDDDD"/>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(9,870)</w:t>
            </w:r>
          </w:p>
        </w:tc>
        <w:tc>
          <w:tcPr>
            <w:tcW w:w="60" w:type="dxa"/>
            <w:vAlign w:val="bottom"/>
            <w:tcBorders>
              <w:bottom w:val="single" w:sz="8" w:color="DDDDDD"/>
            </w:tcBorders>
          </w:tcPr>
          <w:p>
            <w:pPr>
              <w:spacing w:after="0"/>
              <w:rPr>
                <w:sz w:val="24"/>
                <w:szCs w:val="24"/>
                <w:color w:val="auto"/>
              </w:rPr>
            </w:pPr>
          </w:p>
        </w:tc>
        <w:tc>
          <w:tcPr>
            <w:tcW w:w="20" w:type="dxa"/>
            <w:vAlign w:val="bottom"/>
            <w:tcBorders>
              <w:bottom w:val="single" w:sz="8" w:color="DDDDDD"/>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(25,370)</w:t>
            </w:r>
          </w:p>
        </w:tc>
        <w:tc>
          <w:tcPr>
            <w:tcW w:w="0" w:type="dxa"/>
            <w:vAlign w:val="bottom"/>
          </w:tcPr>
          <w:p>
            <w:pPr>
              <w:spacing w:after="0"/>
              <w:rPr>
                <w:sz w:val="1"/>
                <w:szCs w:val="1"/>
                <w:color w:val="auto"/>
              </w:rPr>
            </w:pPr>
          </w:p>
        </w:tc>
      </w:tr>
      <w:tr>
        <w:trPr>
          <w:trHeight w:val="295"/>
        </w:trPr>
        <w:tc>
          <w:tcPr>
            <w:tcW w:w="4420" w:type="dxa"/>
            <w:vAlign w:val="bottom"/>
            <w:shd w:val="clear" w:color="auto" w:fill="DDDDDD"/>
          </w:tcPr>
          <w:p>
            <w:pPr>
              <w:ind w:left="160"/>
              <w:spacing w:after="0"/>
              <w:rPr>
                <w:sz w:val="20"/>
                <w:szCs w:val="20"/>
                <w:color w:val="auto"/>
              </w:rPr>
            </w:pPr>
            <w:r>
              <w:rPr>
                <w:rFonts w:ascii="Times New Roman" w:cs="Times New Roman" w:eastAsia="Times New Roman" w:hAnsi="Times New Roman"/>
                <w:sz w:val="20"/>
                <w:szCs w:val="20"/>
                <w:color w:val="auto"/>
              </w:rPr>
              <w:t>Fair value, end of period</w:t>
            </w:r>
          </w:p>
        </w:tc>
        <w:tc>
          <w:tcPr>
            <w:tcW w:w="1780" w:type="dxa"/>
            <w:vAlign w:val="bottom"/>
            <w:gridSpan w:val="2"/>
            <w:shd w:val="clear" w:color="auto" w:fill="DDDDDD"/>
          </w:tcPr>
          <w:p>
            <w:pPr>
              <w:spacing w:after="0"/>
              <w:rPr>
                <w:sz w:val="24"/>
                <w:szCs w:val="24"/>
                <w:color w:val="auto"/>
              </w:rPr>
            </w:pPr>
          </w:p>
        </w:tc>
        <w:tc>
          <w:tcPr>
            <w:tcW w:w="180" w:type="dxa"/>
            <w:vAlign w:val="bottom"/>
            <w:shd w:val="clear" w:color="auto" w:fill="DDDDDD"/>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1120" w:type="dxa"/>
            <w:vAlign w:val="bottom"/>
            <w:shd w:val="clear" w:color="auto" w:fill="DDDDDD"/>
          </w:tcPr>
          <w:p>
            <w:pPr>
              <w:jc w:val="right"/>
              <w:spacing w:after="0"/>
              <w:rPr>
                <w:sz w:val="20"/>
                <w:szCs w:val="20"/>
                <w:color w:val="auto"/>
              </w:rPr>
            </w:pPr>
            <w:r>
              <w:rPr>
                <w:rFonts w:ascii="Times New Roman" w:cs="Times New Roman" w:eastAsia="Times New Roman" w:hAnsi="Times New Roman"/>
                <w:sz w:val="20"/>
                <w:szCs w:val="20"/>
                <w:color w:val="auto"/>
              </w:rPr>
              <w:t>1,250</w:t>
            </w:r>
          </w:p>
        </w:tc>
        <w:tc>
          <w:tcPr>
            <w:tcW w:w="60" w:type="dxa"/>
            <w:vAlign w:val="bottom"/>
            <w:shd w:val="clear" w:color="auto" w:fill="DDDDDD"/>
          </w:tcPr>
          <w:p>
            <w:pPr>
              <w:spacing w:after="0"/>
              <w:rPr>
                <w:sz w:val="24"/>
                <w:szCs w:val="24"/>
                <w:color w:val="auto"/>
              </w:rPr>
            </w:pPr>
          </w:p>
        </w:tc>
        <w:tc>
          <w:tcPr>
            <w:tcW w:w="20" w:type="dxa"/>
            <w:vAlign w:val="bottom"/>
            <w:shd w:val="clear" w:color="auto" w:fill="DDDDDD"/>
          </w:tcPr>
          <w:p>
            <w:pPr>
              <w:spacing w:after="0"/>
              <w:rPr>
                <w:sz w:val="24"/>
                <w:szCs w:val="24"/>
                <w:color w:val="auto"/>
              </w:rPr>
            </w:pPr>
          </w:p>
        </w:tc>
        <w:tc>
          <w:tcPr>
            <w:tcW w:w="160" w:type="dxa"/>
            <w:vAlign w:val="bottom"/>
            <w:shd w:val="clear" w:color="auto" w:fill="DDDDDD"/>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1140" w:type="dxa"/>
            <w:vAlign w:val="bottom"/>
            <w:shd w:val="clear" w:color="auto" w:fill="DDDDDD"/>
          </w:tcPr>
          <w:p>
            <w:pPr>
              <w:jc w:val="right"/>
              <w:spacing w:after="0"/>
              <w:rPr>
                <w:sz w:val="20"/>
                <w:szCs w:val="20"/>
                <w:color w:val="auto"/>
              </w:rPr>
            </w:pPr>
            <w:r>
              <w:rPr>
                <w:rFonts w:ascii="Times New Roman" w:cs="Times New Roman" w:eastAsia="Times New Roman" w:hAnsi="Times New Roman"/>
                <w:sz w:val="20"/>
                <w:szCs w:val="20"/>
                <w:color w:val="auto"/>
              </w:rPr>
              <w:t>840</w:t>
            </w:r>
          </w:p>
        </w:tc>
        <w:tc>
          <w:tcPr>
            <w:tcW w:w="80" w:type="dxa"/>
            <w:vAlign w:val="bottom"/>
            <w:gridSpan w:val="2"/>
            <w:shd w:val="clear" w:color="auto" w:fill="DDDDDD"/>
          </w:tcPr>
          <w:p>
            <w:pPr>
              <w:spacing w:after="0"/>
              <w:rPr>
                <w:sz w:val="24"/>
                <w:szCs w:val="24"/>
                <w:color w:val="auto"/>
              </w:rPr>
            </w:pPr>
          </w:p>
        </w:tc>
        <w:tc>
          <w:tcPr>
            <w:tcW w:w="180" w:type="dxa"/>
            <w:vAlign w:val="bottom"/>
            <w:shd w:val="clear" w:color="auto" w:fill="DDDDDD"/>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1120" w:type="dxa"/>
            <w:vAlign w:val="bottom"/>
            <w:shd w:val="clear" w:color="auto" w:fill="DDDDDD"/>
          </w:tcPr>
          <w:p>
            <w:pPr>
              <w:jc w:val="right"/>
              <w:spacing w:after="0"/>
              <w:rPr>
                <w:sz w:val="20"/>
                <w:szCs w:val="20"/>
                <w:color w:val="auto"/>
              </w:rPr>
            </w:pPr>
            <w:r>
              <w:rPr>
                <w:rFonts w:ascii="Times New Roman" w:cs="Times New Roman" w:eastAsia="Times New Roman" w:hAnsi="Times New Roman"/>
                <w:sz w:val="20"/>
                <w:szCs w:val="20"/>
                <w:color w:val="auto"/>
              </w:rPr>
              <w:t>2,090</w:t>
            </w:r>
          </w:p>
        </w:tc>
        <w:tc>
          <w:tcPr>
            <w:tcW w:w="0" w:type="dxa"/>
            <w:vAlign w:val="bottom"/>
          </w:tcPr>
          <w:p>
            <w:pPr>
              <w:spacing w:after="0"/>
              <w:rPr>
                <w:sz w:val="1"/>
                <w:szCs w:val="1"/>
                <w:color w:val="auto"/>
              </w:rPr>
            </w:pPr>
          </w:p>
        </w:tc>
      </w:tr>
      <w:tr>
        <w:trPr>
          <w:trHeight w:val="22"/>
        </w:trPr>
        <w:tc>
          <w:tcPr>
            <w:tcW w:w="4420" w:type="dxa"/>
            <w:vAlign w:val="bottom"/>
          </w:tcPr>
          <w:p>
            <w:pPr>
              <w:spacing w:after="0" w:line="20" w:lineRule="exact"/>
              <w:rPr>
                <w:sz w:val="1"/>
                <w:szCs w:val="1"/>
                <w:color w:val="auto"/>
              </w:rPr>
            </w:pPr>
          </w:p>
        </w:tc>
        <w:tc>
          <w:tcPr>
            <w:tcW w:w="1960" w:type="dxa"/>
            <w:vAlign w:val="bottom"/>
            <w:gridSpan w:val="3"/>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0"/>
        </w:trPr>
        <w:tc>
          <w:tcPr>
            <w:tcW w:w="4420" w:type="dxa"/>
            <w:vAlign w:val="bottom"/>
          </w:tcPr>
          <w:p>
            <w:pPr>
              <w:spacing w:after="0" w:line="20" w:lineRule="exact"/>
              <w:rPr>
                <w:sz w:val="1"/>
                <w:szCs w:val="1"/>
                <w:color w:val="auto"/>
              </w:rPr>
            </w:pPr>
          </w:p>
        </w:tc>
        <w:tc>
          <w:tcPr>
            <w:tcW w:w="1760" w:type="dxa"/>
            <w:vAlign w:val="bottom"/>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46"/>
        </w:trPr>
        <w:tc>
          <w:tcPr>
            <w:tcW w:w="4420" w:type="dxa"/>
            <w:vAlign w:val="bottom"/>
          </w:tcPr>
          <w:p>
            <w:pPr>
              <w:spacing w:after="0"/>
              <w:rPr>
                <w:sz w:val="24"/>
                <w:szCs w:val="24"/>
                <w:color w:val="auto"/>
              </w:rPr>
            </w:pPr>
          </w:p>
        </w:tc>
        <w:tc>
          <w:tcPr>
            <w:tcW w:w="1960" w:type="dxa"/>
            <w:vAlign w:val="bottom"/>
            <w:gridSpan w:val="3"/>
          </w:tcPr>
          <w:p>
            <w:pPr>
              <w:jc w:val="right"/>
              <w:ind w:right="959"/>
              <w:spacing w:after="0"/>
              <w:rPr>
                <w:sz w:val="20"/>
                <w:szCs w:val="20"/>
                <w:color w:val="auto"/>
              </w:rPr>
            </w:pPr>
            <w:r>
              <w:rPr>
                <w:rFonts w:ascii="Times New Roman" w:cs="Times New Roman" w:eastAsia="Times New Roman" w:hAnsi="Times New Roman"/>
                <w:sz w:val="20"/>
                <w:szCs w:val="20"/>
                <w:color w:val="auto"/>
              </w:rPr>
              <w:t>F-20</w:t>
            </w:r>
          </w:p>
        </w:tc>
        <w:tc>
          <w:tcPr>
            <w:tcW w:w="11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2240" w:h="15840" w:orient="portrait"/>
          <w:cols w:equalWidth="0" w:num="1">
            <w:col w:w="10267"/>
          </w:cols>
          <w:pgMar w:left="993" w:top="731" w:right="980" w:bottom="182" w:gutter="0" w:footer="0" w:header="0"/>
        </w:sectPr>
      </w:pPr>
    </w:p>
    <w:bookmarkStart w:id="140" w:name="page141"/>
    <w:bookmarkEnd w:id="140"/>
    <w:p>
      <w:pPr>
        <w:jc w:val="center"/>
        <w:ind w:right="14"/>
        <w:spacing w:after="0"/>
        <w:rPr>
          <w:sz w:val="20"/>
          <w:szCs w:val="20"/>
          <w:color w:val="auto"/>
        </w:rPr>
      </w:pPr>
      <w:r>
        <w:rPr>
          <w:rFonts w:ascii="Times New Roman" w:cs="Times New Roman" w:eastAsia="Times New Roman" w:hAnsi="Times New Roman"/>
          <w:sz w:val="20"/>
          <w:szCs w:val="20"/>
          <w:b w:val="1"/>
          <w:bCs w:val="1"/>
          <w:color w:val="auto"/>
        </w:rPr>
        <w:t>WM TECHNOLOGY, INC. AND SUBSIDIARIES</w:t>
      </w:r>
    </w:p>
    <w:p>
      <w:pPr>
        <w:spacing w:after="0" w:line="48" w:lineRule="exact"/>
        <w:rPr>
          <w:sz w:val="20"/>
          <w:szCs w:val="20"/>
          <w:color w:val="auto"/>
        </w:rPr>
      </w:pPr>
    </w:p>
    <w:p>
      <w:pPr>
        <w:jc w:val="center"/>
        <w:ind w:right="-5"/>
        <w:spacing w:after="0"/>
        <w:rPr>
          <w:sz w:val="20"/>
          <w:szCs w:val="20"/>
          <w:color w:val="auto"/>
        </w:rPr>
      </w:pPr>
      <w:r>
        <w:rPr>
          <w:rFonts w:ascii="Times New Roman" w:cs="Times New Roman" w:eastAsia="Times New Roman" w:hAnsi="Times New Roman"/>
          <w:sz w:val="20"/>
          <w:szCs w:val="20"/>
          <w:b w:val="1"/>
          <w:bCs w:val="1"/>
          <w:color w:val="auto"/>
        </w:rPr>
        <w:t>NOTES TO CONSOLIDATED FINANCIAL STATEMENTS</w:t>
      </w:r>
    </w:p>
    <w:p>
      <w:pPr>
        <w:spacing w:after="0" w:line="289" w:lineRule="exact"/>
        <w:rPr>
          <w:sz w:val="20"/>
          <w:szCs w:val="20"/>
          <w:color w:val="auto"/>
        </w:rPr>
      </w:pPr>
    </w:p>
    <w:p>
      <w:pPr>
        <w:ind w:left="6"/>
        <w:spacing w:after="0"/>
        <w:rPr>
          <w:sz w:val="20"/>
          <w:szCs w:val="20"/>
          <w:color w:val="auto"/>
        </w:rPr>
      </w:pPr>
      <w:r>
        <w:rPr>
          <w:rFonts w:ascii="Times New Roman" w:cs="Times New Roman" w:eastAsia="Times New Roman" w:hAnsi="Times New Roman"/>
          <w:sz w:val="20"/>
          <w:szCs w:val="20"/>
          <w:b w:val="1"/>
          <w:bCs w:val="1"/>
          <w:i w:val="1"/>
          <w:iCs w:val="1"/>
          <w:color w:val="auto"/>
        </w:rPr>
        <w:t>Public Warrants</w:t>
      </w:r>
    </w:p>
    <w:p>
      <w:pPr>
        <w:spacing w:after="0" w:line="164" w:lineRule="exact"/>
        <w:rPr>
          <w:sz w:val="20"/>
          <w:szCs w:val="20"/>
          <w:color w:val="auto"/>
        </w:rPr>
      </w:pPr>
    </w:p>
    <w:p>
      <w:pPr>
        <w:jc w:val="both"/>
        <w:ind w:left="6" w:right="20"/>
        <w:spacing w:after="0" w:line="326" w:lineRule="auto"/>
        <w:rPr>
          <w:sz w:val="20"/>
          <w:szCs w:val="20"/>
          <w:color w:val="auto"/>
        </w:rPr>
      </w:pPr>
      <w:r>
        <w:rPr>
          <w:rFonts w:ascii="Times New Roman" w:cs="Times New Roman" w:eastAsia="Times New Roman" w:hAnsi="Times New Roman"/>
          <w:sz w:val="20"/>
          <w:szCs w:val="20"/>
          <w:color w:val="auto"/>
        </w:rPr>
        <w:t>The Company determined the fair value of the Public Warrants, based on the publicly listed trading price of such warrants as of the valuation date. Accordingly, the Public Warrants are classified as Level 1 financial instruments.</w:t>
      </w:r>
    </w:p>
    <w:p>
      <w:pPr>
        <w:spacing w:after="0" w:line="47" w:lineRule="exact"/>
        <w:rPr>
          <w:sz w:val="20"/>
          <w:szCs w:val="20"/>
          <w:color w:val="auto"/>
        </w:rPr>
      </w:pPr>
    </w:p>
    <w:p>
      <w:pPr>
        <w:ind w:left="6"/>
        <w:spacing w:after="0"/>
        <w:rPr>
          <w:sz w:val="20"/>
          <w:szCs w:val="20"/>
          <w:color w:val="auto"/>
        </w:rPr>
      </w:pPr>
      <w:r>
        <w:rPr>
          <w:rFonts w:ascii="Times New Roman" w:cs="Times New Roman" w:eastAsia="Times New Roman" w:hAnsi="Times New Roman"/>
          <w:sz w:val="20"/>
          <w:szCs w:val="20"/>
          <w:b w:val="1"/>
          <w:bCs w:val="1"/>
          <w:i w:val="1"/>
          <w:iCs w:val="1"/>
          <w:color w:val="auto"/>
        </w:rPr>
        <w:t>Private Placement Warrants</w:t>
      </w:r>
    </w:p>
    <w:p>
      <w:pPr>
        <w:spacing w:after="0" w:line="171" w:lineRule="exact"/>
        <w:rPr>
          <w:sz w:val="20"/>
          <w:szCs w:val="20"/>
          <w:color w:val="auto"/>
        </w:rPr>
      </w:pPr>
    </w:p>
    <w:p>
      <w:pPr>
        <w:jc w:val="both"/>
        <w:ind w:left="6"/>
        <w:spacing w:after="0" w:line="291" w:lineRule="auto"/>
        <w:rPr>
          <w:sz w:val="20"/>
          <w:szCs w:val="20"/>
          <w:color w:val="auto"/>
        </w:rPr>
      </w:pPr>
      <w:r>
        <w:rPr>
          <w:rFonts w:ascii="Times New Roman" w:cs="Times New Roman" w:eastAsia="Times New Roman" w:hAnsi="Times New Roman"/>
          <w:sz w:val="20"/>
          <w:szCs w:val="20"/>
          <w:color w:val="auto"/>
        </w:rPr>
        <w:t>The estimated fair value of the Private Placement Warrants is determined with Level 3 inputs using the Black-Scholes model. The significant inputs and assumptions in this method are the stock price, exercise price, volatility, risk-free rate and term or maturity. The underlying stock price input is the closing stock price as of each valuation date and the exercise price is the price as stated in the warrant agreement. The volatility input was determined using the historical volatility of comparable publicly traded companies which operate in a similar industry or compete directly against the Company. Volatility for each comparable publicly traded company is calculated as the annualized standard deviation of daily continuously compounded returns. The Black-Scholes analysis is performed in a risk-neutral framework, which requires a risk-free rate assumption based upon constant-maturity treasury yields, which are interpolated based on the remaining term of the Private Placement Warrants as of each valuation date. The term/maturity is the duration between each valuation date and the maturity date, which is five years following the date the Business Combination closed, or June 16, 2026.</w:t>
      </w:r>
    </w:p>
    <w:p>
      <w:pPr>
        <w:spacing w:after="0" w:line="91" w:lineRule="exact"/>
        <w:rPr>
          <w:sz w:val="20"/>
          <w:szCs w:val="20"/>
          <w:color w:val="auto"/>
        </w:rPr>
      </w:pPr>
    </w:p>
    <w:p>
      <w:pPr>
        <w:ind w:left="6" w:right="220"/>
        <w:spacing w:after="0" w:line="310" w:lineRule="auto"/>
        <w:rPr>
          <w:sz w:val="20"/>
          <w:szCs w:val="20"/>
          <w:color w:val="auto"/>
        </w:rPr>
      </w:pPr>
      <w:r>
        <w:rPr>
          <w:rFonts w:ascii="Times New Roman" w:cs="Times New Roman" w:eastAsia="Times New Roman" w:hAnsi="Times New Roman"/>
          <w:sz w:val="20"/>
          <w:szCs w:val="20"/>
          <w:color w:val="auto"/>
        </w:rPr>
        <w:t>The following table provides quantitative information regarding Level 3 fair value measurements inputs at their measurement dates:</w:t>
      </w:r>
    </w:p>
    <w:p>
      <w:pPr>
        <w:spacing w:after="0" w:line="2" w:lineRule="exact"/>
        <w:rPr>
          <w:sz w:val="20"/>
          <w:szCs w:val="20"/>
          <w:color w:val="auto"/>
        </w:rPr>
      </w:pPr>
    </w:p>
    <w:tbl>
      <w:tblPr>
        <w:tblLayout w:type="fixed"/>
        <w:tblInd w:w="6" w:type="dxa"/>
        <w:tblCellMar>
          <w:top w:w="0" w:type="dxa"/>
          <w:left w:w="0" w:type="dxa"/>
          <w:bottom w:w="0" w:type="dxa"/>
          <w:right w:w="0" w:type="dxa"/>
        </w:tblCellMar>
      </w:tblPr>
      <w:tr>
        <w:trPr>
          <w:trHeight w:val="281"/>
        </w:trPr>
        <w:tc>
          <w:tcPr>
            <w:tcW w:w="61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100" w:type="dxa"/>
            <w:vAlign w:val="bottom"/>
            <w:gridSpan w:val="5"/>
          </w:tcPr>
          <w:p>
            <w:pPr>
              <w:jc w:val="right"/>
              <w:ind w:right="279"/>
              <w:spacing w:after="0"/>
              <w:rPr>
                <w:sz w:val="20"/>
                <w:szCs w:val="20"/>
                <w:color w:val="auto"/>
              </w:rPr>
            </w:pPr>
            <w:r>
              <w:rPr>
                <w:rFonts w:ascii="Times New Roman" w:cs="Times New Roman" w:eastAsia="Times New Roman" w:hAnsi="Times New Roman"/>
                <w:sz w:val="20"/>
                <w:szCs w:val="20"/>
                <w:b w:val="1"/>
                <w:bCs w:val="1"/>
                <w:color w:val="auto"/>
              </w:rPr>
              <w:t>December 31, 2023</w:t>
            </w:r>
          </w:p>
        </w:tc>
        <w:tc>
          <w:tcPr>
            <w:tcW w:w="1700" w:type="dxa"/>
            <w:vAlign w:val="bottom"/>
          </w:tcPr>
          <w:p>
            <w:pPr>
              <w:jc w:val="right"/>
              <w:spacing w:after="0"/>
              <w:rPr>
                <w:sz w:val="20"/>
                <w:szCs w:val="20"/>
                <w:color w:val="auto"/>
              </w:rPr>
            </w:pPr>
            <w:r>
              <w:rPr>
                <w:rFonts w:ascii="Times New Roman" w:cs="Times New Roman" w:eastAsia="Times New Roman" w:hAnsi="Times New Roman"/>
                <w:sz w:val="20"/>
                <w:szCs w:val="20"/>
                <w:b w:val="1"/>
                <w:bCs w:val="1"/>
                <w:color w:val="auto"/>
              </w:rPr>
              <w:t>December 31, 2022</w:t>
            </w:r>
          </w:p>
        </w:tc>
        <w:tc>
          <w:tcPr>
            <w:tcW w:w="220" w:type="dxa"/>
            <w:vAlign w:val="bottom"/>
          </w:tcPr>
          <w:p>
            <w:pPr>
              <w:spacing w:after="0"/>
              <w:rPr>
                <w:sz w:val="24"/>
                <w:szCs w:val="24"/>
                <w:color w:val="auto"/>
              </w:rPr>
            </w:pPr>
          </w:p>
        </w:tc>
      </w:tr>
      <w:tr>
        <w:trPr>
          <w:trHeight w:val="300"/>
        </w:trPr>
        <w:tc>
          <w:tcPr>
            <w:tcW w:w="6180" w:type="dxa"/>
            <w:vAlign w:val="bottom"/>
            <w:tcBorders>
              <w:top w:val="single" w:sz="8" w:color="DDDDDD"/>
            </w:tcBorders>
            <w:shd w:val="clear" w:color="auto" w:fill="DDDDDD"/>
          </w:tcPr>
          <w:p>
            <w:pPr>
              <w:ind w:left="40"/>
              <w:spacing w:after="0"/>
              <w:rPr>
                <w:sz w:val="20"/>
                <w:szCs w:val="20"/>
                <w:color w:val="auto"/>
              </w:rPr>
            </w:pPr>
            <w:r>
              <w:rPr>
                <w:rFonts w:ascii="Times New Roman" w:cs="Times New Roman" w:eastAsia="Times New Roman" w:hAnsi="Times New Roman"/>
                <w:sz w:val="20"/>
                <w:szCs w:val="20"/>
                <w:color w:val="auto"/>
              </w:rPr>
              <w:t>Exercise price</w:t>
            </w:r>
          </w:p>
        </w:tc>
        <w:tc>
          <w:tcPr>
            <w:tcW w:w="60" w:type="dxa"/>
            <w:vAlign w:val="bottom"/>
            <w:tcBorders>
              <w:top w:val="single" w:sz="8" w:color="DDDDDD"/>
            </w:tcBorders>
            <w:shd w:val="clear" w:color="auto" w:fill="DDDDDD"/>
          </w:tcPr>
          <w:p>
            <w:pPr>
              <w:spacing w:after="0"/>
              <w:rPr>
                <w:sz w:val="24"/>
                <w:szCs w:val="24"/>
                <w:color w:val="auto"/>
              </w:rPr>
            </w:pPr>
          </w:p>
        </w:tc>
        <w:tc>
          <w:tcPr>
            <w:tcW w:w="640" w:type="dxa"/>
            <w:vAlign w:val="bottom"/>
            <w:tcBorders>
              <w:top w:val="single" w:sz="8" w:color="auto"/>
            </w:tcBorders>
            <w:shd w:val="clear" w:color="auto" w:fill="DDDDDD"/>
          </w:tcPr>
          <w:p>
            <w:pPr>
              <w:jc w:val="right"/>
              <w:ind w:right="399"/>
              <w:spacing w:after="0"/>
              <w:rPr>
                <w:sz w:val="20"/>
                <w:szCs w:val="20"/>
                <w:color w:val="auto"/>
              </w:rPr>
            </w:pPr>
            <w:r>
              <w:rPr>
                <w:rFonts w:ascii="Times New Roman" w:cs="Times New Roman" w:eastAsia="Times New Roman" w:hAnsi="Times New Roman"/>
                <w:sz w:val="20"/>
                <w:szCs w:val="20"/>
                <w:color w:val="auto"/>
              </w:rPr>
              <w:t>$</w:t>
            </w:r>
          </w:p>
        </w:tc>
        <w:tc>
          <w:tcPr>
            <w:tcW w:w="980" w:type="dxa"/>
            <w:vAlign w:val="bottom"/>
            <w:tcBorders>
              <w:top w:val="single" w:sz="8" w:color="auto"/>
            </w:tcBorders>
            <w:shd w:val="clear" w:color="auto" w:fill="DDDDDD"/>
          </w:tcPr>
          <w:p>
            <w:pPr>
              <w:jc w:val="right"/>
              <w:spacing w:after="0"/>
              <w:rPr>
                <w:sz w:val="20"/>
                <w:szCs w:val="20"/>
                <w:color w:val="auto"/>
              </w:rPr>
            </w:pPr>
            <w:r>
              <w:rPr>
                <w:rFonts w:ascii="Times New Roman" w:cs="Times New Roman" w:eastAsia="Times New Roman" w:hAnsi="Times New Roman"/>
                <w:sz w:val="20"/>
                <w:szCs w:val="20"/>
                <w:color w:val="auto"/>
              </w:rPr>
              <w:t>11.50</w:t>
            </w:r>
          </w:p>
        </w:tc>
        <w:tc>
          <w:tcPr>
            <w:tcW w:w="220" w:type="dxa"/>
            <w:vAlign w:val="bottom"/>
            <w:tcBorders>
              <w:top w:val="single" w:sz="8" w:color="auto"/>
            </w:tcBorders>
            <w:shd w:val="clear" w:color="auto" w:fill="DDDDDD"/>
          </w:tcPr>
          <w:p>
            <w:pPr>
              <w:spacing w:after="0"/>
              <w:rPr>
                <w:sz w:val="24"/>
                <w:szCs w:val="24"/>
                <w:color w:val="auto"/>
              </w:rPr>
            </w:pPr>
          </w:p>
        </w:tc>
        <w:tc>
          <w:tcPr>
            <w:tcW w:w="60" w:type="dxa"/>
            <w:vAlign w:val="bottom"/>
            <w:shd w:val="clear" w:color="auto" w:fill="DDDDDD"/>
          </w:tcPr>
          <w:p>
            <w:pPr>
              <w:spacing w:after="0"/>
              <w:rPr>
                <w:sz w:val="24"/>
                <w:szCs w:val="24"/>
                <w:color w:val="auto"/>
              </w:rPr>
            </w:pPr>
          </w:p>
        </w:tc>
        <w:tc>
          <w:tcPr>
            <w:tcW w:w="200" w:type="dxa"/>
            <w:vAlign w:val="bottom"/>
            <w:tcBorders>
              <w:top w:val="single" w:sz="8" w:color="auto"/>
            </w:tcBorders>
            <w:shd w:val="clear" w:color="auto" w:fill="DDDDDD"/>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1700" w:type="dxa"/>
            <w:vAlign w:val="bottom"/>
            <w:tcBorders>
              <w:top w:val="single" w:sz="8" w:color="auto"/>
            </w:tcBorders>
            <w:shd w:val="clear" w:color="auto" w:fill="DDDDDD"/>
          </w:tcPr>
          <w:p>
            <w:pPr>
              <w:jc w:val="right"/>
              <w:spacing w:after="0"/>
              <w:rPr>
                <w:sz w:val="20"/>
                <w:szCs w:val="20"/>
                <w:color w:val="auto"/>
              </w:rPr>
            </w:pPr>
            <w:r>
              <w:rPr>
                <w:rFonts w:ascii="Times New Roman" w:cs="Times New Roman" w:eastAsia="Times New Roman" w:hAnsi="Times New Roman"/>
                <w:sz w:val="20"/>
                <w:szCs w:val="20"/>
                <w:color w:val="auto"/>
              </w:rPr>
              <w:t>11.50</w:t>
            </w:r>
          </w:p>
        </w:tc>
        <w:tc>
          <w:tcPr>
            <w:tcW w:w="220" w:type="dxa"/>
            <w:vAlign w:val="bottom"/>
            <w:tcBorders>
              <w:top w:val="single" w:sz="8" w:color="auto"/>
            </w:tcBorders>
            <w:shd w:val="clear" w:color="auto" w:fill="DDDDDD"/>
          </w:tcPr>
          <w:p>
            <w:pPr>
              <w:spacing w:after="0"/>
              <w:rPr>
                <w:sz w:val="24"/>
                <w:szCs w:val="24"/>
                <w:color w:val="auto"/>
              </w:rPr>
            </w:pPr>
          </w:p>
        </w:tc>
      </w:tr>
      <w:tr>
        <w:trPr>
          <w:trHeight w:val="304"/>
        </w:trPr>
        <w:tc>
          <w:tcPr>
            <w:tcW w:w="6180" w:type="dxa"/>
            <w:vAlign w:val="bottom"/>
          </w:tcPr>
          <w:p>
            <w:pPr>
              <w:ind w:left="40"/>
              <w:spacing w:after="0"/>
              <w:rPr>
                <w:sz w:val="20"/>
                <w:szCs w:val="20"/>
                <w:color w:val="auto"/>
              </w:rPr>
            </w:pPr>
            <w:r>
              <w:rPr>
                <w:rFonts w:ascii="Times New Roman" w:cs="Times New Roman" w:eastAsia="Times New Roman" w:hAnsi="Times New Roman"/>
                <w:sz w:val="20"/>
                <w:szCs w:val="20"/>
                <w:color w:val="auto"/>
              </w:rPr>
              <w:t>Stock price</w:t>
            </w:r>
          </w:p>
        </w:tc>
        <w:tc>
          <w:tcPr>
            <w:tcW w:w="700" w:type="dxa"/>
            <w:vAlign w:val="bottom"/>
            <w:gridSpan w:val="2"/>
          </w:tcPr>
          <w:p>
            <w:pPr>
              <w:jc w:val="right"/>
              <w:ind w:right="399"/>
              <w:spacing w:after="0"/>
              <w:rPr>
                <w:sz w:val="20"/>
                <w:szCs w:val="20"/>
                <w:color w:val="auto"/>
              </w:rPr>
            </w:pPr>
            <w:r>
              <w:rPr>
                <w:rFonts w:ascii="Times New Roman" w:cs="Times New Roman" w:eastAsia="Times New Roman" w:hAnsi="Times New Roman"/>
                <w:sz w:val="20"/>
                <w:szCs w:val="20"/>
                <w:color w:val="auto"/>
              </w:rPr>
              <w:t>$</w:t>
            </w:r>
          </w:p>
        </w:tc>
        <w:tc>
          <w:tcPr>
            <w:tcW w:w="980" w:type="dxa"/>
            <w:vAlign w:val="bottom"/>
          </w:tcPr>
          <w:p>
            <w:pPr>
              <w:ind w:left="600"/>
              <w:spacing w:after="0"/>
              <w:rPr>
                <w:sz w:val="20"/>
                <w:szCs w:val="20"/>
                <w:color w:val="auto"/>
              </w:rPr>
            </w:pPr>
            <w:r>
              <w:rPr>
                <w:rFonts w:ascii="Times New Roman" w:cs="Times New Roman" w:eastAsia="Times New Roman" w:hAnsi="Times New Roman"/>
                <w:sz w:val="20"/>
                <w:szCs w:val="20"/>
                <w:color w:val="auto"/>
              </w:rPr>
              <w:t>0.72</w:t>
            </w:r>
          </w:p>
        </w:tc>
        <w:tc>
          <w:tcPr>
            <w:tcW w:w="480" w:type="dxa"/>
            <w:vAlign w:val="bottom"/>
            <w:gridSpan w:val="3"/>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17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1.01</w:t>
            </w:r>
          </w:p>
        </w:tc>
        <w:tc>
          <w:tcPr>
            <w:tcW w:w="220" w:type="dxa"/>
            <w:vAlign w:val="bottom"/>
          </w:tcPr>
          <w:p>
            <w:pPr>
              <w:spacing w:after="0"/>
              <w:rPr>
                <w:sz w:val="24"/>
                <w:szCs w:val="24"/>
                <w:color w:val="auto"/>
              </w:rPr>
            </w:pPr>
          </w:p>
        </w:tc>
      </w:tr>
      <w:tr>
        <w:trPr>
          <w:trHeight w:val="323"/>
        </w:trPr>
        <w:tc>
          <w:tcPr>
            <w:tcW w:w="6180" w:type="dxa"/>
            <w:vAlign w:val="bottom"/>
            <w:shd w:val="clear" w:color="auto" w:fill="DDDDDD"/>
          </w:tcPr>
          <w:p>
            <w:pPr>
              <w:ind w:left="40"/>
              <w:spacing w:after="0"/>
              <w:rPr>
                <w:sz w:val="20"/>
                <w:szCs w:val="20"/>
                <w:color w:val="auto"/>
              </w:rPr>
            </w:pPr>
            <w:r>
              <w:rPr>
                <w:rFonts w:ascii="Times New Roman" w:cs="Times New Roman" w:eastAsia="Times New Roman" w:hAnsi="Times New Roman"/>
                <w:sz w:val="20"/>
                <w:szCs w:val="20"/>
                <w:color w:val="auto"/>
              </w:rPr>
              <w:t>Volatility</w:t>
            </w:r>
          </w:p>
        </w:tc>
        <w:tc>
          <w:tcPr>
            <w:tcW w:w="60" w:type="dxa"/>
            <w:vAlign w:val="bottom"/>
            <w:shd w:val="clear" w:color="auto" w:fill="DDDDDD"/>
          </w:tcPr>
          <w:p>
            <w:pPr>
              <w:spacing w:after="0"/>
              <w:rPr>
                <w:sz w:val="24"/>
                <w:szCs w:val="24"/>
                <w:color w:val="auto"/>
              </w:rPr>
            </w:pPr>
          </w:p>
        </w:tc>
        <w:tc>
          <w:tcPr>
            <w:tcW w:w="640" w:type="dxa"/>
            <w:vAlign w:val="bottom"/>
            <w:shd w:val="clear" w:color="auto" w:fill="DDDDDD"/>
          </w:tcPr>
          <w:p>
            <w:pPr>
              <w:spacing w:after="0"/>
              <w:rPr>
                <w:sz w:val="24"/>
                <w:szCs w:val="24"/>
                <w:color w:val="auto"/>
              </w:rPr>
            </w:pPr>
          </w:p>
        </w:tc>
        <w:tc>
          <w:tcPr>
            <w:tcW w:w="1200" w:type="dxa"/>
            <w:vAlign w:val="bottom"/>
            <w:gridSpan w:val="2"/>
            <w:shd w:val="clear" w:color="auto" w:fill="DDDDDD"/>
          </w:tcPr>
          <w:p>
            <w:pPr>
              <w:ind w:left="600"/>
              <w:spacing w:after="0"/>
              <w:rPr>
                <w:sz w:val="20"/>
                <w:szCs w:val="20"/>
                <w:color w:val="auto"/>
              </w:rPr>
            </w:pPr>
            <w:r>
              <w:rPr>
                <w:rFonts w:ascii="Times New Roman" w:cs="Times New Roman" w:eastAsia="Times New Roman" w:hAnsi="Times New Roman"/>
                <w:sz w:val="20"/>
                <w:szCs w:val="20"/>
                <w:color w:val="auto"/>
              </w:rPr>
              <w:t>87.5 %</w:t>
            </w:r>
          </w:p>
        </w:tc>
        <w:tc>
          <w:tcPr>
            <w:tcW w:w="60" w:type="dxa"/>
            <w:vAlign w:val="bottom"/>
            <w:shd w:val="clear" w:color="auto" w:fill="DDDDDD"/>
          </w:tcPr>
          <w:p>
            <w:pPr>
              <w:spacing w:after="0"/>
              <w:rPr>
                <w:sz w:val="24"/>
                <w:szCs w:val="24"/>
                <w:color w:val="auto"/>
              </w:rPr>
            </w:pPr>
          </w:p>
        </w:tc>
        <w:tc>
          <w:tcPr>
            <w:tcW w:w="200" w:type="dxa"/>
            <w:vAlign w:val="bottom"/>
            <w:shd w:val="clear" w:color="auto" w:fill="DDDDDD"/>
          </w:tcPr>
          <w:p>
            <w:pPr>
              <w:spacing w:after="0"/>
              <w:rPr>
                <w:sz w:val="24"/>
                <w:szCs w:val="24"/>
                <w:color w:val="auto"/>
              </w:rPr>
            </w:pPr>
          </w:p>
        </w:tc>
        <w:tc>
          <w:tcPr>
            <w:tcW w:w="1920" w:type="dxa"/>
            <w:vAlign w:val="bottom"/>
            <w:gridSpan w:val="2"/>
            <w:shd w:val="clear" w:color="auto" w:fill="DDDDDD"/>
          </w:tcPr>
          <w:p>
            <w:pPr>
              <w:jc w:val="right"/>
              <w:spacing w:after="0"/>
              <w:rPr>
                <w:sz w:val="20"/>
                <w:szCs w:val="20"/>
                <w:color w:val="auto"/>
              </w:rPr>
            </w:pPr>
            <w:r>
              <w:rPr>
                <w:rFonts w:ascii="Times New Roman" w:cs="Times New Roman" w:eastAsia="Times New Roman" w:hAnsi="Times New Roman"/>
                <w:sz w:val="20"/>
                <w:szCs w:val="20"/>
                <w:color w:val="auto"/>
              </w:rPr>
              <w:t>82.3 %</w:t>
            </w:r>
          </w:p>
        </w:tc>
      </w:tr>
      <w:tr>
        <w:trPr>
          <w:trHeight w:val="304"/>
        </w:trPr>
        <w:tc>
          <w:tcPr>
            <w:tcW w:w="6180" w:type="dxa"/>
            <w:vAlign w:val="bottom"/>
          </w:tcPr>
          <w:p>
            <w:pPr>
              <w:ind w:left="40"/>
              <w:spacing w:after="0"/>
              <w:rPr>
                <w:sz w:val="20"/>
                <w:szCs w:val="20"/>
                <w:color w:val="auto"/>
              </w:rPr>
            </w:pPr>
            <w:r>
              <w:rPr>
                <w:rFonts w:ascii="Times New Roman" w:cs="Times New Roman" w:eastAsia="Times New Roman" w:hAnsi="Times New Roman"/>
                <w:sz w:val="20"/>
                <w:szCs w:val="20"/>
                <w:color w:val="auto"/>
              </w:rPr>
              <w:t>Term (years)</w:t>
            </w:r>
          </w:p>
        </w:tc>
        <w:tc>
          <w:tcPr>
            <w:tcW w:w="6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20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2.46</w:t>
            </w:r>
          </w:p>
        </w:tc>
        <w:tc>
          <w:tcPr>
            <w:tcW w:w="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92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3.46</w:t>
            </w:r>
          </w:p>
        </w:tc>
      </w:tr>
      <w:tr>
        <w:trPr>
          <w:trHeight w:val="323"/>
        </w:trPr>
        <w:tc>
          <w:tcPr>
            <w:tcW w:w="6180" w:type="dxa"/>
            <w:vAlign w:val="bottom"/>
            <w:shd w:val="clear" w:color="auto" w:fill="DDDDDD"/>
          </w:tcPr>
          <w:p>
            <w:pPr>
              <w:ind w:left="40"/>
              <w:spacing w:after="0"/>
              <w:rPr>
                <w:sz w:val="20"/>
                <w:szCs w:val="20"/>
                <w:color w:val="auto"/>
              </w:rPr>
            </w:pPr>
            <w:r>
              <w:rPr>
                <w:rFonts w:ascii="Times New Roman" w:cs="Times New Roman" w:eastAsia="Times New Roman" w:hAnsi="Times New Roman"/>
                <w:sz w:val="20"/>
                <w:szCs w:val="20"/>
                <w:color w:val="auto"/>
              </w:rPr>
              <w:t>Risk-free interest rate</w:t>
            </w:r>
          </w:p>
        </w:tc>
        <w:tc>
          <w:tcPr>
            <w:tcW w:w="60" w:type="dxa"/>
            <w:vAlign w:val="bottom"/>
            <w:shd w:val="clear" w:color="auto" w:fill="DDDDDD"/>
          </w:tcPr>
          <w:p>
            <w:pPr>
              <w:spacing w:after="0"/>
              <w:rPr>
                <w:sz w:val="24"/>
                <w:szCs w:val="24"/>
                <w:color w:val="auto"/>
              </w:rPr>
            </w:pPr>
          </w:p>
        </w:tc>
        <w:tc>
          <w:tcPr>
            <w:tcW w:w="640" w:type="dxa"/>
            <w:vAlign w:val="bottom"/>
            <w:shd w:val="clear" w:color="auto" w:fill="DDDDDD"/>
          </w:tcPr>
          <w:p>
            <w:pPr>
              <w:spacing w:after="0"/>
              <w:rPr>
                <w:sz w:val="24"/>
                <w:szCs w:val="24"/>
                <w:color w:val="auto"/>
              </w:rPr>
            </w:pPr>
          </w:p>
        </w:tc>
        <w:tc>
          <w:tcPr>
            <w:tcW w:w="980" w:type="dxa"/>
            <w:vAlign w:val="bottom"/>
            <w:shd w:val="clear" w:color="auto" w:fill="DDDDDD"/>
          </w:tcPr>
          <w:p>
            <w:pPr>
              <w:ind w:left="600"/>
              <w:spacing w:after="0"/>
              <w:rPr>
                <w:sz w:val="20"/>
                <w:szCs w:val="20"/>
                <w:color w:val="auto"/>
              </w:rPr>
            </w:pPr>
            <w:r>
              <w:rPr>
                <w:rFonts w:ascii="Times New Roman" w:cs="Times New Roman" w:eastAsia="Times New Roman" w:hAnsi="Times New Roman"/>
                <w:sz w:val="20"/>
                <w:szCs w:val="20"/>
                <w:color w:val="auto"/>
              </w:rPr>
              <w:t>4.13</w:t>
            </w:r>
          </w:p>
        </w:tc>
        <w:tc>
          <w:tcPr>
            <w:tcW w:w="220" w:type="dxa"/>
            <w:vAlign w:val="bottom"/>
            <w:shd w:val="clear" w:color="auto" w:fill="DDDDDD"/>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60" w:type="dxa"/>
            <w:vAlign w:val="bottom"/>
            <w:shd w:val="clear" w:color="auto" w:fill="DDDDDD"/>
          </w:tcPr>
          <w:p>
            <w:pPr>
              <w:spacing w:after="0"/>
              <w:rPr>
                <w:sz w:val="24"/>
                <w:szCs w:val="24"/>
                <w:color w:val="auto"/>
              </w:rPr>
            </w:pPr>
          </w:p>
        </w:tc>
        <w:tc>
          <w:tcPr>
            <w:tcW w:w="200" w:type="dxa"/>
            <w:vAlign w:val="bottom"/>
            <w:shd w:val="clear" w:color="auto" w:fill="DDDDDD"/>
          </w:tcPr>
          <w:p>
            <w:pPr>
              <w:spacing w:after="0"/>
              <w:rPr>
                <w:sz w:val="24"/>
                <w:szCs w:val="24"/>
                <w:color w:val="auto"/>
              </w:rPr>
            </w:pPr>
          </w:p>
        </w:tc>
        <w:tc>
          <w:tcPr>
            <w:tcW w:w="1700" w:type="dxa"/>
            <w:vAlign w:val="bottom"/>
            <w:shd w:val="clear" w:color="auto" w:fill="DDDDDD"/>
          </w:tcPr>
          <w:p>
            <w:pPr>
              <w:jc w:val="right"/>
              <w:spacing w:after="0"/>
              <w:rPr>
                <w:sz w:val="20"/>
                <w:szCs w:val="20"/>
                <w:color w:val="auto"/>
              </w:rPr>
            </w:pPr>
            <w:r>
              <w:rPr>
                <w:rFonts w:ascii="Times New Roman" w:cs="Times New Roman" w:eastAsia="Times New Roman" w:hAnsi="Times New Roman"/>
                <w:sz w:val="20"/>
                <w:szCs w:val="20"/>
                <w:color w:val="auto"/>
              </w:rPr>
              <w:t>4.17</w:t>
            </w:r>
          </w:p>
        </w:tc>
        <w:tc>
          <w:tcPr>
            <w:tcW w:w="220" w:type="dxa"/>
            <w:vAlign w:val="bottom"/>
            <w:shd w:val="clear" w:color="auto" w:fill="DDDDDD"/>
          </w:tcPr>
          <w:p>
            <w:pPr>
              <w:jc w:val="right"/>
              <w:spacing w:after="0"/>
              <w:rPr>
                <w:sz w:val="20"/>
                <w:szCs w:val="20"/>
                <w:color w:val="auto"/>
              </w:rPr>
            </w:pPr>
            <w:r>
              <w:rPr>
                <w:rFonts w:ascii="Times New Roman" w:cs="Times New Roman" w:eastAsia="Times New Roman" w:hAnsi="Times New Roman"/>
                <w:sz w:val="20"/>
                <w:szCs w:val="20"/>
                <w:color w:val="auto"/>
              </w:rPr>
              <w:t>%</w:t>
            </w:r>
          </w:p>
        </w:tc>
      </w:tr>
    </w:tbl>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5133975</wp:posOffset>
                </wp:positionH>
                <wp:positionV relativeFrom="paragraph">
                  <wp:posOffset>-996315</wp:posOffset>
                </wp:positionV>
                <wp:extent cx="36830" cy="13335"/>
                <wp:wrapNone/>
                <wp:docPr id="91" name="Shape 91"/>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36830" cy="13335"/>
                        </a:xfrm>
                        <a:prstGeom prst="rect">
                          <a:avLst/>
                        </a:prstGeom>
                        <a:solidFill>
                          <a:srgbClr val="DDDDDD"/>
                        </a:solidFill>
                      </wps:spPr>
                      <wps:bodyPr/>
                    </wps:wsp>
                  </a:graphicData>
                </a:graphic>
              </wp:anchor>
            </w:drawing>
          </mc:Choice>
          <mc:Fallback>
            <w:pict>
              <v:rect id="Shape 91" o:spid="_x0000_s1116" style="position:absolute;margin-left:404.25pt;margin-top:-78.4499pt;width:2.9pt;height:1.05pt;z-index:-251657728;visibility:visible;mso-wrap-style:square;mso-width-percent:0;mso-height-percent:0;mso-wrap-distance-left:0pt;mso-wrap-distance-top:0;mso-wrap-distance-right:0pt;mso-wrap-distance-bottom:0;mso-position-horizontal:absolute;mso-position-horizontal-relative:text;mso-position-vertical:absolute;mso-position-vertical-relative:text;mso-width-percent:0;mso-height-percent:0;mso-width-relative:page;mso-height-relative:page;v-text-anchor:top" o:allowincell="f" fillcolor="#DDDDDD" stroked="f"/>
            </w:pict>
          </mc:Fallback>
        </mc:AlternateContent>
      </w:r>
    </w:p>
    <w:p>
      <w:pPr>
        <w:spacing w:after="0" w:line="80" w:lineRule="exact"/>
        <w:rPr>
          <w:sz w:val="20"/>
          <w:szCs w:val="20"/>
          <w:color w:val="auto"/>
        </w:rPr>
      </w:pPr>
    </w:p>
    <w:p>
      <w:pPr>
        <w:ind w:left="6"/>
        <w:spacing w:after="0"/>
        <w:rPr>
          <w:sz w:val="20"/>
          <w:szCs w:val="20"/>
          <w:color w:val="auto"/>
        </w:rPr>
      </w:pPr>
      <w:r>
        <w:rPr>
          <w:rFonts w:ascii="Times New Roman" w:cs="Times New Roman" w:eastAsia="Times New Roman" w:hAnsi="Times New Roman"/>
          <w:sz w:val="20"/>
          <w:szCs w:val="20"/>
          <w:color w:val="auto"/>
        </w:rPr>
        <w:t>Significant changes in the volatility would result in a significant lower or higher fair value measurement, respectively.</w:t>
      </w:r>
    </w:p>
    <w:p>
      <w:pPr>
        <w:spacing w:after="0" w:line="166" w:lineRule="exact"/>
        <w:rPr>
          <w:sz w:val="20"/>
          <w:szCs w:val="20"/>
          <w:color w:val="auto"/>
        </w:rPr>
      </w:pPr>
    </w:p>
    <w:p>
      <w:pPr>
        <w:ind w:left="6"/>
        <w:spacing w:after="0"/>
        <w:rPr>
          <w:sz w:val="20"/>
          <w:szCs w:val="20"/>
          <w:color w:val="auto"/>
        </w:rPr>
      </w:pPr>
      <w:r>
        <w:rPr>
          <w:rFonts w:ascii="Times New Roman" w:cs="Times New Roman" w:eastAsia="Times New Roman" w:hAnsi="Times New Roman"/>
          <w:sz w:val="20"/>
          <w:szCs w:val="20"/>
          <w:color w:val="auto"/>
        </w:rPr>
        <w:t>There were no transfers in or out of Level 3 from other levels in the fair value hierarchy.</w:t>
      </w:r>
    </w:p>
    <w:p>
      <w:pPr>
        <w:spacing w:after="0" w:line="157" w:lineRule="exact"/>
        <w:rPr>
          <w:sz w:val="20"/>
          <w:szCs w:val="20"/>
          <w:color w:val="auto"/>
        </w:rPr>
      </w:pPr>
    </w:p>
    <w:p>
      <w:pPr>
        <w:ind w:left="546" w:hanging="546"/>
        <w:spacing w:after="0"/>
        <w:tabs>
          <w:tab w:leader="none" w:pos="546" w:val="left"/>
        </w:tabs>
        <w:numPr>
          <w:ilvl w:val="0"/>
          <w:numId w:val="85"/>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b w:val="1"/>
          <w:bCs w:val="1"/>
          <w:color w:val="auto"/>
        </w:rPr>
        <w:t>Business Combination</w:t>
      </w:r>
    </w:p>
    <w:p>
      <w:pPr>
        <w:spacing w:after="0" w:line="175" w:lineRule="exact"/>
        <w:rPr>
          <w:sz w:val="20"/>
          <w:szCs w:val="20"/>
          <w:color w:val="auto"/>
        </w:rPr>
      </w:pPr>
    </w:p>
    <w:p>
      <w:pPr>
        <w:jc w:val="both"/>
        <w:ind w:left="6" w:right="20"/>
        <w:spacing w:after="0" w:line="306" w:lineRule="auto"/>
        <w:rPr>
          <w:sz w:val="20"/>
          <w:szCs w:val="20"/>
          <w:color w:val="auto"/>
        </w:rPr>
      </w:pPr>
      <w:r>
        <w:rPr>
          <w:rFonts w:ascii="Times New Roman" w:cs="Times New Roman" w:eastAsia="Times New Roman" w:hAnsi="Times New Roman"/>
          <w:sz w:val="20"/>
          <w:szCs w:val="20"/>
          <w:color w:val="auto"/>
        </w:rPr>
        <w:t>Pursuant to the Merger Agreement, the Business Combination was accounted for as a reverse recapitalization in accordance with GAAP (the “Reverse Recapitalization”). Under this method of accounting, Silver Spike was treated as the acquired company and Legacy WMH was treated as the acquirer for financial statement reporting purposes.</w:t>
      </w:r>
    </w:p>
    <w:p>
      <w:pPr>
        <w:spacing w:after="0" w:line="63" w:lineRule="exact"/>
        <w:rPr>
          <w:sz w:val="20"/>
          <w:szCs w:val="20"/>
          <w:color w:val="auto"/>
        </w:rPr>
      </w:pPr>
    </w:p>
    <w:p>
      <w:pPr>
        <w:jc w:val="both"/>
        <w:ind w:left="6" w:right="20"/>
        <w:spacing w:after="0" w:line="326" w:lineRule="auto"/>
        <w:rPr>
          <w:sz w:val="20"/>
          <w:szCs w:val="20"/>
          <w:color w:val="auto"/>
        </w:rPr>
      </w:pPr>
      <w:r>
        <w:rPr>
          <w:rFonts w:ascii="Times New Roman" w:cs="Times New Roman" w:eastAsia="Times New Roman" w:hAnsi="Times New Roman"/>
          <w:sz w:val="20"/>
          <w:szCs w:val="20"/>
          <w:color w:val="auto"/>
        </w:rPr>
        <w:t>Accordingly, for accounting purposes, the Reverse Recapitalization was treated as the equivalent of Legacy WMH issuing stock for the net assets of Silver Spike, accompanied by a recapitalization.</w:t>
      </w:r>
    </w:p>
    <w:p>
      <w:pPr>
        <w:spacing w:after="0" w:line="52" w:lineRule="exact"/>
        <w:rPr>
          <w:sz w:val="20"/>
          <w:szCs w:val="20"/>
          <w:color w:val="auto"/>
        </w:rPr>
      </w:pPr>
    </w:p>
    <w:p>
      <w:pPr>
        <w:ind w:left="6"/>
        <w:spacing w:after="0"/>
        <w:rPr>
          <w:sz w:val="20"/>
          <w:szCs w:val="20"/>
          <w:color w:val="auto"/>
        </w:rPr>
      </w:pPr>
      <w:r>
        <w:rPr>
          <w:rFonts w:ascii="Times New Roman" w:cs="Times New Roman" w:eastAsia="Times New Roman" w:hAnsi="Times New Roman"/>
          <w:sz w:val="20"/>
          <w:szCs w:val="20"/>
          <w:color w:val="auto"/>
        </w:rPr>
        <w:t>Legacy WMH was determined to be the accounting acquirer based on evaluation of the following facts and circumstances:</w:t>
      </w:r>
    </w:p>
    <w:p>
      <w:pPr>
        <w:spacing w:after="0" w:line="44" w:lineRule="exact"/>
        <w:rPr>
          <w:sz w:val="20"/>
          <w:szCs w:val="20"/>
          <w:color w:val="auto"/>
        </w:rPr>
      </w:pPr>
    </w:p>
    <w:p>
      <w:pPr>
        <w:ind w:left="1446" w:right="20" w:hanging="366"/>
        <w:spacing w:after="0" w:line="319" w:lineRule="auto"/>
        <w:tabs>
          <w:tab w:leader="none" w:pos="1446" w:val="left"/>
        </w:tabs>
        <w:numPr>
          <w:ilvl w:val="0"/>
          <w:numId w:val="8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Legacy WMH Class A Unit holders, through their ownership of the Class V Common Stock, had the greatest voting interest in the Company with over 50% of the voting interest;</w:t>
      </w:r>
    </w:p>
    <w:p>
      <w:pPr>
        <w:ind w:left="1446" w:hanging="366"/>
        <w:spacing w:after="0"/>
        <w:tabs>
          <w:tab w:leader="none" w:pos="1446" w:val="left"/>
        </w:tabs>
        <w:numPr>
          <w:ilvl w:val="0"/>
          <w:numId w:val="8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Legacy WMH selected the majority of the new board of directors of the Company;</w:t>
      </w:r>
    </w:p>
    <w:p>
      <w:pPr>
        <w:spacing w:after="0" w:line="101" w:lineRule="exact"/>
        <w:rPr>
          <w:rFonts w:ascii="Times New Roman" w:cs="Times New Roman" w:eastAsia="Times New Roman" w:hAnsi="Times New Roman"/>
          <w:sz w:val="20"/>
          <w:szCs w:val="20"/>
          <w:color w:val="auto"/>
        </w:rPr>
      </w:pPr>
    </w:p>
    <w:p>
      <w:pPr>
        <w:ind w:left="1446" w:hanging="366"/>
        <w:spacing w:after="0"/>
        <w:tabs>
          <w:tab w:leader="none" w:pos="1446" w:val="left"/>
        </w:tabs>
        <w:numPr>
          <w:ilvl w:val="0"/>
          <w:numId w:val="8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Legacy WMH senior management was the senior management of the Company; and</w:t>
      </w:r>
    </w:p>
    <w:p>
      <w:pPr>
        <w:spacing w:after="0" w:line="108" w:lineRule="exact"/>
        <w:rPr>
          <w:rFonts w:ascii="Times New Roman" w:cs="Times New Roman" w:eastAsia="Times New Roman" w:hAnsi="Times New Roman"/>
          <w:sz w:val="20"/>
          <w:szCs w:val="20"/>
          <w:color w:val="auto"/>
        </w:rPr>
      </w:pPr>
    </w:p>
    <w:p>
      <w:pPr>
        <w:ind w:left="1446" w:hanging="366"/>
        <w:spacing w:after="0"/>
        <w:tabs>
          <w:tab w:leader="none" w:pos="1446" w:val="left"/>
        </w:tabs>
        <w:numPr>
          <w:ilvl w:val="0"/>
          <w:numId w:val="8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Legacy WMH was the larger entity based on historical operating activity and had the larger employee base.</w:t>
      </w:r>
    </w:p>
    <w:p>
      <w:pPr>
        <w:spacing w:after="0" w:line="166" w:lineRule="exact"/>
        <w:rPr>
          <w:sz w:val="20"/>
          <w:szCs w:val="20"/>
          <w:color w:val="auto"/>
        </w:rPr>
      </w:pPr>
    </w:p>
    <w:p>
      <w:pPr>
        <w:jc w:val="both"/>
        <w:ind w:left="6"/>
        <w:spacing w:after="0" w:line="301" w:lineRule="auto"/>
        <w:rPr>
          <w:sz w:val="20"/>
          <w:szCs w:val="20"/>
          <w:color w:val="auto"/>
        </w:rPr>
      </w:pPr>
      <w:r>
        <w:rPr>
          <w:rFonts w:ascii="Times New Roman" w:cs="Times New Roman" w:eastAsia="Times New Roman" w:hAnsi="Times New Roman"/>
          <w:sz w:val="20"/>
          <w:szCs w:val="20"/>
          <w:color w:val="auto"/>
        </w:rPr>
        <w:t>Thus, the financial statements included in this annual report reflect (i) the historical operating results of Legacy WMH prior to the Business Combination; (ii) the combined results of the WMH LLC and Silver Spike following the Business Combination; and (iii) the acquired assets and liabilities of Silver Spike stated at historical cost, with no goodwill or other intangible assets recorded.</w:t>
      </w:r>
    </w:p>
    <w:p>
      <w:pPr>
        <w:spacing w:after="0" w:line="200" w:lineRule="exact"/>
        <w:rPr>
          <w:sz w:val="20"/>
          <w:szCs w:val="20"/>
          <w:color w:val="auto"/>
        </w:rPr>
      </w:pPr>
    </w:p>
    <w:p>
      <w:pPr>
        <w:spacing w:after="0" w:line="288" w:lineRule="exact"/>
        <w:rPr>
          <w:sz w:val="20"/>
          <w:szCs w:val="20"/>
          <w:color w:val="auto"/>
        </w:rPr>
      </w:pPr>
    </w:p>
    <w:p>
      <w:pPr>
        <w:jc w:val="center"/>
        <w:ind w:right="-5"/>
        <w:spacing w:after="0"/>
        <w:rPr>
          <w:sz w:val="20"/>
          <w:szCs w:val="20"/>
          <w:color w:val="auto"/>
        </w:rPr>
      </w:pPr>
      <w:r>
        <w:rPr>
          <w:rFonts w:ascii="Times New Roman" w:cs="Times New Roman" w:eastAsia="Times New Roman" w:hAnsi="Times New Roman"/>
          <w:sz w:val="20"/>
          <w:szCs w:val="20"/>
          <w:color w:val="auto"/>
        </w:rPr>
        <w:t>F-21</w:t>
      </w:r>
    </w:p>
    <w:p>
      <w:pPr>
        <w:sectPr>
          <w:pgSz w:w="12240" w:h="15840" w:orient="portrait"/>
          <w:cols w:equalWidth="0" w:num="1">
            <w:col w:w="10266"/>
          </w:cols>
          <w:pgMar w:left="994" w:top="731" w:right="980" w:bottom="222" w:gutter="0" w:footer="0" w:header="0"/>
        </w:sectPr>
      </w:pPr>
    </w:p>
    <w:bookmarkStart w:id="141" w:name="page142"/>
    <w:bookmarkEnd w:id="141"/>
    <w:p>
      <w:pPr>
        <w:jc w:val="center"/>
        <w:ind w:right="20"/>
        <w:spacing w:after="0"/>
        <w:rPr>
          <w:sz w:val="20"/>
          <w:szCs w:val="20"/>
          <w:color w:val="auto"/>
        </w:rPr>
      </w:pPr>
      <w:r>
        <w:rPr>
          <w:rFonts w:ascii="Times New Roman" w:cs="Times New Roman" w:eastAsia="Times New Roman" w:hAnsi="Times New Roman"/>
          <w:sz w:val="20"/>
          <w:szCs w:val="20"/>
          <w:b w:val="1"/>
          <w:bCs w:val="1"/>
          <w:color w:val="auto"/>
        </w:rPr>
        <w:t>WM TECHNOLOGY, INC. AND SUBSIDIARIES</w:t>
      </w:r>
    </w:p>
    <w:p>
      <w:pPr>
        <w:spacing w:after="0" w:line="4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NOTES TO CONSOLIDATED FINANCIAL STATEMENTS</w:t>
      </w:r>
    </w:p>
    <w:p>
      <w:pPr>
        <w:spacing w:after="0" w:line="28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In connection with the Closing, the following occurred:</w:t>
      </w:r>
    </w:p>
    <w:p>
      <w:pPr>
        <w:spacing w:after="0" w:line="166" w:lineRule="exact"/>
        <w:rPr>
          <w:sz w:val="20"/>
          <w:szCs w:val="20"/>
          <w:color w:val="auto"/>
        </w:rPr>
      </w:pPr>
    </w:p>
    <w:p>
      <w:pPr>
        <w:ind w:left="720" w:hanging="366"/>
        <w:spacing w:after="0"/>
        <w:tabs>
          <w:tab w:leader="none" w:pos="720" w:val="left"/>
        </w:tabs>
        <w:numPr>
          <w:ilvl w:val="0"/>
          <w:numId w:val="8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Silver Spike was domesticated and continues as a Delaware corporation, changing its name to “WM Technology, Inc.”</w:t>
      </w:r>
    </w:p>
    <w:p>
      <w:pPr>
        <w:spacing w:after="0" w:line="108" w:lineRule="exact"/>
        <w:rPr>
          <w:rFonts w:ascii="Times New Roman" w:cs="Times New Roman" w:eastAsia="Times New Roman" w:hAnsi="Times New Roman"/>
          <w:sz w:val="20"/>
          <w:szCs w:val="20"/>
          <w:color w:val="auto"/>
        </w:rPr>
      </w:pPr>
    </w:p>
    <w:p>
      <w:pPr>
        <w:jc w:val="both"/>
        <w:ind w:left="720" w:hanging="366"/>
        <w:spacing w:after="0" w:line="306" w:lineRule="auto"/>
        <w:tabs>
          <w:tab w:leader="none" w:pos="720" w:val="left"/>
        </w:tabs>
        <w:numPr>
          <w:ilvl w:val="0"/>
          <w:numId w:val="8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Company was reorganized into an Up-C structure, in which substantially all of the assets and business of the Company are held by WMH LLC and continue to operate through WMH LLC and its subsidiaries, and WM Technology, Inc.’s material assets are the equity interests of WMH LLC indirectly held by it.</w:t>
      </w:r>
    </w:p>
    <w:p>
      <w:pPr>
        <w:spacing w:after="0" w:line="5" w:lineRule="exact"/>
        <w:rPr>
          <w:rFonts w:ascii="Times New Roman" w:cs="Times New Roman" w:eastAsia="Times New Roman" w:hAnsi="Times New Roman"/>
          <w:sz w:val="20"/>
          <w:szCs w:val="20"/>
          <w:color w:val="auto"/>
        </w:rPr>
      </w:pPr>
    </w:p>
    <w:p>
      <w:pPr>
        <w:jc w:val="both"/>
        <w:ind w:left="720" w:hanging="366"/>
        <w:spacing w:after="0" w:line="308" w:lineRule="auto"/>
        <w:tabs>
          <w:tab w:leader="none" w:pos="720" w:val="left"/>
        </w:tabs>
        <w:numPr>
          <w:ilvl w:val="0"/>
          <w:numId w:val="8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Company consummated the sale of 32,500,000 shares of Class A Common Stock for a purchase price of $10.00 per share (together, the “PIPE Financing”) pursuant to certain subscription agreements dated as of December 10, 2020, for an aggregate price of $325.0 million.</w:t>
      </w:r>
    </w:p>
    <w:p>
      <w:pPr>
        <w:jc w:val="both"/>
        <w:ind w:left="720" w:hanging="366"/>
        <w:spacing w:after="0" w:line="299" w:lineRule="auto"/>
        <w:tabs>
          <w:tab w:leader="none" w:pos="720" w:val="left"/>
        </w:tabs>
        <w:numPr>
          <w:ilvl w:val="0"/>
          <w:numId w:val="8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Company contributed approximately $80.3 million of cash to WMH LLC, representing (a) the net amount held in the Company’s trust account following the redemption of 10,012 shares of Class A Common Stock originally sold in the Silver Spike’s initial public offering, less (b) cash consideration of $455.2 million paid to Legacy WMH Class A equity holders, plus (c) $325.0 million in aggregate proceeds from the PIPE Financing, less (d) the aggregate amount of transaction expenses incurred by the parties to the Business Combination Agreement.</w:t>
      </w:r>
    </w:p>
    <w:p>
      <w:pPr>
        <w:spacing w:after="0" w:line="7" w:lineRule="exact"/>
        <w:rPr>
          <w:rFonts w:ascii="Times New Roman" w:cs="Times New Roman" w:eastAsia="Times New Roman" w:hAnsi="Times New Roman"/>
          <w:sz w:val="20"/>
          <w:szCs w:val="20"/>
          <w:color w:val="auto"/>
        </w:rPr>
      </w:pPr>
    </w:p>
    <w:p>
      <w:pPr>
        <w:ind w:left="720" w:hanging="366"/>
        <w:spacing w:after="0"/>
        <w:tabs>
          <w:tab w:leader="none" w:pos="720" w:val="left"/>
        </w:tabs>
        <w:numPr>
          <w:ilvl w:val="0"/>
          <w:numId w:val="8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Company transferred $455.2 million to the Legacy WMH equity holders as cash consideration.</w:t>
      </w:r>
    </w:p>
    <w:p>
      <w:pPr>
        <w:spacing w:after="0" w:line="108" w:lineRule="exact"/>
        <w:rPr>
          <w:rFonts w:ascii="Times New Roman" w:cs="Times New Roman" w:eastAsia="Times New Roman" w:hAnsi="Times New Roman"/>
          <w:sz w:val="20"/>
          <w:szCs w:val="20"/>
          <w:color w:val="auto"/>
        </w:rPr>
      </w:pPr>
    </w:p>
    <w:p>
      <w:pPr>
        <w:ind w:left="720" w:hanging="366"/>
        <w:spacing w:after="0"/>
        <w:tabs>
          <w:tab w:leader="none" w:pos="720" w:val="left"/>
        </w:tabs>
        <w:numPr>
          <w:ilvl w:val="0"/>
          <w:numId w:val="8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Legacy WMH equity holders retained an aggregate of 65,502,347 Class A Units and 25,896,042 Class P Units.</w:t>
      </w:r>
    </w:p>
    <w:p>
      <w:pPr>
        <w:spacing w:after="0" w:line="108" w:lineRule="exact"/>
        <w:rPr>
          <w:rFonts w:ascii="Times New Roman" w:cs="Times New Roman" w:eastAsia="Times New Roman" w:hAnsi="Times New Roman"/>
          <w:sz w:val="20"/>
          <w:szCs w:val="20"/>
          <w:color w:val="auto"/>
        </w:rPr>
      </w:pPr>
    </w:p>
    <w:p>
      <w:pPr>
        <w:ind w:left="720" w:right="20" w:hanging="366"/>
        <w:spacing w:after="0" w:line="319" w:lineRule="auto"/>
        <w:tabs>
          <w:tab w:leader="none" w:pos="720" w:val="left"/>
        </w:tabs>
        <w:numPr>
          <w:ilvl w:val="0"/>
          <w:numId w:val="8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Company issued 65,502,347 shares of Class V Common Stock to Class A Unit holders, representing the same number of Class A Units retained by the Legacy WMH equity holders.</w:t>
      </w:r>
    </w:p>
    <w:p>
      <w:pPr>
        <w:jc w:val="both"/>
        <w:ind w:left="720" w:right="20" w:hanging="366"/>
        <w:spacing w:after="0" w:line="295" w:lineRule="auto"/>
        <w:tabs>
          <w:tab w:leader="none" w:pos="720" w:val="left"/>
        </w:tabs>
        <w:numPr>
          <w:ilvl w:val="0"/>
          <w:numId w:val="8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Company, the Holder Representative and the Class A Unit holders entered into the TRA, pursuant to which WM Technology, Inc. will pay to WMH LLC Class A equity holders 85% of the net income tax savings that WM Technology, Inc. actually realizes as a result of increases in the tax basis of WMH LLC’s assets as a result of the exchange of Units for cash in the Business Combination and future exchanges of the Class A Units for shares of Class A Common Stock or cash pursuant to the Exchange Agreement, and certain other tax attributes of WMH LLC and tax benefits related to the TRA, including tax benefits attributable to payments under the TRA.</w:t>
      </w:r>
    </w:p>
    <w:p>
      <w:pPr>
        <w:spacing w:after="0" w:line="75" w:lineRule="exact"/>
        <w:rPr>
          <w:sz w:val="20"/>
          <w:szCs w:val="20"/>
          <w:color w:val="auto"/>
        </w:rPr>
      </w:pPr>
    </w:p>
    <w:p>
      <w:pPr>
        <w:ind w:right="20"/>
        <w:spacing w:after="0" w:line="275" w:lineRule="auto"/>
        <w:rPr>
          <w:sz w:val="20"/>
          <w:szCs w:val="20"/>
          <w:color w:val="auto"/>
        </w:rPr>
      </w:pPr>
      <w:r>
        <w:rPr>
          <w:rFonts w:ascii="Times New Roman" w:cs="Times New Roman" w:eastAsia="Times New Roman" w:hAnsi="Times New Roman"/>
          <w:sz w:val="20"/>
          <w:szCs w:val="20"/>
          <w:color w:val="auto"/>
        </w:rPr>
        <w:t>Concurrently with the closing of the Business Combination, the Unit holders entered into the Exchange Agreement. The terms of the Exchange Agreement, among other things, provide the Unit holders (or certain permitted transferees thereof) with the right from time to time at and after 180 days following the Business Combination to exchange their vested Paired Interests (as defined in Note 14, “Stock-based Compensation” to our consolidated financial statements included herein),for shares of Class A Common Stock on a one-for-one basis, subject to customary conversion rate adjustments for stock splits, stock dividends and reclassifications, or Class P Units for shares of Class A Common Stock with a value equal to the value of such Class P Units less their participation threshold, or in each case, at the Company’s election, the cash equivalent of such shares of Class A Common Stock.</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F-22</w:t>
      </w:r>
    </w:p>
    <w:p>
      <w:pPr>
        <w:sectPr>
          <w:pgSz w:w="12240" w:h="15840" w:orient="portrait"/>
          <w:cols w:equalWidth="0" w:num="1">
            <w:col w:w="10260"/>
          </w:cols>
          <w:pgMar w:left="1000" w:top="731" w:right="980" w:bottom="222" w:gutter="0" w:footer="0" w:header="0"/>
        </w:sectPr>
      </w:pPr>
    </w:p>
    <w:bookmarkStart w:id="142" w:name="page143"/>
    <w:bookmarkEnd w:id="142"/>
    <w:p>
      <w:pPr>
        <w:jc w:val="center"/>
        <w:ind w:right="14"/>
        <w:spacing w:after="0"/>
        <w:rPr>
          <w:sz w:val="20"/>
          <w:szCs w:val="20"/>
          <w:color w:val="auto"/>
        </w:rPr>
      </w:pPr>
      <w:r>
        <w:rPr>
          <w:rFonts w:ascii="Times New Roman" w:cs="Times New Roman" w:eastAsia="Times New Roman" w:hAnsi="Times New Roman"/>
          <w:sz w:val="20"/>
          <w:szCs w:val="20"/>
          <w:b w:val="1"/>
          <w:bCs w:val="1"/>
          <w:color w:val="auto"/>
        </w:rPr>
        <w:t>WM TECHNOLOGY, INC. AND SUBSIDIARIES</w:t>
      </w:r>
    </w:p>
    <w:p>
      <w:pPr>
        <w:spacing w:after="0" w:line="48" w:lineRule="exact"/>
        <w:rPr>
          <w:sz w:val="20"/>
          <w:szCs w:val="20"/>
          <w:color w:val="auto"/>
        </w:rPr>
      </w:pPr>
    </w:p>
    <w:p>
      <w:pPr>
        <w:jc w:val="center"/>
        <w:ind w:right="-5"/>
        <w:spacing w:after="0"/>
        <w:rPr>
          <w:sz w:val="20"/>
          <w:szCs w:val="20"/>
          <w:color w:val="auto"/>
        </w:rPr>
      </w:pPr>
      <w:r>
        <w:rPr>
          <w:rFonts w:ascii="Times New Roman" w:cs="Times New Roman" w:eastAsia="Times New Roman" w:hAnsi="Times New Roman"/>
          <w:sz w:val="20"/>
          <w:szCs w:val="20"/>
          <w:b w:val="1"/>
          <w:bCs w:val="1"/>
          <w:color w:val="auto"/>
        </w:rPr>
        <w:t>NOTES TO CONSOLIDATED FINANCIAL STATEMENTS</w:t>
      </w:r>
    </w:p>
    <w:p>
      <w:pPr>
        <w:spacing w:after="0" w:line="286" w:lineRule="exact"/>
        <w:rPr>
          <w:sz w:val="20"/>
          <w:szCs w:val="20"/>
          <w:color w:val="auto"/>
        </w:rPr>
      </w:pPr>
    </w:p>
    <w:p>
      <w:pPr>
        <w:jc w:val="both"/>
        <w:ind w:left="6" w:right="20"/>
        <w:spacing w:after="0" w:line="326" w:lineRule="auto"/>
        <w:rPr>
          <w:sz w:val="20"/>
          <w:szCs w:val="20"/>
          <w:color w:val="auto"/>
        </w:rPr>
      </w:pPr>
      <w:r>
        <w:rPr>
          <w:rFonts w:ascii="Times New Roman" w:cs="Times New Roman" w:eastAsia="Times New Roman" w:hAnsi="Times New Roman"/>
          <w:sz w:val="20"/>
          <w:szCs w:val="20"/>
          <w:color w:val="auto"/>
        </w:rPr>
        <w:t>The following table reconciles the elements of the Business Combination to the consolidated statements of cash flows and the consolidated statements of equity for the year ended December 31, 2021 (in thousands):</w:t>
      </w:r>
    </w:p>
    <w:p>
      <w:pPr>
        <w:spacing w:after="0" w:line="93" w:lineRule="exact"/>
        <w:rPr>
          <w:sz w:val="20"/>
          <w:szCs w:val="20"/>
          <w:color w:val="auto"/>
        </w:rPr>
      </w:pPr>
    </w:p>
    <w:tbl>
      <w:tblPr>
        <w:tblLayout w:type="fixed"/>
        <w:tblInd w:w="6" w:type="dxa"/>
        <w:tblCellMar>
          <w:top w:w="0" w:type="dxa"/>
          <w:left w:w="0" w:type="dxa"/>
          <w:bottom w:w="0" w:type="dxa"/>
          <w:right w:w="0" w:type="dxa"/>
        </w:tblCellMar>
      </w:tblPr>
      <w:tr>
        <w:trPr>
          <w:trHeight w:val="238"/>
        </w:trPr>
        <w:tc>
          <w:tcPr>
            <w:tcW w:w="828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720" w:type="dxa"/>
            <w:vAlign w:val="bottom"/>
          </w:tcPr>
          <w:p>
            <w:pPr>
              <w:jc w:val="center"/>
              <w:ind w:right="39"/>
              <w:spacing w:after="0"/>
              <w:rPr>
                <w:sz w:val="20"/>
                <w:szCs w:val="20"/>
                <w:color w:val="auto"/>
              </w:rPr>
            </w:pPr>
            <w:r>
              <w:rPr>
                <w:rFonts w:ascii="Times New Roman" w:cs="Times New Roman" w:eastAsia="Times New Roman" w:hAnsi="Times New Roman"/>
                <w:sz w:val="20"/>
                <w:szCs w:val="20"/>
                <w:b w:val="1"/>
                <w:bCs w:val="1"/>
                <w:color w:val="auto"/>
              </w:rPr>
              <w:t>Business</w:t>
            </w:r>
          </w:p>
        </w:tc>
        <w:tc>
          <w:tcPr>
            <w:tcW w:w="0" w:type="dxa"/>
            <w:vAlign w:val="bottom"/>
          </w:tcPr>
          <w:p>
            <w:pPr>
              <w:spacing w:after="0"/>
              <w:rPr>
                <w:sz w:val="1"/>
                <w:szCs w:val="1"/>
                <w:color w:val="auto"/>
              </w:rPr>
            </w:pPr>
          </w:p>
        </w:tc>
      </w:tr>
      <w:tr>
        <w:trPr>
          <w:trHeight w:val="281"/>
        </w:trPr>
        <w:tc>
          <w:tcPr>
            <w:tcW w:w="8280" w:type="dxa"/>
            <w:vAlign w:val="bottom"/>
            <w:tcBorders>
              <w:bottom w:val="single" w:sz="8" w:color="DDDDDD"/>
            </w:tcBorders>
          </w:tcPr>
          <w:p>
            <w:pPr>
              <w:spacing w:after="0"/>
              <w:rPr>
                <w:sz w:val="24"/>
                <w:szCs w:val="24"/>
                <w:color w:val="auto"/>
              </w:rPr>
            </w:pPr>
          </w:p>
        </w:tc>
        <w:tc>
          <w:tcPr>
            <w:tcW w:w="60" w:type="dxa"/>
            <w:vAlign w:val="bottom"/>
            <w:tcBorders>
              <w:bottom w:val="single" w:sz="8" w:color="DDDDDD"/>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1720" w:type="dxa"/>
            <w:vAlign w:val="bottom"/>
            <w:tcBorders>
              <w:bottom w:val="single" w:sz="8" w:color="auto"/>
            </w:tcBorders>
          </w:tcPr>
          <w:p>
            <w:pPr>
              <w:jc w:val="center"/>
              <w:ind w:right="59"/>
              <w:spacing w:after="0"/>
              <w:rPr>
                <w:sz w:val="20"/>
                <w:szCs w:val="20"/>
                <w:color w:val="auto"/>
              </w:rPr>
            </w:pPr>
            <w:r>
              <w:rPr>
                <w:rFonts w:ascii="Times New Roman" w:cs="Times New Roman" w:eastAsia="Times New Roman" w:hAnsi="Times New Roman"/>
                <w:sz w:val="20"/>
                <w:szCs w:val="20"/>
                <w:b w:val="1"/>
                <w:bCs w:val="1"/>
                <w:color w:val="auto"/>
                <w:w w:val="99"/>
              </w:rPr>
              <w:t>Combination</w:t>
            </w:r>
          </w:p>
        </w:tc>
        <w:tc>
          <w:tcPr>
            <w:tcW w:w="0" w:type="dxa"/>
            <w:vAlign w:val="bottom"/>
          </w:tcPr>
          <w:p>
            <w:pPr>
              <w:spacing w:after="0"/>
              <w:rPr>
                <w:sz w:val="1"/>
                <w:szCs w:val="1"/>
                <w:color w:val="auto"/>
              </w:rPr>
            </w:pPr>
          </w:p>
        </w:tc>
      </w:tr>
      <w:tr>
        <w:trPr>
          <w:trHeight w:val="293"/>
        </w:trPr>
        <w:tc>
          <w:tcPr>
            <w:tcW w:w="8280" w:type="dxa"/>
            <w:vAlign w:val="bottom"/>
            <w:shd w:val="clear" w:color="auto" w:fill="DDDDDD"/>
          </w:tcPr>
          <w:p>
            <w:pPr>
              <w:ind w:left="40"/>
              <w:spacing w:after="0"/>
              <w:rPr>
                <w:sz w:val="20"/>
                <w:szCs w:val="20"/>
                <w:color w:val="auto"/>
              </w:rPr>
            </w:pPr>
            <w:r>
              <w:rPr>
                <w:rFonts w:ascii="Times New Roman" w:cs="Times New Roman" w:eastAsia="Times New Roman" w:hAnsi="Times New Roman"/>
                <w:sz w:val="20"/>
                <w:szCs w:val="20"/>
                <w:color w:val="auto"/>
              </w:rPr>
              <w:t>Cash - Silver Spike trust and cash, net of redemptions</w:t>
            </w:r>
          </w:p>
        </w:tc>
        <w:tc>
          <w:tcPr>
            <w:tcW w:w="60" w:type="dxa"/>
            <w:vAlign w:val="bottom"/>
            <w:shd w:val="clear" w:color="auto" w:fill="DDDDDD"/>
          </w:tcPr>
          <w:p>
            <w:pPr>
              <w:spacing w:after="0"/>
              <w:rPr>
                <w:sz w:val="24"/>
                <w:szCs w:val="24"/>
                <w:color w:val="auto"/>
              </w:rPr>
            </w:pPr>
          </w:p>
        </w:tc>
        <w:tc>
          <w:tcPr>
            <w:tcW w:w="200" w:type="dxa"/>
            <w:vAlign w:val="bottom"/>
            <w:shd w:val="clear" w:color="auto" w:fill="DDDDDD"/>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1720" w:type="dxa"/>
            <w:vAlign w:val="bottom"/>
            <w:shd w:val="clear" w:color="auto" w:fill="DDDDDD"/>
          </w:tcPr>
          <w:p>
            <w:pPr>
              <w:jc w:val="right"/>
              <w:spacing w:after="0"/>
              <w:rPr>
                <w:sz w:val="20"/>
                <w:szCs w:val="20"/>
                <w:color w:val="auto"/>
              </w:rPr>
            </w:pPr>
            <w:r>
              <w:rPr>
                <w:rFonts w:ascii="Times New Roman" w:cs="Times New Roman" w:eastAsia="Times New Roman" w:hAnsi="Times New Roman"/>
                <w:sz w:val="20"/>
                <w:szCs w:val="20"/>
                <w:color w:val="auto"/>
              </w:rPr>
              <w:t>254,203</w:t>
            </w:r>
          </w:p>
        </w:tc>
        <w:tc>
          <w:tcPr>
            <w:tcW w:w="0" w:type="dxa"/>
            <w:vAlign w:val="bottom"/>
          </w:tcPr>
          <w:p>
            <w:pPr>
              <w:spacing w:after="0"/>
              <w:rPr>
                <w:sz w:val="1"/>
                <w:szCs w:val="1"/>
                <w:color w:val="auto"/>
              </w:rPr>
            </w:pPr>
          </w:p>
        </w:tc>
      </w:tr>
      <w:tr>
        <w:trPr>
          <w:trHeight w:val="307"/>
        </w:trPr>
        <w:tc>
          <w:tcPr>
            <w:tcW w:w="8280" w:type="dxa"/>
            <w:vAlign w:val="bottom"/>
          </w:tcPr>
          <w:p>
            <w:pPr>
              <w:ind w:left="40"/>
              <w:spacing w:after="0"/>
              <w:rPr>
                <w:sz w:val="20"/>
                <w:szCs w:val="20"/>
                <w:color w:val="auto"/>
              </w:rPr>
            </w:pPr>
            <w:r>
              <w:rPr>
                <w:rFonts w:ascii="Times New Roman" w:cs="Times New Roman" w:eastAsia="Times New Roman" w:hAnsi="Times New Roman"/>
                <w:sz w:val="20"/>
                <w:szCs w:val="20"/>
                <w:color w:val="auto"/>
              </w:rPr>
              <w:t>Cash - PIPE Financing</w:t>
            </w:r>
          </w:p>
        </w:tc>
        <w:tc>
          <w:tcPr>
            <w:tcW w:w="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7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325,000</w:t>
            </w:r>
          </w:p>
        </w:tc>
        <w:tc>
          <w:tcPr>
            <w:tcW w:w="0" w:type="dxa"/>
            <w:vAlign w:val="bottom"/>
          </w:tcPr>
          <w:p>
            <w:pPr>
              <w:spacing w:after="0"/>
              <w:rPr>
                <w:sz w:val="1"/>
                <w:szCs w:val="1"/>
                <w:color w:val="auto"/>
              </w:rPr>
            </w:pPr>
          </w:p>
        </w:tc>
      </w:tr>
      <w:tr>
        <w:trPr>
          <w:trHeight w:val="319"/>
        </w:trPr>
        <w:tc>
          <w:tcPr>
            <w:tcW w:w="8280" w:type="dxa"/>
            <w:vAlign w:val="bottom"/>
            <w:shd w:val="clear" w:color="auto" w:fill="DDDDDD"/>
          </w:tcPr>
          <w:p>
            <w:pPr>
              <w:ind w:left="40"/>
              <w:spacing w:after="0"/>
              <w:rPr>
                <w:sz w:val="20"/>
                <w:szCs w:val="20"/>
                <w:color w:val="auto"/>
              </w:rPr>
            </w:pPr>
            <w:r>
              <w:rPr>
                <w:rFonts w:ascii="Times New Roman" w:cs="Times New Roman" w:eastAsia="Times New Roman" w:hAnsi="Times New Roman"/>
                <w:sz w:val="20"/>
                <w:szCs w:val="20"/>
                <w:color w:val="auto"/>
              </w:rPr>
              <w:t>Less: cash consideration paid to Legacy WMH equity holders</w:t>
            </w:r>
          </w:p>
        </w:tc>
        <w:tc>
          <w:tcPr>
            <w:tcW w:w="60" w:type="dxa"/>
            <w:vAlign w:val="bottom"/>
            <w:shd w:val="clear" w:color="auto" w:fill="DDDDDD"/>
          </w:tcPr>
          <w:p>
            <w:pPr>
              <w:spacing w:after="0"/>
              <w:rPr>
                <w:sz w:val="24"/>
                <w:szCs w:val="24"/>
                <w:color w:val="auto"/>
              </w:rPr>
            </w:pPr>
          </w:p>
        </w:tc>
        <w:tc>
          <w:tcPr>
            <w:tcW w:w="200" w:type="dxa"/>
            <w:vAlign w:val="bottom"/>
            <w:shd w:val="clear" w:color="auto" w:fill="DDDDDD"/>
          </w:tcPr>
          <w:p>
            <w:pPr>
              <w:spacing w:after="0"/>
              <w:rPr>
                <w:sz w:val="24"/>
                <w:szCs w:val="24"/>
                <w:color w:val="auto"/>
              </w:rPr>
            </w:pPr>
          </w:p>
        </w:tc>
        <w:tc>
          <w:tcPr>
            <w:tcW w:w="1720" w:type="dxa"/>
            <w:vAlign w:val="bottom"/>
            <w:shd w:val="clear" w:color="auto" w:fill="DDDDDD"/>
          </w:tcPr>
          <w:p>
            <w:pPr>
              <w:jc w:val="right"/>
              <w:spacing w:after="0"/>
              <w:rPr>
                <w:sz w:val="20"/>
                <w:szCs w:val="20"/>
                <w:color w:val="auto"/>
              </w:rPr>
            </w:pPr>
            <w:r>
              <w:rPr>
                <w:rFonts w:ascii="Times New Roman" w:cs="Times New Roman" w:eastAsia="Times New Roman" w:hAnsi="Times New Roman"/>
                <w:sz w:val="20"/>
                <w:szCs w:val="20"/>
                <w:color w:val="auto"/>
              </w:rPr>
              <w:t>(455,182)</w:t>
            </w:r>
          </w:p>
        </w:tc>
        <w:tc>
          <w:tcPr>
            <w:tcW w:w="0" w:type="dxa"/>
            <w:vAlign w:val="bottom"/>
          </w:tcPr>
          <w:p>
            <w:pPr>
              <w:spacing w:after="0"/>
              <w:rPr>
                <w:sz w:val="1"/>
                <w:szCs w:val="1"/>
                <w:color w:val="auto"/>
              </w:rPr>
            </w:pPr>
          </w:p>
        </w:tc>
      </w:tr>
      <w:tr>
        <w:trPr>
          <w:trHeight w:val="311"/>
        </w:trPr>
        <w:tc>
          <w:tcPr>
            <w:tcW w:w="8280" w:type="dxa"/>
            <w:vAlign w:val="bottom"/>
            <w:tcBorders>
              <w:bottom w:val="single" w:sz="8" w:color="DDDDDD"/>
            </w:tcBorders>
          </w:tcPr>
          <w:p>
            <w:pPr>
              <w:ind w:left="40"/>
              <w:spacing w:after="0"/>
              <w:rPr>
                <w:sz w:val="20"/>
                <w:szCs w:val="20"/>
                <w:color w:val="auto"/>
              </w:rPr>
            </w:pPr>
            <w:r>
              <w:rPr>
                <w:rFonts w:ascii="Times New Roman" w:cs="Times New Roman" w:eastAsia="Times New Roman" w:hAnsi="Times New Roman"/>
                <w:sz w:val="20"/>
                <w:szCs w:val="20"/>
                <w:color w:val="auto"/>
              </w:rPr>
              <w:t>Less: transaction costs and advisory fees</w:t>
            </w:r>
          </w:p>
        </w:tc>
        <w:tc>
          <w:tcPr>
            <w:tcW w:w="60" w:type="dxa"/>
            <w:vAlign w:val="bottom"/>
            <w:tcBorders>
              <w:bottom w:val="single" w:sz="8" w:color="DDDDDD"/>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1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(44,052)</w:t>
            </w:r>
          </w:p>
        </w:tc>
        <w:tc>
          <w:tcPr>
            <w:tcW w:w="0" w:type="dxa"/>
            <w:vAlign w:val="bottom"/>
          </w:tcPr>
          <w:p>
            <w:pPr>
              <w:spacing w:after="0"/>
              <w:rPr>
                <w:sz w:val="1"/>
                <w:szCs w:val="1"/>
                <w:color w:val="auto"/>
              </w:rPr>
            </w:pPr>
          </w:p>
        </w:tc>
      </w:tr>
      <w:tr>
        <w:trPr>
          <w:trHeight w:val="295"/>
        </w:trPr>
        <w:tc>
          <w:tcPr>
            <w:tcW w:w="8280" w:type="dxa"/>
            <w:vAlign w:val="bottom"/>
            <w:shd w:val="clear" w:color="auto" w:fill="DDDDDD"/>
          </w:tcPr>
          <w:p>
            <w:pPr>
              <w:ind w:left="160"/>
              <w:spacing w:after="0"/>
              <w:rPr>
                <w:sz w:val="20"/>
                <w:szCs w:val="20"/>
                <w:color w:val="auto"/>
              </w:rPr>
            </w:pPr>
            <w:r>
              <w:rPr>
                <w:rFonts w:ascii="Times New Roman" w:cs="Times New Roman" w:eastAsia="Times New Roman" w:hAnsi="Times New Roman"/>
                <w:sz w:val="20"/>
                <w:szCs w:val="20"/>
                <w:color w:val="auto"/>
              </w:rPr>
              <w:t>Net proceeds from the Business Combination</w:t>
            </w:r>
          </w:p>
        </w:tc>
        <w:tc>
          <w:tcPr>
            <w:tcW w:w="60" w:type="dxa"/>
            <w:vAlign w:val="bottom"/>
            <w:shd w:val="clear" w:color="auto" w:fill="DDDDDD"/>
          </w:tcPr>
          <w:p>
            <w:pPr>
              <w:spacing w:after="0"/>
              <w:rPr>
                <w:sz w:val="24"/>
                <w:szCs w:val="24"/>
                <w:color w:val="auto"/>
              </w:rPr>
            </w:pPr>
          </w:p>
        </w:tc>
        <w:tc>
          <w:tcPr>
            <w:tcW w:w="200" w:type="dxa"/>
            <w:vAlign w:val="bottom"/>
            <w:shd w:val="clear" w:color="auto" w:fill="DDDDDD"/>
          </w:tcPr>
          <w:p>
            <w:pPr>
              <w:spacing w:after="0"/>
              <w:rPr>
                <w:sz w:val="24"/>
                <w:szCs w:val="24"/>
                <w:color w:val="auto"/>
              </w:rPr>
            </w:pPr>
          </w:p>
        </w:tc>
        <w:tc>
          <w:tcPr>
            <w:tcW w:w="1720" w:type="dxa"/>
            <w:vAlign w:val="bottom"/>
            <w:shd w:val="clear" w:color="auto" w:fill="DDDDDD"/>
          </w:tcPr>
          <w:p>
            <w:pPr>
              <w:jc w:val="right"/>
              <w:spacing w:after="0"/>
              <w:rPr>
                <w:sz w:val="20"/>
                <w:szCs w:val="20"/>
                <w:color w:val="auto"/>
              </w:rPr>
            </w:pPr>
            <w:r>
              <w:rPr>
                <w:rFonts w:ascii="Times New Roman" w:cs="Times New Roman" w:eastAsia="Times New Roman" w:hAnsi="Times New Roman"/>
                <w:sz w:val="20"/>
                <w:szCs w:val="20"/>
                <w:color w:val="auto"/>
              </w:rPr>
              <w:t>79,969</w:t>
            </w:r>
          </w:p>
        </w:tc>
        <w:tc>
          <w:tcPr>
            <w:tcW w:w="0" w:type="dxa"/>
            <w:vAlign w:val="bottom"/>
          </w:tcPr>
          <w:p>
            <w:pPr>
              <w:spacing w:after="0"/>
              <w:rPr>
                <w:sz w:val="1"/>
                <w:szCs w:val="1"/>
                <w:color w:val="auto"/>
              </w:rPr>
            </w:pPr>
          </w:p>
        </w:tc>
      </w:tr>
      <w:tr>
        <w:trPr>
          <w:trHeight w:val="307"/>
        </w:trPr>
        <w:tc>
          <w:tcPr>
            <w:tcW w:w="8280" w:type="dxa"/>
            <w:vAlign w:val="bottom"/>
          </w:tcPr>
          <w:p>
            <w:pPr>
              <w:ind w:left="40"/>
              <w:spacing w:after="0"/>
              <w:rPr>
                <w:sz w:val="20"/>
                <w:szCs w:val="20"/>
                <w:color w:val="auto"/>
              </w:rPr>
            </w:pPr>
            <w:r>
              <w:rPr>
                <w:rFonts w:ascii="Times New Roman" w:cs="Times New Roman" w:eastAsia="Times New Roman" w:hAnsi="Times New Roman"/>
                <w:sz w:val="20"/>
                <w:szCs w:val="20"/>
                <w:color w:val="auto"/>
              </w:rPr>
              <w:t>Less: initial fair value of warrant liability recognized in the Business Combination</w:t>
            </w:r>
          </w:p>
        </w:tc>
        <w:tc>
          <w:tcPr>
            <w:tcW w:w="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7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(193,978)</w:t>
            </w:r>
          </w:p>
        </w:tc>
        <w:tc>
          <w:tcPr>
            <w:tcW w:w="0" w:type="dxa"/>
            <w:vAlign w:val="bottom"/>
          </w:tcPr>
          <w:p>
            <w:pPr>
              <w:spacing w:after="0"/>
              <w:rPr>
                <w:sz w:val="1"/>
                <w:szCs w:val="1"/>
                <w:color w:val="auto"/>
              </w:rPr>
            </w:pPr>
          </w:p>
        </w:tc>
      </w:tr>
      <w:tr>
        <w:trPr>
          <w:trHeight w:val="319"/>
        </w:trPr>
        <w:tc>
          <w:tcPr>
            <w:tcW w:w="8280" w:type="dxa"/>
            <w:vAlign w:val="bottom"/>
            <w:shd w:val="clear" w:color="auto" w:fill="DDDDDD"/>
          </w:tcPr>
          <w:p>
            <w:pPr>
              <w:ind w:left="40"/>
              <w:spacing w:after="0"/>
              <w:rPr>
                <w:sz w:val="20"/>
                <w:szCs w:val="20"/>
                <w:color w:val="auto"/>
              </w:rPr>
            </w:pPr>
            <w:r>
              <w:rPr>
                <w:rFonts w:ascii="Times New Roman" w:cs="Times New Roman" w:eastAsia="Times New Roman" w:hAnsi="Times New Roman"/>
                <w:sz w:val="20"/>
                <w:szCs w:val="20"/>
                <w:color w:val="auto"/>
              </w:rPr>
              <w:t>Add: transaction costs allocated to Warrants</w:t>
            </w:r>
          </w:p>
        </w:tc>
        <w:tc>
          <w:tcPr>
            <w:tcW w:w="60" w:type="dxa"/>
            <w:vAlign w:val="bottom"/>
            <w:shd w:val="clear" w:color="auto" w:fill="DDDDDD"/>
          </w:tcPr>
          <w:p>
            <w:pPr>
              <w:spacing w:after="0"/>
              <w:rPr>
                <w:sz w:val="24"/>
                <w:szCs w:val="24"/>
                <w:color w:val="auto"/>
              </w:rPr>
            </w:pPr>
          </w:p>
        </w:tc>
        <w:tc>
          <w:tcPr>
            <w:tcW w:w="200" w:type="dxa"/>
            <w:vAlign w:val="bottom"/>
            <w:shd w:val="clear" w:color="auto" w:fill="DDDDDD"/>
          </w:tcPr>
          <w:p>
            <w:pPr>
              <w:spacing w:after="0"/>
              <w:rPr>
                <w:sz w:val="24"/>
                <w:szCs w:val="24"/>
                <w:color w:val="auto"/>
              </w:rPr>
            </w:pPr>
          </w:p>
        </w:tc>
        <w:tc>
          <w:tcPr>
            <w:tcW w:w="1720" w:type="dxa"/>
            <w:vAlign w:val="bottom"/>
            <w:shd w:val="clear" w:color="auto" w:fill="DDDDDD"/>
          </w:tcPr>
          <w:p>
            <w:pPr>
              <w:jc w:val="right"/>
              <w:spacing w:after="0"/>
              <w:rPr>
                <w:sz w:val="20"/>
                <w:szCs w:val="20"/>
                <w:color w:val="auto"/>
              </w:rPr>
            </w:pPr>
            <w:r>
              <w:rPr>
                <w:rFonts w:ascii="Times New Roman" w:cs="Times New Roman" w:eastAsia="Times New Roman" w:hAnsi="Times New Roman"/>
                <w:sz w:val="20"/>
                <w:szCs w:val="20"/>
                <w:color w:val="auto"/>
              </w:rPr>
              <w:t>5,547</w:t>
            </w:r>
          </w:p>
        </w:tc>
        <w:tc>
          <w:tcPr>
            <w:tcW w:w="0" w:type="dxa"/>
            <w:vAlign w:val="bottom"/>
          </w:tcPr>
          <w:p>
            <w:pPr>
              <w:spacing w:after="0"/>
              <w:rPr>
                <w:sz w:val="1"/>
                <w:szCs w:val="1"/>
                <w:color w:val="auto"/>
              </w:rPr>
            </w:pPr>
          </w:p>
        </w:tc>
      </w:tr>
      <w:tr>
        <w:trPr>
          <w:trHeight w:val="304"/>
        </w:trPr>
        <w:tc>
          <w:tcPr>
            <w:tcW w:w="8280" w:type="dxa"/>
            <w:vAlign w:val="bottom"/>
          </w:tcPr>
          <w:p>
            <w:pPr>
              <w:ind w:left="40"/>
              <w:spacing w:after="0"/>
              <w:rPr>
                <w:sz w:val="20"/>
                <w:szCs w:val="20"/>
                <w:color w:val="auto"/>
              </w:rPr>
            </w:pPr>
            <w:r>
              <w:rPr>
                <w:rFonts w:ascii="Times New Roman" w:cs="Times New Roman" w:eastAsia="Times New Roman" w:hAnsi="Times New Roman"/>
                <w:sz w:val="20"/>
                <w:szCs w:val="20"/>
                <w:color w:val="auto"/>
              </w:rPr>
              <w:t>Add: non-cash assets assumed from Silver Spike</w:t>
            </w:r>
          </w:p>
        </w:tc>
        <w:tc>
          <w:tcPr>
            <w:tcW w:w="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7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1,053</w:t>
            </w:r>
          </w:p>
        </w:tc>
        <w:tc>
          <w:tcPr>
            <w:tcW w:w="0" w:type="dxa"/>
            <w:vAlign w:val="bottom"/>
          </w:tcPr>
          <w:p>
            <w:pPr>
              <w:spacing w:after="0"/>
              <w:rPr>
                <w:sz w:val="1"/>
                <w:szCs w:val="1"/>
                <w:color w:val="auto"/>
              </w:rPr>
            </w:pPr>
          </w:p>
        </w:tc>
      </w:tr>
      <w:tr>
        <w:trPr>
          <w:trHeight w:val="323"/>
        </w:trPr>
        <w:tc>
          <w:tcPr>
            <w:tcW w:w="8280" w:type="dxa"/>
            <w:vAlign w:val="bottom"/>
            <w:shd w:val="clear" w:color="auto" w:fill="DDDDDD"/>
          </w:tcPr>
          <w:p>
            <w:pPr>
              <w:ind w:left="40"/>
              <w:spacing w:after="0"/>
              <w:rPr>
                <w:sz w:val="20"/>
                <w:szCs w:val="20"/>
                <w:color w:val="auto"/>
              </w:rPr>
            </w:pPr>
            <w:r>
              <w:rPr>
                <w:rFonts w:ascii="Times New Roman" w:cs="Times New Roman" w:eastAsia="Times New Roman" w:hAnsi="Times New Roman"/>
                <w:sz w:val="20"/>
                <w:szCs w:val="20"/>
                <w:color w:val="auto"/>
              </w:rPr>
              <w:t>Add: deferred tax asset</w:t>
            </w:r>
          </w:p>
        </w:tc>
        <w:tc>
          <w:tcPr>
            <w:tcW w:w="60" w:type="dxa"/>
            <w:vAlign w:val="bottom"/>
            <w:shd w:val="clear" w:color="auto" w:fill="DDDDDD"/>
          </w:tcPr>
          <w:p>
            <w:pPr>
              <w:spacing w:after="0"/>
              <w:rPr>
                <w:sz w:val="24"/>
                <w:szCs w:val="24"/>
                <w:color w:val="auto"/>
              </w:rPr>
            </w:pPr>
          </w:p>
        </w:tc>
        <w:tc>
          <w:tcPr>
            <w:tcW w:w="200" w:type="dxa"/>
            <w:vAlign w:val="bottom"/>
            <w:shd w:val="clear" w:color="auto" w:fill="DDDDDD"/>
          </w:tcPr>
          <w:p>
            <w:pPr>
              <w:spacing w:after="0"/>
              <w:rPr>
                <w:sz w:val="24"/>
                <w:szCs w:val="24"/>
                <w:color w:val="auto"/>
              </w:rPr>
            </w:pPr>
          </w:p>
        </w:tc>
        <w:tc>
          <w:tcPr>
            <w:tcW w:w="1720" w:type="dxa"/>
            <w:vAlign w:val="bottom"/>
            <w:shd w:val="clear" w:color="auto" w:fill="DDDDDD"/>
          </w:tcPr>
          <w:p>
            <w:pPr>
              <w:jc w:val="right"/>
              <w:spacing w:after="0"/>
              <w:rPr>
                <w:sz w:val="20"/>
                <w:szCs w:val="20"/>
                <w:color w:val="auto"/>
              </w:rPr>
            </w:pPr>
            <w:r>
              <w:rPr>
                <w:rFonts w:ascii="Times New Roman" w:cs="Times New Roman" w:eastAsia="Times New Roman" w:hAnsi="Times New Roman"/>
                <w:sz w:val="20"/>
                <w:szCs w:val="20"/>
                <w:color w:val="auto"/>
              </w:rPr>
              <w:t>151,255</w:t>
            </w:r>
          </w:p>
        </w:tc>
        <w:tc>
          <w:tcPr>
            <w:tcW w:w="0" w:type="dxa"/>
            <w:vAlign w:val="bottom"/>
          </w:tcPr>
          <w:p>
            <w:pPr>
              <w:spacing w:after="0"/>
              <w:rPr>
                <w:sz w:val="1"/>
                <w:szCs w:val="1"/>
                <w:color w:val="auto"/>
              </w:rPr>
            </w:pPr>
          </w:p>
        </w:tc>
      </w:tr>
      <w:tr>
        <w:trPr>
          <w:trHeight w:val="304"/>
        </w:trPr>
        <w:tc>
          <w:tcPr>
            <w:tcW w:w="8280" w:type="dxa"/>
            <w:vAlign w:val="bottom"/>
            <w:tcBorders>
              <w:bottom w:val="single" w:sz="8" w:color="DDDDDD"/>
            </w:tcBorders>
          </w:tcPr>
          <w:p>
            <w:pPr>
              <w:ind w:left="40"/>
              <w:spacing w:after="0"/>
              <w:rPr>
                <w:sz w:val="20"/>
                <w:szCs w:val="20"/>
                <w:color w:val="auto"/>
              </w:rPr>
            </w:pPr>
            <w:r>
              <w:rPr>
                <w:rFonts w:ascii="Times New Roman" w:cs="Times New Roman" w:eastAsia="Times New Roman" w:hAnsi="Times New Roman"/>
                <w:sz w:val="20"/>
                <w:szCs w:val="20"/>
                <w:color w:val="auto"/>
              </w:rPr>
              <w:t>Less: tax receivable agreement liability</w:t>
            </w:r>
          </w:p>
        </w:tc>
        <w:tc>
          <w:tcPr>
            <w:tcW w:w="60" w:type="dxa"/>
            <w:vAlign w:val="bottom"/>
            <w:tcBorders>
              <w:bottom w:val="single" w:sz="8" w:color="DDDDDD"/>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1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(128,567)</w:t>
            </w:r>
          </w:p>
        </w:tc>
        <w:tc>
          <w:tcPr>
            <w:tcW w:w="0" w:type="dxa"/>
            <w:vAlign w:val="bottom"/>
          </w:tcPr>
          <w:p>
            <w:pPr>
              <w:spacing w:after="0"/>
              <w:rPr>
                <w:sz w:val="1"/>
                <w:szCs w:val="1"/>
                <w:color w:val="auto"/>
              </w:rPr>
            </w:pPr>
          </w:p>
        </w:tc>
      </w:tr>
      <w:tr>
        <w:trPr>
          <w:trHeight w:val="302"/>
        </w:trPr>
        <w:tc>
          <w:tcPr>
            <w:tcW w:w="8280" w:type="dxa"/>
            <w:vAlign w:val="bottom"/>
            <w:shd w:val="clear" w:color="auto" w:fill="DDDDDD"/>
          </w:tcPr>
          <w:p>
            <w:pPr>
              <w:ind w:left="160"/>
              <w:spacing w:after="0"/>
              <w:rPr>
                <w:sz w:val="20"/>
                <w:szCs w:val="20"/>
                <w:color w:val="auto"/>
              </w:rPr>
            </w:pPr>
            <w:r>
              <w:rPr>
                <w:rFonts w:ascii="Times New Roman" w:cs="Times New Roman" w:eastAsia="Times New Roman" w:hAnsi="Times New Roman"/>
                <w:sz w:val="20"/>
                <w:szCs w:val="20"/>
                <w:color w:val="auto"/>
              </w:rPr>
              <w:t>Net adjustment to total equity from the Business Combination</w:t>
            </w:r>
          </w:p>
        </w:tc>
        <w:tc>
          <w:tcPr>
            <w:tcW w:w="60" w:type="dxa"/>
            <w:vAlign w:val="bottom"/>
            <w:shd w:val="clear" w:color="auto" w:fill="DDDDDD"/>
          </w:tcPr>
          <w:p>
            <w:pPr>
              <w:spacing w:after="0"/>
              <w:rPr>
                <w:sz w:val="24"/>
                <w:szCs w:val="24"/>
                <w:color w:val="auto"/>
              </w:rPr>
            </w:pPr>
          </w:p>
        </w:tc>
        <w:tc>
          <w:tcPr>
            <w:tcW w:w="200" w:type="dxa"/>
            <w:vAlign w:val="bottom"/>
            <w:shd w:val="clear" w:color="auto" w:fill="DDDDDD"/>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1720" w:type="dxa"/>
            <w:vAlign w:val="bottom"/>
            <w:shd w:val="clear" w:color="auto" w:fill="DDDDDD"/>
          </w:tcPr>
          <w:p>
            <w:pPr>
              <w:jc w:val="right"/>
              <w:spacing w:after="0"/>
              <w:rPr>
                <w:sz w:val="20"/>
                <w:szCs w:val="20"/>
                <w:color w:val="auto"/>
              </w:rPr>
            </w:pPr>
            <w:r>
              <w:rPr>
                <w:rFonts w:ascii="Times New Roman" w:cs="Times New Roman" w:eastAsia="Times New Roman" w:hAnsi="Times New Roman"/>
                <w:sz w:val="20"/>
                <w:szCs w:val="20"/>
                <w:color w:val="auto"/>
              </w:rPr>
              <w:t>(84,721)</w:t>
            </w:r>
          </w:p>
        </w:tc>
        <w:tc>
          <w:tcPr>
            <w:tcW w:w="0" w:type="dxa"/>
            <w:vAlign w:val="bottom"/>
          </w:tcPr>
          <w:p>
            <w:pPr>
              <w:spacing w:after="0"/>
              <w:rPr>
                <w:sz w:val="1"/>
                <w:szCs w:val="1"/>
                <w:color w:val="auto"/>
              </w:rPr>
            </w:pPr>
          </w:p>
        </w:tc>
      </w:tr>
      <w:tr>
        <w:trPr>
          <w:trHeight w:val="20"/>
        </w:trPr>
        <w:tc>
          <w:tcPr>
            <w:tcW w:w="8280" w:type="dxa"/>
            <w:vAlign w:val="bottom"/>
            <w:vMerge w:val="restart"/>
          </w:tcPr>
          <w:p>
            <w:pPr>
              <w:spacing w:after="0"/>
              <w:rPr>
                <w:sz w:val="20"/>
                <w:szCs w:val="20"/>
                <w:color w:val="auto"/>
              </w:rPr>
            </w:pPr>
            <w:r>
              <w:rPr>
                <w:rFonts w:ascii="Times New Roman" w:cs="Times New Roman" w:eastAsia="Times New Roman" w:hAnsi="Times New Roman"/>
                <w:sz w:val="20"/>
                <w:szCs w:val="20"/>
                <w:color w:val="auto"/>
              </w:rPr>
              <w:t>The number of shares of common stock issued immediately following the Closing:</w:t>
            </w:r>
          </w:p>
        </w:tc>
        <w:tc>
          <w:tcPr>
            <w:tcW w:w="6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7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
        </w:trPr>
        <w:tc>
          <w:tcPr>
            <w:tcW w:w="8280" w:type="dxa"/>
            <w:vAlign w:val="bottom"/>
            <w:vMerge w:val="continue"/>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7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47"/>
        </w:trPr>
        <w:tc>
          <w:tcPr>
            <w:tcW w:w="8280" w:type="dxa"/>
            <w:vAlign w:val="bottom"/>
            <w:vMerge w:val="continue"/>
          </w:tcPr>
          <w:p>
            <w:pPr>
              <w:spacing w:after="0"/>
              <w:rPr>
                <w:sz w:val="24"/>
                <w:szCs w:val="24"/>
                <w:color w:val="auto"/>
              </w:rPr>
            </w:pPr>
          </w:p>
        </w:tc>
        <w:tc>
          <w:tcPr>
            <w:tcW w:w="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7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27"/>
        </w:trPr>
        <w:tc>
          <w:tcPr>
            <w:tcW w:w="8280" w:type="dxa"/>
            <w:vAlign w:val="bottom"/>
            <w:tcBorders>
              <w:bottom w:val="single" w:sz="8" w:color="DDDDDD"/>
            </w:tcBorders>
          </w:tcPr>
          <w:p>
            <w:pPr>
              <w:spacing w:after="0"/>
              <w:rPr>
                <w:sz w:val="24"/>
                <w:szCs w:val="24"/>
                <w:color w:val="auto"/>
              </w:rPr>
            </w:pPr>
          </w:p>
        </w:tc>
        <w:tc>
          <w:tcPr>
            <w:tcW w:w="60" w:type="dxa"/>
            <w:vAlign w:val="bottom"/>
            <w:tcBorders>
              <w:bottom w:val="single" w:sz="8" w:color="DDDDDD"/>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1720" w:type="dxa"/>
            <w:vAlign w:val="bottom"/>
            <w:tcBorders>
              <w:bottom w:val="single" w:sz="8" w:color="auto"/>
            </w:tcBorders>
          </w:tcPr>
          <w:p>
            <w:pPr>
              <w:jc w:val="center"/>
              <w:ind w:right="59"/>
              <w:spacing w:after="0"/>
              <w:rPr>
                <w:sz w:val="20"/>
                <w:szCs w:val="20"/>
                <w:color w:val="auto"/>
              </w:rPr>
            </w:pPr>
            <w:r>
              <w:rPr>
                <w:rFonts w:ascii="Times New Roman" w:cs="Times New Roman" w:eastAsia="Times New Roman" w:hAnsi="Times New Roman"/>
                <w:sz w:val="20"/>
                <w:szCs w:val="20"/>
                <w:b w:val="1"/>
                <w:bCs w:val="1"/>
                <w:color w:val="auto"/>
              </w:rPr>
              <w:t>Number of Shares</w:t>
            </w:r>
          </w:p>
        </w:tc>
        <w:tc>
          <w:tcPr>
            <w:tcW w:w="0" w:type="dxa"/>
            <w:vAlign w:val="bottom"/>
          </w:tcPr>
          <w:p>
            <w:pPr>
              <w:spacing w:after="0"/>
              <w:rPr>
                <w:sz w:val="1"/>
                <w:szCs w:val="1"/>
                <w:color w:val="auto"/>
              </w:rPr>
            </w:pPr>
          </w:p>
        </w:tc>
      </w:tr>
      <w:tr>
        <w:trPr>
          <w:trHeight w:val="300"/>
        </w:trPr>
        <w:tc>
          <w:tcPr>
            <w:tcW w:w="8280" w:type="dxa"/>
            <w:vAlign w:val="bottom"/>
            <w:shd w:val="clear" w:color="auto" w:fill="DDDDDD"/>
          </w:tcPr>
          <w:p>
            <w:pPr>
              <w:ind w:left="40"/>
              <w:spacing w:after="0"/>
              <w:rPr>
                <w:sz w:val="20"/>
                <w:szCs w:val="20"/>
                <w:color w:val="auto"/>
              </w:rPr>
            </w:pPr>
            <w:r>
              <w:rPr>
                <w:rFonts w:ascii="Times New Roman" w:cs="Times New Roman" w:eastAsia="Times New Roman" w:hAnsi="Times New Roman"/>
                <w:sz w:val="20"/>
                <w:szCs w:val="20"/>
                <w:color w:val="auto"/>
              </w:rPr>
              <w:t>Common stock, outstanding prior to the Business Combination</w:t>
            </w:r>
          </w:p>
        </w:tc>
        <w:tc>
          <w:tcPr>
            <w:tcW w:w="60" w:type="dxa"/>
            <w:vAlign w:val="bottom"/>
            <w:shd w:val="clear" w:color="auto" w:fill="DDDDDD"/>
          </w:tcPr>
          <w:p>
            <w:pPr>
              <w:spacing w:after="0"/>
              <w:rPr>
                <w:sz w:val="24"/>
                <w:szCs w:val="24"/>
                <w:color w:val="auto"/>
              </w:rPr>
            </w:pPr>
          </w:p>
        </w:tc>
        <w:tc>
          <w:tcPr>
            <w:tcW w:w="200" w:type="dxa"/>
            <w:vAlign w:val="bottom"/>
            <w:shd w:val="clear" w:color="auto" w:fill="DDDDDD"/>
          </w:tcPr>
          <w:p>
            <w:pPr>
              <w:spacing w:after="0"/>
              <w:rPr>
                <w:sz w:val="24"/>
                <w:szCs w:val="24"/>
                <w:color w:val="auto"/>
              </w:rPr>
            </w:pPr>
          </w:p>
        </w:tc>
        <w:tc>
          <w:tcPr>
            <w:tcW w:w="1720" w:type="dxa"/>
            <w:vAlign w:val="bottom"/>
            <w:shd w:val="clear" w:color="auto" w:fill="DDDDDD"/>
          </w:tcPr>
          <w:p>
            <w:pPr>
              <w:jc w:val="right"/>
              <w:spacing w:after="0"/>
              <w:rPr>
                <w:sz w:val="20"/>
                <w:szCs w:val="20"/>
                <w:color w:val="auto"/>
              </w:rPr>
            </w:pPr>
            <w:r>
              <w:rPr>
                <w:rFonts w:ascii="Times New Roman" w:cs="Times New Roman" w:eastAsia="Times New Roman" w:hAnsi="Times New Roman"/>
                <w:sz w:val="20"/>
                <w:szCs w:val="20"/>
                <w:color w:val="auto"/>
              </w:rPr>
              <w:t>24,998,575</w:t>
            </w:r>
          </w:p>
        </w:tc>
        <w:tc>
          <w:tcPr>
            <w:tcW w:w="0" w:type="dxa"/>
            <w:vAlign w:val="bottom"/>
          </w:tcPr>
          <w:p>
            <w:pPr>
              <w:spacing w:after="0"/>
              <w:rPr>
                <w:sz w:val="1"/>
                <w:szCs w:val="1"/>
                <w:color w:val="auto"/>
              </w:rPr>
            </w:pPr>
          </w:p>
        </w:tc>
      </w:tr>
      <w:tr>
        <w:trPr>
          <w:trHeight w:val="304"/>
        </w:trPr>
        <w:tc>
          <w:tcPr>
            <w:tcW w:w="8280" w:type="dxa"/>
            <w:vAlign w:val="bottom"/>
            <w:tcBorders>
              <w:bottom w:val="single" w:sz="8" w:color="DDDDDD"/>
            </w:tcBorders>
          </w:tcPr>
          <w:p>
            <w:pPr>
              <w:ind w:left="40"/>
              <w:spacing w:after="0"/>
              <w:rPr>
                <w:sz w:val="20"/>
                <w:szCs w:val="20"/>
                <w:color w:val="auto"/>
              </w:rPr>
            </w:pPr>
            <w:r>
              <w:rPr>
                <w:rFonts w:ascii="Times New Roman" w:cs="Times New Roman" w:eastAsia="Times New Roman" w:hAnsi="Times New Roman"/>
                <w:sz w:val="20"/>
                <w:szCs w:val="20"/>
                <w:color w:val="auto"/>
              </w:rPr>
              <w:t>Less: redemption of shares of Silver Spike’s Class A common stock</w:t>
            </w:r>
          </w:p>
        </w:tc>
        <w:tc>
          <w:tcPr>
            <w:tcW w:w="60" w:type="dxa"/>
            <w:vAlign w:val="bottom"/>
            <w:tcBorders>
              <w:bottom w:val="single" w:sz="8" w:color="DDDDDD"/>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1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10,012</w:t>
            </w:r>
          </w:p>
        </w:tc>
        <w:tc>
          <w:tcPr>
            <w:tcW w:w="0" w:type="dxa"/>
            <w:vAlign w:val="bottom"/>
          </w:tcPr>
          <w:p>
            <w:pPr>
              <w:spacing w:after="0"/>
              <w:rPr>
                <w:sz w:val="1"/>
                <w:szCs w:val="1"/>
                <w:color w:val="auto"/>
              </w:rPr>
            </w:pPr>
          </w:p>
        </w:tc>
      </w:tr>
      <w:tr>
        <w:trPr>
          <w:trHeight w:val="302"/>
        </w:trPr>
        <w:tc>
          <w:tcPr>
            <w:tcW w:w="8280" w:type="dxa"/>
            <w:vAlign w:val="bottom"/>
            <w:shd w:val="clear" w:color="auto" w:fill="DDDDDD"/>
          </w:tcPr>
          <w:p>
            <w:pPr>
              <w:ind w:left="160"/>
              <w:spacing w:after="0"/>
              <w:rPr>
                <w:sz w:val="20"/>
                <w:szCs w:val="20"/>
                <w:color w:val="auto"/>
              </w:rPr>
            </w:pPr>
            <w:r>
              <w:rPr>
                <w:rFonts w:ascii="Times New Roman" w:cs="Times New Roman" w:eastAsia="Times New Roman" w:hAnsi="Times New Roman"/>
                <w:sz w:val="20"/>
                <w:szCs w:val="20"/>
                <w:color w:val="auto"/>
              </w:rPr>
              <w:t>Shares of Silver Spike’s Class A common stock</w:t>
            </w:r>
          </w:p>
        </w:tc>
        <w:tc>
          <w:tcPr>
            <w:tcW w:w="60" w:type="dxa"/>
            <w:vAlign w:val="bottom"/>
            <w:shd w:val="clear" w:color="auto" w:fill="DDDDDD"/>
          </w:tcPr>
          <w:p>
            <w:pPr>
              <w:spacing w:after="0"/>
              <w:rPr>
                <w:sz w:val="24"/>
                <w:szCs w:val="24"/>
                <w:color w:val="auto"/>
              </w:rPr>
            </w:pPr>
          </w:p>
        </w:tc>
        <w:tc>
          <w:tcPr>
            <w:tcW w:w="200" w:type="dxa"/>
            <w:vAlign w:val="bottom"/>
            <w:shd w:val="clear" w:color="auto" w:fill="DDDDDD"/>
          </w:tcPr>
          <w:p>
            <w:pPr>
              <w:spacing w:after="0"/>
              <w:rPr>
                <w:sz w:val="24"/>
                <w:szCs w:val="24"/>
                <w:color w:val="auto"/>
              </w:rPr>
            </w:pPr>
          </w:p>
        </w:tc>
        <w:tc>
          <w:tcPr>
            <w:tcW w:w="1720" w:type="dxa"/>
            <w:vAlign w:val="bottom"/>
            <w:shd w:val="clear" w:color="auto" w:fill="DDDDDD"/>
          </w:tcPr>
          <w:p>
            <w:pPr>
              <w:jc w:val="right"/>
              <w:spacing w:after="0"/>
              <w:rPr>
                <w:sz w:val="20"/>
                <w:szCs w:val="20"/>
                <w:color w:val="auto"/>
              </w:rPr>
            </w:pPr>
            <w:r>
              <w:rPr>
                <w:rFonts w:ascii="Times New Roman" w:cs="Times New Roman" w:eastAsia="Times New Roman" w:hAnsi="Times New Roman"/>
                <w:sz w:val="20"/>
                <w:szCs w:val="20"/>
                <w:color w:val="auto"/>
              </w:rPr>
              <w:t>24,988,563</w:t>
            </w:r>
          </w:p>
        </w:tc>
        <w:tc>
          <w:tcPr>
            <w:tcW w:w="0" w:type="dxa"/>
            <w:vAlign w:val="bottom"/>
          </w:tcPr>
          <w:p>
            <w:pPr>
              <w:spacing w:after="0"/>
              <w:rPr>
                <w:sz w:val="1"/>
                <w:szCs w:val="1"/>
                <w:color w:val="auto"/>
              </w:rPr>
            </w:pPr>
          </w:p>
        </w:tc>
      </w:tr>
      <w:tr>
        <w:trPr>
          <w:trHeight w:val="304"/>
        </w:trPr>
        <w:tc>
          <w:tcPr>
            <w:tcW w:w="8280" w:type="dxa"/>
            <w:vAlign w:val="bottom"/>
          </w:tcPr>
          <w:p>
            <w:pPr>
              <w:ind w:left="40"/>
              <w:spacing w:after="0"/>
              <w:rPr>
                <w:sz w:val="20"/>
                <w:szCs w:val="20"/>
                <w:color w:val="auto"/>
              </w:rPr>
            </w:pPr>
            <w:r>
              <w:rPr>
                <w:rFonts w:ascii="Times New Roman" w:cs="Times New Roman" w:eastAsia="Times New Roman" w:hAnsi="Times New Roman"/>
                <w:sz w:val="20"/>
                <w:szCs w:val="20"/>
                <w:color w:val="auto"/>
              </w:rPr>
              <w:t>Shares of Class A Common Stock held by Silver Spike’s Sponsor</w:t>
            </w:r>
          </w:p>
        </w:tc>
        <w:tc>
          <w:tcPr>
            <w:tcW w:w="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7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6,250,000</w:t>
            </w:r>
          </w:p>
        </w:tc>
        <w:tc>
          <w:tcPr>
            <w:tcW w:w="0" w:type="dxa"/>
            <w:vAlign w:val="bottom"/>
          </w:tcPr>
          <w:p>
            <w:pPr>
              <w:spacing w:after="0"/>
              <w:rPr>
                <w:sz w:val="1"/>
                <w:szCs w:val="1"/>
                <w:color w:val="auto"/>
              </w:rPr>
            </w:pPr>
          </w:p>
        </w:tc>
      </w:tr>
      <w:tr>
        <w:trPr>
          <w:trHeight w:val="318"/>
        </w:trPr>
        <w:tc>
          <w:tcPr>
            <w:tcW w:w="8280" w:type="dxa"/>
            <w:vAlign w:val="bottom"/>
            <w:shd w:val="clear" w:color="auto" w:fill="DDDDDD"/>
          </w:tcPr>
          <w:p>
            <w:pPr>
              <w:ind w:left="40"/>
              <w:spacing w:after="0"/>
              <w:rPr>
                <w:sz w:val="20"/>
                <w:szCs w:val="20"/>
                <w:color w:val="auto"/>
              </w:rPr>
            </w:pPr>
            <w:r>
              <w:rPr>
                <w:rFonts w:ascii="Times New Roman" w:cs="Times New Roman" w:eastAsia="Times New Roman" w:hAnsi="Times New Roman"/>
                <w:sz w:val="20"/>
                <w:szCs w:val="20"/>
                <w:color w:val="auto"/>
              </w:rPr>
              <w:t>Shares of Class A Common Stock issued in the PIPE Financing</w:t>
            </w:r>
          </w:p>
        </w:tc>
        <w:tc>
          <w:tcPr>
            <w:tcW w:w="60" w:type="dxa"/>
            <w:vAlign w:val="bottom"/>
            <w:shd w:val="clear" w:color="auto" w:fill="DDDDDD"/>
          </w:tcPr>
          <w:p>
            <w:pPr>
              <w:spacing w:after="0"/>
              <w:rPr>
                <w:sz w:val="24"/>
                <w:szCs w:val="24"/>
                <w:color w:val="auto"/>
              </w:rPr>
            </w:pPr>
          </w:p>
        </w:tc>
        <w:tc>
          <w:tcPr>
            <w:tcW w:w="200" w:type="dxa"/>
            <w:vAlign w:val="bottom"/>
            <w:tcBorders>
              <w:bottom w:val="single" w:sz="8" w:color="auto"/>
            </w:tcBorders>
            <w:shd w:val="clear" w:color="auto" w:fill="DDDDDD"/>
          </w:tcPr>
          <w:p>
            <w:pPr>
              <w:spacing w:after="0"/>
              <w:rPr>
                <w:sz w:val="24"/>
                <w:szCs w:val="24"/>
                <w:color w:val="auto"/>
              </w:rPr>
            </w:pPr>
          </w:p>
        </w:tc>
        <w:tc>
          <w:tcPr>
            <w:tcW w:w="1720" w:type="dxa"/>
            <w:vAlign w:val="bottom"/>
            <w:tcBorders>
              <w:bottom w:val="single" w:sz="8" w:color="auto"/>
            </w:tcBorders>
            <w:shd w:val="clear" w:color="auto" w:fill="DDDDDD"/>
          </w:tcPr>
          <w:p>
            <w:pPr>
              <w:jc w:val="right"/>
              <w:spacing w:after="0"/>
              <w:rPr>
                <w:sz w:val="20"/>
                <w:szCs w:val="20"/>
                <w:color w:val="auto"/>
              </w:rPr>
            </w:pPr>
            <w:r>
              <w:rPr>
                <w:rFonts w:ascii="Times New Roman" w:cs="Times New Roman" w:eastAsia="Times New Roman" w:hAnsi="Times New Roman"/>
                <w:sz w:val="20"/>
                <w:szCs w:val="20"/>
                <w:color w:val="auto"/>
              </w:rPr>
              <w:t>32,500,000</w:t>
            </w:r>
          </w:p>
        </w:tc>
        <w:tc>
          <w:tcPr>
            <w:tcW w:w="0" w:type="dxa"/>
            <w:vAlign w:val="bottom"/>
          </w:tcPr>
          <w:p>
            <w:pPr>
              <w:spacing w:after="0"/>
              <w:rPr>
                <w:sz w:val="1"/>
                <w:szCs w:val="1"/>
                <w:color w:val="auto"/>
              </w:rPr>
            </w:pPr>
          </w:p>
        </w:tc>
      </w:tr>
      <w:tr>
        <w:trPr>
          <w:trHeight w:val="288"/>
        </w:trPr>
        <w:tc>
          <w:tcPr>
            <w:tcW w:w="8280" w:type="dxa"/>
            <w:vAlign w:val="bottom"/>
          </w:tcPr>
          <w:p>
            <w:pPr>
              <w:ind w:left="160"/>
              <w:spacing w:after="0"/>
              <w:rPr>
                <w:sz w:val="20"/>
                <w:szCs w:val="20"/>
                <w:color w:val="auto"/>
              </w:rPr>
            </w:pPr>
            <w:r>
              <w:rPr>
                <w:rFonts w:ascii="Times New Roman" w:cs="Times New Roman" w:eastAsia="Times New Roman" w:hAnsi="Times New Roman"/>
                <w:sz w:val="20"/>
                <w:szCs w:val="20"/>
                <w:color w:val="auto"/>
              </w:rPr>
              <w:t>Shares of Class A Common Stock issued in the Business Combination</w:t>
            </w:r>
          </w:p>
        </w:tc>
        <w:tc>
          <w:tcPr>
            <w:tcW w:w="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7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63,738,563</w:t>
            </w:r>
          </w:p>
        </w:tc>
        <w:tc>
          <w:tcPr>
            <w:tcW w:w="0" w:type="dxa"/>
            <w:vAlign w:val="bottom"/>
          </w:tcPr>
          <w:p>
            <w:pPr>
              <w:spacing w:after="0"/>
              <w:rPr>
                <w:sz w:val="1"/>
                <w:szCs w:val="1"/>
                <w:color w:val="auto"/>
              </w:rPr>
            </w:pPr>
          </w:p>
        </w:tc>
      </w:tr>
      <w:tr>
        <w:trPr>
          <w:trHeight w:val="323"/>
        </w:trPr>
        <w:tc>
          <w:tcPr>
            <w:tcW w:w="8280" w:type="dxa"/>
            <w:vAlign w:val="bottom"/>
            <w:shd w:val="clear" w:color="auto" w:fill="DDDDDD"/>
          </w:tcPr>
          <w:p>
            <w:pPr>
              <w:ind w:left="40"/>
              <w:spacing w:after="0"/>
              <w:rPr>
                <w:sz w:val="20"/>
                <w:szCs w:val="20"/>
                <w:color w:val="auto"/>
              </w:rPr>
            </w:pPr>
            <w:r>
              <w:rPr>
                <w:rFonts w:ascii="Times New Roman" w:cs="Times New Roman" w:eastAsia="Times New Roman" w:hAnsi="Times New Roman"/>
                <w:sz w:val="20"/>
                <w:szCs w:val="20"/>
                <w:color w:val="auto"/>
              </w:rPr>
              <w:t>Shares of Class V Common Stock issued to Legacy WMH equity holders</w:t>
            </w:r>
          </w:p>
        </w:tc>
        <w:tc>
          <w:tcPr>
            <w:tcW w:w="60" w:type="dxa"/>
            <w:vAlign w:val="bottom"/>
            <w:shd w:val="clear" w:color="auto" w:fill="DDDDDD"/>
          </w:tcPr>
          <w:p>
            <w:pPr>
              <w:spacing w:after="0"/>
              <w:rPr>
                <w:sz w:val="24"/>
                <w:szCs w:val="24"/>
                <w:color w:val="auto"/>
              </w:rPr>
            </w:pPr>
          </w:p>
        </w:tc>
        <w:tc>
          <w:tcPr>
            <w:tcW w:w="200" w:type="dxa"/>
            <w:vAlign w:val="bottom"/>
            <w:tcBorders>
              <w:bottom w:val="single" w:sz="8" w:color="auto"/>
            </w:tcBorders>
            <w:shd w:val="clear" w:color="auto" w:fill="DDDDDD"/>
          </w:tcPr>
          <w:p>
            <w:pPr>
              <w:spacing w:after="0"/>
              <w:rPr>
                <w:sz w:val="24"/>
                <w:szCs w:val="24"/>
                <w:color w:val="auto"/>
              </w:rPr>
            </w:pPr>
          </w:p>
        </w:tc>
        <w:tc>
          <w:tcPr>
            <w:tcW w:w="1720" w:type="dxa"/>
            <w:vAlign w:val="bottom"/>
            <w:tcBorders>
              <w:bottom w:val="single" w:sz="8" w:color="auto"/>
            </w:tcBorders>
            <w:shd w:val="clear" w:color="auto" w:fill="DDDDDD"/>
          </w:tcPr>
          <w:p>
            <w:pPr>
              <w:jc w:val="right"/>
              <w:spacing w:after="0"/>
              <w:rPr>
                <w:sz w:val="20"/>
                <w:szCs w:val="20"/>
                <w:color w:val="auto"/>
              </w:rPr>
            </w:pPr>
            <w:r>
              <w:rPr>
                <w:rFonts w:ascii="Times New Roman" w:cs="Times New Roman" w:eastAsia="Times New Roman" w:hAnsi="Times New Roman"/>
                <w:sz w:val="20"/>
                <w:szCs w:val="20"/>
                <w:color w:val="auto"/>
              </w:rPr>
              <w:t>65,502,347</w:t>
            </w:r>
          </w:p>
        </w:tc>
        <w:tc>
          <w:tcPr>
            <w:tcW w:w="0" w:type="dxa"/>
            <w:vAlign w:val="bottom"/>
          </w:tcPr>
          <w:p>
            <w:pPr>
              <w:spacing w:after="0"/>
              <w:rPr>
                <w:sz w:val="1"/>
                <w:szCs w:val="1"/>
                <w:color w:val="auto"/>
              </w:rPr>
            </w:pPr>
          </w:p>
        </w:tc>
      </w:tr>
      <w:tr>
        <w:trPr>
          <w:trHeight w:val="290"/>
        </w:trPr>
        <w:tc>
          <w:tcPr>
            <w:tcW w:w="8280" w:type="dxa"/>
            <w:vAlign w:val="bottom"/>
          </w:tcPr>
          <w:p>
            <w:pPr>
              <w:ind w:left="160"/>
              <w:spacing w:after="0"/>
              <w:rPr>
                <w:sz w:val="20"/>
                <w:szCs w:val="20"/>
                <w:color w:val="auto"/>
              </w:rPr>
            </w:pPr>
            <w:r>
              <w:rPr>
                <w:rFonts w:ascii="Times New Roman" w:cs="Times New Roman" w:eastAsia="Times New Roman" w:hAnsi="Times New Roman"/>
                <w:sz w:val="20"/>
                <w:szCs w:val="20"/>
                <w:color w:val="auto"/>
              </w:rPr>
              <w:t>Total shares of common stock issued in the Business Combination</w:t>
            </w:r>
          </w:p>
        </w:tc>
        <w:tc>
          <w:tcPr>
            <w:tcW w:w="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7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129,240,910</w:t>
            </w:r>
          </w:p>
        </w:tc>
        <w:tc>
          <w:tcPr>
            <w:tcW w:w="0" w:type="dxa"/>
            <w:vAlign w:val="bottom"/>
          </w:tcPr>
          <w:p>
            <w:pPr>
              <w:spacing w:after="0"/>
              <w:rPr>
                <w:sz w:val="1"/>
                <w:szCs w:val="1"/>
                <w:color w:val="auto"/>
              </w:rPr>
            </w:pPr>
          </w:p>
        </w:tc>
      </w:tr>
      <w:tr>
        <w:trPr>
          <w:trHeight w:val="20"/>
        </w:trPr>
        <w:tc>
          <w:tcPr>
            <w:tcW w:w="82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7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
        </w:trPr>
        <w:tc>
          <w:tcPr>
            <w:tcW w:w="82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7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00" w:lineRule="exact"/>
        <w:rPr>
          <w:sz w:val="20"/>
          <w:szCs w:val="20"/>
          <w:color w:val="auto"/>
        </w:rPr>
      </w:pPr>
    </w:p>
    <w:p>
      <w:pPr>
        <w:jc w:val="both"/>
        <w:ind w:left="6"/>
        <w:spacing w:after="0" w:line="301" w:lineRule="auto"/>
        <w:rPr>
          <w:sz w:val="20"/>
          <w:szCs w:val="20"/>
          <w:color w:val="auto"/>
        </w:rPr>
      </w:pPr>
      <w:r>
        <w:rPr>
          <w:rFonts w:ascii="Times New Roman" w:cs="Times New Roman" w:eastAsia="Times New Roman" w:hAnsi="Times New Roman"/>
          <w:sz w:val="20"/>
          <w:szCs w:val="20"/>
          <w:color w:val="auto"/>
        </w:rPr>
        <w:t>Net income for the period from June 16, 2021 (Closing Date) to December 31, 2021 was $137.1 million, which includes change in fair value of warrant liability of $166.5 million, stock-based compensation expense of $29.3 million and transaction costs related to the warrant liability of $5.5 million. The transaction costs related to the warrant liability is included in other expense, net on the consolidated statements of operations.</w:t>
      </w:r>
    </w:p>
    <w:p>
      <w:pPr>
        <w:spacing w:after="0" w:line="68" w:lineRule="exact"/>
        <w:rPr>
          <w:sz w:val="20"/>
          <w:szCs w:val="20"/>
          <w:color w:val="auto"/>
        </w:rPr>
      </w:pPr>
    </w:p>
    <w:p>
      <w:pPr>
        <w:ind w:left="546" w:hanging="546"/>
        <w:spacing w:after="0"/>
        <w:tabs>
          <w:tab w:leader="none" w:pos="546" w:val="left"/>
        </w:tabs>
        <w:numPr>
          <w:ilvl w:val="0"/>
          <w:numId w:val="88"/>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b w:val="1"/>
          <w:bCs w:val="1"/>
          <w:color w:val="auto"/>
        </w:rPr>
        <w:t>Acquisitions</w:t>
      </w:r>
    </w:p>
    <w:p>
      <w:pPr>
        <w:spacing w:after="0" w:line="170" w:lineRule="exact"/>
        <w:rPr>
          <w:sz w:val="20"/>
          <w:szCs w:val="20"/>
          <w:color w:val="auto"/>
        </w:rPr>
      </w:pPr>
    </w:p>
    <w:p>
      <w:pPr>
        <w:ind w:left="6"/>
        <w:spacing w:after="0"/>
        <w:rPr>
          <w:sz w:val="20"/>
          <w:szCs w:val="20"/>
          <w:color w:val="auto"/>
        </w:rPr>
      </w:pPr>
      <w:r>
        <w:rPr>
          <w:rFonts w:ascii="Times New Roman" w:cs="Times New Roman" w:eastAsia="Times New Roman" w:hAnsi="Times New Roman"/>
          <w:sz w:val="20"/>
          <w:szCs w:val="20"/>
          <w:b w:val="1"/>
          <w:bCs w:val="1"/>
          <w:i w:val="1"/>
          <w:iCs w:val="1"/>
          <w:color w:val="auto"/>
        </w:rPr>
        <w:t>Eyechronic</w:t>
      </w:r>
    </w:p>
    <w:p>
      <w:pPr>
        <w:spacing w:after="0" w:line="164" w:lineRule="exact"/>
        <w:rPr>
          <w:sz w:val="20"/>
          <w:szCs w:val="20"/>
          <w:color w:val="auto"/>
        </w:rPr>
      </w:pPr>
    </w:p>
    <w:p>
      <w:pPr>
        <w:jc w:val="both"/>
        <w:ind w:left="6"/>
        <w:spacing w:after="0" w:line="309" w:lineRule="auto"/>
        <w:rPr>
          <w:sz w:val="20"/>
          <w:szCs w:val="20"/>
          <w:color w:val="auto"/>
        </w:rPr>
      </w:pPr>
      <w:r>
        <w:rPr>
          <w:rFonts w:ascii="Times New Roman" w:cs="Times New Roman" w:eastAsia="Times New Roman" w:hAnsi="Times New Roman"/>
          <w:sz w:val="20"/>
          <w:szCs w:val="20"/>
          <w:color w:val="auto"/>
        </w:rPr>
        <w:t>On January 14, 2022, the Company acquired all the equity interests of Eyechronic LLC (“Eyechronic”) d/b/a Enlighten and rebranded as WM Screens, a Delaware limited liability company and a provider of software, digital signage services and multi-media offerings to dispensaries and brands, for total consideration of approximately $29.4 million. The Company accounted for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4" w:lineRule="exact"/>
        <w:rPr>
          <w:sz w:val="20"/>
          <w:szCs w:val="20"/>
          <w:color w:val="auto"/>
        </w:rPr>
      </w:pPr>
    </w:p>
    <w:p>
      <w:pPr>
        <w:jc w:val="center"/>
        <w:ind w:right="-5"/>
        <w:spacing w:after="0"/>
        <w:rPr>
          <w:sz w:val="20"/>
          <w:szCs w:val="20"/>
          <w:color w:val="auto"/>
        </w:rPr>
      </w:pPr>
      <w:r>
        <w:rPr>
          <w:rFonts w:ascii="Times New Roman" w:cs="Times New Roman" w:eastAsia="Times New Roman" w:hAnsi="Times New Roman"/>
          <w:sz w:val="20"/>
          <w:szCs w:val="20"/>
          <w:color w:val="auto"/>
        </w:rPr>
        <w:t>F-23</w:t>
      </w:r>
    </w:p>
    <w:p>
      <w:pPr>
        <w:sectPr>
          <w:pgSz w:w="12240" w:h="15840" w:orient="portrait"/>
          <w:cols w:equalWidth="0" w:num="1">
            <w:col w:w="10266"/>
          </w:cols>
          <w:pgMar w:left="994" w:top="731" w:right="980" w:bottom="222" w:gutter="0" w:footer="0" w:header="0"/>
        </w:sectPr>
      </w:pPr>
    </w:p>
    <w:bookmarkStart w:id="143" w:name="page144"/>
    <w:bookmarkEnd w:id="143"/>
    <w:p>
      <w:pPr>
        <w:jc w:val="center"/>
        <w:ind w:right="20"/>
        <w:spacing w:after="0"/>
        <w:rPr>
          <w:sz w:val="20"/>
          <w:szCs w:val="20"/>
          <w:color w:val="auto"/>
        </w:rPr>
      </w:pPr>
      <w:r>
        <w:rPr>
          <w:rFonts w:ascii="Times New Roman" w:cs="Times New Roman" w:eastAsia="Times New Roman" w:hAnsi="Times New Roman"/>
          <w:sz w:val="20"/>
          <w:szCs w:val="20"/>
          <w:b w:val="1"/>
          <w:bCs w:val="1"/>
          <w:color w:val="auto"/>
        </w:rPr>
        <w:t>WM TECHNOLOGY, INC. AND SUBSIDIARIES</w:t>
      </w:r>
    </w:p>
    <w:p>
      <w:pPr>
        <w:spacing w:after="0" w:line="4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NOTES TO CONSOLIDATED FINANCIAL STATEMENTS</w:t>
      </w:r>
    </w:p>
    <w:p>
      <w:pPr>
        <w:spacing w:after="0" w:line="286" w:lineRule="exact"/>
        <w:rPr>
          <w:sz w:val="20"/>
          <w:szCs w:val="20"/>
          <w:color w:val="auto"/>
        </w:rPr>
      </w:pPr>
    </w:p>
    <w:p>
      <w:pPr>
        <w:ind w:right="20"/>
        <w:spacing w:after="0" w:line="326" w:lineRule="auto"/>
        <w:rPr>
          <w:sz w:val="20"/>
          <w:szCs w:val="20"/>
          <w:color w:val="auto"/>
        </w:rPr>
      </w:pPr>
      <w:r>
        <w:rPr>
          <w:rFonts w:ascii="Times New Roman" w:cs="Times New Roman" w:eastAsia="Times New Roman" w:hAnsi="Times New Roman"/>
          <w:sz w:val="20"/>
          <w:szCs w:val="20"/>
          <w:color w:val="auto"/>
        </w:rPr>
        <w:t xml:space="preserve">the Eyechronic acquisition as an acquisition of a business under ASC 805, </w:t>
      </w:r>
      <w:r>
        <w:rPr>
          <w:rFonts w:ascii="Times New Roman" w:cs="Times New Roman" w:eastAsia="Times New Roman" w:hAnsi="Times New Roman"/>
          <w:sz w:val="20"/>
          <w:szCs w:val="20"/>
          <w:i w:val="1"/>
          <w:iCs w:val="1"/>
          <w:color w:val="auto"/>
        </w:rPr>
        <w:t>Business Combinations</w:t>
      </w:r>
      <w:r>
        <w:rPr>
          <w:rFonts w:ascii="Times New Roman" w:cs="Times New Roman" w:eastAsia="Times New Roman" w:hAnsi="Times New Roman"/>
          <w:sz w:val="20"/>
          <w:szCs w:val="20"/>
          <w:color w:val="auto"/>
        </w:rPr>
        <w:t xml:space="preserve"> (“ASC 805”). The acquired assets and liabilities of Eyechronic were recorded at their acquisition date fair values.</w:t>
      </w:r>
    </w:p>
    <w:p>
      <w:pPr>
        <w:spacing w:after="0" w:line="45"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The following table summarizes the components of consideration and the estimated fair value of assets acquired (in thousands):</w:t>
      </w:r>
    </w:p>
    <w:p>
      <w:pPr>
        <w:spacing w:after="0" w:line="214" w:lineRule="exact"/>
        <w:rPr>
          <w:sz w:val="20"/>
          <w:szCs w:val="20"/>
          <w:color w:val="auto"/>
        </w:rPr>
      </w:pPr>
    </w:p>
    <w:tbl>
      <w:tblPr>
        <w:tblLayout w:type="fixed"/>
        <w:tblInd w:w="0" w:type="dxa"/>
        <w:tblCellMar>
          <w:top w:w="0" w:type="dxa"/>
          <w:left w:w="0" w:type="dxa"/>
          <w:bottom w:w="0" w:type="dxa"/>
          <w:right w:w="0" w:type="dxa"/>
        </w:tblCellMar>
      </w:tblPr>
      <w:tr>
        <w:trPr>
          <w:trHeight w:val="262"/>
        </w:trPr>
        <w:tc>
          <w:tcPr>
            <w:tcW w:w="8880" w:type="dxa"/>
            <w:vAlign w:val="bottom"/>
          </w:tcPr>
          <w:p>
            <w:pPr>
              <w:ind w:left="40"/>
              <w:spacing w:after="0"/>
              <w:rPr>
                <w:sz w:val="20"/>
                <w:szCs w:val="20"/>
                <w:color w:val="auto"/>
              </w:rPr>
            </w:pPr>
            <w:r>
              <w:rPr>
                <w:rFonts w:ascii="Times New Roman" w:cs="Times New Roman" w:eastAsia="Times New Roman" w:hAnsi="Times New Roman"/>
                <w:sz w:val="20"/>
                <w:szCs w:val="20"/>
                <w:b w:val="1"/>
                <w:bCs w:val="1"/>
                <w:color w:val="auto"/>
              </w:rPr>
              <w:t>Consideration Transferred:</w:t>
            </w:r>
          </w:p>
        </w:tc>
        <w:tc>
          <w:tcPr>
            <w:tcW w:w="6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400" w:type="dxa"/>
            <w:vAlign w:val="bottom"/>
          </w:tcPr>
          <w:p>
            <w:pPr>
              <w:spacing w:after="0"/>
              <w:rPr>
                <w:sz w:val="22"/>
                <w:szCs w:val="22"/>
                <w:color w:val="auto"/>
              </w:rPr>
            </w:pPr>
          </w:p>
        </w:tc>
        <w:tc>
          <w:tcPr>
            <w:tcW w:w="9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81"/>
        </w:trPr>
        <w:tc>
          <w:tcPr>
            <w:tcW w:w="8880" w:type="dxa"/>
            <w:vAlign w:val="bottom"/>
            <w:shd w:val="clear" w:color="auto" w:fill="DDDDDD"/>
          </w:tcPr>
          <w:p>
            <w:pPr>
              <w:ind w:left="40"/>
              <w:spacing w:after="0" w:line="281" w:lineRule="exact"/>
              <w:rPr>
                <w:sz w:val="20"/>
                <w:szCs w:val="20"/>
                <w:color w:val="auto"/>
              </w:rPr>
            </w:pPr>
            <w:r>
              <w:rPr>
                <w:rFonts w:ascii="Times New Roman" w:cs="Times New Roman" w:eastAsia="Times New Roman" w:hAnsi="Times New Roman"/>
                <w:sz w:val="20"/>
                <w:szCs w:val="20"/>
                <w:color w:val="auto"/>
              </w:rPr>
              <w:t xml:space="preserve">Cash consideration </w:t>
            </w:r>
            <w:r>
              <w:rPr>
                <w:rFonts w:ascii="Times New Roman" w:cs="Times New Roman" w:eastAsia="Times New Roman" w:hAnsi="Times New Roman"/>
                <w:sz w:val="25"/>
                <w:szCs w:val="25"/>
                <w:color w:val="auto"/>
                <w:vertAlign w:val="superscript"/>
              </w:rPr>
              <w:t>(1)</w:t>
            </w:r>
          </w:p>
        </w:tc>
        <w:tc>
          <w:tcPr>
            <w:tcW w:w="60" w:type="dxa"/>
            <w:vAlign w:val="bottom"/>
            <w:shd w:val="clear" w:color="auto" w:fill="DDDDDD"/>
          </w:tcPr>
          <w:p>
            <w:pPr>
              <w:spacing w:after="0"/>
              <w:rPr>
                <w:sz w:val="24"/>
                <w:szCs w:val="24"/>
                <w:color w:val="auto"/>
              </w:rPr>
            </w:pPr>
          </w:p>
        </w:tc>
        <w:tc>
          <w:tcPr>
            <w:tcW w:w="20" w:type="dxa"/>
            <w:vAlign w:val="bottom"/>
            <w:shd w:val="clear" w:color="auto" w:fill="DDDDDD"/>
          </w:tcPr>
          <w:p>
            <w:pPr>
              <w:spacing w:after="0"/>
              <w:rPr>
                <w:sz w:val="24"/>
                <w:szCs w:val="24"/>
                <w:color w:val="auto"/>
              </w:rPr>
            </w:pPr>
          </w:p>
        </w:tc>
        <w:tc>
          <w:tcPr>
            <w:tcW w:w="400" w:type="dxa"/>
            <w:vAlign w:val="bottom"/>
            <w:shd w:val="clear" w:color="auto" w:fill="DDDDDD"/>
          </w:tcPr>
          <w:p>
            <w:pPr>
              <w:jc w:val="right"/>
              <w:ind w:right="159"/>
              <w:spacing w:after="0"/>
              <w:rPr>
                <w:sz w:val="20"/>
                <w:szCs w:val="20"/>
                <w:color w:val="auto"/>
              </w:rPr>
            </w:pPr>
            <w:r>
              <w:rPr>
                <w:rFonts w:ascii="Times New Roman" w:cs="Times New Roman" w:eastAsia="Times New Roman" w:hAnsi="Times New Roman"/>
                <w:sz w:val="20"/>
                <w:szCs w:val="20"/>
                <w:color w:val="auto"/>
              </w:rPr>
              <w:t>$</w:t>
            </w:r>
          </w:p>
        </w:tc>
        <w:tc>
          <w:tcPr>
            <w:tcW w:w="900" w:type="dxa"/>
            <w:vAlign w:val="bottom"/>
            <w:shd w:val="clear" w:color="auto" w:fill="DDDDDD"/>
          </w:tcPr>
          <w:p>
            <w:pPr>
              <w:jc w:val="right"/>
              <w:spacing w:after="0"/>
              <w:rPr>
                <w:sz w:val="20"/>
                <w:szCs w:val="20"/>
                <w:color w:val="auto"/>
              </w:rPr>
            </w:pPr>
            <w:r>
              <w:rPr>
                <w:rFonts w:ascii="Times New Roman" w:cs="Times New Roman" w:eastAsia="Times New Roman" w:hAnsi="Times New Roman"/>
                <w:sz w:val="20"/>
                <w:szCs w:val="20"/>
                <w:color w:val="auto"/>
              </w:rPr>
              <w:t>697</w:t>
            </w:r>
          </w:p>
        </w:tc>
        <w:tc>
          <w:tcPr>
            <w:tcW w:w="0" w:type="dxa"/>
            <w:vAlign w:val="bottom"/>
          </w:tcPr>
          <w:p>
            <w:pPr>
              <w:spacing w:after="0"/>
              <w:rPr>
                <w:sz w:val="1"/>
                <w:szCs w:val="1"/>
                <w:color w:val="auto"/>
              </w:rPr>
            </w:pPr>
          </w:p>
        </w:tc>
      </w:tr>
      <w:tr>
        <w:trPr>
          <w:trHeight w:val="288"/>
        </w:trPr>
        <w:tc>
          <w:tcPr>
            <w:tcW w:w="8880" w:type="dxa"/>
            <w:vAlign w:val="bottom"/>
            <w:tcBorders>
              <w:bottom w:val="single" w:sz="8" w:color="DDDDDD"/>
            </w:tcBorders>
          </w:tcPr>
          <w:p>
            <w:pPr>
              <w:ind w:left="40"/>
              <w:spacing w:after="0"/>
              <w:rPr>
                <w:sz w:val="20"/>
                <w:szCs w:val="20"/>
                <w:color w:val="auto"/>
              </w:rPr>
            </w:pPr>
            <w:r>
              <w:rPr>
                <w:rFonts w:ascii="Times New Roman" w:cs="Times New Roman" w:eastAsia="Times New Roman" w:hAnsi="Times New Roman"/>
                <w:sz w:val="20"/>
                <w:szCs w:val="20"/>
                <w:color w:val="auto"/>
              </w:rPr>
              <w:t xml:space="preserve">Share consideration </w:t>
            </w:r>
            <w:r>
              <w:rPr>
                <w:rFonts w:ascii="Times New Roman" w:cs="Times New Roman" w:eastAsia="Times New Roman" w:hAnsi="Times New Roman"/>
                <w:sz w:val="25"/>
                <w:szCs w:val="25"/>
                <w:color w:val="auto"/>
                <w:vertAlign w:val="superscript"/>
              </w:rPr>
              <w:t>(2)</w:t>
            </w:r>
          </w:p>
        </w:tc>
        <w:tc>
          <w:tcPr>
            <w:tcW w:w="60" w:type="dxa"/>
            <w:vAlign w:val="bottom"/>
            <w:tcBorders>
              <w:bottom w:val="single" w:sz="8" w:color="DDDDDD"/>
            </w:tcBorders>
          </w:tcPr>
          <w:p>
            <w:pPr>
              <w:spacing w:after="0"/>
              <w:rPr>
                <w:sz w:val="24"/>
                <w:szCs w:val="24"/>
                <w:color w:val="auto"/>
              </w:rPr>
            </w:pPr>
          </w:p>
        </w:tc>
        <w:tc>
          <w:tcPr>
            <w:tcW w:w="20" w:type="dxa"/>
            <w:vAlign w:val="bottom"/>
            <w:tcBorders>
              <w:bottom w:val="single" w:sz="8" w:color="DDDDDD"/>
            </w:tcBorders>
          </w:tcPr>
          <w:p>
            <w:pPr>
              <w:spacing w:after="0"/>
              <w:rPr>
                <w:sz w:val="24"/>
                <w:szCs w:val="24"/>
                <w:color w:val="auto"/>
              </w:rPr>
            </w:pPr>
          </w:p>
        </w:tc>
        <w:tc>
          <w:tcPr>
            <w:tcW w:w="400" w:type="dxa"/>
            <w:vAlign w:val="bottom"/>
            <w:tcBorders>
              <w:bottom w:val="single" w:sz="8" w:color="auto"/>
            </w:tcBorders>
          </w:tcPr>
          <w:p>
            <w:pPr>
              <w:spacing w:after="0"/>
              <w:rPr>
                <w:sz w:val="24"/>
                <w:szCs w:val="24"/>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28,725</w:t>
            </w:r>
          </w:p>
        </w:tc>
        <w:tc>
          <w:tcPr>
            <w:tcW w:w="0" w:type="dxa"/>
            <w:vAlign w:val="bottom"/>
          </w:tcPr>
          <w:p>
            <w:pPr>
              <w:spacing w:after="0"/>
              <w:rPr>
                <w:sz w:val="1"/>
                <w:szCs w:val="1"/>
                <w:color w:val="auto"/>
              </w:rPr>
            </w:pPr>
          </w:p>
        </w:tc>
      </w:tr>
      <w:tr>
        <w:trPr>
          <w:trHeight w:val="268"/>
        </w:trPr>
        <w:tc>
          <w:tcPr>
            <w:tcW w:w="8880" w:type="dxa"/>
            <w:vAlign w:val="bottom"/>
            <w:shd w:val="clear" w:color="auto" w:fill="DDDDDD"/>
          </w:tcPr>
          <w:p>
            <w:pPr>
              <w:ind w:left="140"/>
              <w:spacing w:after="0"/>
              <w:rPr>
                <w:sz w:val="20"/>
                <w:szCs w:val="20"/>
                <w:color w:val="auto"/>
              </w:rPr>
            </w:pPr>
            <w:r>
              <w:rPr>
                <w:rFonts w:ascii="Times New Roman" w:cs="Times New Roman" w:eastAsia="Times New Roman" w:hAnsi="Times New Roman"/>
                <w:sz w:val="20"/>
                <w:szCs w:val="20"/>
                <w:color w:val="auto"/>
              </w:rPr>
              <w:t>Total consideration</w:t>
            </w:r>
          </w:p>
        </w:tc>
        <w:tc>
          <w:tcPr>
            <w:tcW w:w="60" w:type="dxa"/>
            <w:vAlign w:val="bottom"/>
            <w:shd w:val="clear" w:color="auto" w:fill="DDDDDD"/>
          </w:tcPr>
          <w:p>
            <w:pPr>
              <w:spacing w:after="0"/>
              <w:rPr>
                <w:sz w:val="23"/>
                <w:szCs w:val="23"/>
                <w:color w:val="auto"/>
              </w:rPr>
            </w:pPr>
          </w:p>
        </w:tc>
        <w:tc>
          <w:tcPr>
            <w:tcW w:w="20" w:type="dxa"/>
            <w:vAlign w:val="bottom"/>
            <w:shd w:val="clear" w:color="auto" w:fill="DDDDDD"/>
          </w:tcPr>
          <w:p>
            <w:pPr>
              <w:spacing w:after="0"/>
              <w:rPr>
                <w:sz w:val="23"/>
                <w:szCs w:val="23"/>
                <w:color w:val="auto"/>
              </w:rPr>
            </w:pPr>
          </w:p>
        </w:tc>
        <w:tc>
          <w:tcPr>
            <w:tcW w:w="400" w:type="dxa"/>
            <w:vAlign w:val="bottom"/>
            <w:shd w:val="clear" w:color="auto" w:fill="DDDDDD"/>
          </w:tcPr>
          <w:p>
            <w:pPr>
              <w:jc w:val="right"/>
              <w:ind w:right="159"/>
              <w:spacing w:after="0"/>
              <w:rPr>
                <w:sz w:val="20"/>
                <w:szCs w:val="20"/>
                <w:color w:val="auto"/>
              </w:rPr>
            </w:pPr>
            <w:r>
              <w:rPr>
                <w:rFonts w:ascii="Times New Roman" w:cs="Times New Roman" w:eastAsia="Times New Roman" w:hAnsi="Times New Roman"/>
                <w:sz w:val="20"/>
                <w:szCs w:val="20"/>
                <w:color w:val="auto"/>
              </w:rPr>
              <w:t>$</w:t>
            </w:r>
          </w:p>
        </w:tc>
        <w:tc>
          <w:tcPr>
            <w:tcW w:w="900" w:type="dxa"/>
            <w:vAlign w:val="bottom"/>
            <w:shd w:val="clear" w:color="auto" w:fill="DDDDDD"/>
          </w:tcPr>
          <w:p>
            <w:pPr>
              <w:jc w:val="right"/>
              <w:spacing w:after="0"/>
              <w:rPr>
                <w:sz w:val="20"/>
                <w:szCs w:val="20"/>
                <w:color w:val="auto"/>
              </w:rPr>
            </w:pPr>
            <w:r>
              <w:rPr>
                <w:rFonts w:ascii="Times New Roman" w:cs="Times New Roman" w:eastAsia="Times New Roman" w:hAnsi="Times New Roman"/>
                <w:sz w:val="20"/>
                <w:szCs w:val="20"/>
                <w:color w:val="auto"/>
              </w:rPr>
              <w:t>29,422</w:t>
            </w:r>
          </w:p>
        </w:tc>
        <w:tc>
          <w:tcPr>
            <w:tcW w:w="0" w:type="dxa"/>
            <w:vAlign w:val="bottom"/>
          </w:tcPr>
          <w:p>
            <w:pPr>
              <w:spacing w:after="0"/>
              <w:rPr>
                <w:sz w:val="1"/>
                <w:szCs w:val="1"/>
                <w:color w:val="auto"/>
              </w:rPr>
            </w:pPr>
          </w:p>
        </w:tc>
      </w:tr>
      <w:tr>
        <w:trPr>
          <w:trHeight w:val="20"/>
        </w:trPr>
        <w:tc>
          <w:tcPr>
            <w:tcW w:w="8880" w:type="dxa"/>
            <w:vAlign w:val="bottom"/>
            <w:vMerge w:val="restart"/>
          </w:tcPr>
          <w:p>
            <w:pPr>
              <w:spacing w:after="0"/>
              <w:rPr>
                <w:sz w:val="20"/>
                <w:szCs w:val="20"/>
                <w:color w:val="auto"/>
              </w:rPr>
            </w:pPr>
            <w:r>
              <w:rPr>
                <w:rFonts w:ascii="Times New Roman" w:cs="Times New Roman" w:eastAsia="Times New Roman" w:hAnsi="Times New Roman"/>
                <w:sz w:val="20"/>
                <w:szCs w:val="20"/>
                <w:color w:val="auto"/>
              </w:rPr>
              <w:t>____________________________________</w:t>
            </w:r>
          </w:p>
        </w:tc>
        <w:tc>
          <w:tcPr>
            <w:tcW w:w="6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
        </w:trPr>
        <w:tc>
          <w:tcPr>
            <w:tcW w:w="8880" w:type="dxa"/>
            <w:vAlign w:val="bottom"/>
            <w:vMerge w:val="continue"/>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5"/>
        </w:trPr>
        <w:tc>
          <w:tcPr>
            <w:tcW w:w="8880" w:type="dxa"/>
            <w:vAlign w:val="bottom"/>
            <w:vMerge w:val="continue"/>
          </w:tcPr>
          <w:p>
            <w:pPr>
              <w:spacing w:after="0"/>
              <w:rPr>
                <w:sz w:val="19"/>
                <w:szCs w:val="19"/>
                <w:color w:val="auto"/>
              </w:rPr>
            </w:pPr>
          </w:p>
        </w:tc>
        <w:tc>
          <w:tcPr>
            <w:tcW w:w="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0" w:type="dxa"/>
            <w:vAlign w:val="bottom"/>
          </w:tcPr>
          <w:p>
            <w:pPr>
              <w:spacing w:after="0"/>
              <w:rPr>
                <w:sz w:val="1"/>
                <w:szCs w:val="1"/>
                <w:color w:val="auto"/>
              </w:rPr>
            </w:pPr>
          </w:p>
        </w:tc>
      </w:tr>
    </w:tbl>
    <w:p>
      <w:pPr>
        <w:spacing w:after="0" w:line="4" w:lineRule="exact"/>
        <w:rPr>
          <w:sz w:val="20"/>
          <w:szCs w:val="20"/>
          <w:color w:val="auto"/>
        </w:rPr>
      </w:pPr>
    </w:p>
    <w:p>
      <w:pPr>
        <w:ind w:left="360" w:right="20" w:hanging="273"/>
        <w:spacing w:after="0" w:line="275" w:lineRule="auto"/>
        <w:tabs>
          <w:tab w:leader="none" w:pos="360" w:val="left"/>
        </w:tabs>
        <w:numPr>
          <w:ilvl w:val="0"/>
          <w:numId w:val="8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Includes $0.2 million settlement of pre-existing accounts payable with Eyechronic and holdback of $0.1 million recorded within other current liabilities on the Company’s accompanying consolidated balance sheets.</w:t>
      </w:r>
    </w:p>
    <w:p>
      <w:pPr>
        <w:spacing w:after="0" w:line="1" w:lineRule="exact"/>
        <w:rPr>
          <w:rFonts w:ascii="Times New Roman" w:cs="Times New Roman" w:eastAsia="Times New Roman" w:hAnsi="Times New Roman"/>
          <w:sz w:val="20"/>
          <w:szCs w:val="20"/>
          <w:color w:val="auto"/>
        </w:rPr>
      </w:pPr>
    </w:p>
    <w:p>
      <w:pPr>
        <w:jc w:val="both"/>
        <w:ind w:left="360" w:hanging="273"/>
        <w:spacing w:after="0" w:line="285" w:lineRule="auto"/>
        <w:tabs>
          <w:tab w:leader="none" w:pos="360" w:val="left"/>
        </w:tabs>
        <w:numPr>
          <w:ilvl w:val="0"/>
          <w:numId w:val="8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fair value of share consideration was calculated based on 5,399,553 shares of Class A common stock multiplied by the share price on the closing date of $5.32. This includes 677,847 of holdback shares to be issued subject to customary indemnification obligations.</w:t>
      </w:r>
    </w:p>
    <w:p>
      <w:pPr>
        <w:spacing w:after="0" w:line="111" w:lineRule="exact"/>
        <w:rPr>
          <w:sz w:val="20"/>
          <w:szCs w:val="20"/>
          <w:color w:val="auto"/>
        </w:rPr>
      </w:pPr>
    </w:p>
    <w:tbl>
      <w:tblPr>
        <w:tblLayout w:type="fixed"/>
        <w:tblInd w:w="0" w:type="dxa"/>
        <w:tblCellMar>
          <w:top w:w="0" w:type="dxa"/>
          <w:left w:w="0" w:type="dxa"/>
          <w:bottom w:w="0" w:type="dxa"/>
          <w:right w:w="0" w:type="dxa"/>
        </w:tblCellMar>
      </w:tblPr>
      <w:tr>
        <w:trPr>
          <w:trHeight w:val="262"/>
        </w:trPr>
        <w:tc>
          <w:tcPr>
            <w:tcW w:w="8880" w:type="dxa"/>
            <w:vAlign w:val="bottom"/>
          </w:tcPr>
          <w:p>
            <w:pPr>
              <w:ind w:left="40"/>
              <w:spacing w:after="0"/>
              <w:rPr>
                <w:sz w:val="20"/>
                <w:szCs w:val="20"/>
                <w:color w:val="auto"/>
              </w:rPr>
            </w:pPr>
            <w:r>
              <w:rPr>
                <w:rFonts w:ascii="Times New Roman" w:cs="Times New Roman" w:eastAsia="Times New Roman" w:hAnsi="Times New Roman"/>
                <w:sz w:val="20"/>
                <w:szCs w:val="20"/>
                <w:b w:val="1"/>
                <w:bCs w:val="1"/>
                <w:color w:val="auto"/>
              </w:rPr>
              <w:t>Estimated Assets Acquired and Liabilities Assumed:</w:t>
            </w:r>
          </w:p>
        </w:tc>
        <w:tc>
          <w:tcPr>
            <w:tcW w:w="6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400" w:type="dxa"/>
            <w:vAlign w:val="bottom"/>
          </w:tcPr>
          <w:p>
            <w:pPr>
              <w:spacing w:after="0"/>
              <w:rPr>
                <w:sz w:val="22"/>
                <w:szCs w:val="22"/>
                <w:color w:val="auto"/>
              </w:rPr>
            </w:pPr>
          </w:p>
        </w:tc>
        <w:tc>
          <w:tcPr>
            <w:tcW w:w="900" w:type="dxa"/>
            <w:vAlign w:val="bottom"/>
          </w:tcPr>
          <w:p>
            <w:pPr>
              <w:spacing w:after="0"/>
              <w:rPr>
                <w:sz w:val="22"/>
                <w:szCs w:val="22"/>
                <w:color w:val="auto"/>
              </w:rPr>
            </w:pPr>
          </w:p>
        </w:tc>
      </w:tr>
      <w:tr>
        <w:trPr>
          <w:trHeight w:val="281"/>
        </w:trPr>
        <w:tc>
          <w:tcPr>
            <w:tcW w:w="8880" w:type="dxa"/>
            <w:vAlign w:val="bottom"/>
            <w:shd w:val="clear" w:color="auto" w:fill="DDDDDD"/>
          </w:tcPr>
          <w:p>
            <w:pPr>
              <w:ind w:left="40"/>
              <w:spacing w:after="0"/>
              <w:rPr>
                <w:sz w:val="20"/>
                <w:szCs w:val="20"/>
                <w:color w:val="auto"/>
              </w:rPr>
            </w:pPr>
            <w:r>
              <w:rPr>
                <w:rFonts w:ascii="Times New Roman" w:cs="Times New Roman" w:eastAsia="Times New Roman" w:hAnsi="Times New Roman"/>
                <w:sz w:val="20"/>
                <w:szCs w:val="20"/>
                <w:color w:val="auto"/>
              </w:rPr>
              <w:t>Assets acquired:</w:t>
            </w:r>
          </w:p>
        </w:tc>
        <w:tc>
          <w:tcPr>
            <w:tcW w:w="60" w:type="dxa"/>
            <w:vAlign w:val="bottom"/>
            <w:shd w:val="clear" w:color="auto" w:fill="DDDDDD"/>
          </w:tcPr>
          <w:p>
            <w:pPr>
              <w:spacing w:after="0"/>
              <w:rPr>
                <w:sz w:val="24"/>
                <w:szCs w:val="24"/>
                <w:color w:val="auto"/>
              </w:rPr>
            </w:pPr>
          </w:p>
        </w:tc>
        <w:tc>
          <w:tcPr>
            <w:tcW w:w="20" w:type="dxa"/>
            <w:vAlign w:val="bottom"/>
            <w:shd w:val="clear" w:color="auto" w:fill="DDDDDD"/>
          </w:tcPr>
          <w:p>
            <w:pPr>
              <w:spacing w:after="0"/>
              <w:rPr>
                <w:sz w:val="24"/>
                <w:szCs w:val="24"/>
                <w:color w:val="auto"/>
              </w:rPr>
            </w:pPr>
          </w:p>
        </w:tc>
        <w:tc>
          <w:tcPr>
            <w:tcW w:w="400" w:type="dxa"/>
            <w:vAlign w:val="bottom"/>
            <w:shd w:val="clear" w:color="auto" w:fill="DDDDDD"/>
          </w:tcPr>
          <w:p>
            <w:pPr>
              <w:spacing w:after="0"/>
              <w:rPr>
                <w:sz w:val="24"/>
                <w:szCs w:val="24"/>
                <w:color w:val="auto"/>
              </w:rPr>
            </w:pPr>
          </w:p>
        </w:tc>
        <w:tc>
          <w:tcPr>
            <w:tcW w:w="900" w:type="dxa"/>
            <w:vAlign w:val="bottom"/>
            <w:shd w:val="clear" w:color="auto" w:fill="DDDDDD"/>
          </w:tcPr>
          <w:p>
            <w:pPr>
              <w:spacing w:after="0"/>
              <w:rPr>
                <w:sz w:val="24"/>
                <w:szCs w:val="24"/>
                <w:color w:val="auto"/>
              </w:rPr>
            </w:pPr>
          </w:p>
        </w:tc>
      </w:tr>
      <w:tr>
        <w:trPr>
          <w:trHeight w:val="288"/>
        </w:trPr>
        <w:tc>
          <w:tcPr>
            <w:tcW w:w="8880" w:type="dxa"/>
            <w:vAlign w:val="bottom"/>
          </w:tcPr>
          <w:p>
            <w:pPr>
              <w:ind w:left="160"/>
              <w:spacing w:after="0"/>
              <w:rPr>
                <w:sz w:val="20"/>
                <w:szCs w:val="20"/>
                <w:color w:val="auto"/>
              </w:rPr>
            </w:pPr>
            <w:r>
              <w:rPr>
                <w:rFonts w:ascii="Times New Roman" w:cs="Times New Roman" w:eastAsia="Times New Roman" w:hAnsi="Times New Roman"/>
                <w:sz w:val="20"/>
                <w:szCs w:val="20"/>
                <w:color w:val="auto"/>
              </w:rPr>
              <w:t>Cash</w:t>
            </w:r>
          </w:p>
        </w:tc>
        <w:tc>
          <w:tcPr>
            <w:tcW w:w="480" w:type="dxa"/>
            <w:vAlign w:val="bottom"/>
            <w:gridSpan w:val="3"/>
          </w:tcPr>
          <w:p>
            <w:pPr>
              <w:jc w:val="right"/>
              <w:ind w:right="159"/>
              <w:spacing w:after="0"/>
              <w:rPr>
                <w:sz w:val="20"/>
                <w:szCs w:val="20"/>
                <w:color w:val="auto"/>
              </w:rPr>
            </w:pPr>
            <w:r>
              <w:rPr>
                <w:rFonts w:ascii="Times New Roman" w:cs="Times New Roman" w:eastAsia="Times New Roman" w:hAnsi="Times New Roman"/>
                <w:sz w:val="20"/>
                <w:szCs w:val="20"/>
                <w:color w:val="auto"/>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118</w:t>
            </w:r>
          </w:p>
        </w:tc>
      </w:tr>
      <w:tr>
        <w:trPr>
          <w:trHeight w:val="281"/>
        </w:trPr>
        <w:tc>
          <w:tcPr>
            <w:tcW w:w="8880" w:type="dxa"/>
            <w:vAlign w:val="bottom"/>
            <w:shd w:val="clear" w:color="auto" w:fill="DDDDDD"/>
          </w:tcPr>
          <w:p>
            <w:pPr>
              <w:ind w:left="160"/>
              <w:spacing w:after="0"/>
              <w:rPr>
                <w:sz w:val="20"/>
                <w:szCs w:val="20"/>
                <w:color w:val="auto"/>
              </w:rPr>
            </w:pPr>
            <w:r>
              <w:rPr>
                <w:rFonts w:ascii="Times New Roman" w:cs="Times New Roman" w:eastAsia="Times New Roman" w:hAnsi="Times New Roman"/>
                <w:sz w:val="20"/>
                <w:szCs w:val="20"/>
                <w:color w:val="auto"/>
              </w:rPr>
              <w:t>Accounts receivable</w:t>
            </w:r>
          </w:p>
        </w:tc>
        <w:tc>
          <w:tcPr>
            <w:tcW w:w="60" w:type="dxa"/>
            <w:vAlign w:val="bottom"/>
            <w:shd w:val="clear" w:color="auto" w:fill="DDDDDD"/>
          </w:tcPr>
          <w:p>
            <w:pPr>
              <w:spacing w:after="0"/>
              <w:rPr>
                <w:sz w:val="24"/>
                <w:szCs w:val="24"/>
                <w:color w:val="auto"/>
              </w:rPr>
            </w:pPr>
          </w:p>
        </w:tc>
        <w:tc>
          <w:tcPr>
            <w:tcW w:w="20" w:type="dxa"/>
            <w:vAlign w:val="bottom"/>
            <w:shd w:val="clear" w:color="auto" w:fill="DDDDDD"/>
          </w:tcPr>
          <w:p>
            <w:pPr>
              <w:spacing w:after="0"/>
              <w:rPr>
                <w:sz w:val="24"/>
                <w:szCs w:val="24"/>
                <w:color w:val="auto"/>
              </w:rPr>
            </w:pPr>
          </w:p>
        </w:tc>
        <w:tc>
          <w:tcPr>
            <w:tcW w:w="400" w:type="dxa"/>
            <w:vAlign w:val="bottom"/>
            <w:shd w:val="clear" w:color="auto" w:fill="DDDDDD"/>
          </w:tcPr>
          <w:p>
            <w:pPr>
              <w:spacing w:after="0"/>
              <w:rPr>
                <w:sz w:val="24"/>
                <w:szCs w:val="24"/>
                <w:color w:val="auto"/>
              </w:rPr>
            </w:pPr>
          </w:p>
        </w:tc>
        <w:tc>
          <w:tcPr>
            <w:tcW w:w="900" w:type="dxa"/>
            <w:vAlign w:val="bottom"/>
            <w:shd w:val="clear" w:color="auto" w:fill="DDDDDD"/>
          </w:tcPr>
          <w:p>
            <w:pPr>
              <w:jc w:val="right"/>
              <w:spacing w:after="0"/>
              <w:rPr>
                <w:sz w:val="20"/>
                <w:szCs w:val="20"/>
                <w:color w:val="auto"/>
              </w:rPr>
            </w:pPr>
            <w:r>
              <w:rPr>
                <w:rFonts w:ascii="Times New Roman" w:cs="Times New Roman" w:eastAsia="Times New Roman" w:hAnsi="Times New Roman"/>
                <w:sz w:val="20"/>
                <w:szCs w:val="20"/>
                <w:color w:val="auto"/>
              </w:rPr>
              <w:t>835</w:t>
            </w:r>
          </w:p>
        </w:tc>
      </w:tr>
      <w:tr>
        <w:trPr>
          <w:trHeight w:val="288"/>
        </w:trPr>
        <w:tc>
          <w:tcPr>
            <w:tcW w:w="8880" w:type="dxa"/>
            <w:vAlign w:val="bottom"/>
          </w:tcPr>
          <w:p>
            <w:pPr>
              <w:ind w:left="160"/>
              <w:spacing w:after="0"/>
              <w:rPr>
                <w:sz w:val="20"/>
                <w:szCs w:val="20"/>
                <w:color w:val="auto"/>
              </w:rPr>
            </w:pPr>
            <w:r>
              <w:rPr>
                <w:rFonts w:ascii="Times New Roman" w:cs="Times New Roman" w:eastAsia="Times New Roman" w:hAnsi="Times New Roman"/>
                <w:sz w:val="20"/>
                <w:szCs w:val="20"/>
                <w:color w:val="auto"/>
              </w:rPr>
              <w:t>Other current assets</w:t>
            </w: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37</w:t>
            </w:r>
          </w:p>
        </w:tc>
      </w:tr>
      <w:tr>
        <w:trPr>
          <w:trHeight w:val="281"/>
        </w:trPr>
        <w:tc>
          <w:tcPr>
            <w:tcW w:w="8880" w:type="dxa"/>
            <w:vAlign w:val="bottom"/>
            <w:shd w:val="clear" w:color="auto" w:fill="DDDDDD"/>
          </w:tcPr>
          <w:p>
            <w:pPr>
              <w:ind w:left="160"/>
              <w:spacing w:after="0"/>
              <w:rPr>
                <w:sz w:val="20"/>
                <w:szCs w:val="20"/>
                <w:color w:val="auto"/>
              </w:rPr>
            </w:pPr>
            <w:r>
              <w:rPr>
                <w:rFonts w:ascii="Times New Roman" w:cs="Times New Roman" w:eastAsia="Times New Roman" w:hAnsi="Times New Roman"/>
                <w:sz w:val="20"/>
                <w:szCs w:val="20"/>
                <w:color w:val="auto"/>
              </w:rPr>
              <w:t>Fixed assets</w:t>
            </w:r>
          </w:p>
        </w:tc>
        <w:tc>
          <w:tcPr>
            <w:tcW w:w="60" w:type="dxa"/>
            <w:vAlign w:val="bottom"/>
            <w:shd w:val="clear" w:color="auto" w:fill="DDDDDD"/>
          </w:tcPr>
          <w:p>
            <w:pPr>
              <w:spacing w:after="0"/>
              <w:rPr>
                <w:sz w:val="24"/>
                <w:szCs w:val="24"/>
                <w:color w:val="auto"/>
              </w:rPr>
            </w:pPr>
          </w:p>
        </w:tc>
        <w:tc>
          <w:tcPr>
            <w:tcW w:w="20" w:type="dxa"/>
            <w:vAlign w:val="bottom"/>
            <w:shd w:val="clear" w:color="auto" w:fill="DDDDDD"/>
          </w:tcPr>
          <w:p>
            <w:pPr>
              <w:spacing w:after="0"/>
              <w:rPr>
                <w:sz w:val="24"/>
                <w:szCs w:val="24"/>
                <w:color w:val="auto"/>
              </w:rPr>
            </w:pPr>
          </w:p>
        </w:tc>
        <w:tc>
          <w:tcPr>
            <w:tcW w:w="400" w:type="dxa"/>
            <w:vAlign w:val="bottom"/>
            <w:shd w:val="clear" w:color="auto" w:fill="DDDDDD"/>
          </w:tcPr>
          <w:p>
            <w:pPr>
              <w:spacing w:after="0"/>
              <w:rPr>
                <w:sz w:val="24"/>
                <w:szCs w:val="24"/>
                <w:color w:val="auto"/>
              </w:rPr>
            </w:pPr>
          </w:p>
        </w:tc>
        <w:tc>
          <w:tcPr>
            <w:tcW w:w="900" w:type="dxa"/>
            <w:vAlign w:val="bottom"/>
            <w:shd w:val="clear" w:color="auto" w:fill="DDDDDD"/>
          </w:tcPr>
          <w:p>
            <w:pPr>
              <w:jc w:val="right"/>
              <w:spacing w:after="0"/>
              <w:rPr>
                <w:sz w:val="20"/>
                <w:szCs w:val="20"/>
                <w:color w:val="auto"/>
              </w:rPr>
            </w:pPr>
            <w:r>
              <w:rPr>
                <w:rFonts w:ascii="Times New Roman" w:cs="Times New Roman" w:eastAsia="Times New Roman" w:hAnsi="Times New Roman"/>
                <w:sz w:val="20"/>
                <w:szCs w:val="20"/>
                <w:color w:val="auto"/>
              </w:rPr>
              <w:t>2,826</w:t>
            </w:r>
          </w:p>
        </w:tc>
      </w:tr>
      <w:tr>
        <w:trPr>
          <w:trHeight w:val="288"/>
        </w:trPr>
        <w:tc>
          <w:tcPr>
            <w:tcW w:w="8880" w:type="dxa"/>
            <w:vAlign w:val="bottom"/>
          </w:tcPr>
          <w:p>
            <w:pPr>
              <w:ind w:left="160"/>
              <w:spacing w:after="0"/>
              <w:rPr>
                <w:sz w:val="20"/>
                <w:szCs w:val="20"/>
                <w:color w:val="auto"/>
              </w:rPr>
            </w:pPr>
            <w:r>
              <w:rPr>
                <w:rFonts w:ascii="Times New Roman" w:cs="Times New Roman" w:eastAsia="Times New Roman" w:hAnsi="Times New Roman"/>
                <w:sz w:val="20"/>
                <w:szCs w:val="20"/>
                <w:color w:val="auto"/>
              </w:rPr>
              <w:t>Software technology</w:t>
            </w: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825</w:t>
            </w:r>
          </w:p>
        </w:tc>
      </w:tr>
      <w:tr>
        <w:trPr>
          <w:trHeight w:val="288"/>
        </w:trPr>
        <w:tc>
          <w:tcPr>
            <w:tcW w:w="8880" w:type="dxa"/>
            <w:vAlign w:val="bottom"/>
            <w:shd w:val="clear" w:color="auto" w:fill="DDDDDD"/>
          </w:tcPr>
          <w:p>
            <w:pPr>
              <w:ind w:left="160"/>
              <w:spacing w:after="0"/>
              <w:rPr>
                <w:sz w:val="20"/>
                <w:szCs w:val="20"/>
                <w:color w:val="auto"/>
              </w:rPr>
            </w:pPr>
            <w:r>
              <w:rPr>
                <w:rFonts w:ascii="Times New Roman" w:cs="Times New Roman" w:eastAsia="Times New Roman" w:hAnsi="Times New Roman"/>
                <w:sz w:val="20"/>
                <w:szCs w:val="20"/>
                <w:color w:val="auto"/>
              </w:rPr>
              <w:t>Trade name</w:t>
            </w:r>
          </w:p>
        </w:tc>
        <w:tc>
          <w:tcPr>
            <w:tcW w:w="60" w:type="dxa"/>
            <w:vAlign w:val="bottom"/>
            <w:shd w:val="clear" w:color="auto" w:fill="DDDDDD"/>
          </w:tcPr>
          <w:p>
            <w:pPr>
              <w:spacing w:after="0"/>
              <w:rPr>
                <w:sz w:val="24"/>
                <w:szCs w:val="24"/>
                <w:color w:val="auto"/>
              </w:rPr>
            </w:pPr>
          </w:p>
        </w:tc>
        <w:tc>
          <w:tcPr>
            <w:tcW w:w="20" w:type="dxa"/>
            <w:vAlign w:val="bottom"/>
            <w:shd w:val="clear" w:color="auto" w:fill="DDDDDD"/>
          </w:tcPr>
          <w:p>
            <w:pPr>
              <w:spacing w:after="0"/>
              <w:rPr>
                <w:sz w:val="24"/>
                <w:szCs w:val="24"/>
                <w:color w:val="auto"/>
              </w:rPr>
            </w:pPr>
          </w:p>
        </w:tc>
        <w:tc>
          <w:tcPr>
            <w:tcW w:w="400" w:type="dxa"/>
            <w:vAlign w:val="bottom"/>
            <w:shd w:val="clear" w:color="auto" w:fill="DDDDDD"/>
          </w:tcPr>
          <w:p>
            <w:pPr>
              <w:spacing w:after="0"/>
              <w:rPr>
                <w:sz w:val="24"/>
                <w:szCs w:val="24"/>
                <w:color w:val="auto"/>
              </w:rPr>
            </w:pPr>
          </w:p>
        </w:tc>
        <w:tc>
          <w:tcPr>
            <w:tcW w:w="900" w:type="dxa"/>
            <w:vAlign w:val="bottom"/>
            <w:shd w:val="clear" w:color="auto" w:fill="DDDDDD"/>
          </w:tcPr>
          <w:p>
            <w:pPr>
              <w:jc w:val="right"/>
              <w:spacing w:after="0"/>
              <w:rPr>
                <w:sz w:val="20"/>
                <w:szCs w:val="20"/>
                <w:color w:val="auto"/>
              </w:rPr>
            </w:pPr>
            <w:r>
              <w:rPr>
                <w:rFonts w:ascii="Times New Roman" w:cs="Times New Roman" w:eastAsia="Times New Roman" w:hAnsi="Times New Roman"/>
                <w:sz w:val="20"/>
                <w:szCs w:val="20"/>
                <w:color w:val="auto"/>
              </w:rPr>
              <w:t>103</w:t>
            </w:r>
          </w:p>
        </w:tc>
      </w:tr>
      <w:tr>
        <w:trPr>
          <w:trHeight w:val="281"/>
        </w:trPr>
        <w:tc>
          <w:tcPr>
            <w:tcW w:w="8880" w:type="dxa"/>
            <w:vAlign w:val="bottom"/>
          </w:tcPr>
          <w:p>
            <w:pPr>
              <w:ind w:left="160"/>
              <w:spacing w:after="0"/>
              <w:rPr>
                <w:sz w:val="20"/>
                <w:szCs w:val="20"/>
                <w:color w:val="auto"/>
              </w:rPr>
            </w:pPr>
            <w:r>
              <w:rPr>
                <w:rFonts w:ascii="Times New Roman" w:cs="Times New Roman" w:eastAsia="Times New Roman" w:hAnsi="Times New Roman"/>
                <w:sz w:val="20"/>
                <w:szCs w:val="20"/>
                <w:color w:val="auto"/>
              </w:rPr>
              <w:t>Customer relationships</w:t>
            </w: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3,631</w:t>
            </w:r>
          </w:p>
        </w:tc>
      </w:tr>
      <w:tr>
        <w:trPr>
          <w:trHeight w:val="288"/>
        </w:trPr>
        <w:tc>
          <w:tcPr>
            <w:tcW w:w="8880" w:type="dxa"/>
            <w:vAlign w:val="bottom"/>
            <w:shd w:val="clear" w:color="auto" w:fill="DDDDDD"/>
          </w:tcPr>
          <w:p>
            <w:pPr>
              <w:ind w:left="160"/>
              <w:spacing w:after="0"/>
              <w:rPr>
                <w:sz w:val="20"/>
                <w:szCs w:val="20"/>
                <w:color w:val="auto"/>
              </w:rPr>
            </w:pPr>
            <w:r>
              <w:rPr>
                <w:rFonts w:ascii="Times New Roman" w:cs="Times New Roman" w:eastAsia="Times New Roman" w:hAnsi="Times New Roman"/>
                <w:sz w:val="20"/>
                <w:szCs w:val="20"/>
                <w:color w:val="auto"/>
              </w:rPr>
              <w:t>Order Backlog</w:t>
            </w:r>
          </w:p>
        </w:tc>
        <w:tc>
          <w:tcPr>
            <w:tcW w:w="60" w:type="dxa"/>
            <w:vAlign w:val="bottom"/>
            <w:shd w:val="clear" w:color="auto" w:fill="DDDDDD"/>
          </w:tcPr>
          <w:p>
            <w:pPr>
              <w:spacing w:after="0"/>
              <w:rPr>
                <w:sz w:val="24"/>
                <w:szCs w:val="24"/>
                <w:color w:val="auto"/>
              </w:rPr>
            </w:pPr>
          </w:p>
        </w:tc>
        <w:tc>
          <w:tcPr>
            <w:tcW w:w="20" w:type="dxa"/>
            <w:vAlign w:val="bottom"/>
            <w:shd w:val="clear" w:color="auto" w:fill="DDDDDD"/>
          </w:tcPr>
          <w:p>
            <w:pPr>
              <w:spacing w:after="0"/>
              <w:rPr>
                <w:sz w:val="24"/>
                <w:szCs w:val="24"/>
                <w:color w:val="auto"/>
              </w:rPr>
            </w:pPr>
          </w:p>
        </w:tc>
        <w:tc>
          <w:tcPr>
            <w:tcW w:w="400" w:type="dxa"/>
            <w:vAlign w:val="bottom"/>
            <w:shd w:val="clear" w:color="auto" w:fill="DDDDDD"/>
          </w:tcPr>
          <w:p>
            <w:pPr>
              <w:spacing w:after="0"/>
              <w:rPr>
                <w:sz w:val="24"/>
                <w:szCs w:val="24"/>
                <w:color w:val="auto"/>
              </w:rPr>
            </w:pPr>
          </w:p>
        </w:tc>
        <w:tc>
          <w:tcPr>
            <w:tcW w:w="900" w:type="dxa"/>
            <w:vAlign w:val="bottom"/>
            <w:shd w:val="clear" w:color="auto" w:fill="DDDDDD"/>
          </w:tcPr>
          <w:p>
            <w:pPr>
              <w:jc w:val="right"/>
              <w:spacing w:after="0"/>
              <w:rPr>
                <w:sz w:val="20"/>
                <w:szCs w:val="20"/>
                <w:color w:val="auto"/>
              </w:rPr>
            </w:pPr>
            <w:r>
              <w:rPr>
                <w:rFonts w:ascii="Times New Roman" w:cs="Times New Roman" w:eastAsia="Times New Roman" w:hAnsi="Times New Roman"/>
                <w:sz w:val="20"/>
                <w:szCs w:val="20"/>
                <w:color w:val="auto"/>
              </w:rPr>
              <w:t>210</w:t>
            </w:r>
          </w:p>
        </w:tc>
      </w:tr>
      <w:tr>
        <w:trPr>
          <w:trHeight w:val="281"/>
        </w:trPr>
        <w:tc>
          <w:tcPr>
            <w:tcW w:w="8880" w:type="dxa"/>
            <w:vAlign w:val="bottom"/>
            <w:tcBorders>
              <w:bottom w:val="single" w:sz="8" w:color="DDDDDD"/>
            </w:tcBorders>
          </w:tcPr>
          <w:p>
            <w:pPr>
              <w:ind w:left="160"/>
              <w:spacing w:after="0"/>
              <w:rPr>
                <w:sz w:val="20"/>
                <w:szCs w:val="20"/>
                <w:color w:val="auto"/>
              </w:rPr>
            </w:pPr>
            <w:r>
              <w:rPr>
                <w:rFonts w:ascii="Times New Roman" w:cs="Times New Roman" w:eastAsia="Times New Roman" w:hAnsi="Times New Roman"/>
                <w:sz w:val="20"/>
                <w:szCs w:val="20"/>
                <w:color w:val="auto"/>
              </w:rPr>
              <w:t>Goodwill</w:t>
            </w:r>
          </w:p>
        </w:tc>
        <w:tc>
          <w:tcPr>
            <w:tcW w:w="60" w:type="dxa"/>
            <w:vAlign w:val="bottom"/>
            <w:tcBorders>
              <w:bottom w:val="single" w:sz="8" w:color="DDDDDD"/>
            </w:tcBorders>
          </w:tcPr>
          <w:p>
            <w:pPr>
              <w:spacing w:after="0"/>
              <w:rPr>
                <w:sz w:val="24"/>
                <w:szCs w:val="24"/>
                <w:color w:val="auto"/>
              </w:rPr>
            </w:pPr>
          </w:p>
        </w:tc>
        <w:tc>
          <w:tcPr>
            <w:tcW w:w="20" w:type="dxa"/>
            <w:vAlign w:val="bottom"/>
            <w:tcBorders>
              <w:bottom w:val="single" w:sz="8" w:color="DDDDDD"/>
            </w:tcBorders>
          </w:tcPr>
          <w:p>
            <w:pPr>
              <w:spacing w:after="0"/>
              <w:rPr>
                <w:sz w:val="24"/>
                <w:szCs w:val="24"/>
                <w:color w:val="auto"/>
              </w:rPr>
            </w:pPr>
          </w:p>
        </w:tc>
        <w:tc>
          <w:tcPr>
            <w:tcW w:w="400" w:type="dxa"/>
            <w:vAlign w:val="bottom"/>
            <w:tcBorders>
              <w:bottom w:val="single" w:sz="8" w:color="auto"/>
            </w:tcBorders>
          </w:tcPr>
          <w:p>
            <w:pPr>
              <w:spacing w:after="0"/>
              <w:rPr>
                <w:sz w:val="24"/>
                <w:szCs w:val="24"/>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23,073</w:t>
            </w:r>
          </w:p>
        </w:tc>
      </w:tr>
      <w:tr>
        <w:trPr>
          <w:trHeight w:val="268"/>
        </w:trPr>
        <w:tc>
          <w:tcPr>
            <w:tcW w:w="8880" w:type="dxa"/>
            <w:vAlign w:val="bottom"/>
            <w:shd w:val="clear" w:color="auto" w:fill="DDDDDD"/>
          </w:tcPr>
          <w:p>
            <w:pPr>
              <w:ind w:left="40"/>
              <w:spacing w:after="0"/>
              <w:rPr>
                <w:sz w:val="20"/>
                <w:szCs w:val="20"/>
                <w:color w:val="auto"/>
              </w:rPr>
            </w:pPr>
            <w:r>
              <w:rPr>
                <w:rFonts w:ascii="Times New Roman" w:cs="Times New Roman" w:eastAsia="Times New Roman" w:hAnsi="Times New Roman"/>
                <w:sz w:val="20"/>
                <w:szCs w:val="20"/>
                <w:color w:val="auto"/>
              </w:rPr>
              <w:t>Total assets acquired</w:t>
            </w:r>
          </w:p>
        </w:tc>
        <w:tc>
          <w:tcPr>
            <w:tcW w:w="480" w:type="dxa"/>
            <w:vAlign w:val="bottom"/>
            <w:gridSpan w:val="3"/>
            <w:shd w:val="clear" w:color="auto" w:fill="DDDDDD"/>
          </w:tcPr>
          <w:p>
            <w:pPr>
              <w:jc w:val="right"/>
              <w:ind w:right="159"/>
              <w:spacing w:after="0"/>
              <w:rPr>
                <w:sz w:val="20"/>
                <w:szCs w:val="20"/>
                <w:color w:val="auto"/>
              </w:rPr>
            </w:pPr>
            <w:r>
              <w:rPr>
                <w:rFonts w:ascii="Times New Roman" w:cs="Times New Roman" w:eastAsia="Times New Roman" w:hAnsi="Times New Roman"/>
                <w:sz w:val="20"/>
                <w:szCs w:val="20"/>
                <w:color w:val="auto"/>
              </w:rPr>
              <w:t>$</w:t>
            </w:r>
          </w:p>
        </w:tc>
        <w:tc>
          <w:tcPr>
            <w:tcW w:w="900" w:type="dxa"/>
            <w:vAlign w:val="bottom"/>
            <w:shd w:val="clear" w:color="auto" w:fill="DDDDDD"/>
          </w:tcPr>
          <w:p>
            <w:pPr>
              <w:jc w:val="right"/>
              <w:spacing w:after="0"/>
              <w:rPr>
                <w:sz w:val="20"/>
                <w:szCs w:val="20"/>
                <w:color w:val="auto"/>
              </w:rPr>
            </w:pPr>
            <w:r>
              <w:rPr>
                <w:rFonts w:ascii="Times New Roman" w:cs="Times New Roman" w:eastAsia="Times New Roman" w:hAnsi="Times New Roman"/>
                <w:sz w:val="20"/>
                <w:szCs w:val="20"/>
                <w:color w:val="auto"/>
              </w:rPr>
              <w:t>31,658</w:t>
            </w:r>
          </w:p>
        </w:tc>
      </w:tr>
      <w:tr>
        <w:trPr>
          <w:trHeight w:val="268"/>
        </w:trPr>
        <w:tc>
          <w:tcPr>
            <w:tcW w:w="888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400" w:type="dxa"/>
            <w:vAlign w:val="bottom"/>
            <w:tcBorders>
              <w:top w:val="single" w:sz="8" w:color="auto"/>
            </w:tcBorders>
          </w:tcPr>
          <w:p>
            <w:pPr>
              <w:spacing w:after="0"/>
              <w:rPr>
                <w:sz w:val="23"/>
                <w:szCs w:val="23"/>
                <w:color w:val="auto"/>
              </w:rPr>
            </w:pPr>
          </w:p>
        </w:tc>
        <w:tc>
          <w:tcPr>
            <w:tcW w:w="900" w:type="dxa"/>
            <w:vAlign w:val="bottom"/>
            <w:tcBorders>
              <w:top w:val="single" w:sz="8" w:color="auto"/>
            </w:tcBorders>
          </w:tcPr>
          <w:p>
            <w:pPr>
              <w:spacing w:after="0"/>
              <w:rPr>
                <w:sz w:val="23"/>
                <w:szCs w:val="23"/>
                <w:color w:val="auto"/>
              </w:rPr>
            </w:pPr>
          </w:p>
        </w:tc>
      </w:tr>
      <w:tr>
        <w:trPr>
          <w:trHeight w:val="281"/>
        </w:trPr>
        <w:tc>
          <w:tcPr>
            <w:tcW w:w="8880" w:type="dxa"/>
            <w:vAlign w:val="bottom"/>
            <w:shd w:val="clear" w:color="auto" w:fill="DDDDDD"/>
          </w:tcPr>
          <w:p>
            <w:pPr>
              <w:ind w:left="40"/>
              <w:spacing w:after="0"/>
              <w:rPr>
                <w:sz w:val="20"/>
                <w:szCs w:val="20"/>
                <w:color w:val="auto"/>
              </w:rPr>
            </w:pPr>
            <w:r>
              <w:rPr>
                <w:rFonts w:ascii="Times New Roman" w:cs="Times New Roman" w:eastAsia="Times New Roman" w:hAnsi="Times New Roman"/>
                <w:sz w:val="20"/>
                <w:szCs w:val="20"/>
                <w:color w:val="auto"/>
              </w:rPr>
              <w:t>Liabilities assumed:</w:t>
            </w:r>
          </w:p>
        </w:tc>
        <w:tc>
          <w:tcPr>
            <w:tcW w:w="60" w:type="dxa"/>
            <w:vAlign w:val="bottom"/>
            <w:shd w:val="clear" w:color="auto" w:fill="DDDDDD"/>
          </w:tcPr>
          <w:p>
            <w:pPr>
              <w:spacing w:after="0"/>
              <w:rPr>
                <w:sz w:val="24"/>
                <w:szCs w:val="24"/>
                <w:color w:val="auto"/>
              </w:rPr>
            </w:pPr>
          </w:p>
        </w:tc>
        <w:tc>
          <w:tcPr>
            <w:tcW w:w="20" w:type="dxa"/>
            <w:vAlign w:val="bottom"/>
            <w:shd w:val="clear" w:color="auto" w:fill="DDDDDD"/>
          </w:tcPr>
          <w:p>
            <w:pPr>
              <w:spacing w:after="0"/>
              <w:rPr>
                <w:sz w:val="24"/>
                <w:szCs w:val="24"/>
                <w:color w:val="auto"/>
              </w:rPr>
            </w:pPr>
          </w:p>
        </w:tc>
        <w:tc>
          <w:tcPr>
            <w:tcW w:w="400" w:type="dxa"/>
            <w:vAlign w:val="bottom"/>
            <w:shd w:val="clear" w:color="auto" w:fill="DDDDDD"/>
          </w:tcPr>
          <w:p>
            <w:pPr>
              <w:spacing w:after="0"/>
              <w:rPr>
                <w:sz w:val="24"/>
                <w:szCs w:val="24"/>
                <w:color w:val="auto"/>
              </w:rPr>
            </w:pPr>
          </w:p>
        </w:tc>
        <w:tc>
          <w:tcPr>
            <w:tcW w:w="900" w:type="dxa"/>
            <w:vAlign w:val="bottom"/>
            <w:shd w:val="clear" w:color="auto" w:fill="DDDDDD"/>
          </w:tcPr>
          <w:p>
            <w:pPr>
              <w:spacing w:after="0"/>
              <w:rPr>
                <w:sz w:val="24"/>
                <w:szCs w:val="24"/>
                <w:color w:val="auto"/>
              </w:rPr>
            </w:pPr>
          </w:p>
        </w:tc>
      </w:tr>
      <w:tr>
        <w:trPr>
          <w:trHeight w:val="288"/>
        </w:trPr>
        <w:tc>
          <w:tcPr>
            <w:tcW w:w="8880" w:type="dxa"/>
            <w:vAlign w:val="bottom"/>
          </w:tcPr>
          <w:p>
            <w:pPr>
              <w:ind w:left="160"/>
              <w:spacing w:after="0"/>
              <w:rPr>
                <w:sz w:val="20"/>
                <w:szCs w:val="20"/>
                <w:color w:val="auto"/>
              </w:rPr>
            </w:pPr>
            <w:r>
              <w:rPr>
                <w:rFonts w:ascii="Times New Roman" w:cs="Times New Roman" w:eastAsia="Times New Roman" w:hAnsi="Times New Roman"/>
                <w:sz w:val="20"/>
                <w:szCs w:val="20"/>
                <w:color w:val="auto"/>
              </w:rPr>
              <w:t>Accounts payable</w:t>
            </w:r>
          </w:p>
        </w:tc>
        <w:tc>
          <w:tcPr>
            <w:tcW w:w="480" w:type="dxa"/>
            <w:vAlign w:val="bottom"/>
            <w:gridSpan w:val="3"/>
          </w:tcPr>
          <w:p>
            <w:pPr>
              <w:jc w:val="right"/>
              <w:ind w:right="139"/>
              <w:spacing w:after="0"/>
              <w:rPr>
                <w:sz w:val="20"/>
                <w:szCs w:val="20"/>
                <w:color w:val="auto"/>
              </w:rPr>
            </w:pPr>
            <w:r>
              <w:rPr>
                <w:rFonts w:ascii="Times New Roman" w:cs="Times New Roman" w:eastAsia="Times New Roman" w:hAnsi="Times New Roman"/>
                <w:sz w:val="20"/>
                <w:szCs w:val="20"/>
                <w:color w:val="auto"/>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(460)</w:t>
            </w:r>
          </w:p>
        </w:tc>
      </w:tr>
      <w:tr>
        <w:trPr>
          <w:trHeight w:val="281"/>
        </w:trPr>
        <w:tc>
          <w:tcPr>
            <w:tcW w:w="8880" w:type="dxa"/>
            <w:vAlign w:val="bottom"/>
            <w:shd w:val="clear" w:color="auto" w:fill="DDDDDD"/>
          </w:tcPr>
          <w:p>
            <w:pPr>
              <w:ind w:left="160"/>
              <w:spacing w:after="0"/>
              <w:rPr>
                <w:sz w:val="20"/>
                <w:szCs w:val="20"/>
                <w:color w:val="auto"/>
              </w:rPr>
            </w:pPr>
            <w:r>
              <w:rPr>
                <w:rFonts w:ascii="Times New Roman" w:cs="Times New Roman" w:eastAsia="Times New Roman" w:hAnsi="Times New Roman"/>
                <w:sz w:val="20"/>
                <w:szCs w:val="20"/>
                <w:color w:val="auto"/>
              </w:rPr>
              <w:t>Other current liabilities</w:t>
            </w:r>
          </w:p>
        </w:tc>
        <w:tc>
          <w:tcPr>
            <w:tcW w:w="60" w:type="dxa"/>
            <w:vAlign w:val="bottom"/>
            <w:shd w:val="clear" w:color="auto" w:fill="DDDDDD"/>
          </w:tcPr>
          <w:p>
            <w:pPr>
              <w:spacing w:after="0"/>
              <w:rPr>
                <w:sz w:val="24"/>
                <w:szCs w:val="24"/>
                <w:color w:val="auto"/>
              </w:rPr>
            </w:pPr>
          </w:p>
        </w:tc>
        <w:tc>
          <w:tcPr>
            <w:tcW w:w="20" w:type="dxa"/>
            <w:vAlign w:val="bottom"/>
            <w:shd w:val="clear" w:color="auto" w:fill="DDDDDD"/>
          </w:tcPr>
          <w:p>
            <w:pPr>
              <w:spacing w:after="0"/>
              <w:rPr>
                <w:sz w:val="24"/>
                <w:szCs w:val="24"/>
                <w:color w:val="auto"/>
              </w:rPr>
            </w:pPr>
          </w:p>
        </w:tc>
        <w:tc>
          <w:tcPr>
            <w:tcW w:w="400" w:type="dxa"/>
            <w:vAlign w:val="bottom"/>
            <w:shd w:val="clear" w:color="auto" w:fill="DDDDDD"/>
          </w:tcPr>
          <w:p>
            <w:pPr>
              <w:spacing w:after="0"/>
              <w:rPr>
                <w:sz w:val="24"/>
                <w:szCs w:val="24"/>
                <w:color w:val="auto"/>
              </w:rPr>
            </w:pPr>
          </w:p>
        </w:tc>
        <w:tc>
          <w:tcPr>
            <w:tcW w:w="900" w:type="dxa"/>
            <w:vAlign w:val="bottom"/>
            <w:shd w:val="clear" w:color="auto" w:fill="DDDDDD"/>
          </w:tcPr>
          <w:p>
            <w:pPr>
              <w:jc w:val="right"/>
              <w:spacing w:after="0"/>
              <w:rPr>
                <w:sz w:val="20"/>
                <w:szCs w:val="20"/>
                <w:color w:val="auto"/>
              </w:rPr>
            </w:pPr>
            <w:r>
              <w:rPr>
                <w:rFonts w:ascii="Times New Roman" w:cs="Times New Roman" w:eastAsia="Times New Roman" w:hAnsi="Times New Roman"/>
                <w:sz w:val="20"/>
                <w:szCs w:val="20"/>
                <w:color w:val="auto"/>
              </w:rPr>
              <w:t>(8)</w:t>
            </w:r>
          </w:p>
        </w:tc>
      </w:tr>
      <w:tr>
        <w:trPr>
          <w:trHeight w:val="288"/>
        </w:trPr>
        <w:tc>
          <w:tcPr>
            <w:tcW w:w="8880" w:type="dxa"/>
            <w:vAlign w:val="bottom"/>
          </w:tcPr>
          <w:p>
            <w:pPr>
              <w:ind w:left="160"/>
              <w:spacing w:after="0"/>
              <w:rPr>
                <w:sz w:val="20"/>
                <w:szCs w:val="20"/>
                <w:color w:val="auto"/>
              </w:rPr>
            </w:pPr>
            <w:r>
              <w:rPr>
                <w:rFonts w:ascii="Times New Roman" w:cs="Times New Roman" w:eastAsia="Times New Roman" w:hAnsi="Times New Roman"/>
                <w:sz w:val="20"/>
                <w:szCs w:val="20"/>
                <w:color w:val="auto"/>
              </w:rPr>
              <w:t>Deferred revenue</w:t>
            </w: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(96)</w:t>
            </w:r>
          </w:p>
        </w:tc>
      </w:tr>
      <w:tr>
        <w:trPr>
          <w:trHeight w:val="281"/>
        </w:trPr>
        <w:tc>
          <w:tcPr>
            <w:tcW w:w="8880" w:type="dxa"/>
            <w:vAlign w:val="bottom"/>
            <w:shd w:val="clear" w:color="auto" w:fill="DDDDDD"/>
          </w:tcPr>
          <w:p>
            <w:pPr>
              <w:ind w:left="160"/>
              <w:spacing w:after="0"/>
              <w:rPr>
                <w:sz w:val="20"/>
                <w:szCs w:val="20"/>
                <w:color w:val="auto"/>
              </w:rPr>
            </w:pPr>
            <w:r>
              <w:rPr>
                <w:rFonts w:ascii="Times New Roman" w:cs="Times New Roman" w:eastAsia="Times New Roman" w:hAnsi="Times New Roman"/>
                <w:sz w:val="20"/>
                <w:szCs w:val="20"/>
                <w:color w:val="auto"/>
              </w:rPr>
              <w:t>Other liabilities</w:t>
            </w:r>
          </w:p>
        </w:tc>
        <w:tc>
          <w:tcPr>
            <w:tcW w:w="60" w:type="dxa"/>
            <w:vAlign w:val="bottom"/>
            <w:shd w:val="clear" w:color="auto" w:fill="DDDDDD"/>
          </w:tcPr>
          <w:p>
            <w:pPr>
              <w:spacing w:after="0"/>
              <w:rPr>
                <w:sz w:val="24"/>
                <w:szCs w:val="24"/>
                <w:color w:val="auto"/>
              </w:rPr>
            </w:pPr>
          </w:p>
        </w:tc>
        <w:tc>
          <w:tcPr>
            <w:tcW w:w="20" w:type="dxa"/>
            <w:vAlign w:val="bottom"/>
            <w:shd w:val="clear" w:color="auto" w:fill="DDDDDD"/>
          </w:tcPr>
          <w:p>
            <w:pPr>
              <w:spacing w:after="0"/>
              <w:rPr>
                <w:sz w:val="24"/>
                <w:szCs w:val="24"/>
                <w:color w:val="auto"/>
              </w:rPr>
            </w:pPr>
          </w:p>
        </w:tc>
        <w:tc>
          <w:tcPr>
            <w:tcW w:w="400" w:type="dxa"/>
            <w:vAlign w:val="bottom"/>
            <w:shd w:val="clear" w:color="auto" w:fill="DDDDDD"/>
          </w:tcPr>
          <w:p>
            <w:pPr>
              <w:spacing w:after="0"/>
              <w:rPr>
                <w:sz w:val="24"/>
                <w:szCs w:val="24"/>
                <w:color w:val="auto"/>
              </w:rPr>
            </w:pPr>
          </w:p>
        </w:tc>
        <w:tc>
          <w:tcPr>
            <w:tcW w:w="900" w:type="dxa"/>
            <w:vAlign w:val="bottom"/>
            <w:shd w:val="clear" w:color="auto" w:fill="DDDDDD"/>
          </w:tcPr>
          <w:p>
            <w:pPr>
              <w:jc w:val="right"/>
              <w:spacing w:after="0"/>
              <w:rPr>
                <w:sz w:val="20"/>
                <w:szCs w:val="20"/>
                <w:color w:val="auto"/>
              </w:rPr>
            </w:pPr>
            <w:r>
              <w:rPr>
                <w:rFonts w:ascii="Times New Roman" w:cs="Times New Roman" w:eastAsia="Times New Roman" w:hAnsi="Times New Roman"/>
                <w:sz w:val="20"/>
                <w:szCs w:val="20"/>
                <w:color w:val="auto"/>
              </w:rPr>
              <w:t>(22)</w:t>
            </w:r>
          </w:p>
        </w:tc>
      </w:tr>
      <w:tr>
        <w:trPr>
          <w:trHeight w:val="288"/>
        </w:trPr>
        <w:tc>
          <w:tcPr>
            <w:tcW w:w="8880" w:type="dxa"/>
            <w:vAlign w:val="bottom"/>
            <w:tcBorders>
              <w:bottom w:val="single" w:sz="8" w:color="DDDDDD"/>
            </w:tcBorders>
          </w:tcPr>
          <w:p>
            <w:pPr>
              <w:ind w:left="160"/>
              <w:spacing w:after="0"/>
              <w:rPr>
                <w:sz w:val="20"/>
                <w:szCs w:val="20"/>
                <w:color w:val="auto"/>
              </w:rPr>
            </w:pPr>
            <w:r>
              <w:rPr>
                <w:rFonts w:ascii="Times New Roman" w:cs="Times New Roman" w:eastAsia="Times New Roman" w:hAnsi="Times New Roman"/>
                <w:sz w:val="20"/>
                <w:szCs w:val="20"/>
                <w:color w:val="auto"/>
              </w:rPr>
              <w:t>Long-term liabilities</w:t>
            </w:r>
          </w:p>
        </w:tc>
        <w:tc>
          <w:tcPr>
            <w:tcW w:w="60" w:type="dxa"/>
            <w:vAlign w:val="bottom"/>
            <w:tcBorders>
              <w:bottom w:val="single" w:sz="8" w:color="DDDDDD"/>
            </w:tcBorders>
          </w:tcPr>
          <w:p>
            <w:pPr>
              <w:spacing w:after="0"/>
              <w:rPr>
                <w:sz w:val="24"/>
                <w:szCs w:val="24"/>
                <w:color w:val="auto"/>
              </w:rPr>
            </w:pPr>
          </w:p>
        </w:tc>
        <w:tc>
          <w:tcPr>
            <w:tcW w:w="20" w:type="dxa"/>
            <w:vAlign w:val="bottom"/>
            <w:tcBorders>
              <w:bottom w:val="single" w:sz="8" w:color="DDDDDD"/>
            </w:tcBorders>
          </w:tcPr>
          <w:p>
            <w:pPr>
              <w:spacing w:after="0"/>
              <w:rPr>
                <w:sz w:val="24"/>
                <w:szCs w:val="24"/>
                <w:color w:val="auto"/>
              </w:rPr>
            </w:pPr>
          </w:p>
        </w:tc>
        <w:tc>
          <w:tcPr>
            <w:tcW w:w="400" w:type="dxa"/>
            <w:vAlign w:val="bottom"/>
            <w:tcBorders>
              <w:bottom w:val="single" w:sz="8" w:color="auto"/>
            </w:tcBorders>
          </w:tcPr>
          <w:p>
            <w:pPr>
              <w:spacing w:after="0"/>
              <w:rPr>
                <w:sz w:val="24"/>
                <w:szCs w:val="24"/>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(1,650)</w:t>
            </w:r>
          </w:p>
        </w:tc>
      </w:tr>
      <w:tr>
        <w:trPr>
          <w:trHeight w:val="268"/>
        </w:trPr>
        <w:tc>
          <w:tcPr>
            <w:tcW w:w="8880" w:type="dxa"/>
            <w:vAlign w:val="bottom"/>
            <w:shd w:val="clear" w:color="auto" w:fill="DDDDDD"/>
          </w:tcPr>
          <w:p>
            <w:pPr>
              <w:ind w:left="40"/>
              <w:spacing w:after="0"/>
              <w:rPr>
                <w:sz w:val="20"/>
                <w:szCs w:val="20"/>
                <w:color w:val="auto"/>
              </w:rPr>
            </w:pPr>
            <w:r>
              <w:rPr>
                <w:rFonts w:ascii="Times New Roman" w:cs="Times New Roman" w:eastAsia="Times New Roman" w:hAnsi="Times New Roman"/>
                <w:sz w:val="20"/>
                <w:szCs w:val="20"/>
                <w:color w:val="auto"/>
              </w:rPr>
              <w:t>Total liabilities assumed</w:t>
            </w:r>
          </w:p>
        </w:tc>
        <w:tc>
          <w:tcPr>
            <w:tcW w:w="80" w:type="dxa"/>
            <w:vAlign w:val="bottom"/>
            <w:gridSpan w:val="2"/>
            <w:shd w:val="clear" w:color="auto" w:fill="DDDDDD"/>
          </w:tcPr>
          <w:p>
            <w:pPr>
              <w:spacing w:after="0"/>
              <w:rPr>
                <w:sz w:val="23"/>
                <w:szCs w:val="23"/>
                <w:color w:val="auto"/>
              </w:rPr>
            </w:pPr>
          </w:p>
        </w:tc>
        <w:tc>
          <w:tcPr>
            <w:tcW w:w="400" w:type="dxa"/>
            <w:vAlign w:val="bottom"/>
            <w:tcBorders>
              <w:bottom w:val="single" w:sz="8" w:color="auto"/>
            </w:tcBorders>
            <w:shd w:val="clear" w:color="auto" w:fill="DDDDDD"/>
          </w:tcPr>
          <w:p>
            <w:pPr>
              <w:jc w:val="right"/>
              <w:ind w:right="139"/>
              <w:spacing w:after="0"/>
              <w:rPr>
                <w:sz w:val="20"/>
                <w:szCs w:val="20"/>
                <w:color w:val="auto"/>
              </w:rPr>
            </w:pPr>
            <w:r>
              <w:rPr>
                <w:rFonts w:ascii="Times New Roman" w:cs="Times New Roman" w:eastAsia="Times New Roman" w:hAnsi="Times New Roman"/>
                <w:sz w:val="20"/>
                <w:szCs w:val="20"/>
                <w:color w:val="auto"/>
              </w:rPr>
              <w:t>$</w:t>
            </w:r>
          </w:p>
        </w:tc>
        <w:tc>
          <w:tcPr>
            <w:tcW w:w="900" w:type="dxa"/>
            <w:vAlign w:val="bottom"/>
            <w:tcBorders>
              <w:bottom w:val="single" w:sz="8" w:color="auto"/>
            </w:tcBorders>
            <w:shd w:val="clear" w:color="auto" w:fill="DDDDDD"/>
          </w:tcPr>
          <w:p>
            <w:pPr>
              <w:jc w:val="right"/>
              <w:spacing w:after="0"/>
              <w:rPr>
                <w:sz w:val="20"/>
                <w:szCs w:val="20"/>
                <w:color w:val="auto"/>
              </w:rPr>
            </w:pPr>
            <w:r>
              <w:rPr>
                <w:rFonts w:ascii="Times New Roman" w:cs="Times New Roman" w:eastAsia="Times New Roman" w:hAnsi="Times New Roman"/>
                <w:sz w:val="20"/>
                <w:szCs w:val="20"/>
                <w:color w:val="auto"/>
              </w:rPr>
              <w:t>(2,236)</w:t>
            </w:r>
          </w:p>
        </w:tc>
      </w:tr>
      <w:tr>
        <w:trPr>
          <w:trHeight w:val="261"/>
        </w:trPr>
        <w:tc>
          <w:tcPr>
            <w:tcW w:w="8880" w:type="dxa"/>
            <w:vAlign w:val="bottom"/>
            <w:tcBorders>
              <w:bottom w:val="single" w:sz="8" w:color="DDDDDD"/>
            </w:tcBorders>
          </w:tcPr>
          <w:p>
            <w:pPr>
              <w:spacing w:after="0"/>
              <w:rPr>
                <w:sz w:val="22"/>
                <w:szCs w:val="22"/>
                <w:color w:val="auto"/>
              </w:rPr>
            </w:pPr>
          </w:p>
        </w:tc>
        <w:tc>
          <w:tcPr>
            <w:tcW w:w="60" w:type="dxa"/>
            <w:vAlign w:val="bottom"/>
            <w:tcBorders>
              <w:bottom w:val="single" w:sz="8" w:color="DDDDDD"/>
            </w:tcBorders>
          </w:tcPr>
          <w:p>
            <w:pPr>
              <w:spacing w:after="0"/>
              <w:rPr>
                <w:sz w:val="22"/>
                <w:szCs w:val="22"/>
                <w:color w:val="auto"/>
              </w:rPr>
            </w:pPr>
          </w:p>
        </w:tc>
        <w:tc>
          <w:tcPr>
            <w:tcW w:w="20" w:type="dxa"/>
            <w:vAlign w:val="bottom"/>
            <w:tcBorders>
              <w:bottom w:val="single" w:sz="8" w:color="DDDDDD"/>
            </w:tcBorders>
          </w:tcPr>
          <w:p>
            <w:pPr>
              <w:spacing w:after="0"/>
              <w:rPr>
                <w:sz w:val="22"/>
                <w:szCs w:val="22"/>
                <w:color w:val="auto"/>
              </w:rPr>
            </w:pPr>
          </w:p>
        </w:tc>
        <w:tc>
          <w:tcPr>
            <w:tcW w:w="400" w:type="dxa"/>
            <w:vAlign w:val="bottom"/>
            <w:tcBorders>
              <w:bottom w:val="single" w:sz="8" w:color="auto"/>
            </w:tcBorders>
          </w:tcPr>
          <w:p>
            <w:pPr>
              <w:spacing w:after="0"/>
              <w:rPr>
                <w:sz w:val="22"/>
                <w:szCs w:val="22"/>
                <w:color w:val="auto"/>
              </w:rPr>
            </w:pPr>
          </w:p>
        </w:tc>
        <w:tc>
          <w:tcPr>
            <w:tcW w:w="900" w:type="dxa"/>
            <w:vAlign w:val="bottom"/>
            <w:tcBorders>
              <w:bottom w:val="single" w:sz="8" w:color="auto"/>
            </w:tcBorders>
          </w:tcPr>
          <w:p>
            <w:pPr>
              <w:spacing w:after="0"/>
              <w:rPr>
                <w:sz w:val="22"/>
                <w:szCs w:val="22"/>
                <w:color w:val="auto"/>
              </w:rPr>
            </w:pPr>
          </w:p>
        </w:tc>
      </w:tr>
      <w:tr>
        <w:trPr>
          <w:trHeight w:val="268"/>
        </w:trPr>
        <w:tc>
          <w:tcPr>
            <w:tcW w:w="8880" w:type="dxa"/>
            <w:vAlign w:val="bottom"/>
            <w:shd w:val="clear" w:color="auto" w:fill="DDDDDD"/>
          </w:tcPr>
          <w:p>
            <w:pPr>
              <w:ind w:left="40"/>
              <w:spacing w:after="0"/>
              <w:rPr>
                <w:sz w:val="20"/>
                <w:szCs w:val="20"/>
                <w:color w:val="auto"/>
              </w:rPr>
            </w:pPr>
            <w:r>
              <w:rPr>
                <w:rFonts w:ascii="Times New Roman" w:cs="Times New Roman" w:eastAsia="Times New Roman" w:hAnsi="Times New Roman"/>
                <w:sz w:val="20"/>
                <w:szCs w:val="20"/>
                <w:color w:val="auto"/>
              </w:rPr>
              <w:t>Total net assets acquired</w:t>
            </w:r>
          </w:p>
        </w:tc>
        <w:tc>
          <w:tcPr>
            <w:tcW w:w="480" w:type="dxa"/>
            <w:vAlign w:val="bottom"/>
            <w:gridSpan w:val="3"/>
            <w:shd w:val="clear" w:color="auto" w:fill="DDDDDD"/>
          </w:tcPr>
          <w:p>
            <w:pPr>
              <w:jc w:val="right"/>
              <w:ind w:right="159"/>
              <w:spacing w:after="0"/>
              <w:rPr>
                <w:sz w:val="20"/>
                <w:szCs w:val="20"/>
                <w:color w:val="auto"/>
              </w:rPr>
            </w:pPr>
            <w:r>
              <w:rPr>
                <w:rFonts w:ascii="Times New Roman" w:cs="Times New Roman" w:eastAsia="Times New Roman" w:hAnsi="Times New Roman"/>
                <w:sz w:val="20"/>
                <w:szCs w:val="20"/>
                <w:color w:val="auto"/>
              </w:rPr>
              <w:t>$</w:t>
            </w:r>
          </w:p>
        </w:tc>
        <w:tc>
          <w:tcPr>
            <w:tcW w:w="900" w:type="dxa"/>
            <w:vAlign w:val="bottom"/>
            <w:shd w:val="clear" w:color="auto" w:fill="DDDDDD"/>
          </w:tcPr>
          <w:p>
            <w:pPr>
              <w:jc w:val="right"/>
              <w:spacing w:after="0"/>
              <w:rPr>
                <w:sz w:val="20"/>
                <w:szCs w:val="20"/>
                <w:color w:val="auto"/>
              </w:rPr>
            </w:pPr>
            <w:r>
              <w:rPr>
                <w:rFonts w:ascii="Times New Roman" w:cs="Times New Roman" w:eastAsia="Times New Roman" w:hAnsi="Times New Roman"/>
                <w:sz w:val="20"/>
                <w:szCs w:val="20"/>
                <w:color w:val="auto"/>
              </w:rPr>
              <w:t>29,422</w:t>
            </w:r>
          </w:p>
        </w:tc>
      </w:tr>
      <w:tr>
        <w:trPr>
          <w:trHeight w:val="20"/>
        </w:trPr>
        <w:tc>
          <w:tcPr>
            <w:tcW w:w="88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r>
      <w:tr>
        <w:trPr>
          <w:trHeight w:val="20"/>
        </w:trPr>
        <w:tc>
          <w:tcPr>
            <w:tcW w:w="88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r>
    </w:tbl>
    <w:p>
      <w:pPr>
        <w:spacing w:after="0" w:line="316" w:lineRule="exact"/>
        <w:rPr>
          <w:sz w:val="20"/>
          <w:szCs w:val="20"/>
          <w:color w:val="auto"/>
        </w:rPr>
      </w:pPr>
    </w:p>
    <w:p>
      <w:pPr>
        <w:jc w:val="both"/>
        <w:ind w:right="20"/>
        <w:spacing w:after="0" w:line="325" w:lineRule="auto"/>
        <w:rPr>
          <w:sz w:val="20"/>
          <w:szCs w:val="20"/>
          <w:color w:val="auto"/>
        </w:rPr>
      </w:pPr>
      <w:r>
        <w:rPr>
          <w:rFonts w:ascii="Times New Roman" w:cs="Times New Roman" w:eastAsia="Times New Roman" w:hAnsi="Times New Roman"/>
          <w:sz w:val="19"/>
          <w:szCs w:val="19"/>
          <w:color w:val="auto"/>
        </w:rPr>
        <w:t>During the fourth quarter of 2022, the Company made an adjustment to the purchase price allocation of Eyechronic related to certain pre-acquisition deferred tax and other sales tax liabilities that resulted in an increase of long-term liabilities of $1.7 million.</w:t>
      </w:r>
    </w:p>
    <w:p>
      <w:pPr>
        <w:spacing w:after="0" w:line="85" w:lineRule="exact"/>
        <w:rPr>
          <w:sz w:val="20"/>
          <w:szCs w:val="20"/>
          <w:color w:val="auto"/>
        </w:rPr>
      </w:pPr>
    </w:p>
    <w:p>
      <w:pPr>
        <w:jc w:val="both"/>
        <w:spacing w:after="0" w:line="276" w:lineRule="auto"/>
        <w:rPr>
          <w:sz w:val="20"/>
          <w:szCs w:val="20"/>
          <w:color w:val="auto"/>
        </w:rPr>
      </w:pPr>
      <w:r>
        <w:rPr>
          <w:rFonts w:ascii="Times New Roman" w:cs="Times New Roman" w:eastAsia="Times New Roman" w:hAnsi="Times New Roman"/>
          <w:sz w:val="20"/>
          <w:szCs w:val="20"/>
          <w:color w:val="auto"/>
        </w:rPr>
        <w:t>During the year ended December 31, 2022, the Company incurred transaction expenses associated with the Eyechronic acquisition of $0.1 million, which is included in general and administrative expenses in the accompanying consolidated statements of operations.</w:t>
      </w:r>
    </w:p>
    <w:p>
      <w:pPr>
        <w:spacing w:after="0" w:line="63" w:lineRule="exact"/>
        <w:rPr>
          <w:sz w:val="20"/>
          <w:szCs w:val="20"/>
          <w:color w:val="auto"/>
        </w:rPr>
      </w:pPr>
    </w:p>
    <w:p>
      <w:pPr>
        <w:jc w:val="both"/>
        <w:ind w:right="20"/>
        <w:spacing w:after="0" w:line="306" w:lineRule="auto"/>
        <w:rPr>
          <w:sz w:val="20"/>
          <w:szCs w:val="20"/>
          <w:color w:val="auto"/>
        </w:rPr>
      </w:pPr>
      <w:r>
        <w:rPr>
          <w:rFonts w:ascii="Times New Roman" w:cs="Times New Roman" w:eastAsia="Times New Roman" w:hAnsi="Times New Roman"/>
          <w:sz w:val="20"/>
          <w:szCs w:val="20"/>
          <w:color w:val="auto"/>
        </w:rPr>
        <w:t>The revenue and operating loss from Eyechronic included the Company’s consolidated statements of operations for the year ended December 31, 2022 were not material. Pro forma revenue and earnings amounts on a combined basis have not been presented as they are not material to the Company’s historical pre-acquisition financial statements.</w:t>
      </w:r>
    </w:p>
    <w:p>
      <w:pPr>
        <w:spacing w:after="0" w:line="26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F-24</w:t>
      </w:r>
    </w:p>
    <w:p>
      <w:pPr>
        <w:sectPr>
          <w:pgSz w:w="12240" w:h="15840" w:orient="portrait"/>
          <w:cols w:equalWidth="0" w:num="1">
            <w:col w:w="10260"/>
          </w:cols>
          <w:pgMar w:left="1000" w:top="731" w:right="980" w:bottom="222" w:gutter="0" w:footer="0" w:header="0"/>
        </w:sectPr>
      </w:pPr>
    </w:p>
    <w:bookmarkStart w:id="144" w:name="page145"/>
    <w:bookmarkEnd w:id="144"/>
    <w:p>
      <w:pPr>
        <w:jc w:val="center"/>
        <w:ind w:right="14"/>
        <w:spacing w:after="0"/>
        <w:rPr>
          <w:sz w:val="20"/>
          <w:szCs w:val="20"/>
          <w:color w:val="auto"/>
        </w:rPr>
      </w:pPr>
      <w:r>
        <w:rPr>
          <w:rFonts w:ascii="Times New Roman" w:cs="Times New Roman" w:eastAsia="Times New Roman" w:hAnsi="Times New Roman"/>
          <w:sz w:val="20"/>
          <w:szCs w:val="20"/>
          <w:b w:val="1"/>
          <w:bCs w:val="1"/>
          <w:color w:val="auto"/>
        </w:rPr>
        <w:t>WM TECHNOLOGY, INC. AND SUBSIDIARIES</w:t>
      </w:r>
    </w:p>
    <w:p>
      <w:pPr>
        <w:spacing w:after="0" w:line="48" w:lineRule="exact"/>
        <w:rPr>
          <w:sz w:val="20"/>
          <w:szCs w:val="20"/>
          <w:color w:val="auto"/>
        </w:rPr>
      </w:pPr>
    </w:p>
    <w:p>
      <w:pPr>
        <w:jc w:val="center"/>
        <w:ind w:right="-5"/>
        <w:spacing w:after="0"/>
        <w:rPr>
          <w:sz w:val="20"/>
          <w:szCs w:val="20"/>
          <w:color w:val="auto"/>
        </w:rPr>
      </w:pPr>
      <w:r>
        <w:rPr>
          <w:rFonts w:ascii="Times New Roman" w:cs="Times New Roman" w:eastAsia="Times New Roman" w:hAnsi="Times New Roman"/>
          <w:sz w:val="20"/>
          <w:szCs w:val="20"/>
          <w:b w:val="1"/>
          <w:bCs w:val="1"/>
          <w:color w:val="auto"/>
        </w:rPr>
        <w:t>NOTES TO CONSOLIDATED FINANCIAL STATEMENTS</w:t>
      </w:r>
    </w:p>
    <w:p>
      <w:pPr>
        <w:spacing w:after="0" w:line="286" w:lineRule="exact"/>
        <w:rPr>
          <w:sz w:val="20"/>
          <w:szCs w:val="20"/>
          <w:color w:val="auto"/>
        </w:rPr>
      </w:pPr>
    </w:p>
    <w:p>
      <w:pPr>
        <w:jc w:val="both"/>
        <w:ind w:left="6"/>
        <w:spacing w:after="0" w:line="332" w:lineRule="auto"/>
        <w:rPr>
          <w:sz w:val="20"/>
          <w:szCs w:val="20"/>
          <w:color w:val="auto"/>
        </w:rPr>
      </w:pPr>
      <w:r>
        <w:rPr>
          <w:rFonts w:ascii="Times New Roman" w:cs="Times New Roman" w:eastAsia="Times New Roman" w:hAnsi="Times New Roman"/>
          <w:sz w:val="19"/>
          <w:szCs w:val="19"/>
          <w:color w:val="auto"/>
        </w:rPr>
        <w:t>For acquisitions, the excess of the purchase price over the estimated fair values of the net assets acquired, including identifiable intangible assets, is recorded as goodwill. Goodwill is primarily attributable to the expected synergies from combining operations. Goodwill recognized was allocated to the Company’s one operating segment and is generally deductible for tax purposes.</w:t>
      </w:r>
    </w:p>
    <w:p>
      <w:pPr>
        <w:spacing w:after="0" w:line="44" w:lineRule="exact"/>
        <w:rPr>
          <w:sz w:val="20"/>
          <w:szCs w:val="20"/>
          <w:color w:val="auto"/>
        </w:rPr>
      </w:pPr>
    </w:p>
    <w:p>
      <w:pPr>
        <w:jc w:val="both"/>
        <w:ind w:left="6"/>
        <w:spacing w:after="0" w:line="291" w:lineRule="auto"/>
        <w:rPr>
          <w:sz w:val="20"/>
          <w:szCs w:val="20"/>
          <w:color w:val="auto"/>
        </w:rPr>
      </w:pPr>
      <w:r>
        <w:rPr>
          <w:rFonts w:ascii="Times New Roman" w:cs="Times New Roman" w:eastAsia="Times New Roman" w:hAnsi="Times New Roman"/>
          <w:sz w:val="20"/>
          <w:szCs w:val="20"/>
          <w:color w:val="auto"/>
        </w:rPr>
        <w:t>The fair values of the trade name and software technology intangible assets are determined using an “income approach”, specifically, the relief-from royalty approach, which is a commonly accepted valuation approach. This approach is based on the assumption that in lieu of ownership, a firm would be willing to pay a royalty in order to exploit the related benefits of these assets. Owning these intangible assets means that the underlying entity wouldn’t have to pay for the privilege of deploying those assets. Therefore, a portion of the acquired entity’s earnings, equal to the after-tax royalty that would have been paid for the use of the assets, can be attributed to the firm’s ownership. The fair values of the customer relationships and customer backlog assets were also determined using an “income approach”, specifically a multi-period excess earnings approach, which is a commonly accepted valuation approach. Under this approach, the net earnings attributable to the asset or liability being measured are isolated using the discounted projected net cash flows. These projected cash flows are isolated from the projected cash flows of the combined asset group over the remaining economic life of the intangible asset or liability being measured. Both the amount and the duration of the cash flows are considered from a market participant perspective. Where appropriate, the net cash flows were adjusted to reflect the potential attrition of existing customers in the future, as existing customers are a “wasting” asset and are expected to decline over time.</w:t>
      </w:r>
    </w:p>
    <w:p>
      <w:pPr>
        <w:spacing w:after="0" w:line="83" w:lineRule="exact"/>
        <w:rPr>
          <w:sz w:val="20"/>
          <w:szCs w:val="20"/>
          <w:color w:val="auto"/>
        </w:rPr>
      </w:pPr>
    </w:p>
    <w:p>
      <w:pPr>
        <w:jc w:val="both"/>
        <w:ind w:left="6"/>
        <w:spacing w:after="0" w:line="295" w:lineRule="auto"/>
        <w:rPr>
          <w:sz w:val="20"/>
          <w:szCs w:val="20"/>
          <w:color w:val="auto"/>
        </w:rPr>
      </w:pPr>
      <w:r>
        <w:rPr>
          <w:rFonts w:ascii="Times New Roman" w:cs="Times New Roman" w:eastAsia="Times New Roman" w:hAnsi="Times New Roman"/>
          <w:sz w:val="20"/>
          <w:szCs w:val="20"/>
          <w:color w:val="auto"/>
        </w:rPr>
        <w:t>In December 31, 2023, the Company completed the sunset of certain product offerings including WM Screens, a product offering associated with our acquisition of Eyechronic, as the Company continues to focus the efforts on other Weedmaps for Business products that support the Weedmaps marketplace and improve the eCommerce experience for the Company’s clients and users. For the year ended December 31, 2023 the Company recorded impairment charges of $3.8 million related to intangible assets and $2.6 million related to property and equipment associated with the sunset of WM Screens, which is included in asset impairment charges in the consolidated statements of operations.</w:t>
      </w:r>
    </w:p>
    <w:p>
      <w:pPr>
        <w:spacing w:after="0" w:line="84" w:lineRule="exact"/>
        <w:rPr>
          <w:sz w:val="20"/>
          <w:szCs w:val="20"/>
          <w:color w:val="auto"/>
        </w:rPr>
      </w:pPr>
    </w:p>
    <w:p>
      <w:pPr>
        <w:ind w:left="6"/>
        <w:spacing w:after="0"/>
        <w:rPr>
          <w:sz w:val="20"/>
          <w:szCs w:val="20"/>
          <w:color w:val="auto"/>
        </w:rPr>
      </w:pPr>
      <w:r>
        <w:rPr>
          <w:rFonts w:ascii="Times New Roman" w:cs="Times New Roman" w:eastAsia="Times New Roman" w:hAnsi="Times New Roman"/>
          <w:sz w:val="20"/>
          <w:szCs w:val="20"/>
          <w:b w:val="1"/>
          <w:bCs w:val="1"/>
          <w:i w:val="1"/>
          <w:iCs w:val="1"/>
          <w:color w:val="auto"/>
        </w:rPr>
        <w:t>Transport Logistics Holding</w:t>
      </w:r>
    </w:p>
    <w:p>
      <w:pPr>
        <w:spacing w:after="0" w:line="164" w:lineRule="exact"/>
        <w:rPr>
          <w:sz w:val="20"/>
          <w:szCs w:val="20"/>
          <w:color w:val="auto"/>
        </w:rPr>
      </w:pPr>
    </w:p>
    <w:p>
      <w:pPr>
        <w:jc w:val="both"/>
        <w:ind w:left="6"/>
        <w:spacing w:after="0" w:line="306" w:lineRule="auto"/>
        <w:rPr>
          <w:sz w:val="20"/>
          <w:szCs w:val="20"/>
          <w:color w:val="auto"/>
        </w:rPr>
      </w:pPr>
      <w:r>
        <w:rPr>
          <w:rFonts w:ascii="Times New Roman" w:cs="Times New Roman" w:eastAsia="Times New Roman" w:hAnsi="Times New Roman"/>
          <w:sz w:val="20"/>
          <w:szCs w:val="20"/>
          <w:color w:val="auto"/>
        </w:rPr>
        <w:t>On September 29, 2021, the Company acquired all of the equity interests of Transport Logistics Holding Company, LLC (“TLH”), a logistics platform that enables the compliant delivery of cannabis, for total consideration of approximately $15.1 million. The Company accounted for the TLH acquisition as an acquisition of a business under ASC 805.</w:t>
      </w:r>
    </w:p>
    <w:p>
      <w:pPr>
        <w:spacing w:after="0" w:line="63" w:lineRule="exact"/>
        <w:rPr>
          <w:sz w:val="20"/>
          <w:szCs w:val="20"/>
          <w:color w:val="auto"/>
        </w:rPr>
      </w:pPr>
    </w:p>
    <w:p>
      <w:pPr>
        <w:ind w:left="6"/>
        <w:spacing w:after="0"/>
        <w:rPr>
          <w:sz w:val="20"/>
          <w:szCs w:val="20"/>
          <w:color w:val="auto"/>
        </w:rPr>
      </w:pPr>
      <w:r>
        <w:rPr>
          <w:rFonts w:ascii="Times New Roman" w:cs="Times New Roman" w:eastAsia="Times New Roman" w:hAnsi="Times New Roman"/>
          <w:sz w:val="20"/>
          <w:szCs w:val="20"/>
          <w:color w:val="auto"/>
        </w:rPr>
        <w:t>The following table summarizes the components of consideration and the fair value of assets acquired (in thousands):</w:t>
      </w:r>
    </w:p>
    <w:p>
      <w:pPr>
        <w:spacing w:after="0" w:line="215" w:lineRule="exact"/>
        <w:rPr>
          <w:sz w:val="20"/>
          <w:szCs w:val="20"/>
          <w:color w:val="auto"/>
        </w:rPr>
      </w:pPr>
    </w:p>
    <w:tbl>
      <w:tblPr>
        <w:tblLayout w:type="fixed"/>
        <w:tblInd w:w="6" w:type="dxa"/>
        <w:tblCellMar>
          <w:top w:w="0" w:type="dxa"/>
          <w:left w:w="0" w:type="dxa"/>
          <w:bottom w:w="0" w:type="dxa"/>
          <w:right w:w="0" w:type="dxa"/>
        </w:tblCellMar>
      </w:tblPr>
      <w:tr>
        <w:trPr>
          <w:trHeight w:val="255"/>
        </w:trPr>
        <w:tc>
          <w:tcPr>
            <w:tcW w:w="8280" w:type="dxa"/>
            <w:vAlign w:val="bottom"/>
          </w:tcPr>
          <w:p>
            <w:pPr>
              <w:ind w:left="40"/>
              <w:spacing w:after="0"/>
              <w:rPr>
                <w:sz w:val="20"/>
                <w:szCs w:val="20"/>
                <w:color w:val="auto"/>
              </w:rPr>
            </w:pPr>
            <w:r>
              <w:rPr>
                <w:rFonts w:ascii="Times New Roman" w:cs="Times New Roman" w:eastAsia="Times New Roman" w:hAnsi="Times New Roman"/>
                <w:sz w:val="20"/>
                <w:szCs w:val="20"/>
                <w:b w:val="1"/>
                <w:bCs w:val="1"/>
                <w:color w:val="auto"/>
              </w:rPr>
              <w:t>Consideration Transferred:</w:t>
            </w:r>
          </w:p>
        </w:tc>
        <w:tc>
          <w:tcPr>
            <w:tcW w:w="60" w:type="dxa"/>
            <w:vAlign w:val="bottom"/>
          </w:tcPr>
          <w:p>
            <w:pPr>
              <w:spacing w:after="0"/>
              <w:rPr>
                <w:sz w:val="22"/>
                <w:szCs w:val="22"/>
                <w:color w:val="auto"/>
              </w:rPr>
            </w:pPr>
          </w:p>
        </w:tc>
        <w:tc>
          <w:tcPr>
            <w:tcW w:w="720" w:type="dxa"/>
            <w:vAlign w:val="bottom"/>
          </w:tcPr>
          <w:p>
            <w:pPr>
              <w:spacing w:after="0"/>
              <w:rPr>
                <w:sz w:val="22"/>
                <w:szCs w:val="22"/>
                <w:color w:val="auto"/>
              </w:rPr>
            </w:pPr>
          </w:p>
        </w:tc>
        <w:tc>
          <w:tcPr>
            <w:tcW w:w="12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88"/>
        </w:trPr>
        <w:tc>
          <w:tcPr>
            <w:tcW w:w="8280" w:type="dxa"/>
            <w:vAlign w:val="bottom"/>
            <w:shd w:val="clear" w:color="auto" w:fill="DDDDDD"/>
          </w:tcPr>
          <w:p>
            <w:pPr>
              <w:ind w:left="40"/>
              <w:spacing w:after="0"/>
              <w:rPr>
                <w:sz w:val="20"/>
                <w:szCs w:val="20"/>
                <w:color w:val="auto"/>
              </w:rPr>
            </w:pPr>
            <w:r>
              <w:rPr>
                <w:rFonts w:ascii="Times New Roman" w:cs="Times New Roman" w:eastAsia="Times New Roman" w:hAnsi="Times New Roman"/>
                <w:sz w:val="20"/>
                <w:szCs w:val="20"/>
                <w:color w:val="auto"/>
              </w:rPr>
              <w:t xml:space="preserve">Cash consideration </w:t>
            </w:r>
            <w:r>
              <w:rPr>
                <w:rFonts w:ascii="Times New Roman" w:cs="Times New Roman" w:eastAsia="Times New Roman" w:hAnsi="Times New Roman"/>
                <w:sz w:val="25"/>
                <w:szCs w:val="25"/>
                <w:color w:val="auto"/>
                <w:vertAlign w:val="superscript"/>
              </w:rPr>
              <w:t>(1)</w:t>
            </w:r>
          </w:p>
        </w:tc>
        <w:tc>
          <w:tcPr>
            <w:tcW w:w="60" w:type="dxa"/>
            <w:vAlign w:val="bottom"/>
            <w:shd w:val="clear" w:color="auto" w:fill="DDDDDD"/>
          </w:tcPr>
          <w:p>
            <w:pPr>
              <w:spacing w:after="0"/>
              <w:rPr>
                <w:sz w:val="24"/>
                <w:szCs w:val="24"/>
                <w:color w:val="auto"/>
              </w:rPr>
            </w:pPr>
          </w:p>
        </w:tc>
        <w:tc>
          <w:tcPr>
            <w:tcW w:w="720" w:type="dxa"/>
            <w:vAlign w:val="bottom"/>
            <w:shd w:val="clear" w:color="auto" w:fill="DDDDDD"/>
          </w:tcPr>
          <w:p>
            <w:pPr>
              <w:jc w:val="right"/>
              <w:ind w:right="459"/>
              <w:spacing w:after="0"/>
              <w:rPr>
                <w:sz w:val="20"/>
                <w:szCs w:val="20"/>
                <w:color w:val="auto"/>
              </w:rPr>
            </w:pPr>
            <w:r>
              <w:rPr>
                <w:rFonts w:ascii="Times New Roman" w:cs="Times New Roman" w:eastAsia="Times New Roman" w:hAnsi="Times New Roman"/>
                <w:sz w:val="20"/>
                <w:szCs w:val="20"/>
                <w:color w:val="auto"/>
              </w:rPr>
              <w:t>$</w:t>
            </w:r>
          </w:p>
        </w:tc>
        <w:tc>
          <w:tcPr>
            <w:tcW w:w="1200" w:type="dxa"/>
            <w:vAlign w:val="bottom"/>
            <w:shd w:val="clear" w:color="auto" w:fill="DDDDDD"/>
          </w:tcPr>
          <w:p>
            <w:pPr>
              <w:jc w:val="right"/>
              <w:spacing w:after="0"/>
              <w:rPr>
                <w:sz w:val="20"/>
                <w:szCs w:val="20"/>
                <w:color w:val="auto"/>
              </w:rPr>
            </w:pPr>
            <w:r>
              <w:rPr>
                <w:rFonts w:ascii="Times New Roman" w:cs="Times New Roman" w:eastAsia="Times New Roman" w:hAnsi="Times New Roman"/>
                <w:sz w:val="20"/>
                <w:szCs w:val="20"/>
                <w:color w:val="auto"/>
              </w:rPr>
              <w:t>5,000</w:t>
            </w:r>
          </w:p>
        </w:tc>
        <w:tc>
          <w:tcPr>
            <w:tcW w:w="0" w:type="dxa"/>
            <w:vAlign w:val="bottom"/>
          </w:tcPr>
          <w:p>
            <w:pPr>
              <w:spacing w:after="0"/>
              <w:rPr>
                <w:sz w:val="1"/>
                <w:szCs w:val="1"/>
                <w:color w:val="auto"/>
              </w:rPr>
            </w:pPr>
          </w:p>
        </w:tc>
      </w:tr>
      <w:tr>
        <w:trPr>
          <w:trHeight w:val="288"/>
        </w:trPr>
        <w:tc>
          <w:tcPr>
            <w:tcW w:w="8280" w:type="dxa"/>
            <w:vAlign w:val="bottom"/>
            <w:tcBorders>
              <w:bottom w:val="single" w:sz="8" w:color="DDDDDD"/>
            </w:tcBorders>
          </w:tcPr>
          <w:p>
            <w:pPr>
              <w:ind w:left="40"/>
              <w:spacing w:after="0"/>
              <w:rPr>
                <w:sz w:val="20"/>
                <w:szCs w:val="20"/>
                <w:color w:val="auto"/>
              </w:rPr>
            </w:pPr>
            <w:r>
              <w:rPr>
                <w:rFonts w:ascii="Times New Roman" w:cs="Times New Roman" w:eastAsia="Times New Roman" w:hAnsi="Times New Roman"/>
                <w:sz w:val="20"/>
                <w:szCs w:val="20"/>
                <w:color w:val="auto"/>
              </w:rPr>
              <w:t>Share consideration</w:t>
            </w:r>
            <w:r>
              <w:rPr>
                <w:rFonts w:ascii="Times New Roman" w:cs="Times New Roman" w:eastAsia="Times New Roman" w:hAnsi="Times New Roman"/>
                <w:sz w:val="25"/>
                <w:szCs w:val="25"/>
                <w:color w:val="auto"/>
                <w:vertAlign w:val="superscript"/>
              </w:rPr>
              <w:t>(2)</w:t>
            </w:r>
          </w:p>
        </w:tc>
        <w:tc>
          <w:tcPr>
            <w:tcW w:w="60" w:type="dxa"/>
            <w:vAlign w:val="bottom"/>
            <w:tcBorders>
              <w:bottom w:val="single" w:sz="8" w:color="DDDDDD"/>
            </w:tcBorders>
          </w:tcPr>
          <w:p>
            <w:pPr>
              <w:spacing w:after="0"/>
              <w:rPr>
                <w:sz w:val="24"/>
                <w:szCs w:val="24"/>
                <w:color w:val="auto"/>
              </w:rPr>
            </w:pPr>
          </w:p>
        </w:tc>
        <w:tc>
          <w:tcPr>
            <w:tcW w:w="720" w:type="dxa"/>
            <w:vAlign w:val="bottom"/>
            <w:tcBorders>
              <w:bottom w:val="single" w:sz="8" w:color="auto"/>
            </w:tcBorders>
          </w:tcPr>
          <w:p>
            <w:pPr>
              <w:spacing w:after="0"/>
              <w:rPr>
                <w:sz w:val="24"/>
                <w:szCs w:val="24"/>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10,126</w:t>
            </w:r>
          </w:p>
        </w:tc>
        <w:tc>
          <w:tcPr>
            <w:tcW w:w="0" w:type="dxa"/>
            <w:vAlign w:val="bottom"/>
          </w:tcPr>
          <w:p>
            <w:pPr>
              <w:spacing w:after="0"/>
              <w:rPr>
                <w:sz w:val="1"/>
                <w:szCs w:val="1"/>
                <w:color w:val="auto"/>
              </w:rPr>
            </w:pPr>
          </w:p>
        </w:tc>
      </w:tr>
      <w:tr>
        <w:trPr>
          <w:trHeight w:val="261"/>
        </w:trPr>
        <w:tc>
          <w:tcPr>
            <w:tcW w:w="8280" w:type="dxa"/>
            <w:vAlign w:val="bottom"/>
            <w:shd w:val="clear" w:color="auto" w:fill="DDDDDD"/>
          </w:tcPr>
          <w:p>
            <w:pPr>
              <w:ind w:left="140"/>
              <w:spacing w:after="0"/>
              <w:rPr>
                <w:sz w:val="20"/>
                <w:szCs w:val="20"/>
                <w:color w:val="auto"/>
              </w:rPr>
            </w:pPr>
            <w:r>
              <w:rPr>
                <w:rFonts w:ascii="Times New Roman" w:cs="Times New Roman" w:eastAsia="Times New Roman" w:hAnsi="Times New Roman"/>
                <w:sz w:val="20"/>
                <w:szCs w:val="20"/>
                <w:color w:val="auto"/>
              </w:rPr>
              <w:t>Total consideration</w:t>
            </w:r>
          </w:p>
        </w:tc>
        <w:tc>
          <w:tcPr>
            <w:tcW w:w="60" w:type="dxa"/>
            <w:vAlign w:val="bottom"/>
            <w:shd w:val="clear" w:color="auto" w:fill="DDDDDD"/>
          </w:tcPr>
          <w:p>
            <w:pPr>
              <w:spacing w:after="0"/>
              <w:rPr>
                <w:sz w:val="22"/>
                <w:szCs w:val="22"/>
                <w:color w:val="auto"/>
              </w:rPr>
            </w:pPr>
          </w:p>
        </w:tc>
        <w:tc>
          <w:tcPr>
            <w:tcW w:w="720" w:type="dxa"/>
            <w:vAlign w:val="bottom"/>
            <w:shd w:val="clear" w:color="auto" w:fill="DDDDDD"/>
          </w:tcPr>
          <w:p>
            <w:pPr>
              <w:jc w:val="right"/>
              <w:ind w:right="459"/>
              <w:spacing w:after="0"/>
              <w:rPr>
                <w:sz w:val="20"/>
                <w:szCs w:val="20"/>
                <w:color w:val="auto"/>
              </w:rPr>
            </w:pPr>
            <w:r>
              <w:rPr>
                <w:rFonts w:ascii="Times New Roman" w:cs="Times New Roman" w:eastAsia="Times New Roman" w:hAnsi="Times New Roman"/>
                <w:sz w:val="20"/>
                <w:szCs w:val="20"/>
                <w:color w:val="auto"/>
              </w:rPr>
              <w:t>$</w:t>
            </w:r>
          </w:p>
        </w:tc>
        <w:tc>
          <w:tcPr>
            <w:tcW w:w="1200" w:type="dxa"/>
            <w:vAlign w:val="bottom"/>
            <w:shd w:val="clear" w:color="auto" w:fill="DDDDDD"/>
          </w:tcPr>
          <w:p>
            <w:pPr>
              <w:jc w:val="right"/>
              <w:spacing w:after="0"/>
              <w:rPr>
                <w:sz w:val="20"/>
                <w:szCs w:val="20"/>
                <w:color w:val="auto"/>
              </w:rPr>
            </w:pPr>
            <w:r>
              <w:rPr>
                <w:rFonts w:ascii="Times New Roman" w:cs="Times New Roman" w:eastAsia="Times New Roman" w:hAnsi="Times New Roman"/>
                <w:sz w:val="20"/>
                <w:szCs w:val="20"/>
                <w:color w:val="auto"/>
              </w:rPr>
              <w:t>15,126</w:t>
            </w:r>
          </w:p>
        </w:tc>
        <w:tc>
          <w:tcPr>
            <w:tcW w:w="0" w:type="dxa"/>
            <w:vAlign w:val="bottom"/>
          </w:tcPr>
          <w:p>
            <w:pPr>
              <w:spacing w:after="0"/>
              <w:rPr>
                <w:sz w:val="1"/>
                <w:szCs w:val="1"/>
                <w:color w:val="auto"/>
              </w:rPr>
            </w:pPr>
          </w:p>
        </w:tc>
      </w:tr>
      <w:tr>
        <w:trPr>
          <w:trHeight w:val="22"/>
        </w:trPr>
        <w:tc>
          <w:tcPr>
            <w:tcW w:w="8280" w:type="dxa"/>
            <w:vAlign w:val="bottom"/>
            <w:vMerge w:val="restart"/>
          </w:tcPr>
          <w:p>
            <w:pPr>
              <w:ind w:left="40"/>
              <w:spacing w:after="0"/>
              <w:rPr>
                <w:sz w:val="20"/>
                <w:szCs w:val="20"/>
                <w:color w:val="auto"/>
              </w:rPr>
            </w:pPr>
            <w:r>
              <w:rPr>
                <w:rFonts w:ascii="Times New Roman" w:cs="Times New Roman" w:eastAsia="Times New Roman" w:hAnsi="Times New Roman"/>
                <w:sz w:val="20"/>
                <w:szCs w:val="20"/>
                <w:b w:val="1"/>
                <w:bCs w:val="1"/>
                <w:color w:val="auto"/>
              </w:rPr>
              <w:t>Assets Acquired:</w:t>
            </w:r>
          </w:p>
        </w:tc>
        <w:tc>
          <w:tcPr>
            <w:tcW w:w="60" w:type="dxa"/>
            <w:vAlign w:val="bottom"/>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0"/>
        </w:trPr>
        <w:tc>
          <w:tcPr>
            <w:tcW w:w="8280" w:type="dxa"/>
            <w:vAlign w:val="bottom"/>
            <w:vMerge w:val="continue"/>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23"/>
        </w:trPr>
        <w:tc>
          <w:tcPr>
            <w:tcW w:w="8280" w:type="dxa"/>
            <w:vAlign w:val="bottom"/>
            <w:vMerge w:val="continue"/>
          </w:tcPr>
          <w:p>
            <w:pPr>
              <w:spacing w:after="0"/>
              <w:rPr>
                <w:sz w:val="24"/>
                <w:szCs w:val="24"/>
                <w:color w:val="auto"/>
              </w:rPr>
            </w:pPr>
          </w:p>
        </w:tc>
        <w:tc>
          <w:tcPr>
            <w:tcW w:w="6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88"/>
        </w:trPr>
        <w:tc>
          <w:tcPr>
            <w:tcW w:w="8280" w:type="dxa"/>
            <w:vAlign w:val="bottom"/>
            <w:shd w:val="clear" w:color="auto" w:fill="DDDDDD"/>
          </w:tcPr>
          <w:p>
            <w:pPr>
              <w:ind w:left="40"/>
              <w:spacing w:after="0"/>
              <w:rPr>
                <w:sz w:val="20"/>
                <w:szCs w:val="20"/>
                <w:color w:val="auto"/>
              </w:rPr>
            </w:pPr>
            <w:r>
              <w:rPr>
                <w:rFonts w:ascii="Times New Roman" w:cs="Times New Roman" w:eastAsia="Times New Roman" w:hAnsi="Times New Roman"/>
                <w:sz w:val="20"/>
                <w:szCs w:val="20"/>
                <w:color w:val="auto"/>
              </w:rPr>
              <w:t>Software technology</w:t>
            </w:r>
          </w:p>
        </w:tc>
        <w:tc>
          <w:tcPr>
            <w:tcW w:w="60" w:type="dxa"/>
            <w:vAlign w:val="bottom"/>
            <w:shd w:val="clear" w:color="auto" w:fill="DDDDDD"/>
          </w:tcPr>
          <w:p>
            <w:pPr>
              <w:spacing w:after="0"/>
              <w:rPr>
                <w:sz w:val="24"/>
                <w:szCs w:val="24"/>
                <w:color w:val="auto"/>
              </w:rPr>
            </w:pPr>
          </w:p>
        </w:tc>
        <w:tc>
          <w:tcPr>
            <w:tcW w:w="720" w:type="dxa"/>
            <w:vAlign w:val="bottom"/>
            <w:shd w:val="clear" w:color="auto" w:fill="DDDDDD"/>
          </w:tcPr>
          <w:p>
            <w:pPr>
              <w:jc w:val="right"/>
              <w:ind w:right="459"/>
              <w:spacing w:after="0"/>
              <w:rPr>
                <w:sz w:val="20"/>
                <w:szCs w:val="20"/>
                <w:color w:val="auto"/>
              </w:rPr>
            </w:pPr>
            <w:r>
              <w:rPr>
                <w:rFonts w:ascii="Times New Roman" w:cs="Times New Roman" w:eastAsia="Times New Roman" w:hAnsi="Times New Roman"/>
                <w:sz w:val="20"/>
                <w:szCs w:val="20"/>
                <w:color w:val="auto"/>
              </w:rPr>
              <w:t>$</w:t>
            </w:r>
          </w:p>
        </w:tc>
        <w:tc>
          <w:tcPr>
            <w:tcW w:w="1200" w:type="dxa"/>
            <w:vAlign w:val="bottom"/>
            <w:shd w:val="clear" w:color="auto" w:fill="DDDDDD"/>
          </w:tcPr>
          <w:p>
            <w:pPr>
              <w:jc w:val="right"/>
              <w:spacing w:after="0"/>
              <w:rPr>
                <w:sz w:val="20"/>
                <w:szCs w:val="20"/>
                <w:color w:val="auto"/>
              </w:rPr>
            </w:pPr>
            <w:r>
              <w:rPr>
                <w:rFonts w:ascii="Times New Roman" w:cs="Times New Roman" w:eastAsia="Times New Roman" w:hAnsi="Times New Roman"/>
                <w:sz w:val="20"/>
                <w:szCs w:val="20"/>
                <w:color w:val="auto"/>
              </w:rPr>
              <w:t>249</w:t>
            </w:r>
          </w:p>
        </w:tc>
        <w:tc>
          <w:tcPr>
            <w:tcW w:w="0" w:type="dxa"/>
            <w:vAlign w:val="bottom"/>
          </w:tcPr>
          <w:p>
            <w:pPr>
              <w:spacing w:after="0"/>
              <w:rPr>
                <w:sz w:val="1"/>
                <w:szCs w:val="1"/>
                <w:color w:val="auto"/>
              </w:rPr>
            </w:pPr>
          </w:p>
        </w:tc>
      </w:tr>
      <w:tr>
        <w:trPr>
          <w:trHeight w:val="281"/>
        </w:trPr>
        <w:tc>
          <w:tcPr>
            <w:tcW w:w="8280" w:type="dxa"/>
            <w:vAlign w:val="bottom"/>
          </w:tcPr>
          <w:p>
            <w:pPr>
              <w:ind w:left="40"/>
              <w:spacing w:after="0"/>
              <w:rPr>
                <w:sz w:val="20"/>
                <w:szCs w:val="20"/>
                <w:color w:val="auto"/>
              </w:rPr>
            </w:pPr>
            <w:r>
              <w:rPr>
                <w:rFonts w:ascii="Times New Roman" w:cs="Times New Roman" w:eastAsia="Times New Roman" w:hAnsi="Times New Roman"/>
                <w:sz w:val="20"/>
                <w:szCs w:val="20"/>
                <w:color w:val="auto"/>
              </w:rPr>
              <w:t>Trade name</w:t>
            </w:r>
          </w:p>
        </w:tc>
        <w:tc>
          <w:tcPr>
            <w:tcW w:w="6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59</w:t>
            </w:r>
          </w:p>
        </w:tc>
        <w:tc>
          <w:tcPr>
            <w:tcW w:w="0" w:type="dxa"/>
            <w:vAlign w:val="bottom"/>
          </w:tcPr>
          <w:p>
            <w:pPr>
              <w:spacing w:after="0"/>
              <w:rPr>
                <w:sz w:val="1"/>
                <w:szCs w:val="1"/>
                <w:color w:val="auto"/>
              </w:rPr>
            </w:pPr>
          </w:p>
        </w:tc>
      </w:tr>
      <w:tr>
        <w:trPr>
          <w:trHeight w:val="288"/>
        </w:trPr>
        <w:tc>
          <w:tcPr>
            <w:tcW w:w="8280" w:type="dxa"/>
            <w:vAlign w:val="bottom"/>
            <w:shd w:val="clear" w:color="auto" w:fill="DDDDDD"/>
          </w:tcPr>
          <w:p>
            <w:pPr>
              <w:ind w:left="40"/>
              <w:spacing w:after="0"/>
              <w:rPr>
                <w:sz w:val="20"/>
                <w:szCs w:val="20"/>
                <w:color w:val="auto"/>
              </w:rPr>
            </w:pPr>
            <w:r>
              <w:rPr>
                <w:rFonts w:ascii="Times New Roman" w:cs="Times New Roman" w:eastAsia="Times New Roman" w:hAnsi="Times New Roman"/>
                <w:sz w:val="20"/>
                <w:szCs w:val="20"/>
                <w:color w:val="auto"/>
              </w:rPr>
              <w:t>Customer relationships</w:t>
            </w:r>
          </w:p>
        </w:tc>
        <w:tc>
          <w:tcPr>
            <w:tcW w:w="60" w:type="dxa"/>
            <w:vAlign w:val="bottom"/>
            <w:shd w:val="clear" w:color="auto" w:fill="DDDDDD"/>
          </w:tcPr>
          <w:p>
            <w:pPr>
              <w:spacing w:after="0"/>
              <w:rPr>
                <w:sz w:val="24"/>
                <w:szCs w:val="24"/>
                <w:color w:val="auto"/>
              </w:rPr>
            </w:pPr>
          </w:p>
        </w:tc>
        <w:tc>
          <w:tcPr>
            <w:tcW w:w="720" w:type="dxa"/>
            <w:vAlign w:val="bottom"/>
            <w:shd w:val="clear" w:color="auto" w:fill="DDDDDD"/>
          </w:tcPr>
          <w:p>
            <w:pPr>
              <w:spacing w:after="0"/>
              <w:rPr>
                <w:sz w:val="24"/>
                <w:szCs w:val="24"/>
                <w:color w:val="auto"/>
              </w:rPr>
            </w:pPr>
          </w:p>
        </w:tc>
        <w:tc>
          <w:tcPr>
            <w:tcW w:w="1200" w:type="dxa"/>
            <w:vAlign w:val="bottom"/>
            <w:shd w:val="clear" w:color="auto" w:fill="DDDDDD"/>
          </w:tcPr>
          <w:p>
            <w:pPr>
              <w:jc w:val="right"/>
              <w:spacing w:after="0"/>
              <w:rPr>
                <w:sz w:val="20"/>
                <w:szCs w:val="20"/>
                <w:color w:val="auto"/>
              </w:rPr>
            </w:pPr>
            <w:r>
              <w:rPr>
                <w:rFonts w:ascii="Times New Roman" w:cs="Times New Roman" w:eastAsia="Times New Roman" w:hAnsi="Times New Roman"/>
                <w:sz w:val="20"/>
                <w:szCs w:val="20"/>
                <w:color w:val="auto"/>
              </w:rPr>
              <w:t>170</w:t>
            </w:r>
          </w:p>
        </w:tc>
        <w:tc>
          <w:tcPr>
            <w:tcW w:w="0" w:type="dxa"/>
            <w:vAlign w:val="bottom"/>
          </w:tcPr>
          <w:p>
            <w:pPr>
              <w:spacing w:after="0"/>
              <w:rPr>
                <w:sz w:val="1"/>
                <w:szCs w:val="1"/>
                <w:color w:val="auto"/>
              </w:rPr>
            </w:pPr>
          </w:p>
        </w:tc>
      </w:tr>
      <w:tr>
        <w:trPr>
          <w:trHeight w:val="281"/>
        </w:trPr>
        <w:tc>
          <w:tcPr>
            <w:tcW w:w="8280" w:type="dxa"/>
            <w:vAlign w:val="bottom"/>
            <w:tcBorders>
              <w:bottom w:val="single" w:sz="8" w:color="DDDDDD"/>
            </w:tcBorders>
          </w:tcPr>
          <w:p>
            <w:pPr>
              <w:ind w:left="40"/>
              <w:spacing w:after="0"/>
              <w:rPr>
                <w:sz w:val="20"/>
                <w:szCs w:val="20"/>
                <w:color w:val="auto"/>
              </w:rPr>
            </w:pPr>
            <w:r>
              <w:rPr>
                <w:rFonts w:ascii="Times New Roman" w:cs="Times New Roman" w:eastAsia="Times New Roman" w:hAnsi="Times New Roman"/>
                <w:sz w:val="20"/>
                <w:szCs w:val="20"/>
                <w:color w:val="auto"/>
              </w:rPr>
              <w:t>Goodwill</w:t>
            </w:r>
          </w:p>
        </w:tc>
        <w:tc>
          <w:tcPr>
            <w:tcW w:w="60" w:type="dxa"/>
            <w:vAlign w:val="bottom"/>
            <w:tcBorders>
              <w:bottom w:val="single" w:sz="8" w:color="DDDDDD"/>
            </w:tcBorders>
          </w:tcPr>
          <w:p>
            <w:pPr>
              <w:spacing w:after="0"/>
              <w:rPr>
                <w:sz w:val="24"/>
                <w:szCs w:val="24"/>
                <w:color w:val="auto"/>
              </w:rPr>
            </w:pPr>
          </w:p>
        </w:tc>
        <w:tc>
          <w:tcPr>
            <w:tcW w:w="720" w:type="dxa"/>
            <w:vAlign w:val="bottom"/>
            <w:tcBorders>
              <w:bottom w:val="single" w:sz="8" w:color="auto"/>
            </w:tcBorders>
          </w:tcPr>
          <w:p>
            <w:pPr>
              <w:spacing w:after="0"/>
              <w:rPr>
                <w:sz w:val="24"/>
                <w:szCs w:val="24"/>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14,648</w:t>
            </w:r>
          </w:p>
        </w:tc>
        <w:tc>
          <w:tcPr>
            <w:tcW w:w="0" w:type="dxa"/>
            <w:vAlign w:val="bottom"/>
          </w:tcPr>
          <w:p>
            <w:pPr>
              <w:spacing w:after="0"/>
              <w:rPr>
                <w:sz w:val="1"/>
                <w:szCs w:val="1"/>
                <w:color w:val="auto"/>
              </w:rPr>
            </w:pPr>
          </w:p>
        </w:tc>
      </w:tr>
      <w:tr>
        <w:trPr>
          <w:trHeight w:val="268"/>
        </w:trPr>
        <w:tc>
          <w:tcPr>
            <w:tcW w:w="8280" w:type="dxa"/>
            <w:vAlign w:val="bottom"/>
            <w:shd w:val="clear" w:color="auto" w:fill="DDDDDD"/>
          </w:tcPr>
          <w:p>
            <w:pPr>
              <w:ind w:left="40"/>
              <w:spacing w:after="0"/>
              <w:rPr>
                <w:sz w:val="20"/>
                <w:szCs w:val="20"/>
                <w:color w:val="auto"/>
              </w:rPr>
            </w:pPr>
            <w:r>
              <w:rPr>
                <w:rFonts w:ascii="Times New Roman" w:cs="Times New Roman" w:eastAsia="Times New Roman" w:hAnsi="Times New Roman"/>
                <w:sz w:val="20"/>
                <w:szCs w:val="20"/>
                <w:color w:val="auto"/>
              </w:rPr>
              <w:t>Total asset acquired</w:t>
            </w:r>
          </w:p>
        </w:tc>
        <w:tc>
          <w:tcPr>
            <w:tcW w:w="60" w:type="dxa"/>
            <w:vAlign w:val="bottom"/>
            <w:shd w:val="clear" w:color="auto" w:fill="DDDDDD"/>
          </w:tcPr>
          <w:p>
            <w:pPr>
              <w:spacing w:after="0"/>
              <w:rPr>
                <w:sz w:val="23"/>
                <w:szCs w:val="23"/>
                <w:color w:val="auto"/>
              </w:rPr>
            </w:pPr>
          </w:p>
        </w:tc>
        <w:tc>
          <w:tcPr>
            <w:tcW w:w="720" w:type="dxa"/>
            <w:vAlign w:val="bottom"/>
            <w:shd w:val="clear" w:color="auto" w:fill="DDDDDD"/>
          </w:tcPr>
          <w:p>
            <w:pPr>
              <w:jc w:val="right"/>
              <w:ind w:right="459"/>
              <w:spacing w:after="0"/>
              <w:rPr>
                <w:sz w:val="20"/>
                <w:szCs w:val="20"/>
                <w:color w:val="auto"/>
              </w:rPr>
            </w:pPr>
            <w:r>
              <w:rPr>
                <w:rFonts w:ascii="Times New Roman" w:cs="Times New Roman" w:eastAsia="Times New Roman" w:hAnsi="Times New Roman"/>
                <w:sz w:val="20"/>
                <w:szCs w:val="20"/>
                <w:color w:val="auto"/>
              </w:rPr>
              <w:t>$</w:t>
            </w:r>
          </w:p>
        </w:tc>
        <w:tc>
          <w:tcPr>
            <w:tcW w:w="1200" w:type="dxa"/>
            <w:vAlign w:val="bottom"/>
            <w:shd w:val="clear" w:color="auto" w:fill="DDDDDD"/>
          </w:tcPr>
          <w:p>
            <w:pPr>
              <w:jc w:val="right"/>
              <w:spacing w:after="0"/>
              <w:rPr>
                <w:sz w:val="20"/>
                <w:szCs w:val="20"/>
                <w:color w:val="auto"/>
              </w:rPr>
            </w:pPr>
            <w:r>
              <w:rPr>
                <w:rFonts w:ascii="Times New Roman" w:cs="Times New Roman" w:eastAsia="Times New Roman" w:hAnsi="Times New Roman"/>
                <w:sz w:val="20"/>
                <w:szCs w:val="20"/>
                <w:color w:val="auto"/>
              </w:rPr>
              <w:t>15,126</w:t>
            </w:r>
          </w:p>
        </w:tc>
        <w:tc>
          <w:tcPr>
            <w:tcW w:w="0" w:type="dxa"/>
            <w:vAlign w:val="bottom"/>
          </w:tcPr>
          <w:p>
            <w:pPr>
              <w:spacing w:after="0"/>
              <w:rPr>
                <w:sz w:val="1"/>
                <w:szCs w:val="1"/>
                <w:color w:val="auto"/>
              </w:rPr>
            </w:pPr>
          </w:p>
        </w:tc>
      </w:tr>
      <w:tr>
        <w:trPr>
          <w:trHeight w:val="20"/>
        </w:trPr>
        <w:tc>
          <w:tcPr>
            <w:tcW w:w="82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
        </w:trPr>
        <w:tc>
          <w:tcPr>
            <w:tcW w:w="82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00" w:lineRule="exact"/>
        <w:rPr>
          <w:sz w:val="20"/>
          <w:szCs w:val="20"/>
          <w:color w:val="auto"/>
        </w:rPr>
      </w:pPr>
    </w:p>
    <w:p>
      <w:pPr>
        <w:ind w:left="6"/>
        <w:spacing w:after="0"/>
        <w:rPr>
          <w:sz w:val="20"/>
          <w:szCs w:val="20"/>
          <w:color w:val="auto"/>
        </w:rPr>
      </w:pPr>
      <w:r>
        <w:rPr>
          <w:rFonts w:ascii="Times New Roman" w:cs="Times New Roman" w:eastAsia="Times New Roman" w:hAnsi="Times New Roman"/>
          <w:sz w:val="20"/>
          <w:szCs w:val="20"/>
          <w:color w:val="auto"/>
        </w:rPr>
        <w:t>____________________________________</w:t>
      </w:r>
    </w:p>
    <w:p>
      <w:pPr>
        <w:spacing w:after="0" w:line="44" w:lineRule="exact"/>
        <w:rPr>
          <w:sz w:val="20"/>
          <w:szCs w:val="20"/>
          <w:color w:val="auto"/>
        </w:rPr>
      </w:pPr>
    </w:p>
    <w:p>
      <w:pPr>
        <w:ind w:left="366" w:hanging="366"/>
        <w:spacing w:after="0"/>
        <w:tabs>
          <w:tab w:leader="none" w:pos="366" w:val="left"/>
        </w:tabs>
        <w:numPr>
          <w:ilvl w:val="0"/>
          <w:numId w:val="9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Includes holdback of $1.0 million, which was paid during the second quarter of 2022.</w:t>
      </w:r>
    </w:p>
    <w:p>
      <w:pPr>
        <w:spacing w:after="0" w:line="39" w:lineRule="exact"/>
        <w:rPr>
          <w:rFonts w:ascii="Times New Roman" w:cs="Times New Roman" w:eastAsia="Times New Roman" w:hAnsi="Times New Roman"/>
          <w:sz w:val="20"/>
          <w:szCs w:val="20"/>
          <w:color w:val="auto"/>
        </w:rPr>
      </w:pPr>
    </w:p>
    <w:p>
      <w:pPr>
        <w:ind w:left="366" w:right="20" w:hanging="366"/>
        <w:spacing w:after="0" w:line="301" w:lineRule="auto"/>
        <w:tabs>
          <w:tab w:leader="none" w:pos="366" w:val="left"/>
        </w:tabs>
        <w:numPr>
          <w:ilvl w:val="0"/>
          <w:numId w:val="9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fair value of share consideration issued in connection with the TLH acquisition was calculated based on 694,540 shares of Class A common stock issued multiplied by the share price on the closing date of $14.58.</w:t>
      </w:r>
    </w:p>
    <w:p>
      <w:pPr>
        <w:spacing w:after="0" w:line="46" w:lineRule="exact"/>
        <w:rPr>
          <w:sz w:val="20"/>
          <w:szCs w:val="20"/>
          <w:color w:val="auto"/>
        </w:rPr>
      </w:pPr>
    </w:p>
    <w:p>
      <w:pPr>
        <w:ind w:left="6" w:right="20"/>
        <w:spacing w:after="0" w:line="319" w:lineRule="auto"/>
        <w:rPr>
          <w:sz w:val="20"/>
          <w:szCs w:val="20"/>
          <w:color w:val="auto"/>
        </w:rPr>
      </w:pPr>
      <w:r>
        <w:rPr>
          <w:rFonts w:ascii="Times New Roman" w:cs="Times New Roman" w:eastAsia="Times New Roman" w:hAnsi="Times New Roman"/>
          <w:sz w:val="20"/>
          <w:szCs w:val="20"/>
          <w:color w:val="auto"/>
        </w:rPr>
        <w:t>Goodwill is primarily attributable to the expected synergies from combining operations. Goodwill recognized was allocated to the Company’s one operating segment and is generally deductible for tax purposes.</w:t>
      </w:r>
    </w:p>
    <w:p>
      <w:pPr>
        <w:spacing w:after="0" w:line="1" w:lineRule="exact"/>
        <w:rPr>
          <w:sz w:val="20"/>
          <w:szCs w:val="20"/>
          <w:color w:val="auto"/>
        </w:rPr>
      </w:pPr>
    </w:p>
    <w:p>
      <w:pPr>
        <w:jc w:val="center"/>
        <w:ind w:right="-5"/>
        <w:spacing w:after="0"/>
        <w:rPr>
          <w:sz w:val="20"/>
          <w:szCs w:val="20"/>
          <w:color w:val="auto"/>
        </w:rPr>
      </w:pPr>
      <w:r>
        <w:rPr>
          <w:rFonts w:ascii="Times New Roman" w:cs="Times New Roman" w:eastAsia="Times New Roman" w:hAnsi="Times New Roman"/>
          <w:sz w:val="20"/>
          <w:szCs w:val="20"/>
          <w:color w:val="auto"/>
        </w:rPr>
        <w:t>F-25</w:t>
      </w:r>
    </w:p>
    <w:p>
      <w:pPr>
        <w:sectPr>
          <w:pgSz w:w="12240" w:h="15840" w:orient="portrait"/>
          <w:cols w:equalWidth="0" w:num="1">
            <w:col w:w="10266"/>
          </w:cols>
          <w:pgMar w:left="994" w:top="731" w:right="980" w:bottom="222" w:gutter="0" w:footer="0" w:header="0"/>
        </w:sectPr>
      </w:pPr>
    </w:p>
    <w:bookmarkStart w:id="145" w:name="page146"/>
    <w:bookmarkEnd w:id="145"/>
    <w:p>
      <w:pPr>
        <w:jc w:val="center"/>
        <w:ind w:right="14"/>
        <w:spacing w:after="0"/>
        <w:rPr>
          <w:sz w:val="20"/>
          <w:szCs w:val="20"/>
          <w:color w:val="auto"/>
        </w:rPr>
      </w:pPr>
      <w:r>
        <w:rPr>
          <w:rFonts w:ascii="Times New Roman" w:cs="Times New Roman" w:eastAsia="Times New Roman" w:hAnsi="Times New Roman"/>
          <w:sz w:val="20"/>
          <w:szCs w:val="20"/>
          <w:b w:val="1"/>
          <w:bCs w:val="1"/>
          <w:color w:val="auto"/>
        </w:rPr>
        <w:t>WM TECHNOLOGY, INC. AND SUBSIDIARIES</w:t>
      </w:r>
    </w:p>
    <w:p>
      <w:pPr>
        <w:spacing w:after="0" w:line="48" w:lineRule="exact"/>
        <w:rPr>
          <w:sz w:val="20"/>
          <w:szCs w:val="20"/>
          <w:color w:val="auto"/>
        </w:rPr>
      </w:pPr>
    </w:p>
    <w:p>
      <w:pPr>
        <w:jc w:val="center"/>
        <w:ind w:right="-5"/>
        <w:spacing w:after="0"/>
        <w:rPr>
          <w:sz w:val="20"/>
          <w:szCs w:val="20"/>
          <w:color w:val="auto"/>
        </w:rPr>
      </w:pPr>
      <w:r>
        <w:rPr>
          <w:rFonts w:ascii="Times New Roman" w:cs="Times New Roman" w:eastAsia="Times New Roman" w:hAnsi="Times New Roman"/>
          <w:sz w:val="20"/>
          <w:szCs w:val="20"/>
          <w:b w:val="1"/>
          <w:bCs w:val="1"/>
          <w:color w:val="auto"/>
        </w:rPr>
        <w:t>NOTES TO CONSOLIDATED FINANCIAL STATEMENTS</w:t>
      </w:r>
    </w:p>
    <w:p>
      <w:pPr>
        <w:spacing w:after="0" w:line="286" w:lineRule="exact"/>
        <w:rPr>
          <w:sz w:val="20"/>
          <w:szCs w:val="20"/>
          <w:color w:val="auto"/>
        </w:rPr>
      </w:pPr>
    </w:p>
    <w:p>
      <w:pPr>
        <w:jc w:val="both"/>
        <w:ind w:left="6"/>
        <w:spacing w:after="0" w:line="301" w:lineRule="auto"/>
        <w:rPr>
          <w:sz w:val="20"/>
          <w:szCs w:val="20"/>
          <w:color w:val="auto"/>
        </w:rPr>
      </w:pPr>
      <w:r>
        <w:rPr>
          <w:rFonts w:ascii="Times New Roman" w:cs="Times New Roman" w:eastAsia="Times New Roman" w:hAnsi="Times New Roman"/>
          <w:sz w:val="20"/>
          <w:szCs w:val="20"/>
          <w:color w:val="auto"/>
        </w:rPr>
        <w:t>The fair values of the trade name intangible assets were determined using an “income approach”, specifically, the relief-from royalty approach, as described above. The fair value of the software technology intangible asset was also determined using an “income approach”, specifically a multi-period excess earnings approach, as described above. The fair value of the customer relationships was determined using an “income approach”, as described above.</w:t>
      </w:r>
    </w:p>
    <w:p>
      <w:pPr>
        <w:spacing w:after="0" w:line="72" w:lineRule="exact"/>
        <w:rPr>
          <w:sz w:val="20"/>
          <w:szCs w:val="20"/>
          <w:color w:val="auto"/>
        </w:rPr>
      </w:pPr>
    </w:p>
    <w:p>
      <w:pPr>
        <w:ind w:left="6"/>
        <w:spacing w:after="0"/>
        <w:rPr>
          <w:sz w:val="20"/>
          <w:szCs w:val="20"/>
          <w:color w:val="auto"/>
        </w:rPr>
      </w:pPr>
      <w:r>
        <w:rPr>
          <w:rFonts w:ascii="Times New Roman" w:cs="Times New Roman" w:eastAsia="Times New Roman" w:hAnsi="Times New Roman"/>
          <w:sz w:val="20"/>
          <w:szCs w:val="20"/>
          <w:b w:val="1"/>
          <w:bCs w:val="1"/>
          <w:i w:val="1"/>
          <w:iCs w:val="1"/>
          <w:color w:val="auto"/>
        </w:rPr>
        <w:t>Sprout</w:t>
      </w:r>
    </w:p>
    <w:p>
      <w:pPr>
        <w:spacing w:after="0" w:line="164" w:lineRule="exact"/>
        <w:rPr>
          <w:sz w:val="20"/>
          <w:szCs w:val="20"/>
          <w:color w:val="auto"/>
        </w:rPr>
      </w:pPr>
    </w:p>
    <w:p>
      <w:pPr>
        <w:jc w:val="both"/>
        <w:ind w:left="6"/>
        <w:spacing w:after="0" w:line="309" w:lineRule="auto"/>
        <w:rPr>
          <w:sz w:val="20"/>
          <w:szCs w:val="20"/>
          <w:color w:val="auto"/>
        </w:rPr>
      </w:pPr>
      <w:r>
        <w:rPr>
          <w:rFonts w:ascii="Times New Roman" w:cs="Times New Roman" w:eastAsia="Times New Roman" w:hAnsi="Times New Roman"/>
          <w:sz w:val="20"/>
          <w:szCs w:val="20"/>
          <w:color w:val="auto"/>
        </w:rPr>
        <w:t>On September 3, 2021, the Company acquired certain assets of the Sprout business (“Sprout"), a leading, cloud-based customer relationship management (“CRM”) and marketing platform for the cannabis industry, for total consideration of approximately $31.2 million. The Company accounted for the Sprout acquisition as an acquisition of a business under ASC 805.</w:t>
      </w:r>
    </w:p>
    <w:p>
      <w:pPr>
        <w:spacing w:after="0" w:line="62" w:lineRule="exact"/>
        <w:rPr>
          <w:sz w:val="20"/>
          <w:szCs w:val="20"/>
          <w:color w:val="auto"/>
        </w:rPr>
      </w:pPr>
    </w:p>
    <w:p>
      <w:pPr>
        <w:ind w:left="6"/>
        <w:spacing w:after="0"/>
        <w:rPr>
          <w:sz w:val="20"/>
          <w:szCs w:val="20"/>
          <w:color w:val="auto"/>
        </w:rPr>
      </w:pPr>
      <w:r>
        <w:rPr>
          <w:rFonts w:ascii="Times New Roman" w:cs="Times New Roman" w:eastAsia="Times New Roman" w:hAnsi="Times New Roman"/>
          <w:sz w:val="20"/>
          <w:szCs w:val="20"/>
          <w:color w:val="auto"/>
        </w:rPr>
        <w:t>The following table summarizes the components of consideration and the fair value of assets acquired (in thousands):</w:t>
      </w:r>
    </w:p>
    <w:p>
      <w:pPr>
        <w:spacing w:after="0" w:line="215" w:lineRule="exact"/>
        <w:rPr>
          <w:sz w:val="20"/>
          <w:szCs w:val="20"/>
          <w:color w:val="auto"/>
        </w:rPr>
      </w:pPr>
    </w:p>
    <w:tbl>
      <w:tblPr>
        <w:tblLayout w:type="fixed"/>
        <w:tblInd w:w="6" w:type="dxa"/>
        <w:tblCellMar>
          <w:top w:w="0" w:type="dxa"/>
          <w:left w:w="0" w:type="dxa"/>
          <w:bottom w:w="0" w:type="dxa"/>
          <w:right w:w="0" w:type="dxa"/>
        </w:tblCellMar>
      </w:tblPr>
      <w:tr>
        <w:trPr>
          <w:trHeight w:val="255"/>
        </w:trPr>
        <w:tc>
          <w:tcPr>
            <w:tcW w:w="8280" w:type="dxa"/>
            <w:vAlign w:val="bottom"/>
          </w:tcPr>
          <w:p>
            <w:pPr>
              <w:ind w:left="40"/>
              <w:spacing w:after="0"/>
              <w:rPr>
                <w:sz w:val="20"/>
                <w:szCs w:val="20"/>
                <w:color w:val="auto"/>
              </w:rPr>
            </w:pPr>
            <w:r>
              <w:rPr>
                <w:rFonts w:ascii="Times New Roman" w:cs="Times New Roman" w:eastAsia="Times New Roman" w:hAnsi="Times New Roman"/>
                <w:sz w:val="20"/>
                <w:szCs w:val="20"/>
                <w:b w:val="1"/>
                <w:bCs w:val="1"/>
                <w:color w:val="auto"/>
              </w:rPr>
              <w:t>Consideration Transferred:</w:t>
            </w:r>
          </w:p>
        </w:tc>
        <w:tc>
          <w:tcPr>
            <w:tcW w:w="6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700" w:type="dxa"/>
            <w:vAlign w:val="bottom"/>
          </w:tcPr>
          <w:p>
            <w:pPr>
              <w:spacing w:after="0"/>
              <w:rPr>
                <w:sz w:val="22"/>
                <w:szCs w:val="22"/>
                <w:color w:val="auto"/>
              </w:rPr>
            </w:pPr>
          </w:p>
        </w:tc>
        <w:tc>
          <w:tcPr>
            <w:tcW w:w="12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88"/>
        </w:trPr>
        <w:tc>
          <w:tcPr>
            <w:tcW w:w="8280" w:type="dxa"/>
            <w:vAlign w:val="bottom"/>
            <w:shd w:val="clear" w:color="auto" w:fill="DDDDDD"/>
          </w:tcPr>
          <w:p>
            <w:pPr>
              <w:ind w:left="40"/>
              <w:spacing w:after="0"/>
              <w:rPr>
                <w:sz w:val="20"/>
                <w:szCs w:val="20"/>
                <w:color w:val="auto"/>
              </w:rPr>
            </w:pPr>
            <w:r>
              <w:rPr>
                <w:rFonts w:ascii="Times New Roman" w:cs="Times New Roman" w:eastAsia="Times New Roman" w:hAnsi="Times New Roman"/>
                <w:sz w:val="20"/>
                <w:szCs w:val="20"/>
                <w:color w:val="auto"/>
              </w:rPr>
              <w:t>Cash consideration</w:t>
            </w:r>
          </w:p>
        </w:tc>
        <w:tc>
          <w:tcPr>
            <w:tcW w:w="60" w:type="dxa"/>
            <w:vAlign w:val="bottom"/>
            <w:shd w:val="clear" w:color="auto" w:fill="DDDDDD"/>
          </w:tcPr>
          <w:p>
            <w:pPr>
              <w:spacing w:after="0"/>
              <w:rPr>
                <w:sz w:val="24"/>
                <w:szCs w:val="24"/>
                <w:color w:val="auto"/>
              </w:rPr>
            </w:pPr>
          </w:p>
        </w:tc>
        <w:tc>
          <w:tcPr>
            <w:tcW w:w="20" w:type="dxa"/>
            <w:vAlign w:val="bottom"/>
            <w:shd w:val="clear" w:color="auto" w:fill="DDDDDD"/>
          </w:tcPr>
          <w:p>
            <w:pPr>
              <w:spacing w:after="0"/>
              <w:rPr>
                <w:sz w:val="24"/>
                <w:szCs w:val="24"/>
                <w:color w:val="auto"/>
              </w:rPr>
            </w:pPr>
          </w:p>
        </w:tc>
        <w:tc>
          <w:tcPr>
            <w:tcW w:w="700" w:type="dxa"/>
            <w:vAlign w:val="bottom"/>
            <w:shd w:val="clear" w:color="auto" w:fill="DDDDDD"/>
          </w:tcPr>
          <w:p>
            <w:pPr>
              <w:jc w:val="right"/>
              <w:ind w:right="459"/>
              <w:spacing w:after="0"/>
              <w:rPr>
                <w:sz w:val="20"/>
                <w:szCs w:val="20"/>
                <w:color w:val="auto"/>
              </w:rPr>
            </w:pPr>
            <w:r>
              <w:rPr>
                <w:rFonts w:ascii="Times New Roman" w:cs="Times New Roman" w:eastAsia="Times New Roman" w:hAnsi="Times New Roman"/>
                <w:sz w:val="20"/>
                <w:szCs w:val="20"/>
                <w:color w:val="auto"/>
              </w:rPr>
              <w:t>$</w:t>
            </w:r>
          </w:p>
        </w:tc>
        <w:tc>
          <w:tcPr>
            <w:tcW w:w="1200" w:type="dxa"/>
            <w:vAlign w:val="bottom"/>
            <w:shd w:val="clear" w:color="auto" w:fill="DDDDDD"/>
          </w:tcPr>
          <w:p>
            <w:pPr>
              <w:jc w:val="right"/>
              <w:spacing w:after="0"/>
              <w:rPr>
                <w:sz w:val="20"/>
                <w:szCs w:val="20"/>
                <w:color w:val="auto"/>
              </w:rPr>
            </w:pPr>
            <w:r>
              <w:rPr>
                <w:rFonts w:ascii="Times New Roman" w:cs="Times New Roman" w:eastAsia="Times New Roman" w:hAnsi="Times New Roman"/>
                <w:sz w:val="20"/>
                <w:szCs w:val="20"/>
                <w:color w:val="auto"/>
              </w:rPr>
              <w:t>12,000</w:t>
            </w:r>
          </w:p>
        </w:tc>
        <w:tc>
          <w:tcPr>
            <w:tcW w:w="0" w:type="dxa"/>
            <w:vAlign w:val="bottom"/>
          </w:tcPr>
          <w:p>
            <w:pPr>
              <w:spacing w:after="0"/>
              <w:rPr>
                <w:sz w:val="1"/>
                <w:szCs w:val="1"/>
                <w:color w:val="auto"/>
              </w:rPr>
            </w:pPr>
          </w:p>
        </w:tc>
      </w:tr>
      <w:tr>
        <w:trPr>
          <w:trHeight w:val="281"/>
        </w:trPr>
        <w:tc>
          <w:tcPr>
            <w:tcW w:w="8280" w:type="dxa"/>
            <w:vAlign w:val="bottom"/>
            <w:tcBorders>
              <w:bottom w:val="single" w:sz="8" w:color="DDDDDD"/>
            </w:tcBorders>
          </w:tcPr>
          <w:p>
            <w:pPr>
              <w:ind w:left="40"/>
              <w:spacing w:after="0" w:line="281" w:lineRule="exact"/>
              <w:rPr>
                <w:sz w:val="20"/>
                <w:szCs w:val="20"/>
                <w:color w:val="auto"/>
              </w:rPr>
            </w:pPr>
            <w:r>
              <w:rPr>
                <w:rFonts w:ascii="Times New Roman" w:cs="Times New Roman" w:eastAsia="Times New Roman" w:hAnsi="Times New Roman"/>
                <w:sz w:val="20"/>
                <w:szCs w:val="20"/>
                <w:color w:val="auto"/>
              </w:rPr>
              <w:t>Share consideration</w:t>
            </w:r>
            <w:r>
              <w:rPr>
                <w:rFonts w:ascii="Times New Roman" w:cs="Times New Roman" w:eastAsia="Times New Roman" w:hAnsi="Times New Roman"/>
                <w:sz w:val="25"/>
                <w:szCs w:val="25"/>
                <w:color w:val="auto"/>
                <w:vertAlign w:val="superscript"/>
              </w:rPr>
              <w:t>(1)</w:t>
            </w:r>
          </w:p>
        </w:tc>
        <w:tc>
          <w:tcPr>
            <w:tcW w:w="60" w:type="dxa"/>
            <w:vAlign w:val="bottom"/>
            <w:tcBorders>
              <w:bottom w:val="single" w:sz="8" w:color="DDDDDD"/>
            </w:tcBorders>
          </w:tcPr>
          <w:p>
            <w:pPr>
              <w:spacing w:after="0"/>
              <w:rPr>
                <w:sz w:val="24"/>
                <w:szCs w:val="24"/>
                <w:color w:val="auto"/>
              </w:rPr>
            </w:pPr>
          </w:p>
        </w:tc>
        <w:tc>
          <w:tcPr>
            <w:tcW w:w="20" w:type="dxa"/>
            <w:vAlign w:val="bottom"/>
            <w:tcBorders>
              <w:bottom w:val="single" w:sz="8" w:color="DDDDDD"/>
            </w:tcBorders>
          </w:tcPr>
          <w:p>
            <w:pPr>
              <w:spacing w:after="0"/>
              <w:rPr>
                <w:sz w:val="24"/>
                <w:szCs w:val="24"/>
                <w:color w:val="auto"/>
              </w:rPr>
            </w:pPr>
          </w:p>
        </w:tc>
        <w:tc>
          <w:tcPr>
            <w:tcW w:w="700" w:type="dxa"/>
            <w:vAlign w:val="bottom"/>
            <w:tcBorders>
              <w:bottom w:val="single" w:sz="8" w:color="auto"/>
            </w:tcBorders>
          </w:tcPr>
          <w:p>
            <w:pPr>
              <w:spacing w:after="0"/>
              <w:rPr>
                <w:sz w:val="24"/>
                <w:szCs w:val="24"/>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19,186</w:t>
            </w:r>
          </w:p>
        </w:tc>
        <w:tc>
          <w:tcPr>
            <w:tcW w:w="0" w:type="dxa"/>
            <w:vAlign w:val="bottom"/>
          </w:tcPr>
          <w:p>
            <w:pPr>
              <w:spacing w:after="0"/>
              <w:rPr>
                <w:sz w:val="1"/>
                <w:szCs w:val="1"/>
                <w:color w:val="auto"/>
              </w:rPr>
            </w:pPr>
          </w:p>
        </w:tc>
      </w:tr>
      <w:tr>
        <w:trPr>
          <w:trHeight w:val="268"/>
        </w:trPr>
        <w:tc>
          <w:tcPr>
            <w:tcW w:w="8280" w:type="dxa"/>
            <w:vAlign w:val="bottom"/>
            <w:shd w:val="clear" w:color="auto" w:fill="DDDDDD"/>
          </w:tcPr>
          <w:p>
            <w:pPr>
              <w:ind w:left="140"/>
              <w:spacing w:after="0"/>
              <w:rPr>
                <w:sz w:val="20"/>
                <w:szCs w:val="20"/>
                <w:color w:val="auto"/>
              </w:rPr>
            </w:pPr>
            <w:r>
              <w:rPr>
                <w:rFonts w:ascii="Times New Roman" w:cs="Times New Roman" w:eastAsia="Times New Roman" w:hAnsi="Times New Roman"/>
                <w:sz w:val="20"/>
                <w:szCs w:val="20"/>
                <w:color w:val="auto"/>
              </w:rPr>
              <w:t>Total consideration</w:t>
            </w:r>
          </w:p>
        </w:tc>
        <w:tc>
          <w:tcPr>
            <w:tcW w:w="60" w:type="dxa"/>
            <w:vAlign w:val="bottom"/>
            <w:shd w:val="clear" w:color="auto" w:fill="DDDDDD"/>
          </w:tcPr>
          <w:p>
            <w:pPr>
              <w:spacing w:after="0"/>
              <w:rPr>
                <w:sz w:val="23"/>
                <w:szCs w:val="23"/>
                <w:color w:val="auto"/>
              </w:rPr>
            </w:pPr>
          </w:p>
        </w:tc>
        <w:tc>
          <w:tcPr>
            <w:tcW w:w="20" w:type="dxa"/>
            <w:vAlign w:val="bottom"/>
            <w:shd w:val="clear" w:color="auto" w:fill="DDDDDD"/>
          </w:tcPr>
          <w:p>
            <w:pPr>
              <w:spacing w:after="0"/>
              <w:rPr>
                <w:sz w:val="23"/>
                <w:szCs w:val="23"/>
                <w:color w:val="auto"/>
              </w:rPr>
            </w:pPr>
          </w:p>
        </w:tc>
        <w:tc>
          <w:tcPr>
            <w:tcW w:w="700" w:type="dxa"/>
            <w:vAlign w:val="bottom"/>
            <w:shd w:val="clear" w:color="auto" w:fill="DDDDDD"/>
          </w:tcPr>
          <w:p>
            <w:pPr>
              <w:jc w:val="right"/>
              <w:ind w:right="459"/>
              <w:spacing w:after="0"/>
              <w:rPr>
                <w:sz w:val="20"/>
                <w:szCs w:val="20"/>
                <w:color w:val="auto"/>
              </w:rPr>
            </w:pPr>
            <w:r>
              <w:rPr>
                <w:rFonts w:ascii="Times New Roman" w:cs="Times New Roman" w:eastAsia="Times New Roman" w:hAnsi="Times New Roman"/>
                <w:sz w:val="20"/>
                <w:szCs w:val="20"/>
                <w:color w:val="auto"/>
              </w:rPr>
              <w:t>$</w:t>
            </w:r>
          </w:p>
        </w:tc>
        <w:tc>
          <w:tcPr>
            <w:tcW w:w="1200" w:type="dxa"/>
            <w:vAlign w:val="bottom"/>
            <w:shd w:val="clear" w:color="auto" w:fill="DDDDDD"/>
          </w:tcPr>
          <w:p>
            <w:pPr>
              <w:jc w:val="right"/>
              <w:spacing w:after="0"/>
              <w:rPr>
                <w:sz w:val="20"/>
                <w:szCs w:val="20"/>
                <w:color w:val="auto"/>
              </w:rPr>
            </w:pPr>
            <w:r>
              <w:rPr>
                <w:rFonts w:ascii="Times New Roman" w:cs="Times New Roman" w:eastAsia="Times New Roman" w:hAnsi="Times New Roman"/>
                <w:sz w:val="20"/>
                <w:szCs w:val="20"/>
                <w:color w:val="auto"/>
              </w:rPr>
              <w:t>31,186</w:t>
            </w:r>
          </w:p>
        </w:tc>
        <w:tc>
          <w:tcPr>
            <w:tcW w:w="0" w:type="dxa"/>
            <w:vAlign w:val="bottom"/>
          </w:tcPr>
          <w:p>
            <w:pPr>
              <w:spacing w:after="0"/>
              <w:rPr>
                <w:sz w:val="1"/>
                <w:szCs w:val="1"/>
                <w:color w:val="auto"/>
              </w:rPr>
            </w:pPr>
          </w:p>
        </w:tc>
      </w:tr>
      <w:tr>
        <w:trPr>
          <w:trHeight w:val="20"/>
        </w:trPr>
        <w:tc>
          <w:tcPr>
            <w:tcW w:w="8280" w:type="dxa"/>
            <w:vAlign w:val="bottom"/>
            <w:vMerge w:val="restart"/>
          </w:tcPr>
          <w:p>
            <w:pPr>
              <w:ind w:left="40"/>
              <w:spacing w:after="0"/>
              <w:rPr>
                <w:sz w:val="20"/>
                <w:szCs w:val="20"/>
                <w:color w:val="auto"/>
              </w:rPr>
            </w:pPr>
            <w:r>
              <w:rPr>
                <w:rFonts w:ascii="Times New Roman" w:cs="Times New Roman" w:eastAsia="Times New Roman" w:hAnsi="Times New Roman"/>
                <w:sz w:val="20"/>
                <w:szCs w:val="20"/>
                <w:b w:val="1"/>
                <w:bCs w:val="1"/>
                <w:color w:val="auto"/>
              </w:rPr>
              <w:t>Assets Acquired and Liabilities Assumed:</w:t>
            </w:r>
          </w:p>
        </w:tc>
        <w:tc>
          <w:tcPr>
            <w:tcW w:w="6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
        </w:trPr>
        <w:tc>
          <w:tcPr>
            <w:tcW w:w="8280" w:type="dxa"/>
            <w:vAlign w:val="bottom"/>
            <w:vMerge w:val="continue"/>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25"/>
        </w:trPr>
        <w:tc>
          <w:tcPr>
            <w:tcW w:w="8280" w:type="dxa"/>
            <w:vAlign w:val="bottom"/>
            <w:vMerge w:val="continue"/>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81"/>
        </w:trPr>
        <w:tc>
          <w:tcPr>
            <w:tcW w:w="8280" w:type="dxa"/>
            <w:vAlign w:val="bottom"/>
            <w:shd w:val="clear" w:color="auto" w:fill="DDDDDD"/>
          </w:tcPr>
          <w:p>
            <w:pPr>
              <w:ind w:left="40"/>
              <w:spacing w:after="0"/>
              <w:rPr>
                <w:sz w:val="20"/>
                <w:szCs w:val="20"/>
                <w:color w:val="auto"/>
              </w:rPr>
            </w:pPr>
            <w:r>
              <w:rPr>
                <w:rFonts w:ascii="Times New Roman" w:cs="Times New Roman" w:eastAsia="Times New Roman" w:hAnsi="Times New Roman"/>
                <w:sz w:val="20"/>
                <w:szCs w:val="20"/>
                <w:color w:val="auto"/>
              </w:rPr>
              <w:t>Asset acquired:</w:t>
            </w:r>
          </w:p>
        </w:tc>
        <w:tc>
          <w:tcPr>
            <w:tcW w:w="60" w:type="dxa"/>
            <w:vAlign w:val="bottom"/>
            <w:shd w:val="clear" w:color="auto" w:fill="DDDDDD"/>
          </w:tcPr>
          <w:p>
            <w:pPr>
              <w:spacing w:after="0"/>
              <w:rPr>
                <w:sz w:val="24"/>
                <w:szCs w:val="24"/>
                <w:color w:val="auto"/>
              </w:rPr>
            </w:pPr>
          </w:p>
        </w:tc>
        <w:tc>
          <w:tcPr>
            <w:tcW w:w="20" w:type="dxa"/>
            <w:vAlign w:val="bottom"/>
            <w:shd w:val="clear" w:color="auto" w:fill="DDDDDD"/>
          </w:tcPr>
          <w:p>
            <w:pPr>
              <w:spacing w:after="0"/>
              <w:rPr>
                <w:sz w:val="24"/>
                <w:szCs w:val="24"/>
                <w:color w:val="auto"/>
              </w:rPr>
            </w:pPr>
          </w:p>
        </w:tc>
        <w:tc>
          <w:tcPr>
            <w:tcW w:w="700" w:type="dxa"/>
            <w:vAlign w:val="bottom"/>
            <w:shd w:val="clear" w:color="auto" w:fill="DDDDDD"/>
          </w:tcPr>
          <w:p>
            <w:pPr>
              <w:spacing w:after="0"/>
              <w:rPr>
                <w:sz w:val="24"/>
                <w:szCs w:val="24"/>
                <w:color w:val="auto"/>
              </w:rPr>
            </w:pPr>
          </w:p>
        </w:tc>
        <w:tc>
          <w:tcPr>
            <w:tcW w:w="1200" w:type="dxa"/>
            <w:vAlign w:val="bottom"/>
            <w:shd w:val="clear" w:color="auto" w:fill="DDDDDD"/>
          </w:tcPr>
          <w:p>
            <w:pPr>
              <w:spacing w:after="0"/>
              <w:rPr>
                <w:sz w:val="24"/>
                <w:szCs w:val="24"/>
                <w:color w:val="auto"/>
              </w:rPr>
            </w:pPr>
          </w:p>
        </w:tc>
        <w:tc>
          <w:tcPr>
            <w:tcW w:w="0" w:type="dxa"/>
            <w:vAlign w:val="bottom"/>
          </w:tcPr>
          <w:p>
            <w:pPr>
              <w:spacing w:after="0"/>
              <w:rPr>
                <w:sz w:val="1"/>
                <w:szCs w:val="1"/>
                <w:color w:val="auto"/>
              </w:rPr>
            </w:pPr>
          </w:p>
        </w:tc>
      </w:tr>
      <w:tr>
        <w:trPr>
          <w:trHeight w:val="288"/>
        </w:trPr>
        <w:tc>
          <w:tcPr>
            <w:tcW w:w="8280" w:type="dxa"/>
            <w:vAlign w:val="bottom"/>
          </w:tcPr>
          <w:p>
            <w:pPr>
              <w:ind w:left="160"/>
              <w:spacing w:after="0"/>
              <w:rPr>
                <w:sz w:val="20"/>
                <w:szCs w:val="20"/>
                <w:color w:val="auto"/>
              </w:rPr>
            </w:pPr>
            <w:r>
              <w:rPr>
                <w:rFonts w:ascii="Times New Roman" w:cs="Times New Roman" w:eastAsia="Times New Roman" w:hAnsi="Times New Roman"/>
                <w:sz w:val="20"/>
                <w:szCs w:val="20"/>
                <w:color w:val="auto"/>
              </w:rPr>
              <w:t>Software technology</w:t>
            </w:r>
          </w:p>
        </w:tc>
        <w:tc>
          <w:tcPr>
            <w:tcW w:w="780" w:type="dxa"/>
            <w:vAlign w:val="bottom"/>
            <w:gridSpan w:val="3"/>
          </w:tcPr>
          <w:p>
            <w:pPr>
              <w:jc w:val="right"/>
              <w:ind w:right="459"/>
              <w:spacing w:after="0"/>
              <w:rPr>
                <w:sz w:val="20"/>
                <w:szCs w:val="20"/>
                <w:color w:val="auto"/>
              </w:rPr>
            </w:pPr>
            <w:r>
              <w:rPr>
                <w:rFonts w:ascii="Times New Roman" w:cs="Times New Roman" w:eastAsia="Times New Roman" w:hAnsi="Times New Roman"/>
                <w:sz w:val="20"/>
                <w:szCs w:val="20"/>
                <w:color w:val="auto"/>
              </w:rPr>
              <w:t>$</w:t>
            </w:r>
          </w:p>
        </w:tc>
        <w:tc>
          <w:tcPr>
            <w:tcW w:w="12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2,973</w:t>
            </w:r>
          </w:p>
        </w:tc>
        <w:tc>
          <w:tcPr>
            <w:tcW w:w="0" w:type="dxa"/>
            <w:vAlign w:val="bottom"/>
          </w:tcPr>
          <w:p>
            <w:pPr>
              <w:spacing w:after="0"/>
              <w:rPr>
                <w:sz w:val="1"/>
                <w:szCs w:val="1"/>
                <w:color w:val="auto"/>
              </w:rPr>
            </w:pPr>
          </w:p>
        </w:tc>
      </w:tr>
      <w:tr>
        <w:trPr>
          <w:trHeight w:val="281"/>
        </w:trPr>
        <w:tc>
          <w:tcPr>
            <w:tcW w:w="8280" w:type="dxa"/>
            <w:vAlign w:val="bottom"/>
            <w:shd w:val="clear" w:color="auto" w:fill="DDDDDD"/>
          </w:tcPr>
          <w:p>
            <w:pPr>
              <w:ind w:left="160"/>
              <w:spacing w:after="0"/>
              <w:rPr>
                <w:sz w:val="20"/>
                <w:szCs w:val="20"/>
                <w:color w:val="auto"/>
              </w:rPr>
            </w:pPr>
            <w:r>
              <w:rPr>
                <w:rFonts w:ascii="Times New Roman" w:cs="Times New Roman" w:eastAsia="Times New Roman" w:hAnsi="Times New Roman"/>
                <w:sz w:val="20"/>
                <w:szCs w:val="20"/>
                <w:color w:val="auto"/>
              </w:rPr>
              <w:t>Trade name</w:t>
            </w:r>
          </w:p>
        </w:tc>
        <w:tc>
          <w:tcPr>
            <w:tcW w:w="60" w:type="dxa"/>
            <w:vAlign w:val="bottom"/>
            <w:shd w:val="clear" w:color="auto" w:fill="DDDDDD"/>
          </w:tcPr>
          <w:p>
            <w:pPr>
              <w:spacing w:after="0"/>
              <w:rPr>
                <w:sz w:val="24"/>
                <w:szCs w:val="24"/>
                <w:color w:val="auto"/>
              </w:rPr>
            </w:pPr>
          </w:p>
        </w:tc>
        <w:tc>
          <w:tcPr>
            <w:tcW w:w="20" w:type="dxa"/>
            <w:vAlign w:val="bottom"/>
            <w:shd w:val="clear" w:color="auto" w:fill="DDDDDD"/>
          </w:tcPr>
          <w:p>
            <w:pPr>
              <w:spacing w:after="0"/>
              <w:rPr>
                <w:sz w:val="24"/>
                <w:szCs w:val="24"/>
                <w:color w:val="auto"/>
              </w:rPr>
            </w:pPr>
          </w:p>
        </w:tc>
        <w:tc>
          <w:tcPr>
            <w:tcW w:w="700" w:type="dxa"/>
            <w:vAlign w:val="bottom"/>
            <w:shd w:val="clear" w:color="auto" w:fill="DDDDDD"/>
          </w:tcPr>
          <w:p>
            <w:pPr>
              <w:spacing w:after="0"/>
              <w:rPr>
                <w:sz w:val="24"/>
                <w:szCs w:val="24"/>
                <w:color w:val="auto"/>
              </w:rPr>
            </w:pPr>
          </w:p>
        </w:tc>
        <w:tc>
          <w:tcPr>
            <w:tcW w:w="1200" w:type="dxa"/>
            <w:vAlign w:val="bottom"/>
            <w:shd w:val="clear" w:color="auto" w:fill="DDDDDD"/>
          </w:tcPr>
          <w:p>
            <w:pPr>
              <w:jc w:val="right"/>
              <w:spacing w:after="0"/>
              <w:rPr>
                <w:sz w:val="20"/>
                <w:szCs w:val="20"/>
                <w:color w:val="auto"/>
              </w:rPr>
            </w:pPr>
            <w:r>
              <w:rPr>
                <w:rFonts w:ascii="Times New Roman" w:cs="Times New Roman" w:eastAsia="Times New Roman" w:hAnsi="Times New Roman"/>
                <w:sz w:val="20"/>
                <w:szCs w:val="20"/>
                <w:color w:val="auto"/>
              </w:rPr>
              <w:t>217</w:t>
            </w:r>
          </w:p>
        </w:tc>
        <w:tc>
          <w:tcPr>
            <w:tcW w:w="0" w:type="dxa"/>
            <w:vAlign w:val="bottom"/>
          </w:tcPr>
          <w:p>
            <w:pPr>
              <w:spacing w:after="0"/>
              <w:rPr>
                <w:sz w:val="1"/>
                <w:szCs w:val="1"/>
                <w:color w:val="auto"/>
              </w:rPr>
            </w:pPr>
          </w:p>
        </w:tc>
      </w:tr>
      <w:tr>
        <w:trPr>
          <w:trHeight w:val="288"/>
        </w:trPr>
        <w:tc>
          <w:tcPr>
            <w:tcW w:w="8280" w:type="dxa"/>
            <w:vAlign w:val="bottom"/>
          </w:tcPr>
          <w:p>
            <w:pPr>
              <w:ind w:left="160"/>
              <w:spacing w:after="0"/>
              <w:rPr>
                <w:sz w:val="20"/>
                <w:szCs w:val="20"/>
                <w:color w:val="auto"/>
              </w:rPr>
            </w:pPr>
            <w:r>
              <w:rPr>
                <w:rFonts w:ascii="Times New Roman" w:cs="Times New Roman" w:eastAsia="Times New Roman" w:hAnsi="Times New Roman"/>
                <w:sz w:val="20"/>
                <w:szCs w:val="20"/>
                <w:color w:val="auto"/>
              </w:rPr>
              <w:t>Customer relationships</w:t>
            </w: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1,410</w:t>
            </w:r>
          </w:p>
        </w:tc>
        <w:tc>
          <w:tcPr>
            <w:tcW w:w="0" w:type="dxa"/>
            <w:vAlign w:val="bottom"/>
          </w:tcPr>
          <w:p>
            <w:pPr>
              <w:spacing w:after="0"/>
              <w:rPr>
                <w:sz w:val="1"/>
                <w:szCs w:val="1"/>
                <w:color w:val="auto"/>
              </w:rPr>
            </w:pPr>
          </w:p>
        </w:tc>
      </w:tr>
      <w:tr>
        <w:trPr>
          <w:trHeight w:val="288"/>
        </w:trPr>
        <w:tc>
          <w:tcPr>
            <w:tcW w:w="8280" w:type="dxa"/>
            <w:vAlign w:val="bottom"/>
            <w:shd w:val="clear" w:color="auto" w:fill="DDDDDD"/>
          </w:tcPr>
          <w:p>
            <w:pPr>
              <w:ind w:left="160"/>
              <w:spacing w:after="0"/>
              <w:rPr>
                <w:sz w:val="20"/>
                <w:szCs w:val="20"/>
                <w:color w:val="auto"/>
              </w:rPr>
            </w:pPr>
            <w:r>
              <w:rPr>
                <w:rFonts w:ascii="Times New Roman" w:cs="Times New Roman" w:eastAsia="Times New Roman" w:hAnsi="Times New Roman"/>
                <w:sz w:val="20"/>
                <w:szCs w:val="20"/>
                <w:color w:val="auto"/>
              </w:rPr>
              <w:t>Goodwill</w:t>
            </w:r>
          </w:p>
        </w:tc>
        <w:tc>
          <w:tcPr>
            <w:tcW w:w="60" w:type="dxa"/>
            <w:vAlign w:val="bottom"/>
            <w:shd w:val="clear" w:color="auto" w:fill="DDDDDD"/>
          </w:tcPr>
          <w:p>
            <w:pPr>
              <w:spacing w:after="0"/>
              <w:rPr>
                <w:sz w:val="24"/>
                <w:szCs w:val="24"/>
                <w:color w:val="auto"/>
              </w:rPr>
            </w:pPr>
          </w:p>
        </w:tc>
        <w:tc>
          <w:tcPr>
            <w:tcW w:w="20" w:type="dxa"/>
            <w:vAlign w:val="bottom"/>
            <w:shd w:val="clear" w:color="auto" w:fill="DDDDDD"/>
          </w:tcPr>
          <w:p>
            <w:pPr>
              <w:spacing w:after="0"/>
              <w:rPr>
                <w:sz w:val="24"/>
                <w:szCs w:val="24"/>
                <w:color w:val="auto"/>
              </w:rPr>
            </w:pPr>
          </w:p>
        </w:tc>
        <w:tc>
          <w:tcPr>
            <w:tcW w:w="700" w:type="dxa"/>
            <w:vAlign w:val="bottom"/>
            <w:tcBorders>
              <w:bottom w:val="single" w:sz="8" w:color="auto"/>
            </w:tcBorders>
            <w:shd w:val="clear" w:color="auto" w:fill="DDDDDD"/>
          </w:tcPr>
          <w:p>
            <w:pPr>
              <w:spacing w:after="0"/>
              <w:rPr>
                <w:sz w:val="24"/>
                <w:szCs w:val="24"/>
                <w:color w:val="auto"/>
              </w:rPr>
            </w:pPr>
          </w:p>
        </w:tc>
        <w:tc>
          <w:tcPr>
            <w:tcW w:w="1200" w:type="dxa"/>
            <w:vAlign w:val="bottom"/>
            <w:tcBorders>
              <w:bottom w:val="single" w:sz="8" w:color="auto"/>
            </w:tcBorders>
            <w:shd w:val="clear" w:color="auto" w:fill="DDDDDD"/>
          </w:tcPr>
          <w:p>
            <w:pPr>
              <w:jc w:val="right"/>
              <w:spacing w:after="0"/>
              <w:rPr>
                <w:sz w:val="20"/>
                <w:szCs w:val="20"/>
                <w:color w:val="auto"/>
              </w:rPr>
            </w:pPr>
            <w:r>
              <w:rPr>
                <w:rFonts w:ascii="Times New Roman" w:cs="Times New Roman" w:eastAsia="Times New Roman" w:hAnsi="Times New Roman"/>
                <w:sz w:val="20"/>
                <w:szCs w:val="20"/>
                <w:color w:val="auto"/>
              </w:rPr>
              <w:t>26,686</w:t>
            </w:r>
          </w:p>
        </w:tc>
        <w:tc>
          <w:tcPr>
            <w:tcW w:w="0" w:type="dxa"/>
            <w:vAlign w:val="bottom"/>
          </w:tcPr>
          <w:p>
            <w:pPr>
              <w:spacing w:after="0"/>
              <w:rPr>
                <w:sz w:val="1"/>
                <w:szCs w:val="1"/>
                <w:color w:val="auto"/>
              </w:rPr>
            </w:pPr>
          </w:p>
        </w:tc>
      </w:tr>
      <w:tr>
        <w:trPr>
          <w:trHeight w:val="261"/>
        </w:trPr>
        <w:tc>
          <w:tcPr>
            <w:tcW w:w="8280" w:type="dxa"/>
            <w:vAlign w:val="bottom"/>
          </w:tcPr>
          <w:p>
            <w:pPr>
              <w:ind w:left="40"/>
              <w:spacing w:after="0"/>
              <w:rPr>
                <w:sz w:val="20"/>
                <w:szCs w:val="20"/>
                <w:color w:val="auto"/>
              </w:rPr>
            </w:pPr>
            <w:r>
              <w:rPr>
                <w:rFonts w:ascii="Times New Roman" w:cs="Times New Roman" w:eastAsia="Times New Roman" w:hAnsi="Times New Roman"/>
                <w:sz w:val="20"/>
                <w:szCs w:val="20"/>
                <w:color w:val="auto"/>
              </w:rPr>
              <w:t>Total assets acquired</w:t>
            </w:r>
          </w:p>
        </w:tc>
        <w:tc>
          <w:tcPr>
            <w:tcW w:w="6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700" w:type="dxa"/>
            <w:vAlign w:val="bottom"/>
          </w:tcPr>
          <w:p>
            <w:pPr>
              <w:spacing w:after="0"/>
              <w:rPr>
                <w:sz w:val="22"/>
                <w:szCs w:val="22"/>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31,286</w:t>
            </w:r>
          </w:p>
        </w:tc>
        <w:tc>
          <w:tcPr>
            <w:tcW w:w="0" w:type="dxa"/>
            <w:vAlign w:val="bottom"/>
          </w:tcPr>
          <w:p>
            <w:pPr>
              <w:spacing w:after="0"/>
              <w:rPr>
                <w:sz w:val="1"/>
                <w:szCs w:val="1"/>
                <w:color w:val="auto"/>
              </w:rPr>
            </w:pPr>
          </w:p>
        </w:tc>
      </w:tr>
      <w:tr>
        <w:trPr>
          <w:trHeight w:val="288"/>
        </w:trPr>
        <w:tc>
          <w:tcPr>
            <w:tcW w:w="8280" w:type="dxa"/>
            <w:vAlign w:val="bottom"/>
            <w:shd w:val="clear" w:color="auto" w:fill="DDDDDD"/>
          </w:tcPr>
          <w:p>
            <w:pPr>
              <w:spacing w:after="0"/>
              <w:rPr>
                <w:sz w:val="24"/>
                <w:szCs w:val="24"/>
                <w:color w:val="auto"/>
              </w:rPr>
            </w:pPr>
          </w:p>
        </w:tc>
        <w:tc>
          <w:tcPr>
            <w:tcW w:w="60" w:type="dxa"/>
            <w:vAlign w:val="bottom"/>
            <w:shd w:val="clear" w:color="auto" w:fill="DDDDDD"/>
          </w:tcPr>
          <w:p>
            <w:pPr>
              <w:spacing w:after="0"/>
              <w:rPr>
                <w:sz w:val="24"/>
                <w:szCs w:val="24"/>
                <w:color w:val="auto"/>
              </w:rPr>
            </w:pPr>
          </w:p>
        </w:tc>
        <w:tc>
          <w:tcPr>
            <w:tcW w:w="20" w:type="dxa"/>
            <w:vAlign w:val="bottom"/>
            <w:shd w:val="clear" w:color="auto" w:fill="DDDDDD"/>
          </w:tcPr>
          <w:p>
            <w:pPr>
              <w:spacing w:after="0"/>
              <w:rPr>
                <w:sz w:val="24"/>
                <w:szCs w:val="24"/>
                <w:color w:val="auto"/>
              </w:rPr>
            </w:pPr>
          </w:p>
        </w:tc>
        <w:tc>
          <w:tcPr>
            <w:tcW w:w="700" w:type="dxa"/>
            <w:vAlign w:val="bottom"/>
            <w:shd w:val="clear" w:color="auto" w:fill="DDDDDD"/>
          </w:tcPr>
          <w:p>
            <w:pPr>
              <w:spacing w:after="0"/>
              <w:rPr>
                <w:sz w:val="24"/>
                <w:szCs w:val="24"/>
                <w:color w:val="auto"/>
              </w:rPr>
            </w:pPr>
          </w:p>
        </w:tc>
        <w:tc>
          <w:tcPr>
            <w:tcW w:w="1200" w:type="dxa"/>
            <w:vAlign w:val="bottom"/>
            <w:shd w:val="clear" w:color="auto" w:fill="DDDDDD"/>
          </w:tcPr>
          <w:p>
            <w:pPr>
              <w:spacing w:after="0"/>
              <w:rPr>
                <w:sz w:val="24"/>
                <w:szCs w:val="24"/>
                <w:color w:val="auto"/>
              </w:rPr>
            </w:pPr>
          </w:p>
        </w:tc>
        <w:tc>
          <w:tcPr>
            <w:tcW w:w="0" w:type="dxa"/>
            <w:vAlign w:val="bottom"/>
          </w:tcPr>
          <w:p>
            <w:pPr>
              <w:spacing w:after="0"/>
              <w:rPr>
                <w:sz w:val="1"/>
                <w:szCs w:val="1"/>
                <w:color w:val="auto"/>
              </w:rPr>
            </w:pPr>
          </w:p>
        </w:tc>
      </w:tr>
      <w:tr>
        <w:trPr>
          <w:trHeight w:val="281"/>
        </w:trPr>
        <w:tc>
          <w:tcPr>
            <w:tcW w:w="8280" w:type="dxa"/>
            <w:vAlign w:val="bottom"/>
          </w:tcPr>
          <w:p>
            <w:pPr>
              <w:ind w:left="40"/>
              <w:spacing w:after="0"/>
              <w:rPr>
                <w:sz w:val="20"/>
                <w:szCs w:val="20"/>
                <w:color w:val="auto"/>
              </w:rPr>
            </w:pPr>
            <w:r>
              <w:rPr>
                <w:rFonts w:ascii="Times New Roman" w:cs="Times New Roman" w:eastAsia="Times New Roman" w:hAnsi="Times New Roman"/>
                <w:sz w:val="20"/>
                <w:szCs w:val="20"/>
                <w:color w:val="auto"/>
              </w:rPr>
              <w:t>Liabilities assumed:</w:t>
            </w: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88"/>
        </w:trPr>
        <w:tc>
          <w:tcPr>
            <w:tcW w:w="8280" w:type="dxa"/>
            <w:vAlign w:val="bottom"/>
            <w:shd w:val="clear" w:color="auto" w:fill="DDDDDD"/>
          </w:tcPr>
          <w:p>
            <w:pPr>
              <w:ind w:left="160"/>
              <w:spacing w:after="0"/>
              <w:rPr>
                <w:sz w:val="20"/>
                <w:szCs w:val="20"/>
                <w:color w:val="auto"/>
              </w:rPr>
            </w:pPr>
            <w:r>
              <w:rPr>
                <w:rFonts w:ascii="Times New Roman" w:cs="Times New Roman" w:eastAsia="Times New Roman" w:hAnsi="Times New Roman"/>
                <w:sz w:val="20"/>
                <w:szCs w:val="20"/>
                <w:color w:val="auto"/>
              </w:rPr>
              <w:t>Other current liabilities</w:t>
            </w:r>
          </w:p>
        </w:tc>
        <w:tc>
          <w:tcPr>
            <w:tcW w:w="60" w:type="dxa"/>
            <w:vAlign w:val="bottom"/>
            <w:shd w:val="clear" w:color="auto" w:fill="DDDDDD"/>
          </w:tcPr>
          <w:p>
            <w:pPr>
              <w:spacing w:after="0"/>
              <w:rPr>
                <w:sz w:val="24"/>
                <w:szCs w:val="24"/>
                <w:color w:val="auto"/>
              </w:rPr>
            </w:pPr>
          </w:p>
        </w:tc>
        <w:tc>
          <w:tcPr>
            <w:tcW w:w="20" w:type="dxa"/>
            <w:vAlign w:val="bottom"/>
            <w:shd w:val="clear" w:color="auto" w:fill="DDDDDD"/>
          </w:tcPr>
          <w:p>
            <w:pPr>
              <w:spacing w:after="0"/>
              <w:rPr>
                <w:sz w:val="24"/>
                <w:szCs w:val="24"/>
                <w:color w:val="auto"/>
              </w:rPr>
            </w:pPr>
          </w:p>
        </w:tc>
        <w:tc>
          <w:tcPr>
            <w:tcW w:w="700" w:type="dxa"/>
            <w:vAlign w:val="bottom"/>
            <w:tcBorders>
              <w:bottom w:val="single" w:sz="8" w:color="auto"/>
            </w:tcBorders>
            <w:shd w:val="clear" w:color="auto" w:fill="DDDDDD"/>
          </w:tcPr>
          <w:p>
            <w:pPr>
              <w:spacing w:after="0"/>
              <w:rPr>
                <w:sz w:val="24"/>
                <w:szCs w:val="24"/>
                <w:color w:val="auto"/>
              </w:rPr>
            </w:pPr>
          </w:p>
        </w:tc>
        <w:tc>
          <w:tcPr>
            <w:tcW w:w="1200" w:type="dxa"/>
            <w:vAlign w:val="bottom"/>
            <w:tcBorders>
              <w:bottom w:val="single" w:sz="8" w:color="auto"/>
            </w:tcBorders>
            <w:shd w:val="clear" w:color="auto" w:fill="DDDDDD"/>
          </w:tcPr>
          <w:p>
            <w:pPr>
              <w:jc w:val="right"/>
              <w:spacing w:after="0"/>
              <w:rPr>
                <w:sz w:val="20"/>
                <w:szCs w:val="20"/>
                <w:color w:val="auto"/>
              </w:rPr>
            </w:pPr>
            <w:r>
              <w:rPr>
                <w:rFonts w:ascii="Times New Roman" w:cs="Times New Roman" w:eastAsia="Times New Roman" w:hAnsi="Times New Roman"/>
                <w:sz w:val="20"/>
                <w:szCs w:val="20"/>
                <w:color w:val="auto"/>
              </w:rPr>
              <w:t>(100)</w:t>
            </w:r>
          </w:p>
        </w:tc>
        <w:tc>
          <w:tcPr>
            <w:tcW w:w="0" w:type="dxa"/>
            <w:vAlign w:val="bottom"/>
          </w:tcPr>
          <w:p>
            <w:pPr>
              <w:spacing w:after="0"/>
              <w:rPr>
                <w:sz w:val="1"/>
                <w:szCs w:val="1"/>
                <w:color w:val="auto"/>
              </w:rPr>
            </w:pPr>
          </w:p>
        </w:tc>
      </w:tr>
      <w:tr>
        <w:trPr>
          <w:trHeight w:val="282"/>
        </w:trPr>
        <w:tc>
          <w:tcPr>
            <w:tcW w:w="8280" w:type="dxa"/>
            <w:vAlign w:val="bottom"/>
          </w:tcPr>
          <w:p>
            <w:pPr>
              <w:ind w:left="40"/>
              <w:spacing w:after="0"/>
              <w:rPr>
                <w:sz w:val="20"/>
                <w:szCs w:val="20"/>
                <w:color w:val="auto"/>
              </w:rPr>
            </w:pPr>
            <w:r>
              <w:rPr>
                <w:rFonts w:ascii="Times New Roman" w:cs="Times New Roman" w:eastAsia="Times New Roman" w:hAnsi="Times New Roman"/>
                <w:sz w:val="20"/>
                <w:szCs w:val="20"/>
                <w:color w:val="auto"/>
              </w:rPr>
              <w:t>Total net assets acquired</w:t>
            </w:r>
          </w:p>
        </w:tc>
        <w:tc>
          <w:tcPr>
            <w:tcW w:w="780" w:type="dxa"/>
            <w:vAlign w:val="bottom"/>
            <w:gridSpan w:val="3"/>
          </w:tcPr>
          <w:p>
            <w:pPr>
              <w:jc w:val="right"/>
              <w:ind w:right="459"/>
              <w:spacing w:after="0"/>
              <w:rPr>
                <w:sz w:val="20"/>
                <w:szCs w:val="20"/>
                <w:color w:val="auto"/>
              </w:rPr>
            </w:pPr>
            <w:r>
              <w:rPr>
                <w:rFonts w:ascii="Times New Roman" w:cs="Times New Roman" w:eastAsia="Times New Roman" w:hAnsi="Times New Roman"/>
                <w:sz w:val="20"/>
                <w:szCs w:val="20"/>
                <w:color w:val="auto"/>
              </w:rPr>
              <w:t>$</w:t>
            </w:r>
          </w:p>
        </w:tc>
        <w:tc>
          <w:tcPr>
            <w:tcW w:w="12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31,186</w:t>
            </w:r>
          </w:p>
        </w:tc>
        <w:tc>
          <w:tcPr>
            <w:tcW w:w="0" w:type="dxa"/>
            <w:vAlign w:val="bottom"/>
          </w:tcPr>
          <w:p>
            <w:pPr>
              <w:spacing w:after="0"/>
              <w:rPr>
                <w:sz w:val="1"/>
                <w:szCs w:val="1"/>
                <w:color w:val="auto"/>
              </w:rPr>
            </w:pPr>
          </w:p>
        </w:tc>
      </w:tr>
      <w:tr>
        <w:trPr>
          <w:trHeight w:val="20"/>
        </w:trPr>
        <w:tc>
          <w:tcPr>
            <w:tcW w:w="82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5303520</wp:posOffset>
                </wp:positionH>
                <wp:positionV relativeFrom="paragraph">
                  <wp:posOffset>-930275</wp:posOffset>
                </wp:positionV>
                <wp:extent cx="1211580" cy="0"/>
                <wp:wrapNone/>
                <wp:docPr id="92" name="Shape 92"/>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1211580" cy="4763"/>
                        </a:xfrm>
                        <a:prstGeom prst="line">
                          <a:avLst/>
                        </a:prstGeom>
                        <a:solidFill>
                          <a:srgbClr val="FFFFFF"/>
                        </a:solidFill>
                        <a:ln w="4572">
                          <a:solidFill>
                            <a:srgbClr val="FFFFFF"/>
                          </a:solidFill>
                          <a:miter lim="800000"/>
                          <a:headEnd/>
                          <a:tailEnd/>
                        </a:ln>
                      </wps:spPr>
                      <wps:bodyPr/>
                    </wps:wsp>
                  </a:graphicData>
                </a:graphic>
              </wp:anchor>
            </w:drawing>
          </mc:Choice>
          <mc:Fallback>
            <w:pict>
              <v:line id="Shape 92" o:spid="_x0000_s1117"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417.6pt,-73.2499pt" to="513pt,-73.2499pt" o:allowincell="f" strokecolor="#FFFFFF" strokeweight="0.36pt"/>
            </w:pict>
          </mc:Fallback>
        </mc:AlternateContent>
      </w:r>
    </w:p>
    <w:p>
      <w:pPr>
        <w:spacing w:after="0" w:line="80" w:lineRule="exact"/>
        <w:rPr>
          <w:sz w:val="20"/>
          <w:szCs w:val="20"/>
          <w:color w:val="auto"/>
        </w:rPr>
      </w:pPr>
    </w:p>
    <w:p>
      <w:pPr>
        <w:ind w:left="6"/>
        <w:spacing w:after="0"/>
        <w:rPr>
          <w:sz w:val="20"/>
          <w:szCs w:val="20"/>
          <w:color w:val="auto"/>
        </w:rPr>
      </w:pPr>
      <w:r>
        <w:rPr>
          <w:rFonts w:ascii="Times New Roman" w:cs="Times New Roman" w:eastAsia="Times New Roman" w:hAnsi="Times New Roman"/>
          <w:sz w:val="20"/>
          <w:szCs w:val="20"/>
          <w:color w:val="auto"/>
        </w:rPr>
        <w:t>___________________________________</w:t>
      </w:r>
    </w:p>
    <w:p>
      <w:pPr>
        <w:spacing w:after="0" w:line="44" w:lineRule="exact"/>
        <w:rPr>
          <w:sz w:val="20"/>
          <w:szCs w:val="20"/>
          <w:color w:val="auto"/>
        </w:rPr>
      </w:pPr>
    </w:p>
    <w:p>
      <w:pPr>
        <w:ind w:left="366" w:right="20" w:hanging="366"/>
        <w:spacing w:after="0" w:line="311" w:lineRule="auto"/>
        <w:tabs>
          <w:tab w:leader="none" w:pos="366" w:val="left"/>
        </w:tabs>
        <w:numPr>
          <w:ilvl w:val="0"/>
          <w:numId w:val="9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fair value of share consideration issued in connection with the Spout acquisition was calculated based on 1,244,258 shares of Class A common stock issued multiplied by the share price on the closing date of $15.42.</w:t>
      </w:r>
    </w:p>
    <w:p>
      <w:pPr>
        <w:spacing w:after="0" w:line="38" w:lineRule="exact"/>
        <w:rPr>
          <w:sz w:val="20"/>
          <w:szCs w:val="20"/>
          <w:color w:val="auto"/>
        </w:rPr>
      </w:pPr>
    </w:p>
    <w:p>
      <w:pPr>
        <w:jc w:val="both"/>
        <w:ind w:left="6" w:right="20"/>
        <w:spacing w:after="0" w:line="326" w:lineRule="auto"/>
        <w:rPr>
          <w:sz w:val="20"/>
          <w:szCs w:val="20"/>
          <w:color w:val="auto"/>
        </w:rPr>
      </w:pPr>
      <w:r>
        <w:rPr>
          <w:rFonts w:ascii="Times New Roman" w:cs="Times New Roman" w:eastAsia="Times New Roman" w:hAnsi="Times New Roman"/>
          <w:sz w:val="20"/>
          <w:szCs w:val="20"/>
          <w:color w:val="auto"/>
        </w:rPr>
        <w:t>Goodwill is primarily attributable to the expected synergies from combining operations. Goodwill recognized was allocated to the Company’s one operating segment and is generally deductible for tax purposes.</w:t>
      </w:r>
    </w:p>
    <w:p>
      <w:pPr>
        <w:spacing w:after="0" w:line="45" w:lineRule="exact"/>
        <w:rPr>
          <w:sz w:val="20"/>
          <w:szCs w:val="20"/>
          <w:color w:val="auto"/>
        </w:rPr>
      </w:pPr>
    </w:p>
    <w:p>
      <w:pPr>
        <w:jc w:val="both"/>
        <w:ind w:left="6"/>
        <w:spacing w:after="0" w:line="292" w:lineRule="auto"/>
        <w:rPr>
          <w:sz w:val="20"/>
          <w:szCs w:val="20"/>
          <w:color w:val="auto"/>
        </w:rPr>
      </w:pPr>
      <w:r>
        <w:rPr>
          <w:rFonts w:ascii="Times New Roman" w:cs="Times New Roman" w:eastAsia="Times New Roman" w:hAnsi="Times New Roman"/>
          <w:sz w:val="20"/>
          <w:szCs w:val="20"/>
          <w:color w:val="auto"/>
        </w:rPr>
        <w:t>The fair values of the trade name intangible assets were determined using an “income approach”, specifically, the relief-from royalty approach, as described above. The fair value of the software technology intangible asset was also determined using an “income approach”, specifically a multi-period excess earnings approach, as described above. The fair value of the customer relationships was determined using an “income approach”, specifically, the With-and-Without method, which is a commonly accepted valuation approach. This method estimates the value of customer-related assets by quantifying the impact on cash flows under a scenario in which the customer-related assets must be replaced and assuming all of the existing assets are in place except the customer-related assets. Essentially, it estimates the intangible asset’s value by calculating the difference between the two discounted cash-flow models. One that represents the status quo for the business enterprise with the asset in place and the second that represents the business enterprise with everything in place besides the customer-related asset. The projected cash flow period is the time-period it takes to build back up to that status quo. The difference between the two cash flows represents the calculated value of the customer-related asset.</w:t>
      </w:r>
    </w:p>
    <w:p>
      <w:pPr>
        <w:spacing w:after="0" w:line="83" w:lineRule="exact"/>
        <w:rPr>
          <w:sz w:val="20"/>
          <w:szCs w:val="20"/>
          <w:color w:val="auto"/>
        </w:rPr>
      </w:pPr>
    </w:p>
    <w:p>
      <w:pPr>
        <w:jc w:val="center"/>
        <w:ind w:left="1000"/>
        <w:spacing w:after="0" w:line="299" w:lineRule="auto"/>
        <w:rPr>
          <w:sz w:val="20"/>
          <w:szCs w:val="20"/>
          <w:color w:val="auto"/>
        </w:rPr>
      </w:pPr>
      <w:r>
        <w:rPr>
          <w:rFonts w:ascii="Times New Roman" w:cs="Times New Roman" w:eastAsia="Times New Roman" w:hAnsi="Times New Roman"/>
          <w:sz w:val="20"/>
          <w:szCs w:val="20"/>
          <w:color w:val="auto"/>
        </w:rPr>
        <w:t>In December 31, 2023, the Company completed the sunset of certain product offerings including WM CRM, a product offering associated with the acquisition of Sprout, as the Company continues to focus the efforts on other Weedmaps for Business products that support the Weedmaps marketplace and improve the eCommerce experience for the Company’s clients and users. For the F-26</w:t>
      </w:r>
    </w:p>
    <w:p>
      <w:pPr>
        <w:sectPr>
          <w:pgSz w:w="12240" w:h="15840" w:orient="portrait"/>
          <w:cols w:equalWidth="0" w:num="1">
            <w:col w:w="10266"/>
          </w:cols>
          <w:pgMar w:left="994" w:top="731" w:right="980" w:bottom="126" w:gutter="0" w:footer="0" w:header="0"/>
        </w:sectPr>
      </w:pPr>
    </w:p>
    <w:bookmarkStart w:id="146" w:name="page147"/>
    <w:bookmarkEnd w:id="146"/>
    <w:p>
      <w:pPr>
        <w:jc w:val="center"/>
        <w:ind w:right="14"/>
        <w:spacing w:after="0"/>
        <w:rPr>
          <w:sz w:val="20"/>
          <w:szCs w:val="20"/>
          <w:color w:val="auto"/>
        </w:rPr>
      </w:pPr>
      <w:r>
        <w:rPr>
          <w:rFonts w:ascii="Times New Roman" w:cs="Times New Roman" w:eastAsia="Times New Roman" w:hAnsi="Times New Roman"/>
          <w:sz w:val="20"/>
          <w:szCs w:val="20"/>
          <w:b w:val="1"/>
          <w:bCs w:val="1"/>
          <w:color w:val="auto"/>
        </w:rPr>
        <w:t>WM TECHNOLOGY, INC. AND SUBSIDIARIES</w:t>
      </w:r>
    </w:p>
    <w:p>
      <w:pPr>
        <w:spacing w:after="0" w:line="48" w:lineRule="exact"/>
        <w:rPr>
          <w:sz w:val="20"/>
          <w:szCs w:val="20"/>
          <w:color w:val="auto"/>
        </w:rPr>
      </w:pPr>
    </w:p>
    <w:p>
      <w:pPr>
        <w:jc w:val="center"/>
        <w:ind w:right="-5"/>
        <w:spacing w:after="0"/>
        <w:rPr>
          <w:sz w:val="20"/>
          <w:szCs w:val="20"/>
          <w:color w:val="auto"/>
        </w:rPr>
      </w:pPr>
      <w:r>
        <w:rPr>
          <w:rFonts w:ascii="Times New Roman" w:cs="Times New Roman" w:eastAsia="Times New Roman" w:hAnsi="Times New Roman"/>
          <w:sz w:val="20"/>
          <w:szCs w:val="20"/>
          <w:b w:val="1"/>
          <w:bCs w:val="1"/>
          <w:color w:val="auto"/>
        </w:rPr>
        <w:t>NOTES TO CONSOLIDATED FINANCIAL STATEMENTS</w:t>
      </w:r>
    </w:p>
    <w:p>
      <w:pPr>
        <w:spacing w:after="0" w:line="286" w:lineRule="exact"/>
        <w:rPr>
          <w:sz w:val="20"/>
          <w:szCs w:val="20"/>
          <w:color w:val="auto"/>
        </w:rPr>
      </w:pPr>
    </w:p>
    <w:p>
      <w:pPr>
        <w:jc w:val="both"/>
        <w:ind w:left="6"/>
        <w:spacing w:after="0" w:line="309" w:lineRule="auto"/>
        <w:rPr>
          <w:sz w:val="20"/>
          <w:szCs w:val="20"/>
          <w:color w:val="auto"/>
        </w:rPr>
      </w:pPr>
      <w:r>
        <w:rPr>
          <w:rFonts w:ascii="Times New Roman" w:cs="Times New Roman" w:eastAsia="Times New Roman" w:hAnsi="Times New Roman"/>
          <w:sz w:val="20"/>
          <w:szCs w:val="20"/>
          <w:color w:val="auto"/>
        </w:rPr>
        <w:t>year ended December 31, 2023 the Company recorded an impairment charge of $2.3 million related to intangible assets and $0.1 million related to property and equipment associated with WM CRM, which is included in asset impairment charges in the consolidated statements of operations.</w:t>
      </w:r>
    </w:p>
    <w:p>
      <w:pPr>
        <w:spacing w:after="0" w:line="60" w:lineRule="exact"/>
        <w:rPr>
          <w:sz w:val="20"/>
          <w:szCs w:val="20"/>
          <w:color w:val="auto"/>
        </w:rPr>
      </w:pPr>
    </w:p>
    <w:p>
      <w:pPr>
        <w:ind w:left="6"/>
        <w:spacing w:after="0"/>
        <w:rPr>
          <w:sz w:val="20"/>
          <w:szCs w:val="20"/>
          <w:color w:val="auto"/>
        </w:rPr>
      </w:pPr>
      <w:r>
        <w:rPr>
          <w:rFonts w:ascii="Times New Roman" w:cs="Times New Roman" w:eastAsia="Times New Roman" w:hAnsi="Times New Roman"/>
          <w:sz w:val="20"/>
          <w:szCs w:val="20"/>
          <w:b w:val="1"/>
          <w:bCs w:val="1"/>
          <w:color w:val="auto"/>
        </w:rPr>
        <w:t>Pro Forma Results and Acquisition-Related Costs</w:t>
      </w:r>
    </w:p>
    <w:p>
      <w:pPr>
        <w:spacing w:after="0" w:line="168" w:lineRule="exact"/>
        <w:rPr>
          <w:sz w:val="20"/>
          <w:szCs w:val="20"/>
          <w:color w:val="auto"/>
        </w:rPr>
      </w:pPr>
    </w:p>
    <w:p>
      <w:pPr>
        <w:jc w:val="both"/>
        <w:ind w:left="6"/>
        <w:spacing w:after="0" w:line="306" w:lineRule="auto"/>
        <w:rPr>
          <w:sz w:val="20"/>
          <w:szCs w:val="20"/>
          <w:color w:val="auto"/>
        </w:rPr>
      </w:pPr>
      <w:r>
        <w:rPr>
          <w:rFonts w:ascii="Times New Roman" w:cs="Times New Roman" w:eastAsia="Times New Roman" w:hAnsi="Times New Roman"/>
          <w:sz w:val="20"/>
          <w:szCs w:val="20"/>
          <w:color w:val="auto"/>
        </w:rPr>
        <w:t>The consolidated financial statements for the years ended December 31, 2023, 2022 and 2021 include the financial results of the above acquisitions from the date of the acquisitions. Pro forma financial results have not been presented since these acquisitions were not material to our financial results.</w:t>
      </w:r>
    </w:p>
    <w:p>
      <w:pPr>
        <w:spacing w:after="0" w:line="62" w:lineRule="exact"/>
        <w:rPr>
          <w:sz w:val="20"/>
          <w:szCs w:val="20"/>
          <w:color w:val="auto"/>
        </w:rPr>
      </w:pPr>
    </w:p>
    <w:p>
      <w:pPr>
        <w:ind w:left="546" w:hanging="546"/>
        <w:spacing w:after="0"/>
        <w:tabs>
          <w:tab w:leader="none" w:pos="546" w:val="left"/>
        </w:tabs>
        <w:numPr>
          <w:ilvl w:val="0"/>
          <w:numId w:val="92"/>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b w:val="1"/>
          <w:bCs w:val="1"/>
          <w:color w:val="auto"/>
        </w:rPr>
        <w:t>Goodwill and Intangible Assets</w:t>
      </w:r>
    </w:p>
    <w:p>
      <w:pPr>
        <w:spacing w:after="0" w:line="170" w:lineRule="exact"/>
        <w:rPr>
          <w:sz w:val="20"/>
          <w:szCs w:val="20"/>
          <w:color w:val="auto"/>
        </w:rPr>
      </w:pPr>
    </w:p>
    <w:p>
      <w:pPr>
        <w:ind w:left="6"/>
        <w:spacing w:after="0"/>
        <w:rPr>
          <w:sz w:val="20"/>
          <w:szCs w:val="20"/>
          <w:color w:val="auto"/>
        </w:rPr>
      </w:pPr>
      <w:r>
        <w:rPr>
          <w:rFonts w:ascii="Times New Roman" w:cs="Times New Roman" w:eastAsia="Times New Roman" w:hAnsi="Times New Roman"/>
          <w:sz w:val="20"/>
          <w:szCs w:val="20"/>
          <w:b w:val="1"/>
          <w:bCs w:val="1"/>
          <w:i w:val="1"/>
          <w:iCs w:val="1"/>
          <w:color w:val="auto"/>
        </w:rPr>
        <w:t>Goodwill</w:t>
      </w:r>
    </w:p>
    <w:p>
      <w:pPr>
        <w:spacing w:after="0" w:line="164" w:lineRule="exact"/>
        <w:rPr>
          <w:sz w:val="20"/>
          <w:szCs w:val="20"/>
          <w:color w:val="auto"/>
        </w:rPr>
      </w:pPr>
    </w:p>
    <w:p>
      <w:pPr>
        <w:jc w:val="both"/>
        <w:ind w:left="6" w:right="20"/>
        <w:spacing w:after="0" w:line="334" w:lineRule="auto"/>
        <w:rPr>
          <w:sz w:val="20"/>
          <w:szCs w:val="20"/>
          <w:color w:val="auto"/>
        </w:rPr>
      </w:pPr>
      <w:r>
        <w:rPr>
          <w:rFonts w:ascii="Times New Roman" w:cs="Times New Roman" w:eastAsia="Times New Roman" w:hAnsi="Times New Roman"/>
          <w:sz w:val="20"/>
          <w:szCs w:val="20"/>
          <w:color w:val="auto"/>
        </w:rPr>
        <w:t>Goodwill totaled $68.4 million as of December 31, 2023 and 2022. No goodwill impairment charges were recorded for the years ended December 31, 2023, 2022 and 2021.</w:t>
      </w:r>
    </w:p>
    <w:p>
      <w:pPr>
        <w:spacing w:after="0" w:line="96" w:lineRule="exact"/>
        <w:rPr>
          <w:sz w:val="20"/>
          <w:szCs w:val="20"/>
          <w:color w:val="auto"/>
        </w:rPr>
      </w:pPr>
    </w:p>
    <w:p>
      <w:pPr>
        <w:ind w:left="6"/>
        <w:spacing w:after="0"/>
        <w:rPr>
          <w:sz w:val="20"/>
          <w:szCs w:val="20"/>
          <w:color w:val="auto"/>
        </w:rPr>
      </w:pPr>
      <w:r>
        <w:rPr>
          <w:rFonts w:ascii="Times New Roman" w:cs="Times New Roman" w:eastAsia="Times New Roman" w:hAnsi="Times New Roman"/>
          <w:sz w:val="20"/>
          <w:szCs w:val="20"/>
          <w:b w:val="1"/>
          <w:bCs w:val="1"/>
          <w:i w:val="1"/>
          <w:iCs w:val="1"/>
          <w:color w:val="auto"/>
        </w:rPr>
        <w:t>Intangible Assets</w:t>
      </w:r>
    </w:p>
    <w:p>
      <w:pPr>
        <w:spacing w:after="0" w:line="164" w:lineRule="exact"/>
        <w:rPr>
          <w:sz w:val="20"/>
          <w:szCs w:val="20"/>
          <w:color w:val="auto"/>
        </w:rPr>
      </w:pPr>
    </w:p>
    <w:p>
      <w:pPr>
        <w:ind w:left="6"/>
        <w:spacing w:after="0"/>
        <w:rPr>
          <w:sz w:val="20"/>
          <w:szCs w:val="20"/>
          <w:color w:val="auto"/>
        </w:rPr>
      </w:pPr>
      <w:r>
        <w:rPr>
          <w:rFonts w:ascii="Times New Roman" w:cs="Times New Roman" w:eastAsia="Times New Roman" w:hAnsi="Times New Roman"/>
          <w:sz w:val="20"/>
          <w:szCs w:val="20"/>
          <w:color w:val="auto"/>
        </w:rPr>
        <w:t>Intangible assets consisted of the following for the periods presented below (in thousands):</w:t>
      </w:r>
    </w:p>
    <w:p>
      <w:pPr>
        <w:spacing w:after="0" w:line="215" w:lineRule="exact"/>
        <w:rPr>
          <w:sz w:val="20"/>
          <w:szCs w:val="20"/>
          <w:color w:val="auto"/>
        </w:rPr>
      </w:pPr>
    </w:p>
    <w:tbl>
      <w:tblPr>
        <w:tblLayout w:type="fixed"/>
        <w:tblInd w:w="6" w:type="dxa"/>
        <w:tblCellMar>
          <w:top w:w="0" w:type="dxa"/>
          <w:left w:w="0" w:type="dxa"/>
          <w:bottom w:w="0" w:type="dxa"/>
          <w:right w:w="0" w:type="dxa"/>
        </w:tblCellMar>
      </w:tblPr>
      <w:tr>
        <w:trPr>
          <w:trHeight w:val="281"/>
        </w:trPr>
        <w:tc>
          <w:tcPr>
            <w:tcW w:w="26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176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3560" w:type="dxa"/>
            <w:vAlign w:val="bottom"/>
            <w:tcBorders>
              <w:bottom w:val="single" w:sz="8" w:color="auto"/>
            </w:tcBorders>
            <w:gridSpan w:val="9"/>
          </w:tcPr>
          <w:p>
            <w:pPr>
              <w:ind w:left="840"/>
              <w:spacing w:after="0"/>
              <w:rPr>
                <w:sz w:val="20"/>
                <w:szCs w:val="20"/>
                <w:color w:val="auto"/>
              </w:rPr>
            </w:pPr>
            <w:r>
              <w:rPr>
                <w:rFonts w:ascii="Times New Roman" w:cs="Times New Roman" w:eastAsia="Times New Roman" w:hAnsi="Times New Roman"/>
                <w:sz w:val="20"/>
                <w:szCs w:val="20"/>
                <w:b w:val="1"/>
                <w:bCs w:val="1"/>
                <w:color w:val="auto"/>
              </w:rPr>
              <w:t>December 31, 2023</w:t>
            </w:r>
          </w:p>
        </w:tc>
        <w:tc>
          <w:tcPr>
            <w:tcW w:w="4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600" w:type="dxa"/>
            <w:vAlign w:val="bottom"/>
            <w:tcBorders>
              <w:bottom w:val="single" w:sz="8" w:color="auto"/>
            </w:tcBorders>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47"/>
        </w:trPr>
        <w:tc>
          <w:tcPr>
            <w:tcW w:w="262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780" w:type="dxa"/>
            <w:vAlign w:val="bottom"/>
            <w:gridSpan w:val="2"/>
          </w:tcPr>
          <w:p>
            <w:pPr>
              <w:jc w:val="center"/>
              <w:ind w:right="40"/>
              <w:spacing w:after="0"/>
              <w:rPr>
                <w:sz w:val="20"/>
                <w:szCs w:val="20"/>
                <w:color w:val="auto"/>
              </w:rPr>
            </w:pPr>
            <w:r>
              <w:rPr>
                <w:rFonts w:ascii="Times New Roman" w:cs="Times New Roman" w:eastAsia="Times New Roman" w:hAnsi="Times New Roman"/>
                <w:sz w:val="20"/>
                <w:szCs w:val="20"/>
                <w:b w:val="1"/>
                <w:bCs w:val="1"/>
                <w:color w:val="auto"/>
                <w:w w:val="97"/>
              </w:rPr>
              <w:t>Weighted Average</w:t>
            </w:r>
          </w:p>
        </w:tc>
        <w:tc>
          <w:tcPr>
            <w:tcW w:w="4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760" w:type="dxa"/>
            <w:vAlign w:val="bottom"/>
            <w:gridSpan w:val="2"/>
            <w:vMerge w:val="restart"/>
          </w:tcPr>
          <w:p>
            <w:pPr>
              <w:jc w:val="right"/>
              <w:ind w:right="99"/>
              <w:spacing w:after="0"/>
              <w:rPr>
                <w:sz w:val="20"/>
                <w:szCs w:val="20"/>
                <w:color w:val="auto"/>
              </w:rPr>
            </w:pPr>
            <w:r>
              <w:rPr>
                <w:rFonts w:ascii="Times New Roman" w:cs="Times New Roman" w:eastAsia="Times New Roman" w:hAnsi="Times New Roman"/>
                <w:sz w:val="20"/>
                <w:szCs w:val="20"/>
                <w:b w:val="1"/>
                <w:bCs w:val="1"/>
                <w:color w:val="auto"/>
              </w:rPr>
              <w:t>Gross Intangible</w:t>
            </w:r>
          </w:p>
        </w:tc>
        <w:tc>
          <w:tcPr>
            <w:tcW w:w="6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620" w:type="dxa"/>
            <w:vAlign w:val="bottom"/>
            <w:gridSpan w:val="3"/>
            <w:vMerge w:val="restart"/>
          </w:tcPr>
          <w:p>
            <w:pPr>
              <w:ind w:left="80"/>
              <w:spacing w:after="0"/>
              <w:rPr>
                <w:sz w:val="20"/>
                <w:szCs w:val="20"/>
                <w:color w:val="auto"/>
              </w:rPr>
            </w:pPr>
            <w:r>
              <w:rPr>
                <w:rFonts w:ascii="Times New Roman" w:cs="Times New Roman" w:eastAsia="Times New Roman" w:hAnsi="Times New Roman"/>
                <w:sz w:val="20"/>
                <w:szCs w:val="20"/>
                <w:b w:val="1"/>
                <w:bCs w:val="1"/>
                <w:color w:val="auto"/>
              </w:rPr>
              <w:t>Accumulated</w:t>
            </w:r>
          </w:p>
        </w:tc>
        <w:tc>
          <w:tcPr>
            <w:tcW w:w="4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600" w:type="dxa"/>
            <w:vAlign w:val="bottom"/>
            <w:vMerge w:val="restart"/>
          </w:tcPr>
          <w:p>
            <w:pPr>
              <w:jc w:val="center"/>
              <w:ind w:right="119"/>
              <w:spacing w:after="0"/>
              <w:rPr>
                <w:sz w:val="20"/>
                <w:szCs w:val="20"/>
                <w:color w:val="auto"/>
              </w:rPr>
            </w:pPr>
            <w:r>
              <w:rPr>
                <w:rFonts w:ascii="Times New Roman" w:cs="Times New Roman" w:eastAsia="Times New Roman" w:hAnsi="Times New Roman"/>
                <w:sz w:val="20"/>
                <w:szCs w:val="20"/>
                <w:b w:val="1"/>
                <w:bCs w:val="1"/>
                <w:color w:val="auto"/>
                <w:w w:val="99"/>
              </w:rPr>
              <w:t>Net Intangible</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30"/>
        </w:trPr>
        <w:tc>
          <w:tcPr>
            <w:tcW w:w="26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780" w:type="dxa"/>
            <w:vAlign w:val="bottom"/>
            <w:gridSpan w:val="2"/>
          </w:tcPr>
          <w:p>
            <w:pPr>
              <w:jc w:val="center"/>
              <w:ind w:right="20"/>
              <w:spacing w:after="0"/>
              <w:rPr>
                <w:sz w:val="20"/>
                <w:szCs w:val="20"/>
                <w:color w:val="auto"/>
              </w:rPr>
            </w:pPr>
            <w:r>
              <w:rPr>
                <w:rFonts w:ascii="Times New Roman" w:cs="Times New Roman" w:eastAsia="Times New Roman" w:hAnsi="Times New Roman"/>
                <w:sz w:val="20"/>
                <w:szCs w:val="20"/>
                <w:b w:val="1"/>
                <w:bCs w:val="1"/>
                <w:color w:val="auto"/>
                <w:w w:val="99"/>
              </w:rPr>
              <w:t>Amortization Period</w:t>
            </w:r>
          </w:p>
        </w:tc>
        <w:tc>
          <w:tcPr>
            <w:tcW w:w="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760" w:type="dxa"/>
            <w:vAlign w:val="bottom"/>
            <w:gridSpan w:val="2"/>
            <w:vMerge w:val="continue"/>
          </w:tcPr>
          <w:p>
            <w:pPr>
              <w:spacing w:after="0"/>
              <w:rPr>
                <w:sz w:val="20"/>
                <w:szCs w:val="20"/>
                <w:color w:val="auto"/>
              </w:rPr>
            </w:pPr>
          </w:p>
        </w:tc>
        <w:tc>
          <w:tcPr>
            <w:tcW w:w="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620" w:type="dxa"/>
            <w:vAlign w:val="bottom"/>
            <w:gridSpan w:val="3"/>
            <w:vMerge w:val="continue"/>
          </w:tcPr>
          <w:p>
            <w:pPr>
              <w:spacing w:after="0"/>
              <w:rPr>
                <w:sz w:val="20"/>
                <w:szCs w:val="20"/>
                <w:color w:val="auto"/>
              </w:rPr>
            </w:pPr>
          </w:p>
        </w:tc>
        <w:tc>
          <w:tcPr>
            <w:tcW w:w="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600" w:type="dxa"/>
            <w:vAlign w:val="bottom"/>
            <w:vMerge w:val="continue"/>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05"/>
        </w:trPr>
        <w:tc>
          <w:tcPr>
            <w:tcW w:w="2620" w:type="dxa"/>
            <w:vAlign w:val="bottom"/>
            <w:tcBorders>
              <w:bottom w:val="single" w:sz="8" w:color="DDDDDD"/>
            </w:tcBorders>
          </w:tcPr>
          <w:p>
            <w:pPr>
              <w:spacing w:after="0"/>
              <w:rPr>
                <w:sz w:val="24"/>
                <w:szCs w:val="24"/>
                <w:color w:val="auto"/>
              </w:rPr>
            </w:pPr>
          </w:p>
        </w:tc>
        <w:tc>
          <w:tcPr>
            <w:tcW w:w="60" w:type="dxa"/>
            <w:vAlign w:val="bottom"/>
            <w:tcBorders>
              <w:bottom w:val="single" w:sz="8" w:color="DDDDDD"/>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1780" w:type="dxa"/>
            <w:vAlign w:val="bottom"/>
            <w:tcBorders>
              <w:bottom w:val="single" w:sz="8" w:color="auto"/>
            </w:tcBorders>
            <w:gridSpan w:val="2"/>
          </w:tcPr>
          <w:p>
            <w:pPr>
              <w:jc w:val="center"/>
              <w:ind w:right="40"/>
              <w:spacing w:after="0"/>
              <w:rPr>
                <w:sz w:val="20"/>
                <w:szCs w:val="20"/>
                <w:color w:val="auto"/>
              </w:rPr>
            </w:pPr>
            <w:r>
              <w:rPr>
                <w:rFonts w:ascii="Times New Roman" w:cs="Times New Roman" w:eastAsia="Times New Roman" w:hAnsi="Times New Roman"/>
                <w:sz w:val="20"/>
                <w:szCs w:val="20"/>
                <w:b w:val="1"/>
                <w:bCs w:val="1"/>
                <w:color w:val="auto"/>
                <w:w w:val="97"/>
              </w:rPr>
              <w:t>(Years)</w:t>
            </w:r>
          </w:p>
        </w:tc>
        <w:tc>
          <w:tcPr>
            <w:tcW w:w="4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1580" w:type="dxa"/>
            <w:vAlign w:val="bottom"/>
            <w:tcBorders>
              <w:bottom w:val="single" w:sz="8" w:color="auto"/>
            </w:tcBorders>
          </w:tcPr>
          <w:p>
            <w:pPr>
              <w:jc w:val="right"/>
              <w:ind w:right="539"/>
              <w:spacing w:after="0"/>
              <w:rPr>
                <w:sz w:val="20"/>
                <w:szCs w:val="20"/>
                <w:color w:val="auto"/>
              </w:rPr>
            </w:pPr>
            <w:r>
              <w:rPr>
                <w:rFonts w:ascii="Times New Roman" w:cs="Times New Roman" w:eastAsia="Times New Roman" w:hAnsi="Times New Roman"/>
                <w:sz w:val="20"/>
                <w:szCs w:val="20"/>
                <w:b w:val="1"/>
                <w:bCs w:val="1"/>
                <w:color w:val="auto"/>
              </w:rPr>
              <w:t>Assets</w:t>
            </w: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1560" w:type="dxa"/>
            <w:vAlign w:val="bottom"/>
            <w:tcBorders>
              <w:bottom w:val="single" w:sz="8" w:color="auto"/>
            </w:tcBorders>
          </w:tcPr>
          <w:p>
            <w:pPr>
              <w:ind w:left="80"/>
              <w:spacing w:after="0"/>
              <w:rPr>
                <w:sz w:val="20"/>
                <w:szCs w:val="20"/>
                <w:color w:val="auto"/>
              </w:rPr>
            </w:pPr>
            <w:r>
              <w:rPr>
                <w:rFonts w:ascii="Times New Roman" w:cs="Times New Roman" w:eastAsia="Times New Roman" w:hAnsi="Times New Roman"/>
                <w:sz w:val="20"/>
                <w:szCs w:val="20"/>
                <w:b w:val="1"/>
                <w:bCs w:val="1"/>
                <w:color w:val="auto"/>
              </w:rPr>
              <w:t>Amortization</w:t>
            </w:r>
          </w:p>
        </w:tc>
        <w:tc>
          <w:tcPr>
            <w:tcW w:w="60" w:type="dxa"/>
            <w:vAlign w:val="bottom"/>
            <w:tcBorders>
              <w:bottom w:val="single" w:sz="8" w:color="DDDDDD"/>
            </w:tcBorders>
            <w:gridSpan w:val="2"/>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600" w:type="dxa"/>
            <w:vAlign w:val="bottom"/>
            <w:tcBorders>
              <w:bottom w:val="single" w:sz="8" w:color="auto"/>
            </w:tcBorders>
          </w:tcPr>
          <w:p>
            <w:pPr>
              <w:jc w:val="center"/>
              <w:ind w:right="119"/>
              <w:spacing w:after="0"/>
              <w:rPr>
                <w:sz w:val="20"/>
                <w:szCs w:val="20"/>
                <w:color w:val="auto"/>
              </w:rPr>
            </w:pPr>
            <w:r>
              <w:rPr>
                <w:rFonts w:ascii="Times New Roman" w:cs="Times New Roman" w:eastAsia="Times New Roman" w:hAnsi="Times New Roman"/>
                <w:sz w:val="20"/>
                <w:szCs w:val="20"/>
                <w:b w:val="1"/>
                <w:bCs w:val="1"/>
                <w:color w:val="auto"/>
              </w:rPr>
              <w:t>Assets</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68"/>
        </w:trPr>
        <w:tc>
          <w:tcPr>
            <w:tcW w:w="2620" w:type="dxa"/>
            <w:vAlign w:val="bottom"/>
            <w:tcBorders>
              <w:top w:val="single" w:sz="8" w:color="DDDDDD"/>
            </w:tcBorders>
            <w:shd w:val="clear" w:color="auto" w:fill="DDDDDD"/>
          </w:tcPr>
          <w:p>
            <w:pPr>
              <w:ind w:left="60"/>
              <w:spacing w:after="0"/>
              <w:rPr>
                <w:sz w:val="20"/>
                <w:szCs w:val="20"/>
                <w:color w:val="auto"/>
              </w:rPr>
            </w:pPr>
            <w:r>
              <w:rPr>
                <w:rFonts w:ascii="Times New Roman" w:cs="Times New Roman" w:eastAsia="Times New Roman" w:hAnsi="Times New Roman"/>
                <w:sz w:val="20"/>
                <w:szCs w:val="20"/>
                <w:color w:val="auto"/>
              </w:rPr>
              <w:t>Trade and domain names</w:t>
            </w:r>
          </w:p>
        </w:tc>
        <w:tc>
          <w:tcPr>
            <w:tcW w:w="60" w:type="dxa"/>
            <w:vAlign w:val="bottom"/>
            <w:tcBorders>
              <w:top w:val="single" w:sz="8" w:color="DDDDDD"/>
            </w:tcBorders>
            <w:shd w:val="clear" w:color="auto" w:fill="DDDDDD"/>
          </w:tcPr>
          <w:p>
            <w:pPr>
              <w:spacing w:after="0"/>
              <w:rPr>
                <w:sz w:val="23"/>
                <w:szCs w:val="23"/>
                <w:color w:val="auto"/>
              </w:rPr>
            </w:pPr>
          </w:p>
        </w:tc>
        <w:tc>
          <w:tcPr>
            <w:tcW w:w="1840" w:type="dxa"/>
            <w:vAlign w:val="bottom"/>
            <w:tcBorders>
              <w:top w:val="single" w:sz="8" w:color="DDDDDD"/>
            </w:tcBorders>
            <w:gridSpan w:val="2"/>
            <w:shd w:val="clear" w:color="auto" w:fill="DDDDDD"/>
          </w:tcPr>
          <w:p>
            <w:pPr>
              <w:jc w:val="right"/>
              <w:ind w:right="639"/>
              <w:spacing w:after="0"/>
              <w:rPr>
                <w:sz w:val="20"/>
                <w:szCs w:val="20"/>
                <w:color w:val="auto"/>
              </w:rPr>
            </w:pPr>
            <w:r>
              <w:rPr>
                <w:rFonts w:ascii="Times New Roman" w:cs="Times New Roman" w:eastAsia="Times New Roman" w:hAnsi="Times New Roman"/>
                <w:sz w:val="20"/>
                <w:szCs w:val="20"/>
                <w:color w:val="auto"/>
              </w:rPr>
              <w:t>15.0</w:t>
            </w:r>
          </w:p>
        </w:tc>
        <w:tc>
          <w:tcPr>
            <w:tcW w:w="20" w:type="dxa"/>
            <w:vAlign w:val="bottom"/>
            <w:tcBorders>
              <w:top w:val="single" w:sz="8" w:color="DDDDDD"/>
            </w:tcBorders>
            <w:shd w:val="clear" w:color="auto" w:fill="DDDDDD"/>
          </w:tcPr>
          <w:p>
            <w:pPr>
              <w:spacing w:after="0"/>
              <w:rPr>
                <w:sz w:val="23"/>
                <w:szCs w:val="23"/>
                <w:color w:val="auto"/>
              </w:rPr>
            </w:pPr>
          </w:p>
        </w:tc>
        <w:tc>
          <w:tcPr>
            <w:tcW w:w="280" w:type="dxa"/>
            <w:vAlign w:val="bottom"/>
            <w:tcBorders>
              <w:top w:val="single" w:sz="8" w:color="DDDDDD"/>
            </w:tcBorders>
            <w:gridSpan w:val="4"/>
            <w:shd w:val="clear" w:color="auto" w:fill="DDDDDD"/>
          </w:tcPr>
          <w:p>
            <w:pPr>
              <w:jc w:val="right"/>
              <w:ind w:right="19"/>
              <w:spacing w:after="0"/>
              <w:rPr>
                <w:sz w:val="20"/>
                <w:szCs w:val="20"/>
                <w:color w:val="auto"/>
              </w:rPr>
            </w:pPr>
            <w:r>
              <w:rPr>
                <w:rFonts w:ascii="Times New Roman" w:cs="Times New Roman" w:eastAsia="Times New Roman" w:hAnsi="Times New Roman"/>
                <w:sz w:val="20"/>
                <w:szCs w:val="20"/>
                <w:color w:val="auto"/>
              </w:rPr>
              <w:t>$</w:t>
            </w:r>
          </w:p>
        </w:tc>
        <w:tc>
          <w:tcPr>
            <w:tcW w:w="1580" w:type="dxa"/>
            <w:vAlign w:val="bottom"/>
            <w:tcBorders>
              <w:top w:val="single" w:sz="8" w:color="DDDDDD"/>
            </w:tcBorders>
            <w:shd w:val="clear" w:color="auto" w:fill="DDDDDD"/>
          </w:tcPr>
          <w:p>
            <w:pPr>
              <w:jc w:val="right"/>
              <w:spacing w:after="0"/>
              <w:rPr>
                <w:sz w:val="20"/>
                <w:szCs w:val="20"/>
                <w:color w:val="auto"/>
              </w:rPr>
            </w:pPr>
            <w:r>
              <w:rPr>
                <w:rFonts w:ascii="Times New Roman" w:cs="Times New Roman" w:eastAsia="Times New Roman" w:hAnsi="Times New Roman"/>
                <w:sz w:val="20"/>
                <w:szCs w:val="20"/>
                <w:color w:val="auto"/>
              </w:rPr>
              <w:t>7,256</w:t>
            </w:r>
          </w:p>
        </w:tc>
        <w:tc>
          <w:tcPr>
            <w:tcW w:w="60" w:type="dxa"/>
            <w:vAlign w:val="bottom"/>
            <w:tcBorders>
              <w:top w:val="single" w:sz="8" w:color="DDDDDD"/>
            </w:tcBorders>
            <w:shd w:val="clear" w:color="auto" w:fill="DDDDDD"/>
          </w:tcPr>
          <w:p>
            <w:pPr>
              <w:spacing w:after="0"/>
              <w:rPr>
                <w:sz w:val="23"/>
                <w:szCs w:val="23"/>
                <w:color w:val="auto"/>
              </w:rPr>
            </w:pPr>
          </w:p>
        </w:tc>
        <w:tc>
          <w:tcPr>
            <w:tcW w:w="300" w:type="dxa"/>
            <w:vAlign w:val="bottom"/>
            <w:tcBorders>
              <w:top w:val="single" w:sz="8" w:color="DDDDDD"/>
            </w:tcBorders>
            <w:gridSpan w:val="4"/>
            <w:shd w:val="clear" w:color="auto" w:fill="DDDDDD"/>
          </w:tcPr>
          <w:p>
            <w:pPr>
              <w:jc w:val="right"/>
              <w:ind w:right="19"/>
              <w:spacing w:after="0"/>
              <w:rPr>
                <w:sz w:val="20"/>
                <w:szCs w:val="20"/>
                <w:color w:val="auto"/>
              </w:rPr>
            </w:pPr>
            <w:r>
              <w:rPr>
                <w:rFonts w:ascii="Times New Roman" w:cs="Times New Roman" w:eastAsia="Times New Roman" w:hAnsi="Times New Roman"/>
                <w:sz w:val="20"/>
                <w:szCs w:val="20"/>
                <w:color w:val="auto"/>
              </w:rPr>
              <w:t>$</w:t>
            </w:r>
          </w:p>
        </w:tc>
        <w:tc>
          <w:tcPr>
            <w:tcW w:w="1560" w:type="dxa"/>
            <w:vAlign w:val="bottom"/>
            <w:tcBorders>
              <w:top w:val="single" w:sz="8" w:color="DDDDDD"/>
            </w:tcBorders>
            <w:shd w:val="clear" w:color="auto" w:fill="DDDDDD"/>
          </w:tcPr>
          <w:p>
            <w:pPr>
              <w:jc w:val="right"/>
              <w:spacing w:after="0"/>
              <w:rPr>
                <w:sz w:val="20"/>
                <w:szCs w:val="20"/>
                <w:color w:val="auto"/>
              </w:rPr>
            </w:pPr>
            <w:r>
              <w:rPr>
                <w:rFonts w:ascii="Times New Roman" w:cs="Times New Roman" w:eastAsia="Times New Roman" w:hAnsi="Times New Roman"/>
                <w:sz w:val="20"/>
                <w:szCs w:val="20"/>
                <w:color w:val="auto"/>
              </w:rPr>
              <w:t>(5,008)</w:t>
            </w:r>
          </w:p>
        </w:tc>
        <w:tc>
          <w:tcPr>
            <w:tcW w:w="20" w:type="dxa"/>
            <w:vAlign w:val="bottom"/>
            <w:tcBorders>
              <w:top w:val="single" w:sz="8" w:color="DDDDDD"/>
            </w:tcBorders>
            <w:shd w:val="clear" w:color="auto" w:fill="DDDDDD"/>
          </w:tcPr>
          <w:p>
            <w:pPr>
              <w:spacing w:after="0"/>
              <w:rPr>
                <w:sz w:val="23"/>
                <w:szCs w:val="23"/>
                <w:color w:val="auto"/>
              </w:rPr>
            </w:pPr>
          </w:p>
        </w:tc>
        <w:tc>
          <w:tcPr>
            <w:tcW w:w="40" w:type="dxa"/>
            <w:vAlign w:val="bottom"/>
            <w:tcBorders>
              <w:top w:val="single" w:sz="8" w:color="DDDDDD"/>
            </w:tcBorders>
            <w:shd w:val="clear" w:color="auto" w:fill="DDDDDD"/>
          </w:tcPr>
          <w:p>
            <w:pPr>
              <w:spacing w:after="0"/>
              <w:rPr>
                <w:sz w:val="23"/>
                <w:szCs w:val="23"/>
                <w:color w:val="auto"/>
              </w:rPr>
            </w:pPr>
          </w:p>
        </w:tc>
        <w:tc>
          <w:tcPr>
            <w:tcW w:w="260" w:type="dxa"/>
            <w:vAlign w:val="bottom"/>
            <w:tcBorders>
              <w:top w:val="single" w:sz="8" w:color="DDDDDD"/>
            </w:tcBorders>
            <w:gridSpan w:val="2"/>
            <w:shd w:val="clear" w:color="auto" w:fill="DDDDDD"/>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1600" w:type="dxa"/>
            <w:vAlign w:val="bottom"/>
            <w:tcBorders>
              <w:top w:val="single" w:sz="8" w:color="DDDDDD"/>
            </w:tcBorders>
            <w:shd w:val="clear" w:color="auto" w:fill="DDDDDD"/>
          </w:tcPr>
          <w:p>
            <w:pPr>
              <w:jc w:val="right"/>
              <w:spacing w:after="0"/>
              <w:rPr>
                <w:sz w:val="20"/>
                <w:szCs w:val="20"/>
                <w:color w:val="auto"/>
              </w:rPr>
            </w:pPr>
            <w:r>
              <w:rPr>
                <w:rFonts w:ascii="Times New Roman" w:cs="Times New Roman" w:eastAsia="Times New Roman" w:hAnsi="Times New Roman"/>
                <w:sz w:val="20"/>
                <w:szCs w:val="20"/>
                <w:color w:val="auto"/>
              </w:rPr>
              <w:t>2,248</w:t>
            </w: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307"/>
        </w:trPr>
        <w:tc>
          <w:tcPr>
            <w:tcW w:w="2680" w:type="dxa"/>
            <w:vAlign w:val="bottom"/>
            <w:gridSpan w:val="2"/>
          </w:tcPr>
          <w:p>
            <w:pPr>
              <w:ind w:left="60"/>
              <w:spacing w:after="0"/>
              <w:rPr>
                <w:sz w:val="20"/>
                <w:szCs w:val="20"/>
                <w:color w:val="auto"/>
              </w:rPr>
            </w:pPr>
            <w:r>
              <w:rPr>
                <w:rFonts w:ascii="Times New Roman" w:cs="Times New Roman" w:eastAsia="Times New Roman" w:hAnsi="Times New Roman"/>
                <w:sz w:val="20"/>
                <w:szCs w:val="20"/>
                <w:color w:val="auto"/>
              </w:rPr>
              <w:t>Software technology</w:t>
            </w:r>
          </w:p>
        </w:tc>
        <w:tc>
          <w:tcPr>
            <w:tcW w:w="1840" w:type="dxa"/>
            <w:vAlign w:val="bottom"/>
            <w:gridSpan w:val="2"/>
          </w:tcPr>
          <w:p>
            <w:pPr>
              <w:ind w:left="800"/>
              <w:spacing w:after="0"/>
              <w:rPr>
                <w:sz w:val="20"/>
                <w:szCs w:val="20"/>
                <w:color w:val="auto"/>
              </w:rPr>
            </w:pPr>
            <w:r>
              <w:rPr>
                <w:rFonts w:ascii="Times New Roman" w:cs="Times New Roman" w:eastAsia="Times New Roman" w:hAnsi="Times New Roman"/>
                <w:sz w:val="20"/>
                <w:szCs w:val="20"/>
                <w:color w:val="auto"/>
              </w:rPr>
              <w:t>5.0</w:t>
            </w: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5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249</w:t>
            </w: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5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(112)</w:t>
            </w: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6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137</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14"/>
        </w:trPr>
        <w:tc>
          <w:tcPr>
            <w:tcW w:w="2620" w:type="dxa"/>
            <w:vAlign w:val="bottom"/>
            <w:shd w:val="clear" w:color="auto" w:fill="DDDDDD"/>
          </w:tcPr>
          <w:p>
            <w:pPr>
              <w:ind w:left="60"/>
              <w:spacing w:after="0"/>
              <w:rPr>
                <w:sz w:val="20"/>
                <w:szCs w:val="20"/>
                <w:color w:val="auto"/>
              </w:rPr>
            </w:pPr>
            <w:r>
              <w:rPr>
                <w:rFonts w:ascii="Times New Roman" w:cs="Times New Roman" w:eastAsia="Times New Roman" w:hAnsi="Times New Roman"/>
                <w:sz w:val="20"/>
                <w:szCs w:val="20"/>
                <w:color w:val="auto"/>
              </w:rPr>
              <w:t>Customer relationships</w:t>
            </w:r>
          </w:p>
        </w:tc>
        <w:tc>
          <w:tcPr>
            <w:tcW w:w="60" w:type="dxa"/>
            <w:vAlign w:val="bottom"/>
            <w:shd w:val="clear" w:color="auto" w:fill="DDDDDD"/>
          </w:tcPr>
          <w:p>
            <w:pPr>
              <w:spacing w:after="0"/>
              <w:rPr>
                <w:sz w:val="24"/>
                <w:szCs w:val="24"/>
                <w:color w:val="auto"/>
              </w:rPr>
            </w:pPr>
          </w:p>
        </w:tc>
        <w:tc>
          <w:tcPr>
            <w:tcW w:w="1840" w:type="dxa"/>
            <w:vAlign w:val="bottom"/>
            <w:gridSpan w:val="2"/>
            <w:shd w:val="clear" w:color="auto" w:fill="DDDDDD"/>
          </w:tcPr>
          <w:p>
            <w:pPr>
              <w:ind w:left="800"/>
              <w:spacing w:after="0"/>
              <w:rPr>
                <w:sz w:val="20"/>
                <w:szCs w:val="20"/>
                <w:color w:val="auto"/>
              </w:rPr>
            </w:pPr>
            <w:r>
              <w:rPr>
                <w:rFonts w:ascii="Times New Roman" w:cs="Times New Roman" w:eastAsia="Times New Roman" w:hAnsi="Times New Roman"/>
                <w:sz w:val="20"/>
                <w:szCs w:val="20"/>
                <w:color w:val="auto"/>
              </w:rPr>
              <w:t>8.0</w:t>
            </w:r>
          </w:p>
        </w:tc>
        <w:tc>
          <w:tcPr>
            <w:tcW w:w="20" w:type="dxa"/>
            <w:vAlign w:val="bottom"/>
            <w:shd w:val="clear" w:color="auto" w:fill="DDDDDD"/>
          </w:tcPr>
          <w:p>
            <w:pPr>
              <w:spacing w:after="0"/>
              <w:rPr>
                <w:sz w:val="24"/>
                <w:szCs w:val="24"/>
                <w:color w:val="auto"/>
              </w:rPr>
            </w:pPr>
          </w:p>
        </w:tc>
        <w:tc>
          <w:tcPr>
            <w:tcW w:w="40" w:type="dxa"/>
            <w:vAlign w:val="bottom"/>
            <w:tcBorders>
              <w:bottom w:val="single" w:sz="8" w:color="auto"/>
            </w:tcBorders>
            <w:shd w:val="clear" w:color="auto" w:fill="DDDDDD"/>
          </w:tcPr>
          <w:p>
            <w:pPr>
              <w:spacing w:after="0"/>
              <w:rPr>
                <w:sz w:val="24"/>
                <w:szCs w:val="24"/>
                <w:color w:val="auto"/>
              </w:rPr>
            </w:pPr>
          </w:p>
        </w:tc>
        <w:tc>
          <w:tcPr>
            <w:tcW w:w="40" w:type="dxa"/>
            <w:vAlign w:val="bottom"/>
            <w:tcBorders>
              <w:bottom w:val="single" w:sz="8" w:color="auto"/>
            </w:tcBorders>
            <w:shd w:val="clear" w:color="auto" w:fill="DDDDDD"/>
          </w:tcPr>
          <w:p>
            <w:pPr>
              <w:spacing w:after="0"/>
              <w:rPr>
                <w:sz w:val="24"/>
                <w:szCs w:val="24"/>
                <w:color w:val="auto"/>
              </w:rPr>
            </w:pPr>
          </w:p>
        </w:tc>
        <w:tc>
          <w:tcPr>
            <w:tcW w:w="20" w:type="dxa"/>
            <w:vAlign w:val="bottom"/>
            <w:tcBorders>
              <w:bottom w:val="single" w:sz="8" w:color="auto"/>
            </w:tcBorders>
            <w:shd w:val="clear" w:color="auto" w:fill="DDDDDD"/>
          </w:tcPr>
          <w:p>
            <w:pPr>
              <w:spacing w:after="0"/>
              <w:rPr>
                <w:sz w:val="24"/>
                <w:szCs w:val="24"/>
                <w:color w:val="auto"/>
              </w:rPr>
            </w:pPr>
          </w:p>
        </w:tc>
        <w:tc>
          <w:tcPr>
            <w:tcW w:w="180" w:type="dxa"/>
            <w:vAlign w:val="bottom"/>
            <w:tcBorders>
              <w:bottom w:val="single" w:sz="8" w:color="auto"/>
            </w:tcBorders>
            <w:shd w:val="clear" w:color="auto" w:fill="DDDDDD"/>
          </w:tcPr>
          <w:p>
            <w:pPr>
              <w:spacing w:after="0"/>
              <w:rPr>
                <w:sz w:val="24"/>
                <w:szCs w:val="24"/>
                <w:color w:val="auto"/>
              </w:rPr>
            </w:pPr>
          </w:p>
        </w:tc>
        <w:tc>
          <w:tcPr>
            <w:tcW w:w="1580" w:type="dxa"/>
            <w:vAlign w:val="bottom"/>
            <w:tcBorders>
              <w:bottom w:val="single" w:sz="8" w:color="auto"/>
            </w:tcBorders>
            <w:shd w:val="clear" w:color="auto" w:fill="DDDDDD"/>
          </w:tcPr>
          <w:p>
            <w:pPr>
              <w:jc w:val="right"/>
              <w:spacing w:after="0"/>
              <w:rPr>
                <w:sz w:val="20"/>
                <w:szCs w:val="20"/>
                <w:color w:val="auto"/>
              </w:rPr>
            </w:pPr>
            <w:r>
              <w:rPr>
                <w:rFonts w:ascii="Times New Roman" w:cs="Times New Roman" w:eastAsia="Times New Roman" w:hAnsi="Times New Roman"/>
                <w:sz w:val="20"/>
                <w:szCs w:val="20"/>
                <w:color w:val="auto"/>
              </w:rPr>
              <w:t>170</w:t>
            </w:r>
          </w:p>
        </w:tc>
        <w:tc>
          <w:tcPr>
            <w:tcW w:w="60" w:type="dxa"/>
            <w:vAlign w:val="bottom"/>
            <w:shd w:val="clear" w:color="auto" w:fill="DDDDDD"/>
          </w:tcPr>
          <w:p>
            <w:pPr>
              <w:spacing w:after="0"/>
              <w:rPr>
                <w:sz w:val="24"/>
                <w:szCs w:val="24"/>
                <w:color w:val="auto"/>
              </w:rPr>
            </w:pPr>
          </w:p>
        </w:tc>
        <w:tc>
          <w:tcPr>
            <w:tcW w:w="20" w:type="dxa"/>
            <w:vAlign w:val="bottom"/>
            <w:shd w:val="clear" w:color="auto" w:fill="DDDDDD"/>
          </w:tcPr>
          <w:p>
            <w:pPr>
              <w:spacing w:after="0"/>
              <w:rPr>
                <w:sz w:val="24"/>
                <w:szCs w:val="24"/>
                <w:color w:val="auto"/>
              </w:rPr>
            </w:pPr>
          </w:p>
        </w:tc>
        <w:tc>
          <w:tcPr>
            <w:tcW w:w="20" w:type="dxa"/>
            <w:vAlign w:val="bottom"/>
            <w:tcBorders>
              <w:bottom w:val="single" w:sz="8" w:color="auto"/>
            </w:tcBorders>
            <w:shd w:val="clear" w:color="auto" w:fill="DDDDDD"/>
          </w:tcPr>
          <w:p>
            <w:pPr>
              <w:spacing w:after="0"/>
              <w:rPr>
                <w:sz w:val="24"/>
                <w:szCs w:val="24"/>
                <w:color w:val="auto"/>
              </w:rPr>
            </w:pPr>
          </w:p>
        </w:tc>
        <w:tc>
          <w:tcPr>
            <w:tcW w:w="20" w:type="dxa"/>
            <w:vAlign w:val="bottom"/>
            <w:tcBorders>
              <w:bottom w:val="single" w:sz="8" w:color="auto"/>
            </w:tcBorders>
            <w:shd w:val="clear" w:color="auto" w:fill="DDDDDD"/>
          </w:tcPr>
          <w:p>
            <w:pPr>
              <w:spacing w:after="0"/>
              <w:rPr>
                <w:sz w:val="24"/>
                <w:szCs w:val="24"/>
                <w:color w:val="auto"/>
              </w:rPr>
            </w:pPr>
          </w:p>
        </w:tc>
        <w:tc>
          <w:tcPr>
            <w:tcW w:w="240" w:type="dxa"/>
            <w:vAlign w:val="bottom"/>
            <w:tcBorders>
              <w:bottom w:val="single" w:sz="8" w:color="auto"/>
            </w:tcBorders>
            <w:shd w:val="clear" w:color="auto" w:fill="DDDDDD"/>
          </w:tcPr>
          <w:p>
            <w:pPr>
              <w:spacing w:after="0"/>
              <w:rPr>
                <w:sz w:val="24"/>
                <w:szCs w:val="24"/>
                <w:color w:val="auto"/>
              </w:rPr>
            </w:pPr>
          </w:p>
        </w:tc>
        <w:tc>
          <w:tcPr>
            <w:tcW w:w="1560" w:type="dxa"/>
            <w:vAlign w:val="bottom"/>
            <w:tcBorders>
              <w:bottom w:val="single" w:sz="8" w:color="auto"/>
            </w:tcBorders>
            <w:shd w:val="clear" w:color="auto" w:fill="DDDDDD"/>
          </w:tcPr>
          <w:p>
            <w:pPr>
              <w:jc w:val="right"/>
              <w:spacing w:after="0"/>
              <w:rPr>
                <w:sz w:val="20"/>
                <w:szCs w:val="20"/>
                <w:color w:val="auto"/>
              </w:rPr>
            </w:pPr>
            <w:r>
              <w:rPr>
                <w:rFonts w:ascii="Times New Roman" w:cs="Times New Roman" w:eastAsia="Times New Roman" w:hAnsi="Times New Roman"/>
                <w:sz w:val="20"/>
                <w:szCs w:val="20"/>
                <w:color w:val="auto"/>
              </w:rPr>
              <w:t>(48)</w:t>
            </w:r>
          </w:p>
        </w:tc>
        <w:tc>
          <w:tcPr>
            <w:tcW w:w="20" w:type="dxa"/>
            <w:vAlign w:val="bottom"/>
            <w:shd w:val="clear" w:color="auto" w:fill="DDDDDD"/>
          </w:tcPr>
          <w:p>
            <w:pPr>
              <w:spacing w:after="0"/>
              <w:rPr>
                <w:sz w:val="24"/>
                <w:szCs w:val="24"/>
                <w:color w:val="auto"/>
              </w:rPr>
            </w:pPr>
          </w:p>
        </w:tc>
        <w:tc>
          <w:tcPr>
            <w:tcW w:w="40" w:type="dxa"/>
            <w:vAlign w:val="bottom"/>
            <w:shd w:val="clear" w:color="auto" w:fill="DDDDDD"/>
          </w:tcPr>
          <w:p>
            <w:pPr>
              <w:spacing w:after="0"/>
              <w:rPr>
                <w:sz w:val="24"/>
                <w:szCs w:val="24"/>
                <w:color w:val="auto"/>
              </w:rPr>
            </w:pPr>
          </w:p>
        </w:tc>
        <w:tc>
          <w:tcPr>
            <w:tcW w:w="40" w:type="dxa"/>
            <w:vAlign w:val="bottom"/>
            <w:tcBorders>
              <w:bottom w:val="single" w:sz="8" w:color="auto"/>
            </w:tcBorders>
            <w:shd w:val="clear" w:color="auto" w:fill="DDDDDD"/>
          </w:tcPr>
          <w:p>
            <w:pPr>
              <w:spacing w:after="0"/>
              <w:rPr>
                <w:sz w:val="24"/>
                <w:szCs w:val="24"/>
                <w:color w:val="auto"/>
              </w:rPr>
            </w:pPr>
          </w:p>
        </w:tc>
        <w:tc>
          <w:tcPr>
            <w:tcW w:w="220" w:type="dxa"/>
            <w:vAlign w:val="bottom"/>
            <w:tcBorders>
              <w:bottom w:val="single" w:sz="8" w:color="auto"/>
            </w:tcBorders>
            <w:shd w:val="clear" w:color="auto" w:fill="DDDDDD"/>
          </w:tcPr>
          <w:p>
            <w:pPr>
              <w:spacing w:after="0"/>
              <w:rPr>
                <w:sz w:val="24"/>
                <w:szCs w:val="24"/>
                <w:color w:val="auto"/>
              </w:rPr>
            </w:pPr>
          </w:p>
        </w:tc>
        <w:tc>
          <w:tcPr>
            <w:tcW w:w="1600" w:type="dxa"/>
            <w:vAlign w:val="bottom"/>
            <w:tcBorders>
              <w:bottom w:val="single" w:sz="8" w:color="auto"/>
            </w:tcBorders>
            <w:shd w:val="clear" w:color="auto" w:fill="DDDDDD"/>
          </w:tcPr>
          <w:p>
            <w:pPr>
              <w:jc w:val="right"/>
              <w:spacing w:after="0"/>
              <w:rPr>
                <w:sz w:val="20"/>
                <w:szCs w:val="20"/>
                <w:color w:val="auto"/>
              </w:rPr>
            </w:pPr>
            <w:r>
              <w:rPr>
                <w:rFonts w:ascii="Times New Roman" w:cs="Times New Roman" w:eastAsia="Times New Roman" w:hAnsi="Times New Roman"/>
                <w:sz w:val="20"/>
                <w:szCs w:val="20"/>
                <w:color w:val="auto"/>
              </w:rPr>
              <w:t>122</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0"/>
        </w:trPr>
        <w:tc>
          <w:tcPr>
            <w:tcW w:w="2680" w:type="dxa"/>
            <w:vAlign w:val="bottom"/>
            <w:gridSpan w:val="2"/>
          </w:tcPr>
          <w:p>
            <w:pPr>
              <w:ind w:left="60"/>
              <w:spacing w:after="0"/>
              <w:rPr>
                <w:sz w:val="20"/>
                <w:szCs w:val="20"/>
                <w:color w:val="auto"/>
              </w:rPr>
            </w:pPr>
            <w:r>
              <w:rPr>
                <w:rFonts w:ascii="Times New Roman" w:cs="Times New Roman" w:eastAsia="Times New Roman" w:hAnsi="Times New Roman"/>
                <w:sz w:val="20"/>
                <w:szCs w:val="20"/>
                <w:color w:val="auto"/>
              </w:rPr>
              <w:t>Total intangible assets</w:t>
            </w:r>
          </w:p>
        </w:tc>
        <w:tc>
          <w:tcPr>
            <w:tcW w:w="1840" w:type="dxa"/>
            <w:vAlign w:val="bottom"/>
            <w:gridSpan w:val="2"/>
          </w:tcPr>
          <w:p>
            <w:pPr>
              <w:jc w:val="right"/>
              <w:ind w:right="639"/>
              <w:spacing w:after="0"/>
              <w:rPr>
                <w:sz w:val="20"/>
                <w:szCs w:val="20"/>
                <w:color w:val="auto"/>
              </w:rPr>
            </w:pPr>
            <w:r>
              <w:rPr>
                <w:rFonts w:ascii="Times New Roman" w:cs="Times New Roman" w:eastAsia="Times New Roman" w:hAnsi="Times New Roman"/>
                <w:sz w:val="20"/>
                <w:szCs w:val="20"/>
                <w:color w:val="auto"/>
              </w:rPr>
              <w:t>14.5</w:t>
            </w:r>
          </w:p>
        </w:tc>
        <w:tc>
          <w:tcPr>
            <w:tcW w:w="20" w:type="dxa"/>
            <w:vAlign w:val="bottom"/>
          </w:tcPr>
          <w:p>
            <w:pPr>
              <w:spacing w:after="0"/>
              <w:rPr>
                <w:sz w:val="24"/>
                <w:szCs w:val="24"/>
                <w:color w:val="auto"/>
              </w:rPr>
            </w:pPr>
          </w:p>
        </w:tc>
        <w:tc>
          <w:tcPr>
            <w:tcW w:w="280" w:type="dxa"/>
            <w:vAlign w:val="bottom"/>
            <w:gridSpan w:val="4"/>
          </w:tcPr>
          <w:p>
            <w:pPr>
              <w:jc w:val="right"/>
              <w:ind w:right="19"/>
              <w:spacing w:after="0"/>
              <w:rPr>
                <w:sz w:val="20"/>
                <w:szCs w:val="20"/>
                <w:color w:val="auto"/>
              </w:rPr>
            </w:pPr>
            <w:r>
              <w:rPr>
                <w:rFonts w:ascii="Times New Roman" w:cs="Times New Roman" w:eastAsia="Times New Roman" w:hAnsi="Times New Roman"/>
                <w:sz w:val="20"/>
                <w:szCs w:val="20"/>
                <w:color w:val="auto"/>
              </w:rPr>
              <w:t>$</w:t>
            </w:r>
          </w:p>
        </w:tc>
        <w:tc>
          <w:tcPr>
            <w:tcW w:w="15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7,675</w:t>
            </w:r>
          </w:p>
        </w:tc>
        <w:tc>
          <w:tcPr>
            <w:tcW w:w="360" w:type="dxa"/>
            <w:vAlign w:val="bottom"/>
            <w:gridSpan w:val="5"/>
          </w:tcPr>
          <w:p>
            <w:pPr>
              <w:jc w:val="right"/>
              <w:ind w:right="19"/>
              <w:spacing w:after="0"/>
              <w:rPr>
                <w:sz w:val="20"/>
                <w:szCs w:val="20"/>
                <w:color w:val="auto"/>
              </w:rPr>
            </w:pPr>
            <w:r>
              <w:rPr>
                <w:rFonts w:ascii="Times New Roman" w:cs="Times New Roman" w:eastAsia="Times New Roman" w:hAnsi="Times New Roman"/>
                <w:sz w:val="20"/>
                <w:szCs w:val="20"/>
                <w:color w:val="auto"/>
              </w:rPr>
              <w:t>$</w:t>
            </w:r>
          </w:p>
        </w:tc>
        <w:tc>
          <w:tcPr>
            <w:tcW w:w="15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(5,168)</w:t>
            </w: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6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16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2,507</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6"/>
        </w:trPr>
        <w:tc>
          <w:tcPr>
            <w:tcW w:w="2620" w:type="dxa"/>
            <w:vAlign w:val="bottom"/>
          </w:tcPr>
          <w:p>
            <w:pPr>
              <w:spacing w:after="0"/>
              <w:rPr>
                <w:sz w:val="2"/>
                <w:szCs w:val="2"/>
                <w:color w:val="auto"/>
              </w:rPr>
            </w:pPr>
          </w:p>
        </w:tc>
        <w:tc>
          <w:tcPr>
            <w:tcW w:w="60" w:type="dxa"/>
            <w:vAlign w:val="bottom"/>
          </w:tcPr>
          <w:p>
            <w:pPr>
              <w:spacing w:after="0"/>
              <w:rPr>
                <w:sz w:val="2"/>
                <w:szCs w:val="2"/>
                <w:color w:val="auto"/>
              </w:rPr>
            </w:pPr>
          </w:p>
        </w:tc>
        <w:tc>
          <w:tcPr>
            <w:tcW w:w="80" w:type="dxa"/>
            <w:vAlign w:val="bottom"/>
          </w:tcPr>
          <w:p>
            <w:pPr>
              <w:spacing w:after="0"/>
              <w:rPr>
                <w:sz w:val="2"/>
                <w:szCs w:val="2"/>
                <w:color w:val="auto"/>
              </w:rPr>
            </w:pPr>
          </w:p>
        </w:tc>
        <w:tc>
          <w:tcPr>
            <w:tcW w:w="1760" w:type="dxa"/>
            <w:vAlign w:val="bottom"/>
          </w:tcPr>
          <w:p>
            <w:pPr>
              <w:spacing w:after="0"/>
              <w:rPr>
                <w:sz w:val="2"/>
                <w:szCs w:val="2"/>
                <w:color w:val="auto"/>
              </w:rPr>
            </w:pPr>
          </w:p>
        </w:tc>
        <w:tc>
          <w:tcPr>
            <w:tcW w:w="20" w:type="dxa"/>
            <w:vAlign w:val="bottom"/>
          </w:tcPr>
          <w:p>
            <w:pPr>
              <w:spacing w:after="0"/>
              <w:rPr>
                <w:sz w:val="2"/>
                <w:szCs w:val="2"/>
                <w:color w:val="auto"/>
              </w:rPr>
            </w:pPr>
          </w:p>
        </w:tc>
        <w:tc>
          <w:tcPr>
            <w:tcW w:w="40" w:type="dxa"/>
            <w:vAlign w:val="bottom"/>
          </w:tcPr>
          <w:p>
            <w:pPr>
              <w:spacing w:after="0"/>
              <w:rPr>
                <w:sz w:val="2"/>
                <w:szCs w:val="2"/>
                <w:color w:val="auto"/>
              </w:rPr>
            </w:pPr>
          </w:p>
        </w:tc>
        <w:tc>
          <w:tcPr>
            <w:tcW w:w="40" w:type="dxa"/>
            <w:vAlign w:val="bottom"/>
          </w:tcPr>
          <w:p>
            <w:pPr>
              <w:spacing w:after="0"/>
              <w:rPr>
                <w:sz w:val="2"/>
                <w:szCs w:val="2"/>
                <w:color w:val="auto"/>
              </w:rPr>
            </w:pPr>
          </w:p>
        </w:tc>
        <w:tc>
          <w:tcPr>
            <w:tcW w:w="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640" w:type="dxa"/>
            <w:vAlign w:val="bottom"/>
            <w:gridSpan w:val="2"/>
          </w:tcPr>
          <w:p>
            <w:pPr>
              <w:spacing w:after="0"/>
              <w:rPr>
                <w:sz w:val="2"/>
                <w:szCs w:val="2"/>
                <w:color w:val="auto"/>
              </w:rPr>
            </w:pPr>
          </w:p>
        </w:tc>
        <w:tc>
          <w:tcPr>
            <w:tcW w:w="40" w:type="dxa"/>
            <w:vAlign w:val="bottom"/>
            <w:gridSpan w:val="2"/>
          </w:tcPr>
          <w:p>
            <w:pPr>
              <w:spacing w:after="0"/>
              <w:rPr>
                <w:sz w:val="2"/>
                <w:szCs w:val="2"/>
                <w:color w:val="auto"/>
              </w:rPr>
            </w:pPr>
          </w:p>
        </w:tc>
        <w:tc>
          <w:tcPr>
            <w:tcW w:w="20" w:type="dxa"/>
            <w:vAlign w:val="bottom"/>
          </w:tcPr>
          <w:p>
            <w:pPr>
              <w:spacing w:after="0"/>
              <w:rPr>
                <w:sz w:val="2"/>
                <w:szCs w:val="2"/>
                <w:color w:val="auto"/>
              </w:rPr>
            </w:pPr>
          </w:p>
        </w:tc>
        <w:tc>
          <w:tcPr>
            <w:tcW w:w="1820" w:type="dxa"/>
            <w:vAlign w:val="bottom"/>
            <w:gridSpan w:val="3"/>
          </w:tcPr>
          <w:p>
            <w:pPr>
              <w:spacing w:after="0"/>
              <w:rPr>
                <w:sz w:val="2"/>
                <w:szCs w:val="2"/>
                <w:color w:val="auto"/>
              </w:rPr>
            </w:pPr>
          </w:p>
        </w:tc>
        <w:tc>
          <w:tcPr>
            <w:tcW w:w="40" w:type="dxa"/>
            <w:vAlign w:val="bottom"/>
          </w:tcPr>
          <w:p>
            <w:pPr>
              <w:spacing w:after="0"/>
              <w:rPr>
                <w:sz w:val="2"/>
                <w:szCs w:val="2"/>
                <w:color w:val="auto"/>
              </w:rPr>
            </w:pPr>
          </w:p>
        </w:tc>
        <w:tc>
          <w:tcPr>
            <w:tcW w:w="40" w:type="dxa"/>
            <w:vAlign w:val="bottom"/>
          </w:tcPr>
          <w:p>
            <w:pPr>
              <w:spacing w:after="0"/>
              <w:rPr>
                <w:sz w:val="2"/>
                <w:szCs w:val="2"/>
                <w:color w:val="auto"/>
              </w:rPr>
            </w:pPr>
          </w:p>
        </w:tc>
        <w:tc>
          <w:tcPr>
            <w:tcW w:w="220" w:type="dxa"/>
            <w:vAlign w:val="bottom"/>
          </w:tcPr>
          <w:p>
            <w:pPr>
              <w:spacing w:after="0"/>
              <w:rPr>
                <w:sz w:val="2"/>
                <w:szCs w:val="2"/>
                <w:color w:val="auto"/>
              </w:rPr>
            </w:pPr>
          </w:p>
        </w:tc>
        <w:tc>
          <w:tcPr>
            <w:tcW w:w="1600" w:type="dxa"/>
            <w:vAlign w:val="bottom"/>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26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760" w:type="dxa"/>
            <w:vAlign w:val="bottom"/>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58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56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6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69"/>
        </w:trPr>
        <w:tc>
          <w:tcPr>
            <w:tcW w:w="26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76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3560" w:type="dxa"/>
            <w:vAlign w:val="bottom"/>
            <w:tcBorders>
              <w:bottom w:val="single" w:sz="8" w:color="auto"/>
            </w:tcBorders>
            <w:gridSpan w:val="9"/>
          </w:tcPr>
          <w:p>
            <w:pPr>
              <w:ind w:left="860"/>
              <w:spacing w:after="0"/>
              <w:rPr>
                <w:sz w:val="20"/>
                <w:szCs w:val="20"/>
                <w:color w:val="auto"/>
              </w:rPr>
            </w:pPr>
            <w:r>
              <w:rPr>
                <w:rFonts w:ascii="Times New Roman" w:cs="Times New Roman" w:eastAsia="Times New Roman" w:hAnsi="Times New Roman"/>
                <w:sz w:val="20"/>
                <w:szCs w:val="20"/>
                <w:b w:val="1"/>
                <w:bCs w:val="1"/>
                <w:color w:val="auto"/>
              </w:rPr>
              <w:t>December 31, 2022</w:t>
            </w:r>
          </w:p>
        </w:tc>
        <w:tc>
          <w:tcPr>
            <w:tcW w:w="4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60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42"/>
        </w:trPr>
        <w:tc>
          <w:tcPr>
            <w:tcW w:w="262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780" w:type="dxa"/>
            <w:vAlign w:val="bottom"/>
            <w:gridSpan w:val="2"/>
          </w:tcPr>
          <w:p>
            <w:pPr>
              <w:jc w:val="center"/>
              <w:spacing w:after="0"/>
              <w:rPr>
                <w:sz w:val="20"/>
                <w:szCs w:val="20"/>
                <w:color w:val="auto"/>
              </w:rPr>
            </w:pPr>
            <w:r>
              <w:rPr>
                <w:rFonts w:ascii="Times New Roman" w:cs="Times New Roman" w:eastAsia="Times New Roman" w:hAnsi="Times New Roman"/>
                <w:sz w:val="20"/>
                <w:szCs w:val="20"/>
                <w:b w:val="1"/>
                <w:bCs w:val="1"/>
                <w:color w:val="auto"/>
                <w:w w:val="98"/>
              </w:rPr>
              <w:t>Weighted Average</w:t>
            </w:r>
          </w:p>
        </w:tc>
        <w:tc>
          <w:tcPr>
            <w:tcW w:w="4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580" w:type="dxa"/>
            <w:vAlign w:val="bottom"/>
            <w:vMerge w:val="restart"/>
          </w:tcPr>
          <w:p>
            <w:pPr>
              <w:jc w:val="right"/>
              <w:ind w:right="19"/>
              <w:spacing w:after="0"/>
              <w:rPr>
                <w:sz w:val="20"/>
                <w:szCs w:val="20"/>
                <w:color w:val="auto"/>
              </w:rPr>
            </w:pPr>
            <w:r>
              <w:rPr>
                <w:rFonts w:ascii="Times New Roman" w:cs="Times New Roman" w:eastAsia="Times New Roman" w:hAnsi="Times New Roman"/>
                <w:sz w:val="20"/>
                <w:szCs w:val="20"/>
                <w:b w:val="1"/>
                <w:bCs w:val="1"/>
                <w:color w:val="auto"/>
              </w:rPr>
              <w:t>Gross Intangible</w:t>
            </w:r>
          </w:p>
        </w:tc>
        <w:tc>
          <w:tcPr>
            <w:tcW w:w="6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620" w:type="dxa"/>
            <w:vAlign w:val="bottom"/>
            <w:gridSpan w:val="3"/>
            <w:vMerge w:val="restart"/>
          </w:tcPr>
          <w:p>
            <w:pPr>
              <w:jc w:val="right"/>
              <w:ind w:right="360"/>
              <w:spacing w:after="0"/>
              <w:rPr>
                <w:sz w:val="20"/>
                <w:szCs w:val="20"/>
                <w:color w:val="auto"/>
              </w:rPr>
            </w:pPr>
            <w:r>
              <w:rPr>
                <w:rFonts w:ascii="Times New Roman" w:cs="Times New Roman" w:eastAsia="Times New Roman" w:hAnsi="Times New Roman"/>
                <w:sz w:val="20"/>
                <w:szCs w:val="20"/>
                <w:b w:val="1"/>
                <w:bCs w:val="1"/>
                <w:color w:val="auto"/>
              </w:rPr>
              <w:t>Accumulated</w:t>
            </w:r>
          </w:p>
        </w:tc>
        <w:tc>
          <w:tcPr>
            <w:tcW w:w="4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600" w:type="dxa"/>
            <w:vAlign w:val="bottom"/>
            <w:vMerge w:val="restart"/>
          </w:tcPr>
          <w:p>
            <w:pPr>
              <w:jc w:val="center"/>
              <w:ind w:right="79"/>
              <w:spacing w:after="0"/>
              <w:rPr>
                <w:sz w:val="20"/>
                <w:szCs w:val="20"/>
                <w:color w:val="auto"/>
              </w:rPr>
            </w:pPr>
            <w:r>
              <w:rPr>
                <w:rFonts w:ascii="Times New Roman" w:cs="Times New Roman" w:eastAsia="Times New Roman" w:hAnsi="Times New Roman"/>
                <w:sz w:val="20"/>
                <w:szCs w:val="20"/>
                <w:b w:val="1"/>
                <w:bCs w:val="1"/>
                <w:color w:val="auto"/>
                <w:w w:val="99"/>
              </w:rPr>
              <w:t>Net Intangible</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30"/>
        </w:trPr>
        <w:tc>
          <w:tcPr>
            <w:tcW w:w="26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780" w:type="dxa"/>
            <w:vAlign w:val="bottom"/>
            <w:gridSpan w:val="2"/>
          </w:tcPr>
          <w:p>
            <w:pPr>
              <w:jc w:val="center"/>
              <w:spacing w:after="0"/>
              <w:rPr>
                <w:sz w:val="20"/>
                <w:szCs w:val="20"/>
                <w:color w:val="auto"/>
              </w:rPr>
            </w:pPr>
            <w:r>
              <w:rPr>
                <w:rFonts w:ascii="Times New Roman" w:cs="Times New Roman" w:eastAsia="Times New Roman" w:hAnsi="Times New Roman"/>
                <w:sz w:val="20"/>
                <w:szCs w:val="20"/>
                <w:b w:val="1"/>
                <w:bCs w:val="1"/>
                <w:color w:val="auto"/>
                <w:w w:val="99"/>
              </w:rPr>
              <w:t>Amortization</w:t>
            </w:r>
          </w:p>
        </w:tc>
        <w:tc>
          <w:tcPr>
            <w:tcW w:w="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580" w:type="dxa"/>
            <w:vAlign w:val="bottom"/>
            <w:vMerge w:val="continue"/>
          </w:tcPr>
          <w:p>
            <w:pPr>
              <w:spacing w:after="0"/>
              <w:rPr>
                <w:sz w:val="20"/>
                <w:szCs w:val="20"/>
                <w:color w:val="auto"/>
              </w:rPr>
            </w:pPr>
          </w:p>
        </w:tc>
        <w:tc>
          <w:tcPr>
            <w:tcW w:w="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620" w:type="dxa"/>
            <w:vAlign w:val="bottom"/>
            <w:gridSpan w:val="3"/>
            <w:vMerge w:val="continue"/>
          </w:tcPr>
          <w:p>
            <w:pPr>
              <w:spacing w:after="0"/>
              <w:rPr>
                <w:sz w:val="20"/>
                <w:szCs w:val="20"/>
                <w:color w:val="auto"/>
              </w:rPr>
            </w:pPr>
          </w:p>
        </w:tc>
        <w:tc>
          <w:tcPr>
            <w:tcW w:w="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600" w:type="dxa"/>
            <w:vAlign w:val="bottom"/>
            <w:vMerge w:val="continue"/>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85"/>
        </w:trPr>
        <w:tc>
          <w:tcPr>
            <w:tcW w:w="2620" w:type="dxa"/>
            <w:vAlign w:val="bottom"/>
            <w:tcBorders>
              <w:bottom w:val="single" w:sz="8" w:color="DDDDDD"/>
            </w:tcBorders>
          </w:tcPr>
          <w:p>
            <w:pPr>
              <w:spacing w:after="0"/>
              <w:rPr>
                <w:sz w:val="24"/>
                <w:szCs w:val="24"/>
                <w:color w:val="auto"/>
              </w:rPr>
            </w:pPr>
          </w:p>
        </w:tc>
        <w:tc>
          <w:tcPr>
            <w:tcW w:w="60" w:type="dxa"/>
            <w:vAlign w:val="bottom"/>
            <w:tcBorders>
              <w:bottom w:val="single" w:sz="8" w:color="DDDDDD"/>
            </w:tcBorders>
          </w:tcPr>
          <w:p>
            <w:pPr>
              <w:spacing w:after="0"/>
              <w:rPr>
                <w:sz w:val="24"/>
                <w:szCs w:val="24"/>
                <w:color w:val="auto"/>
              </w:rPr>
            </w:pPr>
          </w:p>
        </w:tc>
        <w:tc>
          <w:tcPr>
            <w:tcW w:w="80" w:type="dxa"/>
            <w:vAlign w:val="bottom"/>
            <w:tcBorders>
              <w:bottom w:val="single" w:sz="8" w:color="DDDDDD"/>
            </w:tcBorders>
          </w:tcPr>
          <w:p>
            <w:pPr>
              <w:spacing w:after="0"/>
              <w:rPr>
                <w:sz w:val="24"/>
                <w:szCs w:val="24"/>
                <w:color w:val="auto"/>
              </w:rPr>
            </w:pPr>
          </w:p>
        </w:tc>
        <w:tc>
          <w:tcPr>
            <w:tcW w:w="1780" w:type="dxa"/>
            <w:vAlign w:val="bottom"/>
            <w:tcBorders>
              <w:bottom w:val="single" w:sz="8" w:color="DDDDDD"/>
            </w:tcBorders>
            <w:gridSpan w:val="2"/>
          </w:tcPr>
          <w:p>
            <w:pPr>
              <w:jc w:val="center"/>
              <w:spacing w:after="0"/>
              <w:rPr>
                <w:sz w:val="20"/>
                <w:szCs w:val="20"/>
                <w:color w:val="auto"/>
              </w:rPr>
            </w:pPr>
            <w:r>
              <w:rPr>
                <w:rFonts w:ascii="Times New Roman" w:cs="Times New Roman" w:eastAsia="Times New Roman" w:hAnsi="Times New Roman"/>
                <w:sz w:val="20"/>
                <w:szCs w:val="20"/>
                <w:b w:val="1"/>
                <w:bCs w:val="1"/>
                <w:color w:val="auto"/>
                <w:w w:val="99"/>
              </w:rPr>
              <w:t>Period (Years)</w:t>
            </w:r>
          </w:p>
        </w:tc>
        <w:tc>
          <w:tcPr>
            <w:tcW w:w="40" w:type="dxa"/>
            <w:vAlign w:val="bottom"/>
            <w:tcBorders>
              <w:bottom w:val="single" w:sz="8" w:color="DDDDDD"/>
            </w:tcBorders>
          </w:tcPr>
          <w:p>
            <w:pPr>
              <w:spacing w:after="0"/>
              <w:rPr>
                <w:sz w:val="24"/>
                <w:szCs w:val="24"/>
                <w:color w:val="auto"/>
              </w:rPr>
            </w:pPr>
          </w:p>
        </w:tc>
        <w:tc>
          <w:tcPr>
            <w:tcW w:w="40" w:type="dxa"/>
            <w:vAlign w:val="bottom"/>
            <w:tcBorders>
              <w:bottom w:val="single" w:sz="8" w:color="DDDDDD"/>
            </w:tcBorders>
          </w:tcPr>
          <w:p>
            <w:pPr>
              <w:spacing w:after="0"/>
              <w:rPr>
                <w:sz w:val="24"/>
                <w:szCs w:val="24"/>
                <w:color w:val="auto"/>
              </w:rPr>
            </w:pPr>
          </w:p>
        </w:tc>
        <w:tc>
          <w:tcPr>
            <w:tcW w:w="20" w:type="dxa"/>
            <w:vAlign w:val="bottom"/>
            <w:tcBorders>
              <w:bottom w:val="single" w:sz="8" w:color="DDDDDD"/>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1580" w:type="dxa"/>
            <w:vAlign w:val="bottom"/>
            <w:tcBorders>
              <w:bottom w:val="single" w:sz="8" w:color="auto"/>
            </w:tcBorders>
          </w:tcPr>
          <w:p>
            <w:pPr>
              <w:jc w:val="right"/>
              <w:ind w:right="459"/>
              <w:spacing w:after="0"/>
              <w:rPr>
                <w:sz w:val="20"/>
                <w:szCs w:val="20"/>
                <w:color w:val="auto"/>
              </w:rPr>
            </w:pPr>
            <w:r>
              <w:rPr>
                <w:rFonts w:ascii="Times New Roman" w:cs="Times New Roman" w:eastAsia="Times New Roman" w:hAnsi="Times New Roman"/>
                <w:sz w:val="20"/>
                <w:szCs w:val="20"/>
                <w:b w:val="1"/>
                <w:bCs w:val="1"/>
                <w:color w:val="auto"/>
              </w:rPr>
              <w:t>Assets</w:t>
            </w:r>
          </w:p>
        </w:tc>
        <w:tc>
          <w:tcPr>
            <w:tcW w:w="6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20" w:type="dxa"/>
            <w:vAlign w:val="bottom"/>
            <w:tcBorders>
              <w:bottom w:val="single" w:sz="8" w:color="DDDDDD"/>
            </w:tcBorders>
          </w:tcPr>
          <w:p>
            <w:pPr>
              <w:spacing w:after="0"/>
              <w:rPr>
                <w:sz w:val="24"/>
                <w:szCs w:val="24"/>
                <w:color w:val="auto"/>
              </w:rPr>
            </w:pPr>
          </w:p>
        </w:tc>
        <w:tc>
          <w:tcPr>
            <w:tcW w:w="20" w:type="dxa"/>
            <w:vAlign w:val="bottom"/>
            <w:tcBorders>
              <w:bottom w:val="single" w:sz="8" w:color="DDDDDD"/>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1580" w:type="dxa"/>
            <w:vAlign w:val="bottom"/>
            <w:tcBorders>
              <w:bottom w:val="single" w:sz="8" w:color="auto"/>
            </w:tcBorders>
            <w:gridSpan w:val="2"/>
          </w:tcPr>
          <w:p>
            <w:pPr>
              <w:jc w:val="right"/>
              <w:ind w:right="320"/>
              <w:spacing w:after="0"/>
              <w:rPr>
                <w:sz w:val="20"/>
                <w:szCs w:val="20"/>
                <w:color w:val="auto"/>
              </w:rPr>
            </w:pPr>
            <w:r>
              <w:rPr>
                <w:rFonts w:ascii="Times New Roman" w:cs="Times New Roman" w:eastAsia="Times New Roman" w:hAnsi="Times New Roman"/>
                <w:sz w:val="20"/>
                <w:szCs w:val="20"/>
                <w:b w:val="1"/>
                <w:bCs w:val="1"/>
                <w:color w:val="auto"/>
              </w:rPr>
              <w:t>Amortization</w:t>
            </w:r>
          </w:p>
        </w:tc>
        <w:tc>
          <w:tcPr>
            <w:tcW w:w="40" w:type="dxa"/>
            <w:vAlign w:val="bottom"/>
            <w:tcBorders>
              <w:bottom w:val="single" w:sz="8" w:color="DDDDDD"/>
            </w:tcBorders>
          </w:tcPr>
          <w:p>
            <w:pPr>
              <w:spacing w:after="0"/>
              <w:rPr>
                <w:sz w:val="24"/>
                <w:szCs w:val="24"/>
                <w:color w:val="auto"/>
              </w:rPr>
            </w:pPr>
          </w:p>
        </w:tc>
        <w:tc>
          <w:tcPr>
            <w:tcW w:w="40" w:type="dxa"/>
            <w:vAlign w:val="bottom"/>
            <w:tcBorders>
              <w:bottom w:val="single" w:sz="8" w:color="DDDDDD"/>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600" w:type="dxa"/>
            <w:vAlign w:val="bottom"/>
            <w:tcBorders>
              <w:bottom w:val="single" w:sz="8" w:color="auto"/>
            </w:tcBorders>
          </w:tcPr>
          <w:p>
            <w:pPr>
              <w:jc w:val="center"/>
              <w:ind w:right="79"/>
              <w:spacing w:after="0"/>
              <w:rPr>
                <w:sz w:val="20"/>
                <w:szCs w:val="20"/>
                <w:color w:val="auto"/>
              </w:rPr>
            </w:pPr>
            <w:r>
              <w:rPr>
                <w:rFonts w:ascii="Times New Roman" w:cs="Times New Roman" w:eastAsia="Times New Roman" w:hAnsi="Times New Roman"/>
                <w:sz w:val="20"/>
                <w:szCs w:val="20"/>
                <w:b w:val="1"/>
                <w:bCs w:val="1"/>
                <w:color w:val="auto"/>
              </w:rPr>
              <w:t>Assets</w:t>
            </w:r>
          </w:p>
        </w:tc>
        <w:tc>
          <w:tcPr>
            <w:tcW w:w="2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95"/>
        </w:trPr>
        <w:tc>
          <w:tcPr>
            <w:tcW w:w="2680" w:type="dxa"/>
            <w:vAlign w:val="bottom"/>
            <w:gridSpan w:val="2"/>
            <w:shd w:val="clear" w:color="auto" w:fill="DDDDDD"/>
          </w:tcPr>
          <w:p>
            <w:pPr>
              <w:ind w:left="40"/>
              <w:spacing w:after="0"/>
              <w:rPr>
                <w:sz w:val="20"/>
                <w:szCs w:val="20"/>
                <w:color w:val="auto"/>
              </w:rPr>
            </w:pPr>
            <w:r>
              <w:rPr>
                <w:rFonts w:ascii="Times New Roman" w:cs="Times New Roman" w:eastAsia="Times New Roman" w:hAnsi="Times New Roman"/>
                <w:sz w:val="20"/>
                <w:szCs w:val="20"/>
                <w:color w:val="auto"/>
              </w:rPr>
              <w:t>Trade and domain names</w:t>
            </w:r>
          </w:p>
        </w:tc>
        <w:tc>
          <w:tcPr>
            <w:tcW w:w="1840" w:type="dxa"/>
            <w:vAlign w:val="bottom"/>
            <w:gridSpan w:val="2"/>
            <w:shd w:val="clear" w:color="auto" w:fill="DDDDDD"/>
          </w:tcPr>
          <w:p>
            <w:pPr>
              <w:ind w:left="800"/>
              <w:spacing w:after="0"/>
              <w:rPr>
                <w:sz w:val="20"/>
                <w:szCs w:val="20"/>
                <w:color w:val="auto"/>
              </w:rPr>
            </w:pPr>
            <w:r>
              <w:rPr>
                <w:rFonts w:ascii="Times New Roman" w:cs="Times New Roman" w:eastAsia="Times New Roman" w:hAnsi="Times New Roman"/>
                <w:sz w:val="20"/>
                <w:szCs w:val="20"/>
                <w:color w:val="auto"/>
              </w:rPr>
              <w:t>14.4</w:t>
            </w:r>
          </w:p>
        </w:tc>
        <w:tc>
          <w:tcPr>
            <w:tcW w:w="20" w:type="dxa"/>
            <w:vAlign w:val="bottom"/>
            <w:shd w:val="clear" w:color="auto" w:fill="DDDDDD"/>
          </w:tcPr>
          <w:p>
            <w:pPr>
              <w:spacing w:after="0"/>
              <w:rPr>
                <w:sz w:val="24"/>
                <w:szCs w:val="24"/>
                <w:color w:val="auto"/>
              </w:rPr>
            </w:pPr>
          </w:p>
        </w:tc>
        <w:tc>
          <w:tcPr>
            <w:tcW w:w="40" w:type="dxa"/>
            <w:vAlign w:val="bottom"/>
            <w:shd w:val="clear" w:color="auto" w:fill="DDDDDD"/>
          </w:tcPr>
          <w:p>
            <w:pPr>
              <w:spacing w:after="0"/>
              <w:rPr>
                <w:sz w:val="24"/>
                <w:szCs w:val="24"/>
                <w:color w:val="auto"/>
              </w:rPr>
            </w:pPr>
          </w:p>
        </w:tc>
        <w:tc>
          <w:tcPr>
            <w:tcW w:w="240" w:type="dxa"/>
            <w:vAlign w:val="bottom"/>
            <w:gridSpan w:val="3"/>
            <w:shd w:val="clear" w:color="auto" w:fill="DDDDDD"/>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1580" w:type="dxa"/>
            <w:vAlign w:val="bottom"/>
            <w:shd w:val="clear" w:color="auto" w:fill="DDDDDD"/>
          </w:tcPr>
          <w:p>
            <w:pPr>
              <w:jc w:val="right"/>
              <w:spacing w:after="0"/>
              <w:rPr>
                <w:sz w:val="20"/>
                <w:szCs w:val="20"/>
                <w:color w:val="auto"/>
              </w:rPr>
            </w:pPr>
            <w:r>
              <w:rPr>
                <w:rFonts w:ascii="Times New Roman" w:cs="Times New Roman" w:eastAsia="Times New Roman" w:hAnsi="Times New Roman"/>
                <w:sz w:val="20"/>
                <w:szCs w:val="20"/>
                <w:color w:val="auto"/>
              </w:rPr>
              <w:t>7,635</w:t>
            </w:r>
          </w:p>
        </w:tc>
        <w:tc>
          <w:tcPr>
            <w:tcW w:w="60" w:type="dxa"/>
            <w:vAlign w:val="bottom"/>
            <w:shd w:val="clear" w:color="auto" w:fill="DDDDDD"/>
          </w:tcPr>
          <w:p>
            <w:pPr>
              <w:spacing w:after="0"/>
              <w:rPr>
                <w:sz w:val="24"/>
                <w:szCs w:val="24"/>
                <w:color w:val="auto"/>
              </w:rPr>
            </w:pPr>
          </w:p>
        </w:tc>
        <w:tc>
          <w:tcPr>
            <w:tcW w:w="40" w:type="dxa"/>
            <w:vAlign w:val="bottom"/>
            <w:gridSpan w:val="2"/>
            <w:shd w:val="clear" w:color="auto" w:fill="DDDDDD"/>
          </w:tcPr>
          <w:p>
            <w:pPr>
              <w:spacing w:after="0"/>
              <w:rPr>
                <w:sz w:val="24"/>
                <w:szCs w:val="24"/>
                <w:color w:val="auto"/>
              </w:rPr>
            </w:pPr>
          </w:p>
        </w:tc>
        <w:tc>
          <w:tcPr>
            <w:tcW w:w="260" w:type="dxa"/>
            <w:vAlign w:val="bottom"/>
            <w:gridSpan w:val="2"/>
            <w:shd w:val="clear" w:color="auto" w:fill="DDDDDD"/>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1580" w:type="dxa"/>
            <w:vAlign w:val="bottom"/>
            <w:gridSpan w:val="2"/>
            <w:shd w:val="clear" w:color="auto" w:fill="DDDDDD"/>
          </w:tcPr>
          <w:p>
            <w:pPr>
              <w:jc w:val="right"/>
              <w:spacing w:after="0"/>
              <w:rPr>
                <w:sz w:val="20"/>
                <w:szCs w:val="20"/>
                <w:color w:val="auto"/>
              </w:rPr>
            </w:pPr>
            <w:r>
              <w:rPr>
                <w:rFonts w:ascii="Times New Roman" w:cs="Times New Roman" w:eastAsia="Times New Roman" w:hAnsi="Times New Roman"/>
                <w:sz w:val="20"/>
                <w:szCs w:val="20"/>
                <w:color w:val="auto"/>
              </w:rPr>
              <w:t>(4,699)</w:t>
            </w:r>
          </w:p>
        </w:tc>
        <w:tc>
          <w:tcPr>
            <w:tcW w:w="40" w:type="dxa"/>
            <w:vAlign w:val="bottom"/>
            <w:shd w:val="clear" w:color="auto" w:fill="DDDDDD"/>
          </w:tcPr>
          <w:p>
            <w:pPr>
              <w:spacing w:after="0"/>
              <w:rPr>
                <w:sz w:val="24"/>
                <w:szCs w:val="24"/>
                <w:color w:val="auto"/>
              </w:rPr>
            </w:pPr>
          </w:p>
        </w:tc>
        <w:tc>
          <w:tcPr>
            <w:tcW w:w="40" w:type="dxa"/>
            <w:vAlign w:val="bottom"/>
            <w:shd w:val="clear" w:color="auto" w:fill="DDDDDD"/>
          </w:tcPr>
          <w:p>
            <w:pPr>
              <w:spacing w:after="0"/>
              <w:rPr>
                <w:sz w:val="24"/>
                <w:szCs w:val="24"/>
                <w:color w:val="auto"/>
              </w:rPr>
            </w:pPr>
          </w:p>
        </w:tc>
        <w:tc>
          <w:tcPr>
            <w:tcW w:w="220" w:type="dxa"/>
            <w:vAlign w:val="bottom"/>
            <w:shd w:val="clear" w:color="auto" w:fill="DDDDDD"/>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1600" w:type="dxa"/>
            <w:vAlign w:val="bottom"/>
            <w:shd w:val="clear" w:color="auto" w:fill="DDDDDD"/>
          </w:tcPr>
          <w:p>
            <w:pPr>
              <w:jc w:val="right"/>
              <w:spacing w:after="0"/>
              <w:rPr>
                <w:sz w:val="20"/>
                <w:szCs w:val="20"/>
                <w:color w:val="auto"/>
              </w:rPr>
            </w:pPr>
            <w:r>
              <w:rPr>
                <w:rFonts w:ascii="Times New Roman" w:cs="Times New Roman" w:eastAsia="Times New Roman" w:hAnsi="Times New Roman"/>
                <w:sz w:val="20"/>
                <w:szCs w:val="20"/>
                <w:color w:val="auto"/>
              </w:rPr>
              <w:t>2,936</w:t>
            </w:r>
          </w:p>
        </w:tc>
        <w:tc>
          <w:tcPr>
            <w:tcW w:w="20" w:type="dxa"/>
            <w:vAlign w:val="bottom"/>
            <w:shd w:val="clear" w:color="auto" w:fill="DDDDDD"/>
          </w:tcPr>
          <w:p>
            <w:pPr>
              <w:spacing w:after="0"/>
              <w:rPr>
                <w:sz w:val="24"/>
                <w:szCs w:val="24"/>
                <w:color w:val="auto"/>
              </w:rPr>
            </w:pPr>
          </w:p>
        </w:tc>
        <w:tc>
          <w:tcPr>
            <w:tcW w:w="0" w:type="dxa"/>
            <w:vAlign w:val="bottom"/>
          </w:tcPr>
          <w:p>
            <w:pPr>
              <w:spacing w:after="0"/>
              <w:rPr>
                <w:sz w:val="1"/>
                <w:szCs w:val="1"/>
                <w:color w:val="auto"/>
              </w:rPr>
            </w:pPr>
          </w:p>
        </w:tc>
      </w:tr>
      <w:tr>
        <w:trPr>
          <w:trHeight w:val="304"/>
        </w:trPr>
        <w:tc>
          <w:tcPr>
            <w:tcW w:w="2680" w:type="dxa"/>
            <w:vAlign w:val="bottom"/>
            <w:gridSpan w:val="2"/>
          </w:tcPr>
          <w:p>
            <w:pPr>
              <w:ind w:left="40"/>
              <w:spacing w:after="0"/>
              <w:rPr>
                <w:sz w:val="20"/>
                <w:szCs w:val="20"/>
                <w:color w:val="auto"/>
              </w:rPr>
            </w:pPr>
            <w:r>
              <w:rPr>
                <w:rFonts w:ascii="Times New Roman" w:cs="Times New Roman" w:eastAsia="Times New Roman" w:hAnsi="Times New Roman"/>
                <w:sz w:val="20"/>
                <w:szCs w:val="20"/>
                <w:color w:val="auto"/>
              </w:rPr>
              <w:t>Software technology</w:t>
            </w:r>
          </w:p>
        </w:tc>
        <w:tc>
          <w:tcPr>
            <w:tcW w:w="1840" w:type="dxa"/>
            <w:vAlign w:val="bottom"/>
            <w:gridSpan w:val="2"/>
          </w:tcPr>
          <w:p>
            <w:pPr>
              <w:jc w:val="right"/>
              <w:ind w:right="639"/>
              <w:spacing w:after="0"/>
              <w:rPr>
                <w:sz w:val="20"/>
                <w:szCs w:val="20"/>
                <w:color w:val="auto"/>
              </w:rPr>
            </w:pPr>
            <w:r>
              <w:rPr>
                <w:rFonts w:ascii="Times New Roman" w:cs="Times New Roman" w:eastAsia="Times New Roman" w:hAnsi="Times New Roman"/>
                <w:sz w:val="20"/>
                <w:szCs w:val="20"/>
                <w:color w:val="auto"/>
              </w:rPr>
              <w:t>6.9</w:t>
            </w: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5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7,516</w:t>
            </w: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58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(4,413)</w:t>
            </w: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6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3,103</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3"/>
        </w:trPr>
        <w:tc>
          <w:tcPr>
            <w:tcW w:w="2680" w:type="dxa"/>
            <w:vAlign w:val="bottom"/>
            <w:gridSpan w:val="2"/>
            <w:shd w:val="clear" w:color="auto" w:fill="DDDDDD"/>
          </w:tcPr>
          <w:p>
            <w:pPr>
              <w:ind w:left="40"/>
              <w:spacing w:after="0"/>
              <w:rPr>
                <w:sz w:val="20"/>
                <w:szCs w:val="20"/>
                <w:color w:val="auto"/>
              </w:rPr>
            </w:pPr>
            <w:r>
              <w:rPr>
                <w:rFonts w:ascii="Times New Roman" w:cs="Times New Roman" w:eastAsia="Times New Roman" w:hAnsi="Times New Roman"/>
                <w:sz w:val="20"/>
                <w:szCs w:val="20"/>
                <w:color w:val="auto"/>
              </w:rPr>
              <w:t>Customer relationships</w:t>
            </w:r>
          </w:p>
        </w:tc>
        <w:tc>
          <w:tcPr>
            <w:tcW w:w="1840" w:type="dxa"/>
            <w:vAlign w:val="bottom"/>
            <w:gridSpan w:val="2"/>
            <w:shd w:val="clear" w:color="auto" w:fill="DDDDDD"/>
          </w:tcPr>
          <w:p>
            <w:pPr>
              <w:ind w:left="800"/>
              <w:spacing w:after="0"/>
              <w:rPr>
                <w:sz w:val="20"/>
                <w:szCs w:val="20"/>
                <w:color w:val="auto"/>
              </w:rPr>
            </w:pPr>
            <w:r>
              <w:rPr>
                <w:rFonts w:ascii="Times New Roman" w:cs="Times New Roman" w:eastAsia="Times New Roman" w:hAnsi="Times New Roman"/>
                <w:sz w:val="20"/>
                <w:szCs w:val="20"/>
                <w:color w:val="auto"/>
              </w:rPr>
              <w:t>11.5</w:t>
            </w:r>
          </w:p>
        </w:tc>
        <w:tc>
          <w:tcPr>
            <w:tcW w:w="20" w:type="dxa"/>
            <w:vAlign w:val="bottom"/>
            <w:shd w:val="clear" w:color="auto" w:fill="DDDDDD"/>
          </w:tcPr>
          <w:p>
            <w:pPr>
              <w:spacing w:after="0"/>
              <w:rPr>
                <w:sz w:val="24"/>
                <w:szCs w:val="24"/>
                <w:color w:val="auto"/>
              </w:rPr>
            </w:pPr>
          </w:p>
        </w:tc>
        <w:tc>
          <w:tcPr>
            <w:tcW w:w="40" w:type="dxa"/>
            <w:vAlign w:val="bottom"/>
            <w:shd w:val="clear" w:color="auto" w:fill="DDDDDD"/>
          </w:tcPr>
          <w:p>
            <w:pPr>
              <w:spacing w:after="0"/>
              <w:rPr>
                <w:sz w:val="24"/>
                <w:szCs w:val="24"/>
                <w:color w:val="auto"/>
              </w:rPr>
            </w:pPr>
          </w:p>
        </w:tc>
        <w:tc>
          <w:tcPr>
            <w:tcW w:w="40" w:type="dxa"/>
            <w:vAlign w:val="bottom"/>
            <w:shd w:val="clear" w:color="auto" w:fill="DDDDDD"/>
          </w:tcPr>
          <w:p>
            <w:pPr>
              <w:spacing w:after="0"/>
              <w:rPr>
                <w:sz w:val="24"/>
                <w:szCs w:val="24"/>
                <w:color w:val="auto"/>
              </w:rPr>
            </w:pPr>
          </w:p>
        </w:tc>
        <w:tc>
          <w:tcPr>
            <w:tcW w:w="20" w:type="dxa"/>
            <w:vAlign w:val="bottom"/>
            <w:shd w:val="clear" w:color="auto" w:fill="DDDDDD"/>
          </w:tcPr>
          <w:p>
            <w:pPr>
              <w:spacing w:after="0"/>
              <w:rPr>
                <w:sz w:val="24"/>
                <w:szCs w:val="24"/>
                <w:color w:val="auto"/>
              </w:rPr>
            </w:pPr>
          </w:p>
        </w:tc>
        <w:tc>
          <w:tcPr>
            <w:tcW w:w="180" w:type="dxa"/>
            <w:vAlign w:val="bottom"/>
            <w:shd w:val="clear" w:color="auto" w:fill="DDDDDD"/>
          </w:tcPr>
          <w:p>
            <w:pPr>
              <w:spacing w:after="0"/>
              <w:rPr>
                <w:sz w:val="24"/>
                <w:szCs w:val="24"/>
                <w:color w:val="auto"/>
              </w:rPr>
            </w:pPr>
          </w:p>
        </w:tc>
        <w:tc>
          <w:tcPr>
            <w:tcW w:w="1580" w:type="dxa"/>
            <w:vAlign w:val="bottom"/>
            <w:shd w:val="clear" w:color="auto" w:fill="DDDDDD"/>
          </w:tcPr>
          <w:p>
            <w:pPr>
              <w:jc w:val="right"/>
              <w:spacing w:after="0"/>
              <w:rPr>
                <w:sz w:val="20"/>
                <w:szCs w:val="20"/>
                <w:color w:val="auto"/>
              </w:rPr>
            </w:pPr>
            <w:r>
              <w:rPr>
                <w:rFonts w:ascii="Times New Roman" w:cs="Times New Roman" w:eastAsia="Times New Roman" w:hAnsi="Times New Roman"/>
                <w:sz w:val="20"/>
                <w:szCs w:val="20"/>
                <w:color w:val="auto"/>
              </w:rPr>
              <w:t>5,211</w:t>
            </w:r>
          </w:p>
        </w:tc>
        <w:tc>
          <w:tcPr>
            <w:tcW w:w="60" w:type="dxa"/>
            <w:vAlign w:val="bottom"/>
            <w:shd w:val="clear" w:color="auto" w:fill="DDDDDD"/>
          </w:tcPr>
          <w:p>
            <w:pPr>
              <w:spacing w:after="0"/>
              <w:rPr>
                <w:sz w:val="24"/>
                <w:szCs w:val="24"/>
                <w:color w:val="auto"/>
              </w:rPr>
            </w:pPr>
          </w:p>
        </w:tc>
        <w:tc>
          <w:tcPr>
            <w:tcW w:w="20" w:type="dxa"/>
            <w:vAlign w:val="bottom"/>
            <w:shd w:val="clear" w:color="auto" w:fill="DDDDDD"/>
          </w:tcPr>
          <w:p>
            <w:pPr>
              <w:spacing w:after="0"/>
              <w:rPr>
                <w:sz w:val="24"/>
                <w:szCs w:val="24"/>
                <w:color w:val="auto"/>
              </w:rPr>
            </w:pPr>
          </w:p>
        </w:tc>
        <w:tc>
          <w:tcPr>
            <w:tcW w:w="20" w:type="dxa"/>
            <w:vAlign w:val="bottom"/>
            <w:shd w:val="clear" w:color="auto" w:fill="DDDDDD"/>
          </w:tcPr>
          <w:p>
            <w:pPr>
              <w:spacing w:after="0"/>
              <w:rPr>
                <w:sz w:val="24"/>
                <w:szCs w:val="24"/>
                <w:color w:val="auto"/>
              </w:rPr>
            </w:pPr>
          </w:p>
        </w:tc>
        <w:tc>
          <w:tcPr>
            <w:tcW w:w="20" w:type="dxa"/>
            <w:vAlign w:val="bottom"/>
            <w:shd w:val="clear" w:color="auto" w:fill="DDDDDD"/>
          </w:tcPr>
          <w:p>
            <w:pPr>
              <w:spacing w:after="0"/>
              <w:rPr>
                <w:sz w:val="24"/>
                <w:szCs w:val="24"/>
                <w:color w:val="auto"/>
              </w:rPr>
            </w:pPr>
          </w:p>
        </w:tc>
        <w:tc>
          <w:tcPr>
            <w:tcW w:w="240" w:type="dxa"/>
            <w:vAlign w:val="bottom"/>
            <w:shd w:val="clear" w:color="auto" w:fill="DDDDDD"/>
          </w:tcPr>
          <w:p>
            <w:pPr>
              <w:spacing w:after="0"/>
              <w:rPr>
                <w:sz w:val="24"/>
                <w:szCs w:val="24"/>
                <w:color w:val="auto"/>
              </w:rPr>
            </w:pPr>
          </w:p>
        </w:tc>
        <w:tc>
          <w:tcPr>
            <w:tcW w:w="1580" w:type="dxa"/>
            <w:vAlign w:val="bottom"/>
            <w:gridSpan w:val="2"/>
            <w:shd w:val="clear" w:color="auto" w:fill="DDDDDD"/>
          </w:tcPr>
          <w:p>
            <w:pPr>
              <w:jc w:val="right"/>
              <w:spacing w:after="0"/>
              <w:rPr>
                <w:sz w:val="20"/>
                <w:szCs w:val="20"/>
                <w:color w:val="auto"/>
              </w:rPr>
            </w:pPr>
            <w:r>
              <w:rPr>
                <w:rFonts w:ascii="Times New Roman" w:cs="Times New Roman" w:eastAsia="Times New Roman" w:hAnsi="Times New Roman"/>
                <w:sz w:val="20"/>
                <w:szCs w:val="20"/>
                <w:color w:val="auto"/>
              </w:rPr>
              <w:t>(921)</w:t>
            </w:r>
          </w:p>
        </w:tc>
        <w:tc>
          <w:tcPr>
            <w:tcW w:w="40" w:type="dxa"/>
            <w:vAlign w:val="bottom"/>
            <w:shd w:val="clear" w:color="auto" w:fill="DDDDDD"/>
          </w:tcPr>
          <w:p>
            <w:pPr>
              <w:spacing w:after="0"/>
              <w:rPr>
                <w:sz w:val="24"/>
                <w:szCs w:val="24"/>
                <w:color w:val="auto"/>
              </w:rPr>
            </w:pPr>
          </w:p>
        </w:tc>
        <w:tc>
          <w:tcPr>
            <w:tcW w:w="40" w:type="dxa"/>
            <w:vAlign w:val="bottom"/>
            <w:shd w:val="clear" w:color="auto" w:fill="DDDDDD"/>
          </w:tcPr>
          <w:p>
            <w:pPr>
              <w:spacing w:after="0"/>
              <w:rPr>
                <w:sz w:val="24"/>
                <w:szCs w:val="24"/>
                <w:color w:val="auto"/>
              </w:rPr>
            </w:pPr>
          </w:p>
        </w:tc>
        <w:tc>
          <w:tcPr>
            <w:tcW w:w="220" w:type="dxa"/>
            <w:vAlign w:val="bottom"/>
            <w:shd w:val="clear" w:color="auto" w:fill="DDDDDD"/>
          </w:tcPr>
          <w:p>
            <w:pPr>
              <w:spacing w:after="0"/>
              <w:rPr>
                <w:sz w:val="24"/>
                <w:szCs w:val="24"/>
                <w:color w:val="auto"/>
              </w:rPr>
            </w:pPr>
          </w:p>
        </w:tc>
        <w:tc>
          <w:tcPr>
            <w:tcW w:w="1600" w:type="dxa"/>
            <w:vAlign w:val="bottom"/>
            <w:shd w:val="clear" w:color="auto" w:fill="DDDDDD"/>
          </w:tcPr>
          <w:p>
            <w:pPr>
              <w:jc w:val="right"/>
              <w:spacing w:after="0"/>
              <w:rPr>
                <w:sz w:val="20"/>
                <w:szCs w:val="20"/>
                <w:color w:val="auto"/>
              </w:rPr>
            </w:pPr>
            <w:r>
              <w:rPr>
                <w:rFonts w:ascii="Times New Roman" w:cs="Times New Roman" w:eastAsia="Times New Roman" w:hAnsi="Times New Roman"/>
                <w:sz w:val="20"/>
                <w:szCs w:val="20"/>
                <w:color w:val="auto"/>
              </w:rPr>
              <w:t>4,290</w:t>
            </w:r>
          </w:p>
        </w:tc>
        <w:tc>
          <w:tcPr>
            <w:tcW w:w="20" w:type="dxa"/>
            <w:vAlign w:val="bottom"/>
            <w:shd w:val="clear" w:color="auto" w:fill="DDDDDD"/>
          </w:tcPr>
          <w:p>
            <w:pPr>
              <w:spacing w:after="0"/>
              <w:rPr>
                <w:sz w:val="24"/>
                <w:szCs w:val="24"/>
                <w:color w:val="auto"/>
              </w:rPr>
            </w:pPr>
          </w:p>
        </w:tc>
        <w:tc>
          <w:tcPr>
            <w:tcW w:w="0" w:type="dxa"/>
            <w:vAlign w:val="bottom"/>
          </w:tcPr>
          <w:p>
            <w:pPr>
              <w:spacing w:after="0"/>
              <w:rPr>
                <w:sz w:val="1"/>
                <w:szCs w:val="1"/>
                <w:color w:val="auto"/>
              </w:rPr>
            </w:pPr>
          </w:p>
        </w:tc>
      </w:tr>
      <w:tr>
        <w:trPr>
          <w:trHeight w:val="379"/>
        </w:trPr>
        <w:tc>
          <w:tcPr>
            <w:tcW w:w="2680" w:type="dxa"/>
            <w:vAlign w:val="bottom"/>
            <w:tcBorders>
              <w:bottom w:val="single" w:sz="8" w:color="DDDDDD"/>
            </w:tcBorders>
            <w:gridSpan w:val="2"/>
          </w:tcPr>
          <w:p>
            <w:pPr>
              <w:ind w:left="40"/>
              <w:spacing w:after="0"/>
              <w:rPr>
                <w:sz w:val="20"/>
                <w:szCs w:val="20"/>
                <w:color w:val="auto"/>
              </w:rPr>
            </w:pPr>
            <w:r>
              <w:rPr>
                <w:rFonts w:ascii="Times New Roman" w:cs="Times New Roman" w:eastAsia="Times New Roman" w:hAnsi="Times New Roman"/>
                <w:sz w:val="20"/>
                <w:szCs w:val="20"/>
                <w:color w:val="auto"/>
              </w:rPr>
              <w:t>Order Backlog</w:t>
            </w:r>
          </w:p>
        </w:tc>
        <w:tc>
          <w:tcPr>
            <w:tcW w:w="1840" w:type="dxa"/>
            <w:vAlign w:val="bottom"/>
            <w:tcBorders>
              <w:bottom w:val="single" w:sz="8" w:color="DDDDDD"/>
            </w:tcBorders>
            <w:gridSpan w:val="2"/>
          </w:tcPr>
          <w:p>
            <w:pPr>
              <w:jc w:val="right"/>
              <w:ind w:right="639"/>
              <w:spacing w:after="0"/>
              <w:rPr>
                <w:sz w:val="20"/>
                <w:szCs w:val="20"/>
                <w:color w:val="auto"/>
              </w:rPr>
            </w:pPr>
            <w:r>
              <w:rPr>
                <w:rFonts w:ascii="Times New Roman" w:cs="Times New Roman" w:eastAsia="Times New Roman" w:hAnsi="Times New Roman"/>
                <w:sz w:val="20"/>
                <w:szCs w:val="20"/>
                <w:color w:val="auto"/>
              </w:rPr>
              <w:t>1.0</w:t>
            </w:r>
          </w:p>
        </w:tc>
        <w:tc>
          <w:tcPr>
            <w:tcW w:w="20" w:type="dxa"/>
            <w:vAlign w:val="bottom"/>
            <w:tcBorders>
              <w:bottom w:val="single" w:sz="8" w:color="DDDDDD"/>
            </w:tcBorders>
          </w:tcPr>
          <w:p>
            <w:pPr>
              <w:spacing w:after="0"/>
              <w:rPr>
                <w:sz w:val="24"/>
                <w:szCs w:val="24"/>
                <w:color w:val="auto"/>
              </w:rPr>
            </w:pPr>
          </w:p>
        </w:tc>
        <w:tc>
          <w:tcPr>
            <w:tcW w:w="100" w:type="dxa"/>
            <w:vAlign w:val="bottom"/>
            <w:tcBorders>
              <w:bottom w:val="single" w:sz="8" w:color="DDDDDD"/>
            </w:tcBorders>
            <w:gridSpan w:val="3"/>
          </w:tcPr>
          <w:p>
            <w:pPr>
              <w:spacing w:after="0"/>
              <w:rPr>
                <w:sz w:val="24"/>
                <w:szCs w:val="24"/>
                <w:color w:val="auto"/>
              </w:rPr>
            </w:pPr>
          </w:p>
        </w:tc>
        <w:tc>
          <w:tcPr>
            <w:tcW w:w="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1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210</w:t>
            </w:r>
          </w:p>
        </w:tc>
        <w:tc>
          <w:tcPr>
            <w:tcW w:w="80" w:type="dxa"/>
            <w:vAlign w:val="bottom"/>
            <w:tcBorders>
              <w:bottom w:val="single" w:sz="8" w:color="auto"/>
            </w:tcBorders>
            <w:gridSpan w:val="2"/>
          </w:tcPr>
          <w:p>
            <w:pPr>
              <w:spacing w:after="0"/>
              <w:rPr>
                <w:sz w:val="24"/>
                <w:szCs w:val="24"/>
                <w:color w:val="auto"/>
              </w:rPr>
            </w:pPr>
          </w:p>
        </w:tc>
        <w:tc>
          <w:tcPr>
            <w:tcW w:w="40" w:type="dxa"/>
            <w:vAlign w:val="bottom"/>
            <w:tcBorders>
              <w:bottom w:val="single" w:sz="8" w:color="DDDDDD"/>
            </w:tcBorders>
            <w:gridSpan w:val="2"/>
          </w:tcPr>
          <w:p>
            <w:pPr>
              <w:spacing w:after="0"/>
              <w:rPr>
                <w:sz w:val="24"/>
                <w:szCs w:val="24"/>
                <w:color w:val="auto"/>
              </w:rPr>
            </w:pPr>
          </w:p>
        </w:tc>
        <w:tc>
          <w:tcPr>
            <w:tcW w:w="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158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20"/>
                <w:szCs w:val="20"/>
                <w:color w:val="auto"/>
              </w:rPr>
              <w:t>(200)</w:t>
            </w:r>
          </w:p>
        </w:tc>
        <w:tc>
          <w:tcPr>
            <w:tcW w:w="40" w:type="dxa"/>
            <w:vAlign w:val="bottom"/>
            <w:tcBorders>
              <w:bottom w:val="single" w:sz="8" w:color="DDDDDD"/>
            </w:tcBorders>
          </w:tcPr>
          <w:p>
            <w:pPr>
              <w:spacing w:after="0"/>
              <w:rPr>
                <w:sz w:val="24"/>
                <w:szCs w:val="24"/>
                <w:color w:val="auto"/>
              </w:rPr>
            </w:pPr>
          </w:p>
        </w:tc>
        <w:tc>
          <w:tcPr>
            <w:tcW w:w="40" w:type="dxa"/>
            <w:vAlign w:val="bottom"/>
            <w:tcBorders>
              <w:bottom w:val="single" w:sz="8" w:color="DDDDDD"/>
            </w:tcBorders>
          </w:tcPr>
          <w:p>
            <w:pPr>
              <w:spacing w:after="0"/>
              <w:rPr>
                <w:sz w:val="24"/>
                <w:szCs w:val="24"/>
                <w:color w:val="auto"/>
              </w:rPr>
            </w:pPr>
          </w:p>
        </w:tc>
        <w:tc>
          <w:tcPr>
            <w:tcW w:w="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1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10</w:t>
            </w:r>
          </w:p>
        </w:tc>
        <w:tc>
          <w:tcPr>
            <w:tcW w:w="2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75"/>
        </w:trPr>
        <w:tc>
          <w:tcPr>
            <w:tcW w:w="2680" w:type="dxa"/>
            <w:vAlign w:val="bottom"/>
            <w:tcBorders>
              <w:top w:val="single" w:sz="8" w:color="DDDDDD"/>
            </w:tcBorders>
            <w:gridSpan w:val="2"/>
            <w:shd w:val="clear" w:color="auto" w:fill="DDDDDD"/>
          </w:tcPr>
          <w:p>
            <w:pPr>
              <w:ind w:left="40"/>
              <w:spacing w:after="0"/>
              <w:rPr>
                <w:sz w:val="20"/>
                <w:szCs w:val="20"/>
                <w:color w:val="auto"/>
              </w:rPr>
            </w:pPr>
            <w:r>
              <w:rPr>
                <w:rFonts w:ascii="Times New Roman" w:cs="Times New Roman" w:eastAsia="Times New Roman" w:hAnsi="Times New Roman"/>
                <w:sz w:val="20"/>
                <w:szCs w:val="20"/>
                <w:color w:val="auto"/>
              </w:rPr>
              <w:t>Total intangible assets</w:t>
            </w:r>
          </w:p>
        </w:tc>
        <w:tc>
          <w:tcPr>
            <w:tcW w:w="1840" w:type="dxa"/>
            <w:vAlign w:val="bottom"/>
            <w:tcBorders>
              <w:top w:val="single" w:sz="8" w:color="DDDDDD"/>
            </w:tcBorders>
            <w:gridSpan w:val="2"/>
            <w:shd w:val="clear" w:color="auto" w:fill="DDDDDD"/>
          </w:tcPr>
          <w:p>
            <w:pPr>
              <w:ind w:left="800"/>
              <w:spacing w:after="0"/>
              <w:rPr>
                <w:sz w:val="20"/>
                <w:szCs w:val="20"/>
                <w:color w:val="auto"/>
              </w:rPr>
            </w:pPr>
            <w:r>
              <w:rPr>
                <w:rFonts w:ascii="Times New Roman" w:cs="Times New Roman" w:eastAsia="Times New Roman" w:hAnsi="Times New Roman"/>
                <w:sz w:val="20"/>
                <w:szCs w:val="20"/>
                <w:color w:val="auto"/>
              </w:rPr>
              <w:t>10.8</w:t>
            </w:r>
          </w:p>
        </w:tc>
        <w:tc>
          <w:tcPr>
            <w:tcW w:w="20" w:type="dxa"/>
            <w:vAlign w:val="bottom"/>
            <w:tcBorders>
              <w:top w:val="single" w:sz="8" w:color="DDDDDD"/>
            </w:tcBorders>
            <w:shd w:val="clear" w:color="auto" w:fill="DDDDDD"/>
          </w:tcPr>
          <w:p>
            <w:pPr>
              <w:spacing w:after="0"/>
              <w:rPr>
                <w:sz w:val="23"/>
                <w:szCs w:val="23"/>
                <w:color w:val="auto"/>
              </w:rPr>
            </w:pPr>
          </w:p>
        </w:tc>
        <w:tc>
          <w:tcPr>
            <w:tcW w:w="40" w:type="dxa"/>
            <w:vAlign w:val="bottom"/>
            <w:tcBorders>
              <w:top w:val="single" w:sz="8" w:color="DDDDDD"/>
            </w:tcBorders>
            <w:shd w:val="clear" w:color="auto" w:fill="DDDDDD"/>
          </w:tcPr>
          <w:p>
            <w:pPr>
              <w:spacing w:after="0"/>
              <w:rPr>
                <w:sz w:val="23"/>
                <w:szCs w:val="23"/>
                <w:color w:val="auto"/>
              </w:rPr>
            </w:pPr>
          </w:p>
        </w:tc>
        <w:tc>
          <w:tcPr>
            <w:tcW w:w="240" w:type="dxa"/>
            <w:vAlign w:val="bottom"/>
            <w:tcBorders>
              <w:top w:val="single" w:sz="8" w:color="DDDDDD"/>
            </w:tcBorders>
            <w:gridSpan w:val="3"/>
            <w:shd w:val="clear" w:color="auto" w:fill="DDDDDD"/>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1580" w:type="dxa"/>
            <w:vAlign w:val="bottom"/>
            <w:tcBorders>
              <w:top w:val="single" w:sz="8" w:color="DDDDDD"/>
            </w:tcBorders>
            <w:shd w:val="clear" w:color="auto" w:fill="DDDDDD"/>
          </w:tcPr>
          <w:p>
            <w:pPr>
              <w:jc w:val="right"/>
              <w:spacing w:after="0"/>
              <w:rPr>
                <w:sz w:val="20"/>
                <w:szCs w:val="20"/>
                <w:color w:val="auto"/>
              </w:rPr>
            </w:pPr>
            <w:r>
              <w:rPr>
                <w:rFonts w:ascii="Times New Roman" w:cs="Times New Roman" w:eastAsia="Times New Roman" w:hAnsi="Times New Roman"/>
                <w:sz w:val="20"/>
                <w:szCs w:val="20"/>
                <w:color w:val="auto"/>
              </w:rPr>
              <w:t>20,572</w:t>
            </w:r>
          </w:p>
        </w:tc>
        <w:tc>
          <w:tcPr>
            <w:tcW w:w="60" w:type="dxa"/>
            <w:vAlign w:val="bottom"/>
            <w:tcBorders>
              <w:top w:val="single" w:sz="8" w:color="DDDDDD"/>
            </w:tcBorders>
            <w:shd w:val="clear" w:color="auto" w:fill="DDDDDD"/>
          </w:tcPr>
          <w:p>
            <w:pPr>
              <w:spacing w:after="0"/>
              <w:rPr>
                <w:sz w:val="23"/>
                <w:szCs w:val="23"/>
                <w:color w:val="auto"/>
              </w:rPr>
            </w:pPr>
          </w:p>
        </w:tc>
        <w:tc>
          <w:tcPr>
            <w:tcW w:w="40" w:type="dxa"/>
            <w:vAlign w:val="bottom"/>
            <w:tcBorders>
              <w:top w:val="single" w:sz="8" w:color="DDDDDD"/>
            </w:tcBorders>
            <w:gridSpan w:val="2"/>
            <w:shd w:val="clear" w:color="auto" w:fill="DDDDDD"/>
          </w:tcPr>
          <w:p>
            <w:pPr>
              <w:spacing w:after="0"/>
              <w:rPr>
                <w:sz w:val="23"/>
                <w:szCs w:val="23"/>
                <w:color w:val="auto"/>
              </w:rPr>
            </w:pPr>
          </w:p>
        </w:tc>
        <w:tc>
          <w:tcPr>
            <w:tcW w:w="260" w:type="dxa"/>
            <w:vAlign w:val="bottom"/>
            <w:tcBorders>
              <w:top w:val="single" w:sz="8" w:color="DDDDDD"/>
            </w:tcBorders>
            <w:gridSpan w:val="2"/>
            <w:shd w:val="clear" w:color="auto" w:fill="DDDDDD"/>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1580" w:type="dxa"/>
            <w:vAlign w:val="bottom"/>
            <w:tcBorders>
              <w:top w:val="single" w:sz="8" w:color="DDDDDD"/>
            </w:tcBorders>
            <w:gridSpan w:val="2"/>
            <w:shd w:val="clear" w:color="auto" w:fill="DDDDDD"/>
          </w:tcPr>
          <w:p>
            <w:pPr>
              <w:jc w:val="right"/>
              <w:spacing w:after="0"/>
              <w:rPr>
                <w:sz w:val="20"/>
                <w:szCs w:val="20"/>
                <w:color w:val="auto"/>
              </w:rPr>
            </w:pPr>
            <w:r>
              <w:rPr>
                <w:rFonts w:ascii="Times New Roman" w:cs="Times New Roman" w:eastAsia="Times New Roman" w:hAnsi="Times New Roman"/>
                <w:sz w:val="20"/>
                <w:szCs w:val="20"/>
                <w:color w:val="auto"/>
              </w:rPr>
              <w:t>(10,233)</w:t>
            </w:r>
          </w:p>
        </w:tc>
        <w:tc>
          <w:tcPr>
            <w:tcW w:w="40" w:type="dxa"/>
            <w:vAlign w:val="bottom"/>
            <w:tcBorders>
              <w:top w:val="single" w:sz="8" w:color="DDDDDD"/>
            </w:tcBorders>
            <w:shd w:val="clear" w:color="auto" w:fill="DDDDDD"/>
          </w:tcPr>
          <w:p>
            <w:pPr>
              <w:spacing w:after="0"/>
              <w:rPr>
                <w:sz w:val="23"/>
                <w:szCs w:val="23"/>
                <w:color w:val="auto"/>
              </w:rPr>
            </w:pPr>
          </w:p>
        </w:tc>
        <w:tc>
          <w:tcPr>
            <w:tcW w:w="40" w:type="dxa"/>
            <w:vAlign w:val="bottom"/>
            <w:tcBorders>
              <w:top w:val="single" w:sz="8" w:color="DDDDDD"/>
            </w:tcBorders>
            <w:shd w:val="clear" w:color="auto" w:fill="DDDDDD"/>
          </w:tcPr>
          <w:p>
            <w:pPr>
              <w:spacing w:after="0"/>
              <w:rPr>
                <w:sz w:val="23"/>
                <w:szCs w:val="23"/>
                <w:color w:val="auto"/>
              </w:rPr>
            </w:pPr>
          </w:p>
        </w:tc>
        <w:tc>
          <w:tcPr>
            <w:tcW w:w="220" w:type="dxa"/>
            <w:vAlign w:val="bottom"/>
            <w:tcBorders>
              <w:top w:val="single" w:sz="8" w:color="DDDDDD"/>
            </w:tcBorders>
            <w:shd w:val="clear" w:color="auto" w:fill="DDDDDD"/>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1600" w:type="dxa"/>
            <w:vAlign w:val="bottom"/>
            <w:tcBorders>
              <w:top w:val="single" w:sz="8" w:color="DDDDDD"/>
            </w:tcBorders>
            <w:shd w:val="clear" w:color="auto" w:fill="DDDDDD"/>
          </w:tcPr>
          <w:p>
            <w:pPr>
              <w:jc w:val="right"/>
              <w:spacing w:after="0"/>
              <w:rPr>
                <w:sz w:val="20"/>
                <w:szCs w:val="20"/>
                <w:color w:val="auto"/>
              </w:rPr>
            </w:pPr>
            <w:r>
              <w:rPr>
                <w:rFonts w:ascii="Times New Roman" w:cs="Times New Roman" w:eastAsia="Times New Roman" w:hAnsi="Times New Roman"/>
                <w:sz w:val="20"/>
                <w:szCs w:val="20"/>
                <w:color w:val="auto"/>
              </w:rPr>
              <w:t>10,339</w:t>
            </w:r>
          </w:p>
        </w:tc>
        <w:tc>
          <w:tcPr>
            <w:tcW w:w="20" w:type="dxa"/>
            <w:vAlign w:val="bottom"/>
            <w:tcBorders>
              <w:top w:val="single" w:sz="8" w:color="DDDDDD"/>
            </w:tcBorders>
            <w:shd w:val="clear" w:color="auto" w:fill="DDDDDD"/>
          </w:tcPr>
          <w:p>
            <w:pPr>
              <w:spacing w:after="0"/>
              <w:rPr>
                <w:sz w:val="23"/>
                <w:szCs w:val="23"/>
                <w:color w:val="auto"/>
              </w:rPr>
            </w:pPr>
          </w:p>
        </w:tc>
        <w:tc>
          <w:tcPr>
            <w:tcW w:w="0" w:type="dxa"/>
            <w:vAlign w:val="bottom"/>
          </w:tcPr>
          <w:p>
            <w:pPr>
              <w:spacing w:after="0"/>
              <w:rPr>
                <w:sz w:val="1"/>
                <w:szCs w:val="1"/>
                <w:color w:val="auto"/>
              </w:rPr>
            </w:pPr>
          </w:p>
        </w:tc>
      </w:tr>
      <w:tr>
        <w:trPr>
          <w:trHeight w:val="20"/>
        </w:trPr>
        <w:tc>
          <w:tcPr>
            <w:tcW w:w="26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7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58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56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60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
        </w:trPr>
        <w:tc>
          <w:tcPr>
            <w:tcW w:w="26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7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58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56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60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4073525</wp:posOffset>
                </wp:positionH>
                <wp:positionV relativeFrom="paragraph">
                  <wp:posOffset>-2820670</wp:posOffset>
                </wp:positionV>
                <wp:extent cx="36195" cy="13970"/>
                <wp:wrapNone/>
                <wp:docPr id="93" name="Shape 93"/>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36195" cy="13970"/>
                        </a:xfrm>
                        <a:prstGeom prst="rect">
                          <a:avLst/>
                        </a:prstGeom>
                        <a:solidFill>
                          <a:srgbClr val="DDDDDD"/>
                        </a:solidFill>
                      </wps:spPr>
                      <wps:bodyPr/>
                    </wps:wsp>
                  </a:graphicData>
                </a:graphic>
              </wp:anchor>
            </w:drawing>
          </mc:Choice>
          <mc:Fallback>
            <w:pict>
              <v:rect id="Shape 93" o:spid="_x0000_s1118" style="position:absolute;margin-left:320.75pt;margin-top:-222.0999pt;width:2.85pt;height:1.1pt;z-index:-251657728;visibility:visible;mso-wrap-style:square;mso-width-percent:0;mso-height-percent:0;mso-wrap-distance-left:0pt;mso-wrap-distance-top:0;mso-wrap-distance-right:0pt;mso-wrap-distance-bottom:0;mso-position-horizontal:absolute;mso-position-horizontal-relative:text;mso-position-vertical:absolute;mso-position-vertical-relative:text;mso-width-percent:0;mso-height-percent:0;mso-width-relative:page;mso-height-relative:page;v-text-anchor:top" o:allowincell="f" fillcolor="#DDDDDD" stroked="f"/>
            </w:pict>
          </mc:Fallback>
        </mc:AlternateContent>
        <mc:AlternateContent>
          <mc:Choice Requires="wps">
            <w:drawing>
              <wp:anchor simplePos="0" relativeHeight="251657728" behindDoc="1" locked="0" layoutInCell="0" allowOverlap="1">
                <wp:simplePos x="0" y="0"/>
                <wp:positionH relativeFrom="column">
                  <wp:posOffset>2889250</wp:posOffset>
                </wp:positionH>
                <wp:positionV relativeFrom="paragraph">
                  <wp:posOffset>-2214880</wp:posOffset>
                </wp:positionV>
                <wp:extent cx="1184275" cy="0"/>
                <wp:wrapNone/>
                <wp:docPr id="94" name="Shape 94"/>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1184275" cy="4763"/>
                        </a:xfrm>
                        <a:prstGeom prst="line">
                          <a:avLst/>
                        </a:prstGeom>
                        <a:solidFill>
                          <a:srgbClr val="FFFFFF"/>
                        </a:solidFill>
                        <a:ln w="4572">
                          <a:solidFill>
                            <a:srgbClr val="FFFFFF"/>
                          </a:solidFill>
                          <a:miter lim="800000"/>
                          <a:headEnd/>
                          <a:tailEnd/>
                        </a:ln>
                      </wps:spPr>
                      <wps:bodyPr/>
                    </wps:wsp>
                  </a:graphicData>
                </a:graphic>
              </wp:anchor>
            </w:drawing>
          </mc:Choice>
          <mc:Fallback>
            <w:pict>
              <v:line id="Shape 94" o:spid="_x0000_s1119"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227.5pt,-174.3999pt" to="320.75pt,-174.3999pt" o:allowincell="f" strokecolor="#FFFFFF" strokeweight="0.36pt"/>
            </w:pict>
          </mc:Fallback>
        </mc:AlternateContent>
        <mc:AlternateContent>
          <mc:Choice Requires="wps">
            <w:drawing>
              <wp:anchor simplePos="0" relativeHeight="251657728" behindDoc="1" locked="0" layoutInCell="0" allowOverlap="1">
                <wp:simplePos x="0" y="0"/>
                <wp:positionH relativeFrom="column">
                  <wp:posOffset>4109720</wp:posOffset>
                </wp:positionH>
                <wp:positionV relativeFrom="paragraph">
                  <wp:posOffset>-2214880</wp:posOffset>
                </wp:positionV>
                <wp:extent cx="1179830" cy="0"/>
                <wp:wrapNone/>
                <wp:docPr id="95" name="Shape 95"/>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1179830" cy="4763"/>
                        </a:xfrm>
                        <a:prstGeom prst="line">
                          <a:avLst/>
                        </a:prstGeom>
                        <a:solidFill>
                          <a:srgbClr val="FFFFFF"/>
                        </a:solidFill>
                        <a:ln w="4572">
                          <a:solidFill>
                            <a:srgbClr val="FFFFFF"/>
                          </a:solidFill>
                          <a:miter lim="800000"/>
                          <a:headEnd/>
                          <a:tailEnd/>
                        </a:ln>
                      </wps:spPr>
                      <wps:bodyPr/>
                    </wps:wsp>
                  </a:graphicData>
                </a:graphic>
              </wp:anchor>
            </w:drawing>
          </mc:Choice>
          <mc:Fallback>
            <w:pict>
              <v:line id="Shape 95" o:spid="_x0000_s1120"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323.6pt,-174.3999pt" to="416.5pt,-174.3999pt" o:allowincell="f" strokecolor="#FFFFFF" strokeweight="0.36pt"/>
            </w:pict>
          </mc:Fallback>
        </mc:AlternateContent>
        <mc:AlternateContent>
          <mc:Choice Requires="wps">
            <w:drawing>
              <wp:anchor simplePos="0" relativeHeight="251657728" behindDoc="1" locked="0" layoutInCell="0" allowOverlap="1">
                <wp:simplePos x="0" y="0"/>
                <wp:positionH relativeFrom="column">
                  <wp:posOffset>5330825</wp:posOffset>
                </wp:positionH>
                <wp:positionV relativeFrom="paragraph">
                  <wp:posOffset>-2214880</wp:posOffset>
                </wp:positionV>
                <wp:extent cx="1179195" cy="0"/>
                <wp:wrapNone/>
                <wp:docPr id="96" name="Shape 96"/>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1179195" cy="4763"/>
                        </a:xfrm>
                        <a:prstGeom prst="line">
                          <a:avLst/>
                        </a:prstGeom>
                        <a:solidFill>
                          <a:srgbClr val="FFFFFF"/>
                        </a:solidFill>
                        <a:ln w="4572">
                          <a:solidFill>
                            <a:srgbClr val="FFFFFF"/>
                          </a:solidFill>
                          <a:miter lim="800000"/>
                          <a:headEnd/>
                          <a:tailEnd/>
                        </a:ln>
                      </wps:spPr>
                      <wps:bodyPr/>
                    </wps:wsp>
                  </a:graphicData>
                </a:graphic>
              </wp:anchor>
            </w:drawing>
          </mc:Choice>
          <mc:Fallback>
            <w:pict>
              <v:line id="Shape 96" o:spid="_x0000_s1121"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419.75pt,-174.3999pt" to="512.6pt,-174.3999pt" o:allowincell="f" strokecolor="#FFFFFF" strokeweight="0.36pt"/>
            </w:pict>
          </mc:Fallback>
        </mc:AlternateContent>
      </w:r>
    </w:p>
    <w:p>
      <w:pPr>
        <w:spacing w:after="0" w:line="80" w:lineRule="exact"/>
        <w:rPr>
          <w:sz w:val="20"/>
          <w:szCs w:val="20"/>
          <w:color w:val="auto"/>
        </w:rPr>
      </w:pPr>
    </w:p>
    <w:p>
      <w:pPr>
        <w:jc w:val="both"/>
        <w:ind w:left="6" w:right="20"/>
        <w:spacing w:after="0" w:line="297" w:lineRule="auto"/>
        <w:rPr>
          <w:sz w:val="20"/>
          <w:szCs w:val="20"/>
          <w:color w:val="auto"/>
        </w:rPr>
      </w:pPr>
      <w:r>
        <w:rPr>
          <w:rFonts w:ascii="Times New Roman" w:cs="Times New Roman" w:eastAsia="Times New Roman" w:hAnsi="Times New Roman"/>
          <w:sz w:val="20"/>
          <w:szCs w:val="20"/>
          <w:color w:val="auto"/>
        </w:rPr>
        <w:t>Amortization expense for intangible assets was $7.8 million, $2.7 million and $1.3 million for the years ended December 31, 2023, 2022 and 2021, respectively. The Company recorded an impairment charge of $6.1 million for the year ended December 31, 2023 related to intangible assets associated with certain product offerings that were sunset in December 2023, which is included in asset impairment charges in the consolidated statements of operations. No intangible asset impairment charges have been recorded for the years ended December 31, 2022 and 2021.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jc w:val="center"/>
        <w:ind w:right="-5"/>
        <w:spacing w:after="0"/>
        <w:rPr>
          <w:sz w:val="20"/>
          <w:szCs w:val="20"/>
          <w:color w:val="auto"/>
        </w:rPr>
      </w:pPr>
      <w:r>
        <w:rPr>
          <w:rFonts w:ascii="Times New Roman" w:cs="Times New Roman" w:eastAsia="Times New Roman" w:hAnsi="Times New Roman"/>
          <w:sz w:val="20"/>
          <w:szCs w:val="20"/>
          <w:color w:val="auto"/>
        </w:rPr>
        <w:t>F-27</w:t>
      </w:r>
    </w:p>
    <w:p>
      <w:pPr>
        <w:sectPr>
          <w:pgSz w:w="12240" w:h="15840" w:orient="portrait"/>
          <w:cols w:equalWidth="0" w:num="1">
            <w:col w:w="10266"/>
          </w:cols>
          <w:pgMar w:left="994" w:top="731" w:right="980" w:bottom="222" w:gutter="0" w:footer="0" w:header="0"/>
        </w:sectPr>
      </w:pPr>
    </w:p>
    <w:bookmarkStart w:id="147" w:name="page148"/>
    <w:bookmarkEnd w:id="147"/>
    <w:p>
      <w:pPr>
        <w:jc w:val="center"/>
        <w:ind w:right="14"/>
        <w:spacing w:after="0"/>
        <w:rPr>
          <w:sz w:val="20"/>
          <w:szCs w:val="20"/>
          <w:color w:val="auto"/>
        </w:rPr>
      </w:pPr>
      <w:r>
        <w:rPr>
          <w:rFonts w:ascii="Times New Roman" w:cs="Times New Roman" w:eastAsia="Times New Roman" w:hAnsi="Times New Roman"/>
          <w:sz w:val="20"/>
          <w:szCs w:val="20"/>
          <w:b w:val="1"/>
          <w:bCs w:val="1"/>
          <w:color w:val="auto"/>
        </w:rPr>
        <w:t>WM TECHNOLOGY, INC. AND SUBSIDIARIES</w:t>
      </w:r>
    </w:p>
    <w:p>
      <w:pPr>
        <w:spacing w:after="0" w:line="48" w:lineRule="exact"/>
        <w:rPr>
          <w:sz w:val="20"/>
          <w:szCs w:val="20"/>
          <w:color w:val="auto"/>
        </w:rPr>
      </w:pPr>
    </w:p>
    <w:p>
      <w:pPr>
        <w:jc w:val="center"/>
        <w:ind w:right="-5"/>
        <w:spacing w:after="0"/>
        <w:rPr>
          <w:sz w:val="20"/>
          <w:szCs w:val="20"/>
          <w:color w:val="auto"/>
        </w:rPr>
      </w:pPr>
      <w:r>
        <w:rPr>
          <w:rFonts w:ascii="Times New Roman" w:cs="Times New Roman" w:eastAsia="Times New Roman" w:hAnsi="Times New Roman"/>
          <w:sz w:val="20"/>
          <w:szCs w:val="20"/>
          <w:b w:val="1"/>
          <w:bCs w:val="1"/>
          <w:color w:val="auto"/>
        </w:rPr>
        <w:t>NOTES TO CONSOLIDATED FINANCIAL STATEMENTS</w:t>
      </w:r>
    </w:p>
    <w:p>
      <w:pPr>
        <w:spacing w:after="0" w:line="286" w:lineRule="exact"/>
        <w:rPr>
          <w:sz w:val="20"/>
          <w:szCs w:val="20"/>
          <w:color w:val="auto"/>
        </w:rPr>
      </w:pPr>
    </w:p>
    <w:p>
      <w:pPr>
        <w:ind w:left="6"/>
        <w:spacing w:after="0"/>
        <w:rPr>
          <w:sz w:val="20"/>
          <w:szCs w:val="20"/>
          <w:color w:val="auto"/>
        </w:rPr>
      </w:pPr>
      <w:r>
        <w:rPr>
          <w:rFonts w:ascii="Times New Roman" w:cs="Times New Roman" w:eastAsia="Times New Roman" w:hAnsi="Times New Roman"/>
          <w:sz w:val="20"/>
          <w:szCs w:val="20"/>
          <w:color w:val="auto"/>
        </w:rPr>
        <w:t>The estimated future amortization expense of intangible assets as of December 31, 2023 is as follows (in thousands):</w:t>
      </w:r>
    </w:p>
    <w:p>
      <w:pPr>
        <w:spacing w:after="0" w:line="351" w:lineRule="exact"/>
        <w:rPr>
          <w:sz w:val="20"/>
          <w:szCs w:val="20"/>
          <w:color w:val="auto"/>
        </w:rPr>
      </w:pPr>
    </w:p>
    <w:tbl>
      <w:tblPr>
        <w:tblLayout w:type="fixed"/>
        <w:tblInd w:w="6" w:type="dxa"/>
        <w:tblCellMar>
          <w:top w:w="0" w:type="dxa"/>
          <w:left w:w="0" w:type="dxa"/>
          <w:bottom w:w="0" w:type="dxa"/>
          <w:right w:w="0" w:type="dxa"/>
        </w:tblCellMar>
      </w:tblPr>
      <w:tr>
        <w:trPr>
          <w:trHeight w:val="285"/>
        </w:trPr>
        <w:tc>
          <w:tcPr>
            <w:tcW w:w="8280" w:type="dxa"/>
            <w:vAlign w:val="bottom"/>
            <w:tcBorders>
              <w:bottom w:val="single" w:sz="8" w:color="DDDDDD"/>
            </w:tcBorders>
          </w:tcPr>
          <w:p>
            <w:pPr>
              <w:spacing w:after="0"/>
              <w:rPr>
                <w:sz w:val="24"/>
                <w:szCs w:val="24"/>
                <w:color w:val="auto"/>
              </w:rPr>
            </w:pPr>
          </w:p>
        </w:tc>
        <w:tc>
          <w:tcPr>
            <w:tcW w:w="60" w:type="dxa"/>
            <w:vAlign w:val="bottom"/>
            <w:tcBorders>
              <w:bottom w:val="single" w:sz="8" w:color="DDDDDD"/>
            </w:tcBorders>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1640" w:type="dxa"/>
            <w:vAlign w:val="bottom"/>
            <w:tcBorders>
              <w:bottom w:val="single" w:sz="8" w:color="auto"/>
            </w:tcBorders>
          </w:tcPr>
          <w:p>
            <w:pPr>
              <w:jc w:val="right"/>
              <w:ind w:right="299"/>
              <w:spacing w:after="0"/>
              <w:rPr>
                <w:sz w:val="20"/>
                <w:szCs w:val="20"/>
                <w:color w:val="auto"/>
              </w:rPr>
            </w:pPr>
            <w:r>
              <w:rPr>
                <w:rFonts w:ascii="Times New Roman" w:cs="Times New Roman" w:eastAsia="Times New Roman" w:hAnsi="Times New Roman"/>
                <w:sz w:val="20"/>
                <w:szCs w:val="20"/>
                <w:b w:val="1"/>
                <w:bCs w:val="1"/>
                <w:color w:val="auto"/>
              </w:rPr>
              <w:t>Amortization</w:t>
            </w:r>
          </w:p>
        </w:tc>
      </w:tr>
      <w:tr>
        <w:trPr>
          <w:trHeight w:val="295"/>
        </w:trPr>
        <w:tc>
          <w:tcPr>
            <w:tcW w:w="8280" w:type="dxa"/>
            <w:vAlign w:val="bottom"/>
            <w:shd w:val="clear" w:color="auto" w:fill="DDDDDD"/>
          </w:tcPr>
          <w:p>
            <w:pPr>
              <w:ind w:left="40"/>
              <w:spacing w:after="0"/>
              <w:rPr>
                <w:sz w:val="20"/>
                <w:szCs w:val="20"/>
                <w:color w:val="auto"/>
              </w:rPr>
            </w:pPr>
            <w:r>
              <w:rPr>
                <w:rFonts w:ascii="Times New Roman" w:cs="Times New Roman" w:eastAsia="Times New Roman" w:hAnsi="Times New Roman"/>
                <w:sz w:val="20"/>
                <w:szCs w:val="20"/>
                <w:color w:val="auto"/>
              </w:rPr>
              <w:t>Years ended December 31,</w:t>
            </w:r>
          </w:p>
        </w:tc>
        <w:tc>
          <w:tcPr>
            <w:tcW w:w="60" w:type="dxa"/>
            <w:vAlign w:val="bottom"/>
            <w:shd w:val="clear" w:color="auto" w:fill="DDDDDD"/>
          </w:tcPr>
          <w:p>
            <w:pPr>
              <w:spacing w:after="0"/>
              <w:rPr>
                <w:sz w:val="24"/>
                <w:szCs w:val="24"/>
                <w:color w:val="auto"/>
              </w:rPr>
            </w:pPr>
          </w:p>
        </w:tc>
        <w:tc>
          <w:tcPr>
            <w:tcW w:w="280" w:type="dxa"/>
            <w:vAlign w:val="bottom"/>
            <w:shd w:val="clear" w:color="auto" w:fill="DDDDDD"/>
          </w:tcPr>
          <w:p>
            <w:pPr>
              <w:spacing w:after="0"/>
              <w:rPr>
                <w:sz w:val="24"/>
                <w:szCs w:val="24"/>
                <w:color w:val="auto"/>
              </w:rPr>
            </w:pPr>
          </w:p>
        </w:tc>
        <w:tc>
          <w:tcPr>
            <w:tcW w:w="1640" w:type="dxa"/>
            <w:vAlign w:val="bottom"/>
            <w:shd w:val="clear" w:color="auto" w:fill="DDDDDD"/>
          </w:tcPr>
          <w:p>
            <w:pPr>
              <w:spacing w:after="0"/>
              <w:rPr>
                <w:sz w:val="24"/>
                <w:szCs w:val="24"/>
                <w:color w:val="auto"/>
              </w:rPr>
            </w:pPr>
          </w:p>
        </w:tc>
      </w:tr>
      <w:tr>
        <w:trPr>
          <w:trHeight w:val="307"/>
        </w:trPr>
        <w:tc>
          <w:tcPr>
            <w:tcW w:w="8280" w:type="dxa"/>
            <w:vAlign w:val="bottom"/>
          </w:tcPr>
          <w:p>
            <w:pPr>
              <w:ind w:left="40"/>
              <w:spacing w:after="0"/>
              <w:rPr>
                <w:sz w:val="20"/>
                <w:szCs w:val="20"/>
                <w:color w:val="auto"/>
              </w:rPr>
            </w:pPr>
            <w:r>
              <w:rPr>
                <w:rFonts w:ascii="Times New Roman" w:cs="Times New Roman" w:eastAsia="Times New Roman" w:hAnsi="Times New Roman"/>
                <w:sz w:val="20"/>
                <w:szCs w:val="20"/>
                <w:color w:val="auto"/>
              </w:rPr>
              <w:t>2024</w:t>
            </w:r>
          </w:p>
        </w:tc>
        <w:tc>
          <w:tcPr>
            <w:tcW w:w="340" w:type="dxa"/>
            <w:vAlign w:val="bottom"/>
            <w:gridSpan w:val="2"/>
          </w:tcPr>
          <w:p>
            <w:pPr>
              <w:jc w:val="right"/>
              <w:ind w:right="120"/>
              <w:spacing w:after="0"/>
              <w:rPr>
                <w:sz w:val="20"/>
                <w:szCs w:val="20"/>
                <w:color w:val="auto"/>
              </w:rPr>
            </w:pPr>
            <w:r>
              <w:rPr>
                <w:rFonts w:ascii="Times New Roman" w:cs="Times New Roman" w:eastAsia="Times New Roman" w:hAnsi="Times New Roman"/>
                <w:sz w:val="20"/>
                <w:szCs w:val="20"/>
                <w:color w:val="auto"/>
              </w:rPr>
              <w:t>$</w:t>
            </w:r>
          </w:p>
        </w:tc>
        <w:tc>
          <w:tcPr>
            <w:tcW w:w="16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555</w:t>
            </w:r>
          </w:p>
        </w:tc>
      </w:tr>
      <w:tr>
        <w:trPr>
          <w:trHeight w:val="319"/>
        </w:trPr>
        <w:tc>
          <w:tcPr>
            <w:tcW w:w="8280" w:type="dxa"/>
            <w:vAlign w:val="bottom"/>
            <w:shd w:val="clear" w:color="auto" w:fill="DDDDDD"/>
          </w:tcPr>
          <w:p>
            <w:pPr>
              <w:ind w:left="40"/>
              <w:spacing w:after="0"/>
              <w:rPr>
                <w:sz w:val="20"/>
                <w:szCs w:val="20"/>
                <w:color w:val="auto"/>
              </w:rPr>
            </w:pPr>
            <w:r>
              <w:rPr>
                <w:rFonts w:ascii="Times New Roman" w:cs="Times New Roman" w:eastAsia="Times New Roman" w:hAnsi="Times New Roman"/>
                <w:sz w:val="20"/>
                <w:szCs w:val="20"/>
                <w:color w:val="auto"/>
              </w:rPr>
              <w:t>2025</w:t>
            </w:r>
          </w:p>
        </w:tc>
        <w:tc>
          <w:tcPr>
            <w:tcW w:w="60" w:type="dxa"/>
            <w:vAlign w:val="bottom"/>
            <w:shd w:val="clear" w:color="auto" w:fill="DDDDDD"/>
          </w:tcPr>
          <w:p>
            <w:pPr>
              <w:spacing w:after="0"/>
              <w:rPr>
                <w:sz w:val="24"/>
                <w:szCs w:val="24"/>
                <w:color w:val="auto"/>
              </w:rPr>
            </w:pPr>
          </w:p>
        </w:tc>
        <w:tc>
          <w:tcPr>
            <w:tcW w:w="280" w:type="dxa"/>
            <w:vAlign w:val="bottom"/>
            <w:shd w:val="clear" w:color="auto" w:fill="DDDDDD"/>
          </w:tcPr>
          <w:p>
            <w:pPr>
              <w:spacing w:after="0"/>
              <w:rPr>
                <w:sz w:val="24"/>
                <w:szCs w:val="24"/>
                <w:color w:val="auto"/>
              </w:rPr>
            </w:pPr>
          </w:p>
        </w:tc>
        <w:tc>
          <w:tcPr>
            <w:tcW w:w="1640" w:type="dxa"/>
            <w:vAlign w:val="bottom"/>
            <w:shd w:val="clear" w:color="auto" w:fill="DDDDDD"/>
          </w:tcPr>
          <w:p>
            <w:pPr>
              <w:jc w:val="right"/>
              <w:spacing w:after="0"/>
              <w:rPr>
                <w:sz w:val="20"/>
                <w:szCs w:val="20"/>
                <w:color w:val="auto"/>
              </w:rPr>
            </w:pPr>
            <w:r>
              <w:rPr>
                <w:rFonts w:ascii="Times New Roman" w:cs="Times New Roman" w:eastAsia="Times New Roman" w:hAnsi="Times New Roman"/>
                <w:sz w:val="20"/>
                <w:szCs w:val="20"/>
                <w:color w:val="auto"/>
              </w:rPr>
              <w:t>555</w:t>
            </w:r>
          </w:p>
        </w:tc>
      </w:tr>
      <w:tr>
        <w:trPr>
          <w:trHeight w:val="304"/>
        </w:trPr>
        <w:tc>
          <w:tcPr>
            <w:tcW w:w="8280" w:type="dxa"/>
            <w:vAlign w:val="bottom"/>
          </w:tcPr>
          <w:p>
            <w:pPr>
              <w:ind w:left="40"/>
              <w:spacing w:after="0"/>
              <w:rPr>
                <w:sz w:val="20"/>
                <w:szCs w:val="20"/>
                <w:color w:val="auto"/>
              </w:rPr>
            </w:pPr>
            <w:r>
              <w:rPr>
                <w:rFonts w:ascii="Times New Roman" w:cs="Times New Roman" w:eastAsia="Times New Roman" w:hAnsi="Times New Roman"/>
                <w:sz w:val="20"/>
                <w:szCs w:val="20"/>
                <w:color w:val="auto"/>
              </w:rPr>
              <w:t>2026</w:t>
            </w:r>
          </w:p>
        </w:tc>
        <w:tc>
          <w:tcPr>
            <w:tcW w:w="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6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543</w:t>
            </w:r>
          </w:p>
        </w:tc>
      </w:tr>
      <w:tr>
        <w:trPr>
          <w:trHeight w:val="323"/>
        </w:trPr>
        <w:tc>
          <w:tcPr>
            <w:tcW w:w="8280" w:type="dxa"/>
            <w:vAlign w:val="bottom"/>
            <w:shd w:val="clear" w:color="auto" w:fill="DDDDDD"/>
          </w:tcPr>
          <w:p>
            <w:pPr>
              <w:ind w:left="40"/>
              <w:spacing w:after="0"/>
              <w:rPr>
                <w:sz w:val="20"/>
                <w:szCs w:val="20"/>
                <w:color w:val="auto"/>
              </w:rPr>
            </w:pPr>
            <w:r>
              <w:rPr>
                <w:rFonts w:ascii="Times New Roman" w:cs="Times New Roman" w:eastAsia="Times New Roman" w:hAnsi="Times New Roman"/>
                <w:sz w:val="20"/>
                <w:szCs w:val="20"/>
                <w:color w:val="auto"/>
              </w:rPr>
              <w:t>2027</w:t>
            </w:r>
          </w:p>
        </w:tc>
        <w:tc>
          <w:tcPr>
            <w:tcW w:w="60" w:type="dxa"/>
            <w:vAlign w:val="bottom"/>
            <w:shd w:val="clear" w:color="auto" w:fill="DDDDDD"/>
          </w:tcPr>
          <w:p>
            <w:pPr>
              <w:spacing w:after="0"/>
              <w:rPr>
                <w:sz w:val="24"/>
                <w:szCs w:val="24"/>
                <w:color w:val="auto"/>
              </w:rPr>
            </w:pPr>
          </w:p>
        </w:tc>
        <w:tc>
          <w:tcPr>
            <w:tcW w:w="280" w:type="dxa"/>
            <w:vAlign w:val="bottom"/>
            <w:shd w:val="clear" w:color="auto" w:fill="DDDDDD"/>
          </w:tcPr>
          <w:p>
            <w:pPr>
              <w:spacing w:after="0"/>
              <w:rPr>
                <w:sz w:val="24"/>
                <w:szCs w:val="24"/>
                <w:color w:val="auto"/>
              </w:rPr>
            </w:pPr>
          </w:p>
        </w:tc>
        <w:tc>
          <w:tcPr>
            <w:tcW w:w="1640" w:type="dxa"/>
            <w:vAlign w:val="bottom"/>
            <w:shd w:val="clear" w:color="auto" w:fill="DDDDDD"/>
          </w:tcPr>
          <w:p>
            <w:pPr>
              <w:jc w:val="right"/>
              <w:spacing w:after="0"/>
              <w:rPr>
                <w:sz w:val="20"/>
                <w:szCs w:val="20"/>
                <w:color w:val="auto"/>
              </w:rPr>
            </w:pPr>
            <w:r>
              <w:rPr>
                <w:rFonts w:ascii="Times New Roman" w:cs="Times New Roman" w:eastAsia="Times New Roman" w:hAnsi="Times New Roman"/>
                <w:sz w:val="20"/>
                <w:szCs w:val="20"/>
                <w:color w:val="auto"/>
              </w:rPr>
              <w:t>505</w:t>
            </w:r>
          </w:p>
        </w:tc>
      </w:tr>
      <w:tr>
        <w:trPr>
          <w:trHeight w:val="304"/>
        </w:trPr>
        <w:tc>
          <w:tcPr>
            <w:tcW w:w="8280" w:type="dxa"/>
            <w:vAlign w:val="bottom"/>
          </w:tcPr>
          <w:p>
            <w:pPr>
              <w:ind w:left="40"/>
              <w:spacing w:after="0"/>
              <w:rPr>
                <w:sz w:val="20"/>
                <w:szCs w:val="20"/>
                <w:color w:val="auto"/>
              </w:rPr>
            </w:pPr>
            <w:r>
              <w:rPr>
                <w:rFonts w:ascii="Times New Roman" w:cs="Times New Roman" w:eastAsia="Times New Roman" w:hAnsi="Times New Roman"/>
                <w:sz w:val="20"/>
                <w:szCs w:val="20"/>
                <w:color w:val="auto"/>
              </w:rPr>
              <w:t>2028</w:t>
            </w:r>
          </w:p>
        </w:tc>
        <w:tc>
          <w:tcPr>
            <w:tcW w:w="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6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222</w:t>
            </w:r>
          </w:p>
        </w:tc>
      </w:tr>
      <w:tr>
        <w:trPr>
          <w:trHeight w:val="317"/>
        </w:trPr>
        <w:tc>
          <w:tcPr>
            <w:tcW w:w="8280" w:type="dxa"/>
            <w:vAlign w:val="bottom"/>
            <w:tcBorders>
              <w:bottom w:val="single" w:sz="8" w:color="DDDDDD"/>
            </w:tcBorders>
            <w:shd w:val="clear" w:color="auto" w:fill="DDDDDD"/>
          </w:tcPr>
          <w:p>
            <w:pPr>
              <w:ind w:left="40"/>
              <w:spacing w:after="0"/>
              <w:rPr>
                <w:sz w:val="20"/>
                <w:szCs w:val="20"/>
                <w:color w:val="auto"/>
              </w:rPr>
            </w:pPr>
            <w:r>
              <w:rPr>
                <w:rFonts w:ascii="Times New Roman" w:cs="Times New Roman" w:eastAsia="Times New Roman" w:hAnsi="Times New Roman"/>
                <w:sz w:val="20"/>
                <w:szCs w:val="20"/>
                <w:color w:val="auto"/>
              </w:rPr>
              <w:t>Thereafter</w:t>
            </w:r>
          </w:p>
        </w:tc>
        <w:tc>
          <w:tcPr>
            <w:tcW w:w="60" w:type="dxa"/>
            <w:vAlign w:val="bottom"/>
            <w:tcBorders>
              <w:bottom w:val="single" w:sz="8" w:color="DDDDDD"/>
            </w:tcBorders>
            <w:shd w:val="clear" w:color="auto" w:fill="DDDDDD"/>
          </w:tcPr>
          <w:p>
            <w:pPr>
              <w:spacing w:after="0"/>
              <w:rPr>
                <w:sz w:val="24"/>
                <w:szCs w:val="24"/>
                <w:color w:val="auto"/>
              </w:rPr>
            </w:pPr>
          </w:p>
        </w:tc>
        <w:tc>
          <w:tcPr>
            <w:tcW w:w="280" w:type="dxa"/>
            <w:vAlign w:val="bottom"/>
            <w:tcBorders>
              <w:bottom w:val="single" w:sz="8" w:color="auto"/>
            </w:tcBorders>
            <w:shd w:val="clear" w:color="auto" w:fill="DDDDDD"/>
          </w:tcPr>
          <w:p>
            <w:pPr>
              <w:spacing w:after="0"/>
              <w:rPr>
                <w:sz w:val="24"/>
                <w:szCs w:val="24"/>
                <w:color w:val="auto"/>
              </w:rPr>
            </w:pPr>
          </w:p>
        </w:tc>
        <w:tc>
          <w:tcPr>
            <w:tcW w:w="1640" w:type="dxa"/>
            <w:vAlign w:val="bottom"/>
            <w:tcBorders>
              <w:bottom w:val="single" w:sz="8" w:color="auto"/>
            </w:tcBorders>
            <w:shd w:val="clear" w:color="auto" w:fill="DDDDDD"/>
          </w:tcPr>
          <w:p>
            <w:pPr>
              <w:jc w:val="right"/>
              <w:spacing w:after="0"/>
              <w:rPr>
                <w:sz w:val="20"/>
                <w:szCs w:val="20"/>
                <w:color w:val="auto"/>
              </w:rPr>
            </w:pPr>
            <w:r>
              <w:rPr>
                <w:rFonts w:ascii="Times New Roman" w:cs="Times New Roman" w:eastAsia="Times New Roman" w:hAnsi="Times New Roman"/>
                <w:sz w:val="20"/>
                <w:szCs w:val="20"/>
                <w:color w:val="auto"/>
              </w:rPr>
              <w:t>127</w:t>
            </w:r>
          </w:p>
        </w:tc>
      </w:tr>
      <w:tr>
        <w:trPr>
          <w:trHeight w:val="290"/>
        </w:trPr>
        <w:tc>
          <w:tcPr>
            <w:tcW w:w="8280" w:type="dxa"/>
            <w:vAlign w:val="bottom"/>
          </w:tcPr>
          <w:p>
            <w:pPr>
              <w:spacing w:after="0"/>
              <w:rPr>
                <w:sz w:val="24"/>
                <w:szCs w:val="24"/>
                <w:color w:val="auto"/>
              </w:rPr>
            </w:pPr>
          </w:p>
        </w:tc>
        <w:tc>
          <w:tcPr>
            <w:tcW w:w="340" w:type="dxa"/>
            <w:vAlign w:val="bottom"/>
            <w:gridSpan w:val="2"/>
          </w:tcPr>
          <w:p>
            <w:pPr>
              <w:jc w:val="right"/>
              <w:ind w:right="120"/>
              <w:spacing w:after="0"/>
              <w:rPr>
                <w:sz w:val="20"/>
                <w:szCs w:val="20"/>
                <w:color w:val="auto"/>
              </w:rPr>
            </w:pPr>
            <w:r>
              <w:rPr>
                <w:rFonts w:ascii="Times New Roman" w:cs="Times New Roman" w:eastAsia="Times New Roman" w:hAnsi="Times New Roman"/>
                <w:sz w:val="20"/>
                <w:szCs w:val="20"/>
                <w:color w:val="auto"/>
              </w:rPr>
              <w:t>$</w:t>
            </w:r>
          </w:p>
        </w:tc>
        <w:tc>
          <w:tcPr>
            <w:tcW w:w="16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2,507</w:t>
            </w:r>
          </w:p>
        </w:tc>
      </w:tr>
      <w:tr>
        <w:trPr>
          <w:trHeight w:val="26"/>
        </w:trPr>
        <w:tc>
          <w:tcPr>
            <w:tcW w:w="8280" w:type="dxa"/>
            <w:vAlign w:val="bottom"/>
          </w:tcPr>
          <w:p>
            <w:pPr>
              <w:spacing w:after="0"/>
              <w:rPr>
                <w:sz w:val="2"/>
                <w:szCs w:val="2"/>
                <w:color w:val="auto"/>
              </w:rPr>
            </w:pPr>
          </w:p>
        </w:tc>
        <w:tc>
          <w:tcPr>
            <w:tcW w:w="6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640" w:type="dxa"/>
            <w:vAlign w:val="bottom"/>
            <w:tcBorders>
              <w:bottom w:val="single" w:sz="8" w:color="auto"/>
            </w:tcBorders>
          </w:tcPr>
          <w:p>
            <w:pPr>
              <w:spacing w:after="0"/>
              <w:rPr>
                <w:sz w:val="2"/>
                <w:szCs w:val="2"/>
                <w:color w:val="auto"/>
              </w:rPr>
            </w:pPr>
          </w:p>
        </w:tc>
      </w:tr>
      <w:tr>
        <w:trPr>
          <w:trHeight w:val="20"/>
        </w:trPr>
        <w:tc>
          <w:tcPr>
            <w:tcW w:w="82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640" w:type="dxa"/>
            <w:vAlign w:val="bottom"/>
            <w:tcBorders>
              <w:bottom w:val="single" w:sz="8" w:color="auto"/>
            </w:tcBorders>
          </w:tcPr>
          <w:p>
            <w:pPr>
              <w:spacing w:after="0" w:line="20" w:lineRule="exact"/>
              <w:rPr>
                <w:sz w:val="1"/>
                <w:szCs w:val="1"/>
                <w:color w:val="auto"/>
              </w:rPr>
            </w:pPr>
          </w:p>
        </w:tc>
      </w:tr>
    </w:tbl>
    <w:p>
      <w:pPr>
        <w:spacing w:after="0" w:line="120" w:lineRule="exact"/>
        <w:rPr>
          <w:sz w:val="20"/>
          <w:szCs w:val="20"/>
          <w:color w:val="auto"/>
        </w:rPr>
      </w:pPr>
    </w:p>
    <w:p>
      <w:pPr>
        <w:ind w:left="546" w:hanging="546"/>
        <w:spacing w:after="0"/>
        <w:tabs>
          <w:tab w:leader="none" w:pos="546" w:val="left"/>
        </w:tabs>
        <w:numPr>
          <w:ilvl w:val="0"/>
          <w:numId w:val="93"/>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b w:val="1"/>
          <w:bCs w:val="1"/>
          <w:color w:val="auto"/>
        </w:rPr>
        <w:t>Prepaid Expenses and Other Current Assets</w:t>
      </w:r>
    </w:p>
    <w:p>
      <w:pPr>
        <w:spacing w:after="0" w:line="168" w:lineRule="exact"/>
        <w:rPr>
          <w:sz w:val="20"/>
          <w:szCs w:val="20"/>
          <w:color w:val="auto"/>
        </w:rPr>
      </w:pPr>
    </w:p>
    <w:p>
      <w:pPr>
        <w:ind w:left="6"/>
        <w:spacing w:after="0"/>
        <w:rPr>
          <w:sz w:val="20"/>
          <w:szCs w:val="20"/>
          <w:color w:val="auto"/>
        </w:rPr>
      </w:pPr>
      <w:r>
        <w:rPr>
          <w:rFonts w:ascii="Times New Roman" w:cs="Times New Roman" w:eastAsia="Times New Roman" w:hAnsi="Times New Roman"/>
          <w:sz w:val="20"/>
          <w:szCs w:val="20"/>
          <w:color w:val="auto"/>
        </w:rPr>
        <w:t>Prepaid expenses and other current assets as of December 31, 2023 and 2022 consisted of the following (in thousands):</w:t>
      </w:r>
    </w:p>
    <w:p>
      <w:pPr>
        <w:spacing w:after="0" w:line="214" w:lineRule="exact"/>
        <w:rPr>
          <w:sz w:val="20"/>
          <w:szCs w:val="20"/>
          <w:color w:val="auto"/>
        </w:rPr>
      </w:pPr>
    </w:p>
    <w:tbl>
      <w:tblPr>
        <w:tblLayout w:type="fixed"/>
        <w:tblInd w:w="6" w:type="dxa"/>
        <w:tblCellMar>
          <w:top w:w="0" w:type="dxa"/>
          <w:left w:w="0" w:type="dxa"/>
          <w:bottom w:w="0" w:type="dxa"/>
          <w:right w:w="0" w:type="dxa"/>
        </w:tblCellMar>
      </w:tblPr>
      <w:tr>
        <w:trPr>
          <w:trHeight w:val="285"/>
        </w:trPr>
        <w:tc>
          <w:tcPr>
            <w:tcW w:w="6560" w:type="dxa"/>
            <w:vAlign w:val="bottom"/>
            <w:tcBorders>
              <w:bottom w:val="single" w:sz="8" w:color="DDDDDD"/>
            </w:tcBorders>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76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20"/>
                <w:szCs w:val="20"/>
                <w:b w:val="1"/>
                <w:bCs w:val="1"/>
                <w:color w:val="auto"/>
              </w:rPr>
              <w:t>December 31, 2023</w:t>
            </w:r>
          </w:p>
        </w:tc>
        <w:tc>
          <w:tcPr>
            <w:tcW w:w="80" w:type="dxa"/>
            <w:vAlign w:val="bottom"/>
            <w:tcBorders>
              <w:bottom w:val="single" w:sz="8" w:color="DDDDDD"/>
            </w:tcBorders>
          </w:tcPr>
          <w:p>
            <w:pPr>
              <w:spacing w:after="0"/>
              <w:rPr>
                <w:sz w:val="24"/>
                <w:szCs w:val="24"/>
                <w:color w:val="auto"/>
              </w:rPr>
            </w:pPr>
          </w:p>
        </w:tc>
        <w:tc>
          <w:tcPr>
            <w:tcW w:w="20" w:type="dxa"/>
            <w:vAlign w:val="bottom"/>
            <w:tcBorders>
              <w:bottom w:val="single" w:sz="8" w:color="DDDDDD"/>
            </w:tcBorders>
          </w:tcPr>
          <w:p>
            <w:pPr>
              <w:spacing w:after="0"/>
              <w:rPr>
                <w:sz w:val="24"/>
                <w:szCs w:val="24"/>
                <w:color w:val="auto"/>
              </w:rPr>
            </w:pPr>
          </w:p>
        </w:tc>
        <w:tc>
          <w:tcPr>
            <w:tcW w:w="178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20"/>
                <w:szCs w:val="20"/>
                <w:b w:val="1"/>
                <w:bCs w:val="1"/>
                <w:color w:val="auto"/>
              </w:rPr>
              <w:t>December 31, 2022</w:t>
            </w:r>
          </w:p>
        </w:tc>
      </w:tr>
      <w:tr>
        <w:trPr>
          <w:trHeight w:val="295"/>
        </w:trPr>
        <w:tc>
          <w:tcPr>
            <w:tcW w:w="6560" w:type="dxa"/>
            <w:vAlign w:val="bottom"/>
            <w:shd w:val="clear" w:color="auto" w:fill="DDDDDD"/>
          </w:tcPr>
          <w:p>
            <w:pPr>
              <w:ind w:left="40"/>
              <w:spacing w:after="0"/>
              <w:rPr>
                <w:sz w:val="20"/>
                <w:szCs w:val="20"/>
                <w:color w:val="auto"/>
              </w:rPr>
            </w:pPr>
            <w:r>
              <w:rPr>
                <w:rFonts w:ascii="Times New Roman" w:cs="Times New Roman" w:eastAsia="Times New Roman" w:hAnsi="Times New Roman"/>
                <w:sz w:val="20"/>
                <w:szCs w:val="20"/>
                <w:color w:val="auto"/>
              </w:rPr>
              <w:t>Prepaid insurance</w:t>
            </w:r>
          </w:p>
        </w:tc>
        <w:tc>
          <w:tcPr>
            <w:tcW w:w="40" w:type="dxa"/>
            <w:vAlign w:val="bottom"/>
            <w:shd w:val="clear" w:color="auto" w:fill="DDDDDD"/>
          </w:tcPr>
          <w:p>
            <w:pPr>
              <w:spacing w:after="0"/>
              <w:rPr>
                <w:sz w:val="24"/>
                <w:szCs w:val="24"/>
                <w:color w:val="auto"/>
              </w:rPr>
            </w:pPr>
          </w:p>
        </w:tc>
        <w:tc>
          <w:tcPr>
            <w:tcW w:w="700" w:type="dxa"/>
            <w:vAlign w:val="bottom"/>
            <w:gridSpan w:val="2"/>
            <w:shd w:val="clear" w:color="auto" w:fill="DDDDDD"/>
          </w:tcPr>
          <w:p>
            <w:pPr>
              <w:jc w:val="right"/>
              <w:ind w:right="439"/>
              <w:spacing w:after="0"/>
              <w:rPr>
                <w:sz w:val="20"/>
                <w:szCs w:val="20"/>
                <w:color w:val="auto"/>
              </w:rPr>
            </w:pPr>
            <w:r>
              <w:rPr>
                <w:rFonts w:ascii="Times New Roman" w:cs="Times New Roman" w:eastAsia="Times New Roman" w:hAnsi="Times New Roman"/>
                <w:sz w:val="20"/>
                <w:szCs w:val="20"/>
                <w:color w:val="auto"/>
              </w:rPr>
              <w:t>$</w:t>
            </w:r>
          </w:p>
        </w:tc>
        <w:tc>
          <w:tcPr>
            <w:tcW w:w="1080" w:type="dxa"/>
            <w:vAlign w:val="bottom"/>
            <w:shd w:val="clear" w:color="auto" w:fill="DDDDDD"/>
          </w:tcPr>
          <w:p>
            <w:pPr>
              <w:jc w:val="right"/>
              <w:spacing w:after="0"/>
              <w:rPr>
                <w:sz w:val="20"/>
                <w:szCs w:val="20"/>
                <w:color w:val="auto"/>
              </w:rPr>
            </w:pPr>
            <w:r>
              <w:rPr>
                <w:rFonts w:ascii="Times New Roman" w:cs="Times New Roman" w:eastAsia="Times New Roman" w:hAnsi="Times New Roman"/>
                <w:sz w:val="20"/>
                <w:szCs w:val="20"/>
                <w:color w:val="auto"/>
              </w:rPr>
              <w:t>1,530</w:t>
            </w:r>
          </w:p>
        </w:tc>
        <w:tc>
          <w:tcPr>
            <w:tcW w:w="80" w:type="dxa"/>
            <w:vAlign w:val="bottom"/>
            <w:shd w:val="clear" w:color="auto" w:fill="DDDDDD"/>
          </w:tcPr>
          <w:p>
            <w:pPr>
              <w:spacing w:after="0"/>
              <w:rPr>
                <w:sz w:val="24"/>
                <w:szCs w:val="24"/>
                <w:color w:val="auto"/>
              </w:rPr>
            </w:pPr>
          </w:p>
        </w:tc>
        <w:tc>
          <w:tcPr>
            <w:tcW w:w="720" w:type="dxa"/>
            <w:vAlign w:val="bottom"/>
            <w:gridSpan w:val="2"/>
            <w:shd w:val="clear" w:color="auto" w:fill="DDDDDD"/>
          </w:tcPr>
          <w:p>
            <w:pPr>
              <w:jc w:val="right"/>
              <w:ind w:right="459"/>
              <w:spacing w:after="0"/>
              <w:rPr>
                <w:sz w:val="20"/>
                <w:szCs w:val="20"/>
                <w:color w:val="auto"/>
              </w:rPr>
            </w:pPr>
            <w:r>
              <w:rPr>
                <w:rFonts w:ascii="Times New Roman" w:cs="Times New Roman" w:eastAsia="Times New Roman" w:hAnsi="Times New Roman"/>
                <w:sz w:val="20"/>
                <w:szCs w:val="20"/>
                <w:color w:val="auto"/>
              </w:rPr>
              <w:t>$</w:t>
            </w:r>
          </w:p>
        </w:tc>
        <w:tc>
          <w:tcPr>
            <w:tcW w:w="1080" w:type="dxa"/>
            <w:vAlign w:val="bottom"/>
            <w:shd w:val="clear" w:color="auto" w:fill="DDDDDD"/>
          </w:tcPr>
          <w:p>
            <w:pPr>
              <w:jc w:val="right"/>
              <w:spacing w:after="0"/>
              <w:rPr>
                <w:sz w:val="20"/>
                <w:szCs w:val="20"/>
                <w:color w:val="auto"/>
              </w:rPr>
            </w:pPr>
            <w:r>
              <w:rPr>
                <w:rFonts w:ascii="Times New Roman" w:cs="Times New Roman" w:eastAsia="Times New Roman" w:hAnsi="Times New Roman"/>
                <w:sz w:val="20"/>
                <w:szCs w:val="20"/>
                <w:color w:val="auto"/>
              </w:rPr>
              <w:t>2,869</w:t>
            </w:r>
          </w:p>
        </w:tc>
      </w:tr>
      <w:tr>
        <w:trPr>
          <w:trHeight w:val="304"/>
        </w:trPr>
        <w:tc>
          <w:tcPr>
            <w:tcW w:w="6560" w:type="dxa"/>
            <w:vAlign w:val="bottom"/>
          </w:tcPr>
          <w:p>
            <w:pPr>
              <w:ind w:left="40"/>
              <w:spacing w:after="0"/>
              <w:rPr>
                <w:sz w:val="20"/>
                <w:szCs w:val="20"/>
                <w:color w:val="auto"/>
              </w:rPr>
            </w:pPr>
            <w:r>
              <w:rPr>
                <w:rFonts w:ascii="Times New Roman" w:cs="Times New Roman" w:eastAsia="Times New Roman" w:hAnsi="Times New Roman"/>
                <w:sz w:val="20"/>
                <w:szCs w:val="20"/>
                <w:color w:val="auto"/>
              </w:rPr>
              <w:t>Prepaid marketing</w:t>
            </w: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387</w:t>
            </w: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2,321</w:t>
            </w:r>
          </w:p>
        </w:tc>
      </w:tr>
      <w:tr>
        <w:trPr>
          <w:trHeight w:val="323"/>
        </w:trPr>
        <w:tc>
          <w:tcPr>
            <w:tcW w:w="6560" w:type="dxa"/>
            <w:vAlign w:val="bottom"/>
            <w:shd w:val="clear" w:color="auto" w:fill="DDDDDD"/>
          </w:tcPr>
          <w:p>
            <w:pPr>
              <w:ind w:left="40"/>
              <w:spacing w:after="0"/>
              <w:rPr>
                <w:sz w:val="20"/>
                <w:szCs w:val="20"/>
                <w:color w:val="auto"/>
              </w:rPr>
            </w:pPr>
            <w:r>
              <w:rPr>
                <w:rFonts w:ascii="Times New Roman" w:cs="Times New Roman" w:eastAsia="Times New Roman" w:hAnsi="Times New Roman"/>
                <w:sz w:val="20"/>
                <w:szCs w:val="20"/>
                <w:color w:val="auto"/>
              </w:rPr>
              <w:t>Prepaid software</w:t>
            </w:r>
          </w:p>
        </w:tc>
        <w:tc>
          <w:tcPr>
            <w:tcW w:w="40" w:type="dxa"/>
            <w:vAlign w:val="bottom"/>
            <w:shd w:val="clear" w:color="auto" w:fill="DDDDDD"/>
          </w:tcPr>
          <w:p>
            <w:pPr>
              <w:spacing w:after="0"/>
              <w:rPr>
                <w:sz w:val="24"/>
                <w:szCs w:val="24"/>
                <w:color w:val="auto"/>
              </w:rPr>
            </w:pPr>
          </w:p>
        </w:tc>
        <w:tc>
          <w:tcPr>
            <w:tcW w:w="20" w:type="dxa"/>
            <w:vAlign w:val="bottom"/>
            <w:shd w:val="clear" w:color="auto" w:fill="DDDDDD"/>
          </w:tcPr>
          <w:p>
            <w:pPr>
              <w:spacing w:after="0"/>
              <w:rPr>
                <w:sz w:val="24"/>
                <w:szCs w:val="24"/>
                <w:color w:val="auto"/>
              </w:rPr>
            </w:pPr>
          </w:p>
        </w:tc>
        <w:tc>
          <w:tcPr>
            <w:tcW w:w="680" w:type="dxa"/>
            <w:vAlign w:val="bottom"/>
            <w:shd w:val="clear" w:color="auto" w:fill="DDDDDD"/>
          </w:tcPr>
          <w:p>
            <w:pPr>
              <w:spacing w:after="0"/>
              <w:rPr>
                <w:sz w:val="24"/>
                <w:szCs w:val="24"/>
                <w:color w:val="auto"/>
              </w:rPr>
            </w:pPr>
          </w:p>
        </w:tc>
        <w:tc>
          <w:tcPr>
            <w:tcW w:w="1080" w:type="dxa"/>
            <w:vAlign w:val="bottom"/>
            <w:shd w:val="clear" w:color="auto" w:fill="DDDDDD"/>
          </w:tcPr>
          <w:p>
            <w:pPr>
              <w:jc w:val="right"/>
              <w:spacing w:after="0"/>
              <w:rPr>
                <w:sz w:val="20"/>
                <w:szCs w:val="20"/>
                <w:color w:val="auto"/>
              </w:rPr>
            </w:pPr>
            <w:r>
              <w:rPr>
                <w:rFonts w:ascii="Times New Roman" w:cs="Times New Roman" w:eastAsia="Times New Roman" w:hAnsi="Times New Roman"/>
                <w:sz w:val="20"/>
                <w:szCs w:val="20"/>
                <w:color w:val="auto"/>
              </w:rPr>
              <w:t>2,406</w:t>
            </w:r>
          </w:p>
        </w:tc>
        <w:tc>
          <w:tcPr>
            <w:tcW w:w="80" w:type="dxa"/>
            <w:vAlign w:val="bottom"/>
            <w:shd w:val="clear" w:color="auto" w:fill="DDDDDD"/>
          </w:tcPr>
          <w:p>
            <w:pPr>
              <w:spacing w:after="0"/>
              <w:rPr>
                <w:sz w:val="24"/>
                <w:szCs w:val="24"/>
                <w:color w:val="auto"/>
              </w:rPr>
            </w:pPr>
          </w:p>
        </w:tc>
        <w:tc>
          <w:tcPr>
            <w:tcW w:w="20" w:type="dxa"/>
            <w:vAlign w:val="bottom"/>
            <w:shd w:val="clear" w:color="auto" w:fill="DDDDDD"/>
          </w:tcPr>
          <w:p>
            <w:pPr>
              <w:spacing w:after="0"/>
              <w:rPr>
                <w:sz w:val="24"/>
                <w:szCs w:val="24"/>
                <w:color w:val="auto"/>
              </w:rPr>
            </w:pPr>
          </w:p>
        </w:tc>
        <w:tc>
          <w:tcPr>
            <w:tcW w:w="700" w:type="dxa"/>
            <w:vAlign w:val="bottom"/>
            <w:shd w:val="clear" w:color="auto" w:fill="DDDDDD"/>
          </w:tcPr>
          <w:p>
            <w:pPr>
              <w:spacing w:after="0"/>
              <w:rPr>
                <w:sz w:val="24"/>
                <w:szCs w:val="24"/>
                <w:color w:val="auto"/>
              </w:rPr>
            </w:pPr>
          </w:p>
        </w:tc>
        <w:tc>
          <w:tcPr>
            <w:tcW w:w="1080" w:type="dxa"/>
            <w:vAlign w:val="bottom"/>
            <w:shd w:val="clear" w:color="auto" w:fill="DDDDDD"/>
          </w:tcPr>
          <w:p>
            <w:pPr>
              <w:jc w:val="right"/>
              <w:spacing w:after="0"/>
              <w:rPr>
                <w:sz w:val="20"/>
                <w:szCs w:val="20"/>
                <w:color w:val="auto"/>
              </w:rPr>
            </w:pPr>
            <w:r>
              <w:rPr>
                <w:rFonts w:ascii="Times New Roman" w:cs="Times New Roman" w:eastAsia="Times New Roman" w:hAnsi="Times New Roman"/>
                <w:sz w:val="20"/>
                <w:szCs w:val="20"/>
                <w:color w:val="auto"/>
              </w:rPr>
              <w:t>2,762</w:t>
            </w:r>
          </w:p>
        </w:tc>
      </w:tr>
      <w:tr>
        <w:trPr>
          <w:trHeight w:val="304"/>
        </w:trPr>
        <w:tc>
          <w:tcPr>
            <w:tcW w:w="6560" w:type="dxa"/>
            <w:vAlign w:val="bottom"/>
            <w:tcBorders>
              <w:bottom w:val="single" w:sz="8" w:color="DDDDDD"/>
            </w:tcBorders>
          </w:tcPr>
          <w:p>
            <w:pPr>
              <w:ind w:left="40"/>
              <w:spacing w:after="0"/>
              <w:rPr>
                <w:sz w:val="20"/>
                <w:szCs w:val="20"/>
                <w:color w:val="auto"/>
              </w:rPr>
            </w:pPr>
            <w:r>
              <w:rPr>
                <w:rFonts w:ascii="Times New Roman" w:cs="Times New Roman" w:eastAsia="Times New Roman" w:hAnsi="Times New Roman"/>
                <w:sz w:val="20"/>
                <w:szCs w:val="20"/>
                <w:color w:val="auto"/>
              </w:rPr>
              <w:t>Other prepaid expenses and other current assets</w:t>
            </w:r>
          </w:p>
        </w:tc>
        <w:tc>
          <w:tcPr>
            <w:tcW w:w="40" w:type="dxa"/>
            <w:vAlign w:val="bottom"/>
            <w:tcBorders>
              <w:bottom w:val="single" w:sz="8" w:color="DDDDDD"/>
            </w:tcBorders>
          </w:tcPr>
          <w:p>
            <w:pPr>
              <w:spacing w:after="0"/>
              <w:rPr>
                <w:sz w:val="24"/>
                <w:szCs w:val="24"/>
                <w:color w:val="auto"/>
              </w:rPr>
            </w:pPr>
          </w:p>
        </w:tc>
        <w:tc>
          <w:tcPr>
            <w:tcW w:w="20" w:type="dxa"/>
            <w:vAlign w:val="bottom"/>
            <w:tcBorders>
              <w:bottom w:val="single" w:sz="8" w:color="DDDDDD"/>
            </w:tcBorders>
          </w:tcPr>
          <w:p>
            <w:pPr>
              <w:spacing w:after="0"/>
              <w:rPr>
                <w:sz w:val="24"/>
                <w:szCs w:val="24"/>
                <w:color w:val="auto"/>
              </w:rPr>
            </w:pPr>
          </w:p>
        </w:tc>
        <w:tc>
          <w:tcPr>
            <w:tcW w:w="680" w:type="dxa"/>
            <w:vAlign w:val="bottom"/>
            <w:tcBorders>
              <w:bottom w:val="single" w:sz="8" w:color="auto"/>
            </w:tcBorders>
          </w:tcPr>
          <w:p>
            <w:pPr>
              <w:spacing w:after="0"/>
              <w:rPr>
                <w:sz w:val="24"/>
                <w:szCs w:val="24"/>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1,655</w:t>
            </w:r>
          </w:p>
        </w:tc>
        <w:tc>
          <w:tcPr>
            <w:tcW w:w="80" w:type="dxa"/>
            <w:vAlign w:val="bottom"/>
            <w:tcBorders>
              <w:bottom w:val="single" w:sz="8" w:color="DDDDDD"/>
            </w:tcBorders>
          </w:tcPr>
          <w:p>
            <w:pPr>
              <w:spacing w:after="0"/>
              <w:rPr>
                <w:sz w:val="24"/>
                <w:szCs w:val="24"/>
                <w:color w:val="auto"/>
              </w:rPr>
            </w:pPr>
          </w:p>
        </w:tc>
        <w:tc>
          <w:tcPr>
            <w:tcW w:w="20" w:type="dxa"/>
            <w:vAlign w:val="bottom"/>
            <w:tcBorders>
              <w:bottom w:val="single" w:sz="8" w:color="DDDDDD"/>
            </w:tcBorders>
          </w:tcPr>
          <w:p>
            <w:pPr>
              <w:spacing w:after="0"/>
              <w:rPr>
                <w:sz w:val="24"/>
                <w:szCs w:val="24"/>
                <w:color w:val="auto"/>
              </w:rPr>
            </w:pPr>
          </w:p>
        </w:tc>
        <w:tc>
          <w:tcPr>
            <w:tcW w:w="700" w:type="dxa"/>
            <w:vAlign w:val="bottom"/>
            <w:tcBorders>
              <w:bottom w:val="single" w:sz="8" w:color="auto"/>
            </w:tcBorders>
          </w:tcPr>
          <w:p>
            <w:pPr>
              <w:spacing w:after="0"/>
              <w:rPr>
                <w:sz w:val="24"/>
                <w:szCs w:val="24"/>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1,010</w:t>
            </w:r>
          </w:p>
        </w:tc>
      </w:tr>
      <w:tr>
        <w:trPr>
          <w:trHeight w:val="302"/>
        </w:trPr>
        <w:tc>
          <w:tcPr>
            <w:tcW w:w="6560" w:type="dxa"/>
            <w:vAlign w:val="bottom"/>
            <w:shd w:val="clear" w:color="auto" w:fill="DDDDDD"/>
          </w:tcPr>
          <w:p>
            <w:pPr>
              <w:spacing w:after="0"/>
              <w:rPr>
                <w:sz w:val="24"/>
                <w:szCs w:val="24"/>
                <w:color w:val="auto"/>
              </w:rPr>
            </w:pPr>
          </w:p>
        </w:tc>
        <w:tc>
          <w:tcPr>
            <w:tcW w:w="40" w:type="dxa"/>
            <w:vAlign w:val="bottom"/>
            <w:shd w:val="clear" w:color="auto" w:fill="DDDDDD"/>
          </w:tcPr>
          <w:p>
            <w:pPr>
              <w:spacing w:after="0"/>
              <w:rPr>
                <w:sz w:val="24"/>
                <w:szCs w:val="24"/>
                <w:color w:val="auto"/>
              </w:rPr>
            </w:pPr>
          </w:p>
        </w:tc>
        <w:tc>
          <w:tcPr>
            <w:tcW w:w="700" w:type="dxa"/>
            <w:vAlign w:val="bottom"/>
            <w:gridSpan w:val="2"/>
            <w:shd w:val="clear" w:color="auto" w:fill="DDDDDD"/>
          </w:tcPr>
          <w:p>
            <w:pPr>
              <w:jc w:val="right"/>
              <w:ind w:right="439"/>
              <w:spacing w:after="0"/>
              <w:rPr>
                <w:sz w:val="20"/>
                <w:szCs w:val="20"/>
                <w:color w:val="auto"/>
              </w:rPr>
            </w:pPr>
            <w:r>
              <w:rPr>
                <w:rFonts w:ascii="Times New Roman" w:cs="Times New Roman" w:eastAsia="Times New Roman" w:hAnsi="Times New Roman"/>
                <w:sz w:val="20"/>
                <w:szCs w:val="20"/>
                <w:color w:val="auto"/>
              </w:rPr>
              <w:t>$</w:t>
            </w:r>
          </w:p>
        </w:tc>
        <w:tc>
          <w:tcPr>
            <w:tcW w:w="1080" w:type="dxa"/>
            <w:vAlign w:val="bottom"/>
            <w:shd w:val="clear" w:color="auto" w:fill="DDDDDD"/>
          </w:tcPr>
          <w:p>
            <w:pPr>
              <w:jc w:val="right"/>
              <w:spacing w:after="0"/>
              <w:rPr>
                <w:sz w:val="20"/>
                <w:szCs w:val="20"/>
                <w:color w:val="auto"/>
              </w:rPr>
            </w:pPr>
            <w:r>
              <w:rPr>
                <w:rFonts w:ascii="Times New Roman" w:cs="Times New Roman" w:eastAsia="Times New Roman" w:hAnsi="Times New Roman"/>
                <w:sz w:val="20"/>
                <w:szCs w:val="20"/>
                <w:color w:val="auto"/>
              </w:rPr>
              <w:t>5,978</w:t>
            </w:r>
          </w:p>
        </w:tc>
        <w:tc>
          <w:tcPr>
            <w:tcW w:w="80" w:type="dxa"/>
            <w:vAlign w:val="bottom"/>
            <w:shd w:val="clear" w:color="auto" w:fill="DDDDDD"/>
          </w:tcPr>
          <w:p>
            <w:pPr>
              <w:spacing w:after="0"/>
              <w:rPr>
                <w:sz w:val="24"/>
                <w:szCs w:val="24"/>
                <w:color w:val="auto"/>
              </w:rPr>
            </w:pPr>
          </w:p>
        </w:tc>
        <w:tc>
          <w:tcPr>
            <w:tcW w:w="720" w:type="dxa"/>
            <w:vAlign w:val="bottom"/>
            <w:gridSpan w:val="2"/>
            <w:shd w:val="clear" w:color="auto" w:fill="DDDDDD"/>
          </w:tcPr>
          <w:p>
            <w:pPr>
              <w:jc w:val="right"/>
              <w:ind w:right="459"/>
              <w:spacing w:after="0"/>
              <w:rPr>
                <w:sz w:val="20"/>
                <w:szCs w:val="20"/>
                <w:color w:val="auto"/>
              </w:rPr>
            </w:pPr>
            <w:r>
              <w:rPr>
                <w:rFonts w:ascii="Times New Roman" w:cs="Times New Roman" w:eastAsia="Times New Roman" w:hAnsi="Times New Roman"/>
                <w:sz w:val="20"/>
                <w:szCs w:val="20"/>
                <w:color w:val="auto"/>
              </w:rPr>
              <w:t>$</w:t>
            </w:r>
          </w:p>
        </w:tc>
        <w:tc>
          <w:tcPr>
            <w:tcW w:w="1080" w:type="dxa"/>
            <w:vAlign w:val="bottom"/>
            <w:shd w:val="clear" w:color="auto" w:fill="DDDDDD"/>
          </w:tcPr>
          <w:p>
            <w:pPr>
              <w:jc w:val="right"/>
              <w:spacing w:after="0"/>
              <w:rPr>
                <w:sz w:val="20"/>
                <w:szCs w:val="20"/>
                <w:color w:val="auto"/>
              </w:rPr>
            </w:pPr>
            <w:r>
              <w:rPr>
                <w:rFonts w:ascii="Times New Roman" w:cs="Times New Roman" w:eastAsia="Times New Roman" w:hAnsi="Times New Roman"/>
                <w:sz w:val="20"/>
                <w:szCs w:val="20"/>
                <w:color w:val="auto"/>
              </w:rPr>
              <w:t>8,962</w:t>
            </w:r>
          </w:p>
        </w:tc>
      </w:tr>
      <w:tr>
        <w:trPr>
          <w:trHeight w:val="20"/>
        </w:trPr>
        <w:tc>
          <w:tcPr>
            <w:tcW w:w="65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r>
      <w:tr>
        <w:trPr>
          <w:trHeight w:val="20"/>
        </w:trPr>
        <w:tc>
          <w:tcPr>
            <w:tcW w:w="65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4164965</wp:posOffset>
                </wp:positionH>
                <wp:positionV relativeFrom="paragraph">
                  <wp:posOffset>-1030605</wp:posOffset>
                </wp:positionV>
                <wp:extent cx="36195" cy="13335"/>
                <wp:wrapNone/>
                <wp:docPr id="97" name="Shape 97"/>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36195" cy="13335"/>
                        </a:xfrm>
                        <a:prstGeom prst="rect">
                          <a:avLst/>
                        </a:prstGeom>
                        <a:solidFill>
                          <a:srgbClr val="DDDDDD"/>
                        </a:solidFill>
                      </wps:spPr>
                      <wps:bodyPr/>
                    </wps:wsp>
                  </a:graphicData>
                </a:graphic>
              </wp:anchor>
            </w:drawing>
          </mc:Choice>
          <mc:Fallback>
            <w:pict>
              <v:rect id="Shape 97" o:spid="_x0000_s1122" style="position:absolute;margin-left:327.95pt;margin-top:-81.1499pt;width:2.85pt;height:1.05pt;z-index:-251657728;visibility:visible;mso-wrap-style:square;mso-width-percent:0;mso-height-percent:0;mso-wrap-distance-left:0pt;mso-wrap-distance-top:0;mso-wrap-distance-right:0pt;mso-wrap-distance-bottom:0;mso-position-horizontal:absolute;mso-position-horizontal-relative:text;mso-position-vertical:absolute;mso-position-vertical-relative:text;mso-width-percent:0;mso-height-percent:0;mso-width-relative:page;mso-height-relative:page;v-text-anchor:top" o:allowincell="f" fillcolor="#DDDDDD" stroked="f"/>
            </w:pict>
          </mc:Fallback>
        </mc:AlternateContent>
      </w:r>
    </w:p>
    <w:p>
      <w:pPr>
        <w:spacing w:after="0" w:line="80" w:lineRule="exact"/>
        <w:rPr>
          <w:sz w:val="20"/>
          <w:szCs w:val="20"/>
          <w:color w:val="auto"/>
        </w:rPr>
      </w:pPr>
    </w:p>
    <w:p>
      <w:pPr>
        <w:jc w:val="both"/>
        <w:ind w:left="6"/>
        <w:spacing w:after="0" w:line="295" w:lineRule="auto"/>
        <w:rPr>
          <w:sz w:val="20"/>
          <w:szCs w:val="20"/>
          <w:color w:val="auto"/>
        </w:rPr>
      </w:pPr>
      <w:r>
        <w:rPr>
          <w:rFonts w:ascii="Times New Roman" w:cs="Times New Roman" w:eastAsia="Times New Roman" w:hAnsi="Times New Roman"/>
          <w:sz w:val="20"/>
          <w:szCs w:val="20"/>
          <w:color w:val="auto"/>
        </w:rPr>
        <w:t>The Company capitalizes implementation costs incurred in cloud computing arrangements that are service contracts if they meet certain requirements. Those requirements are similar to the requirements for capitalizing implementation costs incurred to develop internal-use software. Amortization is computed using the straight-line method over the term of the associated hosting arrangement. These implementation costs are classified on the balance sheet in prepaid and other current assets, and the related cash flows are presented as cash outflows from operations. Impairment is recognized and measured when it is no longer probable that the computer software project will be completed and placed in service.</w:t>
      </w:r>
    </w:p>
    <w:p>
      <w:pPr>
        <w:spacing w:after="0" w:line="75" w:lineRule="exact"/>
        <w:rPr>
          <w:sz w:val="20"/>
          <w:szCs w:val="20"/>
          <w:color w:val="auto"/>
        </w:rPr>
      </w:pPr>
    </w:p>
    <w:p>
      <w:pPr>
        <w:jc w:val="both"/>
        <w:ind w:left="6"/>
        <w:spacing w:after="0" w:line="301" w:lineRule="auto"/>
        <w:rPr>
          <w:sz w:val="20"/>
          <w:szCs w:val="20"/>
          <w:color w:val="auto"/>
        </w:rPr>
      </w:pPr>
      <w:r>
        <w:rPr>
          <w:rFonts w:ascii="Times New Roman" w:cs="Times New Roman" w:eastAsia="Times New Roman" w:hAnsi="Times New Roman"/>
          <w:sz w:val="20"/>
          <w:szCs w:val="20"/>
          <w:color w:val="auto"/>
        </w:rPr>
        <w:t>No impairment charge was recognized during the year ended December 31, 2023, related to certain capitalized implementation costs for a cloud computing arrangement that was abandoned. The Company recognized an impairment charge of $0.8 million during the year ended December 31, 2022, related to certain capitalized implementation costs for a cloud computing arrangement that was abandoned.</w:t>
      </w:r>
    </w:p>
    <w:p>
      <w:pPr>
        <w:spacing w:after="0" w:line="75" w:lineRule="exact"/>
        <w:rPr>
          <w:sz w:val="20"/>
          <w:szCs w:val="20"/>
          <w:color w:val="auto"/>
        </w:rPr>
      </w:pPr>
    </w:p>
    <w:p>
      <w:pPr>
        <w:ind w:left="546" w:hanging="546"/>
        <w:spacing w:after="0"/>
        <w:tabs>
          <w:tab w:leader="none" w:pos="546" w:val="left"/>
        </w:tabs>
        <w:numPr>
          <w:ilvl w:val="0"/>
          <w:numId w:val="94"/>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b w:val="1"/>
          <w:bCs w:val="1"/>
          <w:color w:val="auto"/>
        </w:rPr>
        <w:t>Accounts Payable and Accrued Expenses</w:t>
      </w:r>
    </w:p>
    <w:p>
      <w:pPr>
        <w:spacing w:after="0" w:line="168" w:lineRule="exact"/>
        <w:rPr>
          <w:sz w:val="20"/>
          <w:szCs w:val="20"/>
          <w:color w:val="auto"/>
        </w:rPr>
      </w:pPr>
    </w:p>
    <w:p>
      <w:pPr>
        <w:ind w:left="6"/>
        <w:spacing w:after="0"/>
        <w:rPr>
          <w:sz w:val="20"/>
          <w:szCs w:val="20"/>
          <w:color w:val="auto"/>
        </w:rPr>
      </w:pPr>
      <w:r>
        <w:rPr>
          <w:rFonts w:ascii="Times New Roman" w:cs="Times New Roman" w:eastAsia="Times New Roman" w:hAnsi="Times New Roman"/>
          <w:sz w:val="20"/>
          <w:szCs w:val="20"/>
          <w:color w:val="auto"/>
        </w:rPr>
        <w:t>Accounts payable and accrued liabilities as of December 31, 2023 and 2022 consisted of the following (in thousands):</w:t>
      </w:r>
    </w:p>
    <w:p>
      <w:pPr>
        <w:spacing w:after="0" w:line="207" w:lineRule="exact"/>
        <w:rPr>
          <w:sz w:val="20"/>
          <w:szCs w:val="20"/>
          <w:color w:val="auto"/>
        </w:rPr>
      </w:pPr>
    </w:p>
    <w:tbl>
      <w:tblPr>
        <w:tblLayout w:type="fixed"/>
        <w:tblInd w:w="6" w:type="dxa"/>
        <w:tblCellMar>
          <w:top w:w="0" w:type="dxa"/>
          <w:left w:w="0" w:type="dxa"/>
          <w:bottom w:w="0" w:type="dxa"/>
          <w:right w:w="0" w:type="dxa"/>
        </w:tblCellMar>
      </w:tblPr>
      <w:tr>
        <w:trPr>
          <w:trHeight w:val="289"/>
        </w:trPr>
        <w:tc>
          <w:tcPr>
            <w:tcW w:w="6320" w:type="dxa"/>
            <w:vAlign w:val="bottom"/>
            <w:tcBorders>
              <w:bottom w:val="single" w:sz="8" w:color="DDDDDD"/>
            </w:tcBorders>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900" w:type="dxa"/>
            <w:vAlign w:val="bottom"/>
            <w:tcBorders>
              <w:bottom w:val="single" w:sz="8" w:color="auto"/>
            </w:tcBorders>
            <w:gridSpan w:val="2"/>
          </w:tcPr>
          <w:p>
            <w:pPr>
              <w:jc w:val="right"/>
              <w:ind w:right="59"/>
              <w:spacing w:after="0"/>
              <w:rPr>
                <w:sz w:val="20"/>
                <w:szCs w:val="20"/>
                <w:color w:val="auto"/>
              </w:rPr>
            </w:pPr>
            <w:r>
              <w:rPr>
                <w:rFonts w:ascii="Times New Roman" w:cs="Times New Roman" w:eastAsia="Times New Roman" w:hAnsi="Times New Roman"/>
                <w:sz w:val="20"/>
                <w:szCs w:val="20"/>
                <w:b w:val="1"/>
                <w:bCs w:val="1"/>
                <w:color w:val="auto"/>
              </w:rPr>
              <w:t>December 31, 2023</w:t>
            </w:r>
          </w:p>
        </w:tc>
        <w:tc>
          <w:tcPr>
            <w:tcW w:w="60" w:type="dxa"/>
            <w:vAlign w:val="bottom"/>
            <w:tcBorders>
              <w:bottom w:val="single" w:sz="8" w:color="DDDDDD"/>
            </w:tcBorders>
          </w:tcPr>
          <w:p>
            <w:pPr>
              <w:spacing w:after="0"/>
              <w:rPr>
                <w:sz w:val="24"/>
                <w:szCs w:val="24"/>
                <w:color w:val="auto"/>
              </w:rPr>
            </w:pPr>
          </w:p>
        </w:tc>
        <w:tc>
          <w:tcPr>
            <w:tcW w:w="20" w:type="dxa"/>
            <w:vAlign w:val="bottom"/>
            <w:tcBorders>
              <w:bottom w:val="single" w:sz="8" w:color="DDDDDD"/>
            </w:tcBorders>
          </w:tcPr>
          <w:p>
            <w:pPr>
              <w:spacing w:after="0"/>
              <w:rPr>
                <w:sz w:val="24"/>
                <w:szCs w:val="24"/>
                <w:color w:val="auto"/>
              </w:rPr>
            </w:pPr>
          </w:p>
        </w:tc>
        <w:tc>
          <w:tcPr>
            <w:tcW w:w="1900" w:type="dxa"/>
            <w:vAlign w:val="bottom"/>
            <w:tcBorders>
              <w:bottom w:val="single" w:sz="8" w:color="auto"/>
            </w:tcBorders>
            <w:gridSpan w:val="2"/>
          </w:tcPr>
          <w:p>
            <w:pPr>
              <w:jc w:val="right"/>
              <w:ind w:right="59"/>
              <w:spacing w:after="0"/>
              <w:rPr>
                <w:sz w:val="20"/>
                <w:szCs w:val="20"/>
                <w:color w:val="auto"/>
              </w:rPr>
            </w:pPr>
            <w:r>
              <w:rPr>
                <w:rFonts w:ascii="Times New Roman" w:cs="Times New Roman" w:eastAsia="Times New Roman" w:hAnsi="Times New Roman"/>
                <w:sz w:val="20"/>
                <w:szCs w:val="20"/>
                <w:b w:val="1"/>
                <w:bCs w:val="1"/>
                <w:color w:val="auto"/>
              </w:rPr>
              <w:t>December 31, 2022</w:t>
            </w:r>
          </w:p>
        </w:tc>
      </w:tr>
      <w:tr>
        <w:trPr>
          <w:trHeight w:val="292"/>
        </w:trPr>
        <w:tc>
          <w:tcPr>
            <w:tcW w:w="6320" w:type="dxa"/>
            <w:vAlign w:val="bottom"/>
            <w:shd w:val="clear" w:color="auto" w:fill="DDDDDD"/>
          </w:tcPr>
          <w:p>
            <w:pPr>
              <w:ind w:left="40"/>
              <w:spacing w:after="0"/>
              <w:rPr>
                <w:sz w:val="20"/>
                <w:szCs w:val="20"/>
                <w:color w:val="auto"/>
              </w:rPr>
            </w:pPr>
            <w:r>
              <w:rPr>
                <w:rFonts w:ascii="Times New Roman" w:cs="Times New Roman" w:eastAsia="Times New Roman" w:hAnsi="Times New Roman"/>
                <w:sz w:val="20"/>
                <w:szCs w:val="20"/>
                <w:color w:val="auto"/>
              </w:rPr>
              <w:t>Accounts payable and other accrued liabilities</w:t>
            </w:r>
          </w:p>
        </w:tc>
        <w:tc>
          <w:tcPr>
            <w:tcW w:w="40" w:type="dxa"/>
            <w:vAlign w:val="bottom"/>
            <w:shd w:val="clear" w:color="auto" w:fill="DDDDDD"/>
          </w:tcPr>
          <w:p>
            <w:pPr>
              <w:spacing w:after="0"/>
              <w:rPr>
                <w:sz w:val="24"/>
                <w:szCs w:val="24"/>
                <w:color w:val="auto"/>
              </w:rPr>
            </w:pPr>
          </w:p>
        </w:tc>
        <w:tc>
          <w:tcPr>
            <w:tcW w:w="720" w:type="dxa"/>
            <w:vAlign w:val="bottom"/>
            <w:gridSpan w:val="2"/>
            <w:shd w:val="clear" w:color="auto" w:fill="DDDDDD"/>
          </w:tcPr>
          <w:p>
            <w:pPr>
              <w:jc w:val="right"/>
              <w:ind w:right="459"/>
              <w:spacing w:after="0"/>
              <w:rPr>
                <w:sz w:val="20"/>
                <w:szCs w:val="20"/>
                <w:color w:val="auto"/>
              </w:rPr>
            </w:pPr>
            <w:r>
              <w:rPr>
                <w:rFonts w:ascii="Times New Roman" w:cs="Times New Roman" w:eastAsia="Times New Roman" w:hAnsi="Times New Roman"/>
                <w:sz w:val="20"/>
                <w:szCs w:val="20"/>
                <w:color w:val="auto"/>
              </w:rPr>
              <w:t>$</w:t>
            </w:r>
          </w:p>
        </w:tc>
        <w:tc>
          <w:tcPr>
            <w:tcW w:w="1200" w:type="dxa"/>
            <w:vAlign w:val="bottom"/>
            <w:shd w:val="clear" w:color="auto" w:fill="DDDDDD"/>
          </w:tcPr>
          <w:p>
            <w:pPr>
              <w:jc w:val="right"/>
              <w:spacing w:after="0"/>
              <w:rPr>
                <w:sz w:val="20"/>
                <w:szCs w:val="20"/>
                <w:color w:val="auto"/>
              </w:rPr>
            </w:pPr>
            <w:r>
              <w:rPr>
                <w:rFonts w:ascii="Times New Roman" w:cs="Times New Roman" w:eastAsia="Times New Roman" w:hAnsi="Times New Roman"/>
                <w:sz w:val="20"/>
                <w:szCs w:val="20"/>
                <w:color w:val="auto"/>
              </w:rPr>
              <w:t>7,323</w:t>
            </w:r>
          </w:p>
        </w:tc>
        <w:tc>
          <w:tcPr>
            <w:tcW w:w="60" w:type="dxa"/>
            <w:vAlign w:val="bottom"/>
            <w:shd w:val="clear" w:color="auto" w:fill="DDDDDD"/>
          </w:tcPr>
          <w:p>
            <w:pPr>
              <w:spacing w:after="0"/>
              <w:rPr>
                <w:sz w:val="24"/>
                <w:szCs w:val="24"/>
                <w:color w:val="auto"/>
              </w:rPr>
            </w:pPr>
          </w:p>
        </w:tc>
        <w:tc>
          <w:tcPr>
            <w:tcW w:w="720" w:type="dxa"/>
            <w:vAlign w:val="bottom"/>
            <w:gridSpan w:val="2"/>
            <w:shd w:val="clear" w:color="auto" w:fill="DDDDDD"/>
          </w:tcPr>
          <w:p>
            <w:pPr>
              <w:jc w:val="right"/>
              <w:ind w:right="459"/>
              <w:spacing w:after="0"/>
              <w:rPr>
                <w:sz w:val="20"/>
                <w:szCs w:val="20"/>
                <w:color w:val="auto"/>
              </w:rPr>
            </w:pPr>
            <w:r>
              <w:rPr>
                <w:rFonts w:ascii="Times New Roman" w:cs="Times New Roman" w:eastAsia="Times New Roman" w:hAnsi="Times New Roman"/>
                <w:sz w:val="20"/>
                <w:szCs w:val="20"/>
                <w:color w:val="auto"/>
              </w:rPr>
              <w:t>$</w:t>
            </w:r>
          </w:p>
        </w:tc>
        <w:tc>
          <w:tcPr>
            <w:tcW w:w="1200" w:type="dxa"/>
            <w:vAlign w:val="bottom"/>
            <w:shd w:val="clear" w:color="auto" w:fill="DDDDDD"/>
          </w:tcPr>
          <w:p>
            <w:pPr>
              <w:jc w:val="right"/>
              <w:spacing w:after="0"/>
              <w:rPr>
                <w:sz w:val="20"/>
                <w:szCs w:val="20"/>
                <w:color w:val="auto"/>
              </w:rPr>
            </w:pPr>
            <w:r>
              <w:rPr>
                <w:rFonts w:ascii="Times New Roman" w:cs="Times New Roman" w:eastAsia="Times New Roman" w:hAnsi="Times New Roman"/>
                <w:sz w:val="20"/>
                <w:szCs w:val="20"/>
                <w:color w:val="auto"/>
              </w:rPr>
              <w:t>9,561</w:t>
            </w:r>
          </w:p>
        </w:tc>
      </w:tr>
      <w:tr>
        <w:trPr>
          <w:trHeight w:val="311"/>
        </w:trPr>
        <w:tc>
          <w:tcPr>
            <w:tcW w:w="6320" w:type="dxa"/>
            <w:vAlign w:val="bottom"/>
            <w:tcBorders>
              <w:bottom w:val="single" w:sz="8" w:color="DDDDDD"/>
            </w:tcBorders>
          </w:tcPr>
          <w:p>
            <w:pPr>
              <w:ind w:left="40"/>
              <w:spacing w:after="0"/>
              <w:rPr>
                <w:sz w:val="20"/>
                <w:szCs w:val="20"/>
                <w:color w:val="auto"/>
              </w:rPr>
            </w:pPr>
            <w:r>
              <w:rPr>
                <w:rFonts w:ascii="Times New Roman" w:cs="Times New Roman" w:eastAsia="Times New Roman" w:hAnsi="Times New Roman"/>
                <w:sz w:val="20"/>
                <w:szCs w:val="20"/>
                <w:color w:val="auto"/>
              </w:rPr>
              <w:t>Accrued employee expenses</w:t>
            </w:r>
          </w:p>
        </w:tc>
        <w:tc>
          <w:tcPr>
            <w:tcW w:w="40" w:type="dxa"/>
            <w:vAlign w:val="bottom"/>
            <w:tcBorders>
              <w:bottom w:val="single" w:sz="8" w:color="DDDDDD"/>
            </w:tcBorders>
          </w:tcPr>
          <w:p>
            <w:pPr>
              <w:spacing w:after="0"/>
              <w:rPr>
                <w:sz w:val="24"/>
                <w:szCs w:val="24"/>
                <w:color w:val="auto"/>
              </w:rPr>
            </w:pPr>
          </w:p>
        </w:tc>
        <w:tc>
          <w:tcPr>
            <w:tcW w:w="20" w:type="dxa"/>
            <w:vAlign w:val="bottom"/>
            <w:tcBorders>
              <w:bottom w:val="single" w:sz="8" w:color="DDDDDD"/>
            </w:tcBorders>
          </w:tcPr>
          <w:p>
            <w:pPr>
              <w:spacing w:after="0"/>
              <w:rPr>
                <w:sz w:val="24"/>
                <w:szCs w:val="24"/>
                <w:color w:val="auto"/>
              </w:rPr>
            </w:pPr>
          </w:p>
        </w:tc>
        <w:tc>
          <w:tcPr>
            <w:tcW w:w="700" w:type="dxa"/>
            <w:vAlign w:val="bottom"/>
            <w:tcBorders>
              <w:bottom w:val="single" w:sz="8" w:color="auto"/>
            </w:tcBorders>
          </w:tcPr>
          <w:p>
            <w:pPr>
              <w:spacing w:after="0"/>
              <w:rPr>
                <w:sz w:val="24"/>
                <w:szCs w:val="24"/>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13,859</w:t>
            </w:r>
          </w:p>
        </w:tc>
        <w:tc>
          <w:tcPr>
            <w:tcW w:w="60" w:type="dxa"/>
            <w:vAlign w:val="bottom"/>
            <w:tcBorders>
              <w:bottom w:val="single" w:sz="8" w:color="DDDDDD"/>
            </w:tcBorders>
          </w:tcPr>
          <w:p>
            <w:pPr>
              <w:spacing w:after="0"/>
              <w:rPr>
                <w:sz w:val="24"/>
                <w:szCs w:val="24"/>
                <w:color w:val="auto"/>
              </w:rPr>
            </w:pPr>
          </w:p>
        </w:tc>
        <w:tc>
          <w:tcPr>
            <w:tcW w:w="20" w:type="dxa"/>
            <w:vAlign w:val="bottom"/>
            <w:tcBorders>
              <w:bottom w:val="single" w:sz="8" w:color="DDDDDD"/>
            </w:tcBorders>
          </w:tcPr>
          <w:p>
            <w:pPr>
              <w:spacing w:after="0"/>
              <w:rPr>
                <w:sz w:val="24"/>
                <w:szCs w:val="24"/>
                <w:color w:val="auto"/>
              </w:rPr>
            </w:pPr>
          </w:p>
        </w:tc>
        <w:tc>
          <w:tcPr>
            <w:tcW w:w="700" w:type="dxa"/>
            <w:vAlign w:val="bottom"/>
            <w:tcBorders>
              <w:bottom w:val="single" w:sz="8" w:color="auto"/>
            </w:tcBorders>
          </w:tcPr>
          <w:p>
            <w:pPr>
              <w:spacing w:after="0"/>
              <w:rPr>
                <w:sz w:val="24"/>
                <w:szCs w:val="24"/>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24,074</w:t>
            </w:r>
          </w:p>
        </w:tc>
      </w:tr>
      <w:tr>
        <w:trPr>
          <w:trHeight w:val="295"/>
        </w:trPr>
        <w:tc>
          <w:tcPr>
            <w:tcW w:w="6320" w:type="dxa"/>
            <w:vAlign w:val="bottom"/>
            <w:shd w:val="clear" w:color="auto" w:fill="DDDDDD"/>
          </w:tcPr>
          <w:p>
            <w:pPr>
              <w:spacing w:after="0"/>
              <w:rPr>
                <w:sz w:val="24"/>
                <w:szCs w:val="24"/>
                <w:color w:val="auto"/>
              </w:rPr>
            </w:pPr>
          </w:p>
        </w:tc>
        <w:tc>
          <w:tcPr>
            <w:tcW w:w="40" w:type="dxa"/>
            <w:vAlign w:val="bottom"/>
            <w:shd w:val="clear" w:color="auto" w:fill="DDDDDD"/>
          </w:tcPr>
          <w:p>
            <w:pPr>
              <w:spacing w:after="0"/>
              <w:rPr>
                <w:sz w:val="24"/>
                <w:szCs w:val="24"/>
                <w:color w:val="auto"/>
              </w:rPr>
            </w:pPr>
          </w:p>
        </w:tc>
        <w:tc>
          <w:tcPr>
            <w:tcW w:w="720" w:type="dxa"/>
            <w:vAlign w:val="bottom"/>
            <w:gridSpan w:val="2"/>
            <w:shd w:val="clear" w:color="auto" w:fill="DDDDDD"/>
          </w:tcPr>
          <w:p>
            <w:pPr>
              <w:jc w:val="right"/>
              <w:ind w:right="459"/>
              <w:spacing w:after="0"/>
              <w:rPr>
                <w:sz w:val="20"/>
                <w:szCs w:val="20"/>
                <w:color w:val="auto"/>
              </w:rPr>
            </w:pPr>
            <w:r>
              <w:rPr>
                <w:rFonts w:ascii="Times New Roman" w:cs="Times New Roman" w:eastAsia="Times New Roman" w:hAnsi="Times New Roman"/>
                <w:sz w:val="20"/>
                <w:szCs w:val="20"/>
                <w:color w:val="auto"/>
              </w:rPr>
              <w:t>$</w:t>
            </w:r>
          </w:p>
        </w:tc>
        <w:tc>
          <w:tcPr>
            <w:tcW w:w="1200" w:type="dxa"/>
            <w:vAlign w:val="bottom"/>
            <w:shd w:val="clear" w:color="auto" w:fill="DDDDDD"/>
          </w:tcPr>
          <w:p>
            <w:pPr>
              <w:jc w:val="right"/>
              <w:spacing w:after="0"/>
              <w:rPr>
                <w:sz w:val="20"/>
                <w:szCs w:val="20"/>
                <w:color w:val="auto"/>
              </w:rPr>
            </w:pPr>
            <w:r>
              <w:rPr>
                <w:rFonts w:ascii="Times New Roman" w:cs="Times New Roman" w:eastAsia="Times New Roman" w:hAnsi="Times New Roman"/>
                <w:sz w:val="20"/>
                <w:szCs w:val="20"/>
                <w:color w:val="auto"/>
              </w:rPr>
              <w:t>21,182</w:t>
            </w:r>
          </w:p>
        </w:tc>
        <w:tc>
          <w:tcPr>
            <w:tcW w:w="60" w:type="dxa"/>
            <w:vAlign w:val="bottom"/>
            <w:shd w:val="clear" w:color="auto" w:fill="DDDDDD"/>
          </w:tcPr>
          <w:p>
            <w:pPr>
              <w:spacing w:after="0"/>
              <w:rPr>
                <w:sz w:val="24"/>
                <w:szCs w:val="24"/>
                <w:color w:val="auto"/>
              </w:rPr>
            </w:pPr>
          </w:p>
        </w:tc>
        <w:tc>
          <w:tcPr>
            <w:tcW w:w="720" w:type="dxa"/>
            <w:vAlign w:val="bottom"/>
            <w:gridSpan w:val="2"/>
            <w:shd w:val="clear" w:color="auto" w:fill="DDDDDD"/>
          </w:tcPr>
          <w:p>
            <w:pPr>
              <w:jc w:val="right"/>
              <w:ind w:right="459"/>
              <w:spacing w:after="0"/>
              <w:rPr>
                <w:sz w:val="20"/>
                <w:szCs w:val="20"/>
                <w:color w:val="auto"/>
              </w:rPr>
            </w:pPr>
            <w:r>
              <w:rPr>
                <w:rFonts w:ascii="Times New Roman" w:cs="Times New Roman" w:eastAsia="Times New Roman" w:hAnsi="Times New Roman"/>
                <w:sz w:val="20"/>
                <w:szCs w:val="20"/>
                <w:color w:val="auto"/>
              </w:rPr>
              <w:t>$</w:t>
            </w:r>
          </w:p>
        </w:tc>
        <w:tc>
          <w:tcPr>
            <w:tcW w:w="1200" w:type="dxa"/>
            <w:vAlign w:val="bottom"/>
            <w:shd w:val="clear" w:color="auto" w:fill="DDDDDD"/>
          </w:tcPr>
          <w:p>
            <w:pPr>
              <w:jc w:val="right"/>
              <w:spacing w:after="0"/>
              <w:rPr>
                <w:sz w:val="20"/>
                <w:szCs w:val="20"/>
                <w:color w:val="auto"/>
              </w:rPr>
            </w:pPr>
            <w:r>
              <w:rPr>
                <w:rFonts w:ascii="Times New Roman" w:cs="Times New Roman" w:eastAsia="Times New Roman" w:hAnsi="Times New Roman"/>
                <w:sz w:val="20"/>
                <w:szCs w:val="20"/>
                <w:color w:val="auto"/>
              </w:rPr>
              <w:t>33,635</w:t>
            </w:r>
          </w:p>
        </w:tc>
      </w:tr>
      <w:tr>
        <w:trPr>
          <w:trHeight w:val="22"/>
        </w:trPr>
        <w:tc>
          <w:tcPr>
            <w:tcW w:w="63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r>
      <w:tr>
        <w:trPr>
          <w:trHeight w:val="20"/>
        </w:trPr>
        <w:tc>
          <w:tcPr>
            <w:tcW w:w="63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4013835</wp:posOffset>
                </wp:positionH>
                <wp:positionV relativeFrom="paragraph">
                  <wp:posOffset>-632460</wp:posOffset>
                </wp:positionV>
                <wp:extent cx="36830" cy="12700"/>
                <wp:wrapNone/>
                <wp:docPr id="98" name="Shape 98"/>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36830" cy="12700"/>
                        </a:xfrm>
                        <a:prstGeom prst="rect">
                          <a:avLst/>
                        </a:prstGeom>
                        <a:solidFill>
                          <a:srgbClr val="DDDDDD"/>
                        </a:solidFill>
                      </wps:spPr>
                      <wps:bodyPr/>
                    </wps:wsp>
                  </a:graphicData>
                </a:graphic>
              </wp:anchor>
            </w:drawing>
          </mc:Choice>
          <mc:Fallback>
            <w:pict>
              <v:rect id="Shape 98" o:spid="_x0000_s1123" style="position:absolute;margin-left:316.05pt;margin-top:-49.7999pt;width:2.9pt;height:1pt;z-index:-251657728;visibility:visible;mso-wrap-style:square;mso-width-percent:0;mso-height-percent:0;mso-wrap-distance-left:0pt;mso-wrap-distance-top:0;mso-wrap-distance-right:0pt;mso-wrap-distance-bottom:0;mso-position-horizontal:absolute;mso-position-horizontal-relative:text;mso-position-vertical:absolute;mso-position-vertical-relative:text;mso-width-percent:0;mso-height-percent:0;mso-width-relative:page;mso-height-relative:page;v-text-anchor:top" o:allowincell="f" fillcolor="#DDDDDD" stroked="f"/>
            </w:pict>
          </mc:Fallback>
        </mc:AlternateContent>
      </w:r>
    </w:p>
    <w:p>
      <w:pPr>
        <w:spacing w:after="0" w:line="80" w:lineRule="exact"/>
        <w:rPr>
          <w:sz w:val="20"/>
          <w:szCs w:val="20"/>
          <w:color w:val="auto"/>
        </w:rPr>
      </w:pPr>
    </w:p>
    <w:p>
      <w:pPr>
        <w:jc w:val="both"/>
        <w:ind w:left="6"/>
        <w:spacing w:after="0" w:line="289" w:lineRule="auto"/>
        <w:rPr>
          <w:sz w:val="20"/>
          <w:szCs w:val="20"/>
          <w:color w:val="auto"/>
        </w:rPr>
      </w:pPr>
      <w:r>
        <w:rPr>
          <w:rFonts w:ascii="Times New Roman" w:cs="Times New Roman" w:eastAsia="Times New Roman" w:hAnsi="Times New Roman"/>
          <w:sz w:val="20"/>
          <w:szCs w:val="20"/>
          <w:color w:val="auto"/>
        </w:rPr>
        <w:t>Accrued employee expenses include accrued bonuses of $2.6 million and $9.9 million as of December 31, 2023 and 2022, respectively, primarily related to certain employment agreements entered into in connection with prior acquisitions. The decrease in accrued employee expenses as of December 31, 2023 compared with December 31, 2022 is primarily due to a decline in bonuses accrual of $5.9 million related to certain employment agreements entered into in connection with prior acquisitions, payment of employee termination cost of $3.6 million and a decline in other employee bonuses of $0.6 million due to a decrease in employee headcount.</w:t>
      </w:r>
    </w:p>
    <w:p>
      <w:pPr>
        <w:spacing w:after="0" w:line="2" w:lineRule="exact"/>
        <w:rPr>
          <w:sz w:val="20"/>
          <w:szCs w:val="20"/>
          <w:color w:val="auto"/>
        </w:rPr>
      </w:pPr>
    </w:p>
    <w:p>
      <w:pPr>
        <w:jc w:val="center"/>
        <w:ind w:right="-5"/>
        <w:spacing w:after="0"/>
        <w:rPr>
          <w:sz w:val="20"/>
          <w:szCs w:val="20"/>
          <w:color w:val="auto"/>
        </w:rPr>
      </w:pPr>
      <w:r>
        <w:rPr>
          <w:rFonts w:ascii="Times New Roman" w:cs="Times New Roman" w:eastAsia="Times New Roman" w:hAnsi="Times New Roman"/>
          <w:sz w:val="20"/>
          <w:szCs w:val="20"/>
          <w:color w:val="auto"/>
        </w:rPr>
        <w:t>F-28</w:t>
      </w:r>
    </w:p>
    <w:p>
      <w:pPr>
        <w:sectPr>
          <w:pgSz w:w="12240" w:h="15840" w:orient="portrait"/>
          <w:cols w:equalWidth="0" w:num="1">
            <w:col w:w="10266"/>
          </w:cols>
          <w:pgMar w:left="994" w:top="731" w:right="980" w:bottom="222" w:gutter="0" w:footer="0" w:header="0"/>
        </w:sectPr>
      </w:pPr>
    </w:p>
    <w:bookmarkStart w:id="148" w:name="page149"/>
    <w:bookmarkEnd w:id="148"/>
    <w:p>
      <w:pPr>
        <w:jc w:val="center"/>
        <w:ind w:right="13"/>
        <w:spacing w:after="0"/>
        <w:rPr>
          <w:sz w:val="20"/>
          <w:szCs w:val="20"/>
          <w:color w:val="auto"/>
        </w:rPr>
      </w:pPr>
      <w:r>
        <w:rPr>
          <w:rFonts w:ascii="Times New Roman" w:cs="Times New Roman" w:eastAsia="Times New Roman" w:hAnsi="Times New Roman"/>
          <w:sz w:val="20"/>
          <w:szCs w:val="20"/>
          <w:b w:val="1"/>
          <w:bCs w:val="1"/>
          <w:color w:val="auto"/>
        </w:rPr>
        <w:t>WM TECHNOLOGY, INC. AND SUBSIDIARIES</w:t>
      </w:r>
    </w:p>
    <w:p>
      <w:pPr>
        <w:spacing w:after="0" w:line="48" w:lineRule="exact"/>
        <w:rPr>
          <w:sz w:val="20"/>
          <w:szCs w:val="20"/>
          <w:color w:val="auto"/>
        </w:rPr>
      </w:pPr>
    </w:p>
    <w:p>
      <w:pPr>
        <w:jc w:val="center"/>
        <w:ind w:right="-6"/>
        <w:spacing w:after="0"/>
        <w:rPr>
          <w:sz w:val="20"/>
          <w:szCs w:val="20"/>
          <w:color w:val="auto"/>
        </w:rPr>
      </w:pPr>
      <w:r>
        <w:rPr>
          <w:rFonts w:ascii="Times New Roman" w:cs="Times New Roman" w:eastAsia="Times New Roman" w:hAnsi="Times New Roman"/>
          <w:sz w:val="20"/>
          <w:szCs w:val="20"/>
          <w:b w:val="1"/>
          <w:bCs w:val="1"/>
          <w:color w:val="auto"/>
        </w:rPr>
        <w:t>NOTES TO CONSOLIDATED FINANCIAL STATEMENTS</w:t>
      </w:r>
    </w:p>
    <w:p>
      <w:pPr>
        <w:spacing w:after="0" w:line="284" w:lineRule="exact"/>
        <w:rPr>
          <w:sz w:val="20"/>
          <w:szCs w:val="20"/>
          <w:color w:val="auto"/>
        </w:rPr>
      </w:pPr>
    </w:p>
    <w:p>
      <w:pPr>
        <w:ind w:left="547" w:hanging="547"/>
        <w:spacing w:after="0"/>
        <w:tabs>
          <w:tab w:leader="none" w:pos="547" w:val="left"/>
        </w:tabs>
        <w:numPr>
          <w:ilvl w:val="0"/>
          <w:numId w:val="95"/>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b w:val="1"/>
          <w:bCs w:val="1"/>
          <w:color w:val="auto"/>
        </w:rPr>
        <w:t>Warrant Liability</w:t>
      </w:r>
    </w:p>
    <w:p>
      <w:pPr>
        <w:spacing w:after="0" w:line="168" w:lineRule="exact"/>
        <w:rPr>
          <w:sz w:val="20"/>
          <w:szCs w:val="20"/>
          <w:color w:val="auto"/>
        </w:rPr>
      </w:pPr>
    </w:p>
    <w:p>
      <w:pPr>
        <w:jc w:val="both"/>
        <w:ind w:left="7" w:right="20"/>
        <w:spacing w:after="0" w:line="326" w:lineRule="auto"/>
        <w:rPr>
          <w:sz w:val="20"/>
          <w:szCs w:val="20"/>
          <w:color w:val="auto"/>
        </w:rPr>
      </w:pPr>
      <w:r>
        <w:rPr>
          <w:rFonts w:ascii="Times New Roman" w:cs="Times New Roman" w:eastAsia="Times New Roman" w:hAnsi="Times New Roman"/>
          <w:sz w:val="20"/>
          <w:szCs w:val="20"/>
          <w:color w:val="auto"/>
        </w:rPr>
        <w:t>At December 31, 2023, there were 12,499,973 Public Warrants outstanding and 7,000,000 Private Placement Warrants outstanding.</w:t>
      </w:r>
    </w:p>
    <w:p>
      <w:pPr>
        <w:spacing w:after="0" w:line="52" w:lineRule="exact"/>
        <w:rPr>
          <w:sz w:val="20"/>
          <w:szCs w:val="20"/>
          <w:color w:val="auto"/>
        </w:rPr>
      </w:pPr>
    </w:p>
    <w:p>
      <w:pPr>
        <w:jc w:val="both"/>
        <w:ind w:left="7"/>
        <w:spacing w:after="0" w:line="297" w:lineRule="auto"/>
        <w:rPr>
          <w:sz w:val="20"/>
          <w:szCs w:val="20"/>
          <w:color w:val="auto"/>
        </w:rPr>
      </w:pPr>
      <w:r>
        <w:rPr>
          <w:rFonts w:ascii="Times New Roman" w:cs="Times New Roman" w:eastAsia="Times New Roman" w:hAnsi="Times New Roman"/>
          <w:sz w:val="20"/>
          <w:szCs w:val="20"/>
          <w:color w:val="auto"/>
        </w:rPr>
        <w:t>As part of Silver Spike’s initial public offering, 12,500,000 Public Warrants were sold. The Public Warrants entitle the holder thereof to purchase one share of Class A Common Stock at a price of $11.50 per share, subject to adjustments. The Public Warrants may be exercised only for a whole number of shares of Class A Common Stock. No fractional shares will be issued upon exercise of the warrants. The Public Warrants will expire at 5:00 p.m. New York City time on June 16, 2026, or earlier upon redemption or liquidation. The Public Warrants are listed on the NYSE under the symbol “MAPSW.”</w:t>
      </w:r>
    </w:p>
    <w:p>
      <w:pPr>
        <w:spacing w:after="0" w:line="74" w:lineRule="exact"/>
        <w:rPr>
          <w:sz w:val="20"/>
          <w:szCs w:val="20"/>
          <w:color w:val="auto"/>
        </w:rPr>
      </w:pPr>
    </w:p>
    <w:p>
      <w:pPr>
        <w:jc w:val="both"/>
        <w:ind w:left="7"/>
        <w:spacing w:after="0" w:line="295" w:lineRule="auto"/>
        <w:rPr>
          <w:sz w:val="20"/>
          <w:szCs w:val="20"/>
          <w:color w:val="auto"/>
        </w:rPr>
      </w:pPr>
      <w:r>
        <w:rPr>
          <w:rFonts w:ascii="Times New Roman" w:cs="Times New Roman" w:eastAsia="Times New Roman" w:hAnsi="Times New Roman"/>
          <w:sz w:val="20"/>
          <w:szCs w:val="20"/>
          <w:color w:val="auto"/>
        </w:rPr>
        <w:t>The Company may redeem the Public Warrants starting July 16, 2021, in whole and not in part, at a price of $0.01 per Public Warrant, upon not less than 30 days’ prior written notice of redemption to each holder of Public Warrants, and if, and only if, the reported last sales price of the Company’s Class A Common Stock equals or exceeds $18.00 per share (as adjusted for share splits, share dividends, rights issuances, subdivisions, reorganizations, recapitalization and the like) for any 20 trading days within a 30-trading day period ending on the third trading day prior to the date the Company sends the notice of redemption to the holders of Public Warrants.</w:t>
      </w:r>
    </w:p>
    <w:p>
      <w:pPr>
        <w:spacing w:after="0" w:line="82" w:lineRule="exact"/>
        <w:rPr>
          <w:sz w:val="20"/>
          <w:szCs w:val="20"/>
          <w:color w:val="auto"/>
        </w:rPr>
      </w:pPr>
    </w:p>
    <w:p>
      <w:pPr>
        <w:jc w:val="both"/>
        <w:ind w:left="7"/>
        <w:spacing w:after="0" w:line="291" w:lineRule="auto"/>
        <w:rPr>
          <w:sz w:val="20"/>
          <w:szCs w:val="20"/>
          <w:color w:val="auto"/>
        </w:rPr>
      </w:pPr>
      <w:r>
        <w:rPr>
          <w:rFonts w:ascii="Times New Roman" w:cs="Times New Roman" w:eastAsia="Times New Roman" w:hAnsi="Times New Roman"/>
          <w:sz w:val="20"/>
          <w:szCs w:val="20"/>
          <w:color w:val="auto"/>
        </w:rPr>
        <w:t>Simultaneously with Silver Spike’s initial public offering, Silver Spike consummated a private placement of 7,000,000 Private Placement Warrants with Silver Spike’s sponsor (“Silver Spike Sponsor”). Each Private Placement Warrant is exercisable for one share of Class A Common Stock at a price of $11.50 per share, subject to adjustment. The Private Placement Warrants (including the shares of Class A Common Stock issuable upon exercise of the Private Placement Warrants) are not transferable, assignable or salable until 30 days after the completion of the Business Combination, subject to certain exceptions, and they are nonredeemable as long as they are held by Silver Spike Sponsor or its permitted transferees. Silver Spike Sponsor, as well as its permitted transferees, has the option to exercise the Private Placement Warrants on a cashless basis and will have certain registration rights related to such Private Placement Warrants. Otherwise, the Private Placement Warrants have terms and provisions that are identical to those of the Public Warrants. If the Private Placement Warrants are held by holders other than Silver Spike Sponsor or its permitted transferees, the Private Placement Warrants will be redeemable by the Company and exercisable by the holders on the same basis as the Public Warrants.</w:t>
      </w:r>
    </w:p>
    <w:p>
      <w:pPr>
        <w:spacing w:after="0" w:line="86" w:lineRule="exact"/>
        <w:rPr>
          <w:sz w:val="20"/>
          <w:szCs w:val="20"/>
          <w:color w:val="auto"/>
        </w:rPr>
      </w:pPr>
    </w:p>
    <w:p>
      <w:pPr>
        <w:jc w:val="both"/>
        <w:ind w:left="7" w:right="20"/>
        <w:spacing w:after="0" w:line="326" w:lineRule="auto"/>
        <w:rPr>
          <w:sz w:val="20"/>
          <w:szCs w:val="20"/>
          <w:color w:val="auto"/>
        </w:rPr>
      </w:pPr>
      <w:r>
        <w:rPr>
          <w:rFonts w:ascii="Times New Roman" w:cs="Times New Roman" w:eastAsia="Times New Roman" w:hAnsi="Times New Roman"/>
          <w:sz w:val="20"/>
          <w:szCs w:val="20"/>
          <w:color w:val="auto"/>
        </w:rPr>
        <w:t>The Company may exercise its redemption right even if it is unable to register or qualify the underlying securities for sale under all applicable state securities laws.</w:t>
      </w:r>
    </w:p>
    <w:p>
      <w:pPr>
        <w:spacing w:after="0" w:line="45" w:lineRule="exact"/>
        <w:rPr>
          <w:sz w:val="20"/>
          <w:szCs w:val="20"/>
          <w:color w:val="auto"/>
        </w:rPr>
      </w:pPr>
    </w:p>
    <w:p>
      <w:pPr>
        <w:jc w:val="both"/>
        <w:ind w:left="7"/>
        <w:spacing w:after="0" w:line="296" w:lineRule="auto"/>
        <w:rPr>
          <w:sz w:val="20"/>
          <w:szCs w:val="20"/>
          <w:color w:val="auto"/>
        </w:rPr>
      </w:pPr>
      <w:r>
        <w:rPr>
          <w:rFonts w:ascii="Times New Roman" w:cs="Times New Roman" w:eastAsia="Times New Roman" w:hAnsi="Times New Roman"/>
          <w:sz w:val="20"/>
          <w:szCs w:val="20"/>
          <w:color w:val="auto"/>
        </w:rPr>
        <w:t>If the Company calls the Public Warrants for redemption, management will have the option to require all holders that wish to exercise the Public Warrants to do so on a “cashless basis,” as described in the warrant agreement. The exercise price and number of Class A Common Stock issuable upon exercise of the Public Warrants may be adjusted in certain circumstances including in the event of a share dividend, extraordinary dividend or recapitalization, reorganization, merger or consolidation. However, the Public Warrants will not be adjusted for issuances of shares of Class A Common Stock at a price below its exercise price. Additionally, in no event will the Company be required to net cash settle the Public Warrants.</w:t>
      </w:r>
    </w:p>
    <w:p>
      <w:pPr>
        <w:spacing w:after="0" w:line="76" w:lineRule="exact"/>
        <w:rPr>
          <w:sz w:val="20"/>
          <w:szCs w:val="20"/>
          <w:color w:val="auto"/>
        </w:rPr>
      </w:pPr>
    </w:p>
    <w:p>
      <w:pPr>
        <w:jc w:val="both"/>
        <w:ind w:left="7"/>
        <w:spacing w:after="0" w:line="295" w:lineRule="auto"/>
        <w:rPr>
          <w:sz w:val="20"/>
          <w:szCs w:val="20"/>
          <w:color w:val="auto"/>
        </w:rPr>
      </w:pPr>
      <w:r>
        <w:rPr>
          <w:rFonts w:ascii="Times New Roman" w:cs="Times New Roman" w:eastAsia="Times New Roman" w:hAnsi="Times New Roman"/>
          <w:sz w:val="20"/>
          <w:szCs w:val="20"/>
          <w:color w:val="auto"/>
        </w:rPr>
        <w:t xml:space="preserve">The Company concluded the Public Warrants and Private Placement Warrants, or the Warrants, meet the definition of a derivative under ASC 815- </w:t>
      </w:r>
      <w:r>
        <w:rPr>
          <w:rFonts w:ascii="Times New Roman" w:cs="Times New Roman" w:eastAsia="Times New Roman" w:hAnsi="Times New Roman"/>
          <w:sz w:val="20"/>
          <w:szCs w:val="20"/>
          <w:i w:val="1"/>
          <w:iCs w:val="1"/>
          <w:color w:val="auto"/>
        </w:rPr>
        <w:t>Derivatives and Hedging</w:t>
      </w:r>
      <w:r>
        <w:rPr>
          <w:rFonts w:ascii="Times New Roman" w:cs="Times New Roman" w:eastAsia="Times New Roman" w:hAnsi="Times New Roman"/>
          <w:sz w:val="20"/>
          <w:szCs w:val="20"/>
          <w:color w:val="auto"/>
        </w:rPr>
        <w:t xml:space="preserve"> (as described in Note 2) and are recorded as liabilities. Upon the Closing, the fair value of the Warrants was recorded on the balance sheet. The fair value of the Warrants are remeasured as of each balance sheet date, which resulted in non-cash gain of $1.5 million, $25.4 million and $166.5 million in the consolidated statements of operations for the years ended December 31, 2023, 2022 and 2021, respectively. For additional information, see Note 6, “Fair Value Measurements.”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3" w:lineRule="exact"/>
        <w:rPr>
          <w:sz w:val="20"/>
          <w:szCs w:val="20"/>
          <w:color w:val="auto"/>
        </w:rPr>
      </w:pPr>
    </w:p>
    <w:p>
      <w:pPr>
        <w:jc w:val="center"/>
        <w:ind w:right="-6"/>
        <w:spacing w:after="0"/>
        <w:rPr>
          <w:sz w:val="20"/>
          <w:szCs w:val="20"/>
          <w:color w:val="auto"/>
        </w:rPr>
      </w:pPr>
      <w:r>
        <w:rPr>
          <w:rFonts w:ascii="Times New Roman" w:cs="Times New Roman" w:eastAsia="Times New Roman" w:hAnsi="Times New Roman"/>
          <w:sz w:val="20"/>
          <w:szCs w:val="20"/>
          <w:color w:val="auto"/>
        </w:rPr>
        <w:t>F-29</w:t>
      </w:r>
    </w:p>
    <w:p>
      <w:pPr>
        <w:sectPr>
          <w:pgSz w:w="12240" w:h="15840" w:orient="portrait"/>
          <w:cols w:equalWidth="0" w:num="1">
            <w:col w:w="10267"/>
          </w:cols>
          <w:pgMar w:left="993" w:top="731" w:right="980" w:bottom="222" w:gutter="0" w:footer="0" w:header="0"/>
        </w:sectPr>
      </w:pPr>
    </w:p>
    <w:bookmarkStart w:id="149" w:name="page150"/>
    <w:bookmarkEnd w:id="149"/>
    <w:p>
      <w:pPr>
        <w:jc w:val="center"/>
        <w:ind w:right="13"/>
        <w:spacing w:after="0"/>
        <w:rPr>
          <w:sz w:val="20"/>
          <w:szCs w:val="20"/>
          <w:color w:val="auto"/>
        </w:rPr>
      </w:pPr>
      <w:r>
        <w:rPr>
          <w:rFonts w:ascii="Times New Roman" w:cs="Times New Roman" w:eastAsia="Times New Roman" w:hAnsi="Times New Roman"/>
          <w:sz w:val="20"/>
          <w:szCs w:val="20"/>
          <w:b w:val="1"/>
          <w:bCs w:val="1"/>
          <w:color w:val="auto"/>
        </w:rPr>
        <w:t>WM TECHNOLOGY, INC. AND SUBSIDIARIES</w:t>
      </w:r>
    </w:p>
    <w:p>
      <w:pPr>
        <w:spacing w:after="0" w:line="48" w:lineRule="exact"/>
        <w:rPr>
          <w:sz w:val="20"/>
          <w:szCs w:val="20"/>
          <w:color w:val="auto"/>
        </w:rPr>
      </w:pPr>
    </w:p>
    <w:p>
      <w:pPr>
        <w:jc w:val="center"/>
        <w:ind w:right="-6"/>
        <w:spacing w:after="0"/>
        <w:rPr>
          <w:sz w:val="20"/>
          <w:szCs w:val="20"/>
          <w:color w:val="auto"/>
        </w:rPr>
      </w:pPr>
      <w:r>
        <w:rPr>
          <w:rFonts w:ascii="Times New Roman" w:cs="Times New Roman" w:eastAsia="Times New Roman" w:hAnsi="Times New Roman"/>
          <w:sz w:val="20"/>
          <w:szCs w:val="20"/>
          <w:b w:val="1"/>
          <w:bCs w:val="1"/>
          <w:color w:val="auto"/>
        </w:rPr>
        <w:t>NOTES TO CONSOLIDATED FINANCIAL STATEMENTS</w:t>
      </w:r>
    </w:p>
    <w:p>
      <w:pPr>
        <w:spacing w:after="0" w:line="284" w:lineRule="exact"/>
        <w:rPr>
          <w:sz w:val="20"/>
          <w:szCs w:val="20"/>
          <w:color w:val="auto"/>
        </w:rPr>
      </w:pPr>
    </w:p>
    <w:p>
      <w:pPr>
        <w:ind w:left="547" w:hanging="547"/>
        <w:spacing w:after="0"/>
        <w:tabs>
          <w:tab w:leader="none" w:pos="547" w:val="left"/>
        </w:tabs>
        <w:numPr>
          <w:ilvl w:val="0"/>
          <w:numId w:val="96"/>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b w:val="1"/>
          <w:bCs w:val="1"/>
          <w:color w:val="auto"/>
        </w:rPr>
        <w:t>Equity</w:t>
      </w:r>
    </w:p>
    <w:p>
      <w:pPr>
        <w:spacing w:after="0" w:line="170" w:lineRule="exact"/>
        <w:rPr>
          <w:sz w:val="20"/>
          <w:szCs w:val="20"/>
          <w:color w:val="auto"/>
        </w:rPr>
      </w:pPr>
    </w:p>
    <w:p>
      <w:pPr>
        <w:ind w:left="7"/>
        <w:spacing w:after="0"/>
        <w:rPr>
          <w:sz w:val="20"/>
          <w:szCs w:val="20"/>
          <w:color w:val="auto"/>
        </w:rPr>
      </w:pPr>
      <w:r>
        <w:rPr>
          <w:rFonts w:ascii="Times New Roman" w:cs="Times New Roman" w:eastAsia="Times New Roman" w:hAnsi="Times New Roman"/>
          <w:sz w:val="20"/>
          <w:szCs w:val="20"/>
          <w:b w:val="1"/>
          <w:bCs w:val="1"/>
          <w:i w:val="1"/>
          <w:iCs w:val="1"/>
          <w:color w:val="auto"/>
        </w:rPr>
        <w:t>Class A Common Stock</w:t>
      </w:r>
    </w:p>
    <w:p>
      <w:pPr>
        <w:spacing w:after="0" w:line="168" w:lineRule="exact"/>
        <w:rPr>
          <w:sz w:val="20"/>
          <w:szCs w:val="20"/>
          <w:color w:val="auto"/>
        </w:rPr>
      </w:pPr>
    </w:p>
    <w:p>
      <w:pPr>
        <w:ind w:left="7"/>
        <w:spacing w:after="0"/>
        <w:rPr>
          <w:sz w:val="20"/>
          <w:szCs w:val="20"/>
          <w:color w:val="auto"/>
        </w:rPr>
      </w:pPr>
      <w:r>
        <w:rPr>
          <w:rFonts w:ascii="Times New Roman" w:cs="Times New Roman" w:eastAsia="Times New Roman" w:hAnsi="Times New Roman"/>
          <w:sz w:val="20"/>
          <w:szCs w:val="20"/>
          <w:i w:val="1"/>
          <w:iCs w:val="1"/>
          <w:color w:val="auto"/>
        </w:rPr>
        <w:t>Voting Rights</w:t>
      </w:r>
    </w:p>
    <w:p>
      <w:pPr>
        <w:spacing w:after="0" w:line="162" w:lineRule="exact"/>
        <w:rPr>
          <w:sz w:val="20"/>
          <w:szCs w:val="20"/>
          <w:color w:val="auto"/>
        </w:rPr>
      </w:pPr>
    </w:p>
    <w:p>
      <w:pPr>
        <w:jc w:val="both"/>
        <w:ind w:left="7"/>
        <w:spacing w:after="0" w:line="293" w:lineRule="auto"/>
        <w:rPr>
          <w:sz w:val="20"/>
          <w:szCs w:val="20"/>
          <w:color w:val="auto"/>
        </w:rPr>
      </w:pPr>
      <w:r>
        <w:rPr>
          <w:rFonts w:ascii="Times New Roman" w:cs="Times New Roman" w:eastAsia="Times New Roman" w:hAnsi="Times New Roman"/>
          <w:sz w:val="20"/>
          <w:szCs w:val="20"/>
          <w:color w:val="auto"/>
        </w:rPr>
        <w:t>Each holder of the shares of Class A Common Stock is entitled to one vote for each share of Class A Common Stock held of record by such holder on all matters on which stockholders generally are entitled to vote. The holders of the shares of Class A Common Stock do not have cumulative voting rights in the election of directors. Generally, all matters to be voted on by stockholders must be approved by a majority (or, in the case of election of directors, by a plurality) of the votes entitled to be cast by all stockholders present in person or represented by proxy, voting together as a single class. Notwithstanding the foregoing, the holders of the outstanding shares of Class A Common Stock are entitled to vote separately upon any amendment to the Company’s certificate of incorporation (including by merger, consolidation, reorganization or similar event) that would alter or change the powers, preferences or special rights of such class of common stock in a manner that is disproportionately adverse as compared to the Class V Common Stock.</w:t>
      </w:r>
    </w:p>
    <w:p>
      <w:pPr>
        <w:spacing w:after="0" w:line="83" w:lineRule="exact"/>
        <w:rPr>
          <w:sz w:val="20"/>
          <w:szCs w:val="20"/>
          <w:color w:val="auto"/>
        </w:rPr>
      </w:pPr>
    </w:p>
    <w:p>
      <w:pPr>
        <w:ind w:left="7"/>
        <w:spacing w:after="0"/>
        <w:rPr>
          <w:sz w:val="20"/>
          <w:szCs w:val="20"/>
          <w:color w:val="auto"/>
        </w:rPr>
      </w:pPr>
      <w:r>
        <w:rPr>
          <w:rFonts w:ascii="Times New Roman" w:cs="Times New Roman" w:eastAsia="Times New Roman" w:hAnsi="Times New Roman"/>
          <w:sz w:val="20"/>
          <w:szCs w:val="20"/>
          <w:i w:val="1"/>
          <w:iCs w:val="1"/>
          <w:color w:val="auto"/>
        </w:rPr>
        <w:t>Dividend Rights</w:t>
      </w:r>
    </w:p>
    <w:p>
      <w:pPr>
        <w:spacing w:after="0" w:line="162" w:lineRule="exact"/>
        <w:rPr>
          <w:sz w:val="20"/>
          <w:szCs w:val="20"/>
          <w:color w:val="auto"/>
        </w:rPr>
      </w:pPr>
    </w:p>
    <w:p>
      <w:pPr>
        <w:jc w:val="both"/>
        <w:ind w:left="7"/>
        <w:spacing w:after="0" w:line="306" w:lineRule="auto"/>
        <w:rPr>
          <w:sz w:val="20"/>
          <w:szCs w:val="20"/>
          <w:color w:val="auto"/>
        </w:rPr>
      </w:pPr>
      <w:r>
        <w:rPr>
          <w:rFonts w:ascii="Times New Roman" w:cs="Times New Roman" w:eastAsia="Times New Roman" w:hAnsi="Times New Roman"/>
          <w:sz w:val="20"/>
          <w:szCs w:val="20"/>
          <w:color w:val="auto"/>
        </w:rPr>
        <w:t>Subject to preferences that may be applicable to any outstanding preferred stock, the holders of shares of Class A Common Stock are entitled to receive ratably such dividends, if any, as may be declared from time to time by the Company’s board of directors out of funds legally available therefor.</w:t>
      </w:r>
    </w:p>
    <w:p>
      <w:pPr>
        <w:spacing w:after="0" w:line="75" w:lineRule="exact"/>
        <w:rPr>
          <w:sz w:val="20"/>
          <w:szCs w:val="20"/>
          <w:color w:val="auto"/>
        </w:rPr>
      </w:pPr>
    </w:p>
    <w:p>
      <w:pPr>
        <w:ind w:left="7"/>
        <w:spacing w:after="0"/>
        <w:rPr>
          <w:sz w:val="20"/>
          <w:szCs w:val="20"/>
          <w:color w:val="auto"/>
        </w:rPr>
      </w:pPr>
      <w:r>
        <w:rPr>
          <w:rFonts w:ascii="Times New Roman" w:cs="Times New Roman" w:eastAsia="Times New Roman" w:hAnsi="Times New Roman"/>
          <w:sz w:val="20"/>
          <w:szCs w:val="20"/>
          <w:i w:val="1"/>
          <w:iCs w:val="1"/>
          <w:color w:val="auto"/>
        </w:rPr>
        <w:t>Rights upon Liquidation, Dissolution and Winding-Up</w:t>
      </w:r>
    </w:p>
    <w:p>
      <w:pPr>
        <w:spacing w:after="0" w:line="162" w:lineRule="exact"/>
        <w:rPr>
          <w:sz w:val="20"/>
          <w:szCs w:val="20"/>
          <w:color w:val="auto"/>
        </w:rPr>
      </w:pPr>
    </w:p>
    <w:p>
      <w:pPr>
        <w:jc w:val="both"/>
        <w:ind w:left="7"/>
        <w:spacing w:after="0" w:line="299" w:lineRule="auto"/>
        <w:rPr>
          <w:sz w:val="20"/>
          <w:szCs w:val="20"/>
          <w:color w:val="auto"/>
        </w:rPr>
      </w:pPr>
      <w:r>
        <w:rPr>
          <w:rFonts w:ascii="Times New Roman" w:cs="Times New Roman" w:eastAsia="Times New Roman" w:hAnsi="Times New Roman"/>
          <w:sz w:val="20"/>
          <w:szCs w:val="20"/>
          <w:color w:val="auto"/>
        </w:rPr>
        <w:t>In the event of any voluntary or involuntary liquidation, dissolution or winding up of our affairs, the holders of the shares of Class A Common Stock are entitled to share ratably in all assets remaining after payment of the Company’s debts and other liabilities, subject to prior distribution rights of preferred stock or any class or series of stock having a preference over the shares of Class A Common Stock, then outstanding, if any.</w:t>
      </w:r>
    </w:p>
    <w:p>
      <w:pPr>
        <w:spacing w:after="0" w:line="82" w:lineRule="exact"/>
        <w:rPr>
          <w:sz w:val="20"/>
          <w:szCs w:val="20"/>
          <w:color w:val="auto"/>
        </w:rPr>
      </w:pPr>
    </w:p>
    <w:p>
      <w:pPr>
        <w:ind w:left="7"/>
        <w:spacing w:after="0"/>
        <w:rPr>
          <w:sz w:val="20"/>
          <w:szCs w:val="20"/>
          <w:color w:val="auto"/>
        </w:rPr>
      </w:pPr>
      <w:r>
        <w:rPr>
          <w:rFonts w:ascii="Times New Roman" w:cs="Times New Roman" w:eastAsia="Times New Roman" w:hAnsi="Times New Roman"/>
          <w:sz w:val="20"/>
          <w:szCs w:val="20"/>
          <w:i w:val="1"/>
          <w:iCs w:val="1"/>
          <w:color w:val="auto"/>
        </w:rPr>
        <w:t>Preemptive or Other Rights</w:t>
      </w:r>
    </w:p>
    <w:p>
      <w:pPr>
        <w:spacing w:after="0" w:line="162" w:lineRule="exact"/>
        <w:rPr>
          <w:sz w:val="20"/>
          <w:szCs w:val="20"/>
          <w:color w:val="auto"/>
        </w:rPr>
      </w:pPr>
    </w:p>
    <w:p>
      <w:pPr>
        <w:jc w:val="both"/>
        <w:ind w:left="7" w:right="20"/>
        <w:spacing w:after="0" w:line="299" w:lineRule="auto"/>
        <w:rPr>
          <w:sz w:val="20"/>
          <w:szCs w:val="20"/>
          <w:color w:val="auto"/>
        </w:rPr>
      </w:pPr>
      <w:r>
        <w:rPr>
          <w:rFonts w:ascii="Times New Roman" w:cs="Times New Roman" w:eastAsia="Times New Roman" w:hAnsi="Times New Roman"/>
          <w:sz w:val="20"/>
          <w:szCs w:val="20"/>
          <w:color w:val="auto"/>
        </w:rPr>
        <w:t>The holders of shares of Class A Common Stock have no preemptive or conversion rights or other subscription rights. There are no redemption or sinking fund provisions applicable to the shares of Class A Common Stock. The rights, preferences and privileges of holders of shares of Class A Common Stock will be subject to those of the holders of any shares of the preferred stock that the Company may issue in the future.</w:t>
      </w:r>
    </w:p>
    <w:p>
      <w:pPr>
        <w:spacing w:after="0" w:line="73" w:lineRule="exact"/>
        <w:rPr>
          <w:sz w:val="20"/>
          <w:szCs w:val="20"/>
          <w:color w:val="auto"/>
        </w:rPr>
      </w:pPr>
    </w:p>
    <w:p>
      <w:pPr>
        <w:ind w:left="7"/>
        <w:spacing w:after="0"/>
        <w:rPr>
          <w:sz w:val="20"/>
          <w:szCs w:val="20"/>
          <w:color w:val="auto"/>
        </w:rPr>
      </w:pPr>
      <w:r>
        <w:rPr>
          <w:rFonts w:ascii="Times New Roman" w:cs="Times New Roman" w:eastAsia="Times New Roman" w:hAnsi="Times New Roman"/>
          <w:sz w:val="20"/>
          <w:szCs w:val="20"/>
          <w:b w:val="1"/>
          <w:bCs w:val="1"/>
          <w:i w:val="1"/>
          <w:iCs w:val="1"/>
          <w:color w:val="auto"/>
        </w:rPr>
        <w:t>Class V Common Stock</w:t>
      </w:r>
    </w:p>
    <w:p>
      <w:pPr>
        <w:spacing w:after="0" w:line="176" w:lineRule="exact"/>
        <w:rPr>
          <w:sz w:val="20"/>
          <w:szCs w:val="20"/>
          <w:color w:val="auto"/>
        </w:rPr>
      </w:pPr>
    </w:p>
    <w:p>
      <w:pPr>
        <w:ind w:left="7"/>
        <w:spacing w:after="0"/>
        <w:rPr>
          <w:sz w:val="20"/>
          <w:szCs w:val="20"/>
          <w:color w:val="auto"/>
        </w:rPr>
      </w:pPr>
      <w:r>
        <w:rPr>
          <w:rFonts w:ascii="Times New Roman" w:cs="Times New Roman" w:eastAsia="Times New Roman" w:hAnsi="Times New Roman"/>
          <w:sz w:val="20"/>
          <w:szCs w:val="20"/>
          <w:i w:val="1"/>
          <w:iCs w:val="1"/>
          <w:color w:val="auto"/>
        </w:rPr>
        <w:t>Voting Rights</w:t>
      </w:r>
    </w:p>
    <w:p>
      <w:pPr>
        <w:spacing w:after="0" w:line="162" w:lineRule="exact"/>
        <w:rPr>
          <w:sz w:val="20"/>
          <w:szCs w:val="20"/>
          <w:color w:val="auto"/>
        </w:rPr>
      </w:pPr>
    </w:p>
    <w:p>
      <w:pPr>
        <w:jc w:val="both"/>
        <w:ind w:left="7"/>
        <w:spacing w:after="0" w:line="292" w:lineRule="auto"/>
        <w:rPr>
          <w:sz w:val="20"/>
          <w:szCs w:val="20"/>
          <w:color w:val="auto"/>
        </w:rPr>
      </w:pPr>
      <w:r>
        <w:rPr>
          <w:rFonts w:ascii="Times New Roman" w:cs="Times New Roman" w:eastAsia="Times New Roman" w:hAnsi="Times New Roman"/>
          <w:sz w:val="20"/>
          <w:szCs w:val="20"/>
          <w:color w:val="auto"/>
        </w:rPr>
        <w:t>Each holder of the shares of Class V Common Stock is entitled to one vote for each share of Class V Common Stock held of record by such holder on all matters on which stockholders generally are entitled to vote. The holders of shares of Class V Common Stock do not have cumulative voting rights in the election of directors. Generally, all matters to be voted on by stockholders must be approved by a majority (or, in the case of election of directors, by a plurality) of the votes entitled to be cast by all stockholders present in person or represented by proxy, voting together as a single class. Notwithstanding the foregoing, the holders of the outstanding shares of Class V Common Stock are entitled to vote separately upon any amendment to the Company’s certificate of incorporation (including by merger, consolidation, reorganization or similar event) that would alter or change the powers, preferences or special rights of such class of common stock in a manner that is disproportionately adverse as compared to the Class A Common Stock.</w:t>
      </w:r>
    </w:p>
    <w:p>
      <w:pPr>
        <w:spacing w:after="0" w:line="85" w:lineRule="exact"/>
        <w:rPr>
          <w:sz w:val="20"/>
          <w:szCs w:val="20"/>
          <w:color w:val="auto"/>
        </w:rPr>
      </w:pPr>
    </w:p>
    <w:p>
      <w:pPr>
        <w:ind w:left="7"/>
        <w:spacing w:after="0"/>
        <w:rPr>
          <w:sz w:val="20"/>
          <w:szCs w:val="20"/>
          <w:color w:val="auto"/>
        </w:rPr>
      </w:pPr>
      <w:r>
        <w:rPr>
          <w:rFonts w:ascii="Times New Roman" w:cs="Times New Roman" w:eastAsia="Times New Roman" w:hAnsi="Times New Roman"/>
          <w:sz w:val="20"/>
          <w:szCs w:val="20"/>
          <w:i w:val="1"/>
          <w:iCs w:val="1"/>
          <w:color w:val="auto"/>
        </w:rPr>
        <w:t>Dividend Rights</w:t>
      </w:r>
    </w:p>
    <w:p>
      <w:pPr>
        <w:spacing w:after="0" w:line="162" w:lineRule="exact"/>
        <w:rPr>
          <w:sz w:val="20"/>
          <w:szCs w:val="20"/>
          <w:color w:val="auto"/>
        </w:rPr>
      </w:pPr>
    </w:p>
    <w:p>
      <w:pPr>
        <w:ind w:left="7"/>
        <w:spacing w:after="0"/>
        <w:rPr>
          <w:sz w:val="20"/>
          <w:szCs w:val="20"/>
          <w:color w:val="auto"/>
        </w:rPr>
      </w:pPr>
      <w:r>
        <w:rPr>
          <w:rFonts w:ascii="Times New Roman" w:cs="Times New Roman" w:eastAsia="Times New Roman" w:hAnsi="Times New Roman"/>
          <w:sz w:val="20"/>
          <w:szCs w:val="20"/>
          <w:color w:val="auto"/>
        </w:rPr>
        <w:t>The holders of the Class V Common Stock will not participate in any dividends declared by the Company’s board of directors.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1" w:lineRule="exact"/>
        <w:rPr>
          <w:sz w:val="20"/>
          <w:szCs w:val="20"/>
          <w:color w:val="auto"/>
        </w:rPr>
      </w:pPr>
    </w:p>
    <w:p>
      <w:pPr>
        <w:jc w:val="center"/>
        <w:ind w:right="-6"/>
        <w:spacing w:after="0"/>
        <w:rPr>
          <w:sz w:val="20"/>
          <w:szCs w:val="20"/>
          <w:color w:val="auto"/>
        </w:rPr>
      </w:pPr>
      <w:r>
        <w:rPr>
          <w:rFonts w:ascii="Times New Roman" w:cs="Times New Roman" w:eastAsia="Times New Roman" w:hAnsi="Times New Roman"/>
          <w:sz w:val="20"/>
          <w:szCs w:val="20"/>
          <w:color w:val="auto"/>
        </w:rPr>
        <w:t>F-30</w:t>
      </w:r>
    </w:p>
    <w:p>
      <w:pPr>
        <w:sectPr>
          <w:pgSz w:w="12240" w:h="15840" w:orient="portrait"/>
          <w:cols w:equalWidth="0" w:num="1">
            <w:col w:w="10267"/>
          </w:cols>
          <w:pgMar w:left="993" w:top="731" w:right="980" w:bottom="222" w:gutter="0" w:footer="0" w:header="0"/>
        </w:sectPr>
      </w:pPr>
    </w:p>
    <w:bookmarkStart w:id="150" w:name="page151"/>
    <w:bookmarkEnd w:id="150"/>
    <w:p>
      <w:pPr>
        <w:jc w:val="center"/>
        <w:ind w:right="14"/>
        <w:spacing w:after="0"/>
        <w:rPr>
          <w:sz w:val="20"/>
          <w:szCs w:val="20"/>
          <w:color w:val="auto"/>
        </w:rPr>
      </w:pPr>
      <w:r>
        <w:rPr>
          <w:rFonts w:ascii="Times New Roman" w:cs="Times New Roman" w:eastAsia="Times New Roman" w:hAnsi="Times New Roman"/>
          <w:sz w:val="20"/>
          <w:szCs w:val="20"/>
          <w:b w:val="1"/>
          <w:bCs w:val="1"/>
          <w:color w:val="auto"/>
        </w:rPr>
        <w:t>WM TECHNOLOGY, INC. AND SUBSIDIARIES</w:t>
      </w:r>
    </w:p>
    <w:p>
      <w:pPr>
        <w:spacing w:after="0" w:line="48" w:lineRule="exact"/>
        <w:rPr>
          <w:sz w:val="20"/>
          <w:szCs w:val="20"/>
          <w:color w:val="auto"/>
        </w:rPr>
      </w:pPr>
    </w:p>
    <w:p>
      <w:pPr>
        <w:jc w:val="center"/>
        <w:ind w:right="-5"/>
        <w:spacing w:after="0"/>
        <w:rPr>
          <w:sz w:val="20"/>
          <w:szCs w:val="20"/>
          <w:color w:val="auto"/>
        </w:rPr>
      </w:pPr>
      <w:r>
        <w:rPr>
          <w:rFonts w:ascii="Times New Roman" w:cs="Times New Roman" w:eastAsia="Times New Roman" w:hAnsi="Times New Roman"/>
          <w:sz w:val="20"/>
          <w:szCs w:val="20"/>
          <w:b w:val="1"/>
          <w:bCs w:val="1"/>
          <w:color w:val="auto"/>
        </w:rPr>
        <w:t>NOTES TO CONSOLIDATED FINANCIAL STATEMENTS</w:t>
      </w:r>
    </w:p>
    <w:p>
      <w:pPr>
        <w:spacing w:after="0" w:line="291" w:lineRule="exact"/>
        <w:rPr>
          <w:sz w:val="20"/>
          <w:szCs w:val="20"/>
          <w:color w:val="auto"/>
        </w:rPr>
      </w:pPr>
    </w:p>
    <w:p>
      <w:pPr>
        <w:ind w:left="6"/>
        <w:spacing w:after="0"/>
        <w:rPr>
          <w:sz w:val="20"/>
          <w:szCs w:val="20"/>
          <w:color w:val="auto"/>
        </w:rPr>
      </w:pPr>
      <w:r>
        <w:rPr>
          <w:rFonts w:ascii="Times New Roman" w:cs="Times New Roman" w:eastAsia="Times New Roman" w:hAnsi="Times New Roman"/>
          <w:sz w:val="20"/>
          <w:szCs w:val="20"/>
          <w:i w:val="1"/>
          <w:iCs w:val="1"/>
          <w:color w:val="auto"/>
        </w:rPr>
        <w:t>Rights upon Liquidation, Dissolution and Winding-Up</w:t>
      </w:r>
    </w:p>
    <w:p>
      <w:pPr>
        <w:spacing w:after="0" w:line="162" w:lineRule="exact"/>
        <w:rPr>
          <w:sz w:val="20"/>
          <w:szCs w:val="20"/>
          <w:color w:val="auto"/>
        </w:rPr>
      </w:pPr>
    </w:p>
    <w:p>
      <w:pPr>
        <w:jc w:val="both"/>
        <w:ind w:left="6" w:right="20"/>
        <w:spacing w:after="0" w:line="326" w:lineRule="auto"/>
        <w:rPr>
          <w:sz w:val="20"/>
          <w:szCs w:val="20"/>
          <w:color w:val="auto"/>
        </w:rPr>
      </w:pPr>
      <w:r>
        <w:rPr>
          <w:rFonts w:ascii="Times New Roman" w:cs="Times New Roman" w:eastAsia="Times New Roman" w:hAnsi="Times New Roman"/>
          <w:sz w:val="20"/>
          <w:szCs w:val="20"/>
          <w:color w:val="auto"/>
        </w:rPr>
        <w:t>In the event of any voluntary or involuntary liquidation, dissolution or winding up of our affairs, the holders of Class V Common Stock are not entitled to receive any of the Company’s assets.</w:t>
      </w:r>
    </w:p>
    <w:p>
      <w:pPr>
        <w:spacing w:after="0" w:line="56" w:lineRule="exact"/>
        <w:rPr>
          <w:sz w:val="20"/>
          <w:szCs w:val="20"/>
          <w:color w:val="auto"/>
        </w:rPr>
      </w:pPr>
    </w:p>
    <w:p>
      <w:pPr>
        <w:ind w:left="6"/>
        <w:spacing w:after="0"/>
        <w:rPr>
          <w:sz w:val="20"/>
          <w:szCs w:val="20"/>
          <w:color w:val="auto"/>
        </w:rPr>
      </w:pPr>
      <w:r>
        <w:rPr>
          <w:rFonts w:ascii="Times New Roman" w:cs="Times New Roman" w:eastAsia="Times New Roman" w:hAnsi="Times New Roman"/>
          <w:sz w:val="20"/>
          <w:szCs w:val="20"/>
          <w:i w:val="1"/>
          <w:iCs w:val="1"/>
          <w:color w:val="auto"/>
        </w:rPr>
        <w:t>Preemptive or Other Rights</w:t>
      </w:r>
    </w:p>
    <w:p>
      <w:pPr>
        <w:spacing w:after="0" w:line="162" w:lineRule="exact"/>
        <w:rPr>
          <w:sz w:val="20"/>
          <w:szCs w:val="20"/>
          <w:color w:val="auto"/>
        </w:rPr>
      </w:pPr>
    </w:p>
    <w:p>
      <w:pPr>
        <w:jc w:val="both"/>
        <w:ind w:left="6"/>
        <w:spacing w:after="0" w:line="326" w:lineRule="auto"/>
        <w:rPr>
          <w:sz w:val="20"/>
          <w:szCs w:val="20"/>
          <w:color w:val="auto"/>
        </w:rPr>
      </w:pPr>
      <w:r>
        <w:rPr>
          <w:rFonts w:ascii="Times New Roman" w:cs="Times New Roman" w:eastAsia="Times New Roman" w:hAnsi="Times New Roman"/>
          <w:sz w:val="20"/>
          <w:szCs w:val="20"/>
          <w:color w:val="auto"/>
        </w:rPr>
        <w:t>The holders of shares of Class V Common Stock do not have preemptive, subscription, redemption or conversion rights. There will be no redemption or sinking fund provisions applicable to the Class V Common Stock.</w:t>
      </w:r>
    </w:p>
    <w:p>
      <w:pPr>
        <w:spacing w:after="0" w:line="49" w:lineRule="exact"/>
        <w:rPr>
          <w:sz w:val="20"/>
          <w:szCs w:val="20"/>
          <w:color w:val="auto"/>
        </w:rPr>
      </w:pPr>
    </w:p>
    <w:p>
      <w:pPr>
        <w:ind w:left="6"/>
        <w:spacing w:after="0"/>
        <w:rPr>
          <w:sz w:val="20"/>
          <w:szCs w:val="20"/>
          <w:color w:val="auto"/>
        </w:rPr>
      </w:pPr>
      <w:r>
        <w:rPr>
          <w:rFonts w:ascii="Times New Roman" w:cs="Times New Roman" w:eastAsia="Times New Roman" w:hAnsi="Times New Roman"/>
          <w:sz w:val="20"/>
          <w:szCs w:val="20"/>
          <w:i w:val="1"/>
          <w:iCs w:val="1"/>
          <w:color w:val="auto"/>
        </w:rPr>
        <w:t>Issuance and Retirement of Class V Common Stock</w:t>
      </w:r>
    </w:p>
    <w:p>
      <w:pPr>
        <w:spacing w:after="0" w:line="162" w:lineRule="exact"/>
        <w:rPr>
          <w:sz w:val="20"/>
          <w:szCs w:val="20"/>
          <w:color w:val="auto"/>
        </w:rPr>
      </w:pPr>
    </w:p>
    <w:p>
      <w:pPr>
        <w:jc w:val="both"/>
        <w:ind w:left="6"/>
        <w:spacing w:after="0" w:line="301" w:lineRule="auto"/>
        <w:rPr>
          <w:sz w:val="20"/>
          <w:szCs w:val="20"/>
          <w:color w:val="auto"/>
        </w:rPr>
      </w:pPr>
      <w:r>
        <w:rPr>
          <w:rFonts w:ascii="Times New Roman" w:cs="Times New Roman" w:eastAsia="Times New Roman" w:hAnsi="Times New Roman"/>
          <w:sz w:val="20"/>
          <w:szCs w:val="20"/>
          <w:color w:val="auto"/>
        </w:rPr>
        <w:t>In the event that any outstanding share of Class V Common Stock ceases to be held directly or indirectly by a holder of Class A Units, such share will automatically be transferred to us for no consideration and thereupon will be retired. The Company will not issue additional shares of Class V Common Stock other than in connection with the valid issuance or transfer of Units in accordance with the governing documents of WMH LLC.</w:t>
      </w:r>
    </w:p>
    <w:p>
      <w:pPr>
        <w:spacing w:after="0" w:line="72" w:lineRule="exact"/>
        <w:rPr>
          <w:sz w:val="20"/>
          <w:szCs w:val="20"/>
          <w:color w:val="auto"/>
        </w:rPr>
      </w:pPr>
    </w:p>
    <w:p>
      <w:pPr>
        <w:ind w:left="6"/>
        <w:spacing w:after="0"/>
        <w:rPr>
          <w:sz w:val="20"/>
          <w:szCs w:val="20"/>
          <w:color w:val="auto"/>
        </w:rPr>
      </w:pPr>
      <w:r>
        <w:rPr>
          <w:rFonts w:ascii="Times New Roman" w:cs="Times New Roman" w:eastAsia="Times New Roman" w:hAnsi="Times New Roman"/>
          <w:sz w:val="20"/>
          <w:szCs w:val="20"/>
          <w:b w:val="1"/>
          <w:bCs w:val="1"/>
          <w:i w:val="1"/>
          <w:iCs w:val="1"/>
          <w:color w:val="auto"/>
        </w:rPr>
        <w:t>Preferred Stock</w:t>
      </w:r>
    </w:p>
    <w:p>
      <w:pPr>
        <w:spacing w:after="0" w:line="164" w:lineRule="exact"/>
        <w:rPr>
          <w:sz w:val="20"/>
          <w:szCs w:val="20"/>
          <w:color w:val="auto"/>
        </w:rPr>
      </w:pPr>
    </w:p>
    <w:p>
      <w:pPr>
        <w:jc w:val="both"/>
        <w:ind w:left="6"/>
        <w:spacing w:after="0" w:line="301" w:lineRule="auto"/>
        <w:rPr>
          <w:sz w:val="20"/>
          <w:szCs w:val="20"/>
          <w:color w:val="auto"/>
        </w:rPr>
      </w:pPr>
      <w:r>
        <w:rPr>
          <w:rFonts w:ascii="Times New Roman" w:cs="Times New Roman" w:eastAsia="Times New Roman" w:hAnsi="Times New Roman"/>
          <w:sz w:val="20"/>
          <w:szCs w:val="20"/>
          <w:color w:val="auto"/>
        </w:rPr>
        <w:t>Pursuant to the amended and restated certificate of incorporation in effect as of June 15, 2021, the Company was authorized to issue 75,000,000 shares of preferred stock with such designations, voting and other rights and preferences as may be determined from time to time by the Company’s board of directors. As of December 31, 2023, there were no shares of preferred stock issued or outstanding.</w:t>
      </w:r>
    </w:p>
    <w:p>
      <w:pPr>
        <w:spacing w:after="0" w:line="72" w:lineRule="exact"/>
        <w:rPr>
          <w:sz w:val="20"/>
          <w:szCs w:val="20"/>
          <w:color w:val="auto"/>
        </w:rPr>
      </w:pPr>
    </w:p>
    <w:p>
      <w:pPr>
        <w:ind w:left="6"/>
        <w:spacing w:after="0"/>
        <w:rPr>
          <w:sz w:val="20"/>
          <w:szCs w:val="20"/>
          <w:color w:val="auto"/>
        </w:rPr>
      </w:pPr>
      <w:r>
        <w:rPr>
          <w:rFonts w:ascii="Times New Roman" w:cs="Times New Roman" w:eastAsia="Times New Roman" w:hAnsi="Times New Roman"/>
          <w:sz w:val="20"/>
          <w:szCs w:val="20"/>
          <w:b w:val="1"/>
          <w:bCs w:val="1"/>
          <w:i w:val="1"/>
          <w:iCs w:val="1"/>
          <w:color w:val="auto"/>
        </w:rPr>
        <w:t>Noncontrolling Interests</w:t>
      </w:r>
    </w:p>
    <w:p>
      <w:pPr>
        <w:spacing w:after="0" w:line="164" w:lineRule="exact"/>
        <w:rPr>
          <w:sz w:val="20"/>
          <w:szCs w:val="20"/>
          <w:color w:val="auto"/>
        </w:rPr>
      </w:pPr>
    </w:p>
    <w:p>
      <w:pPr>
        <w:jc w:val="both"/>
        <w:ind w:left="6"/>
        <w:spacing w:after="0" w:line="294" w:lineRule="auto"/>
        <w:rPr>
          <w:sz w:val="20"/>
          <w:szCs w:val="20"/>
          <w:color w:val="auto"/>
        </w:rPr>
      </w:pPr>
      <w:r>
        <w:rPr>
          <w:rFonts w:ascii="Times New Roman" w:cs="Times New Roman" w:eastAsia="Times New Roman" w:hAnsi="Times New Roman"/>
          <w:sz w:val="20"/>
          <w:szCs w:val="20"/>
          <w:color w:val="auto"/>
        </w:rPr>
        <w:t>The noncontrolling interest represents the Units held by holders other than the Company. As of December 31, 2023, the noncontrolling interests owned 37.2% of the Units outstanding. The noncontrolling interests’ ownership percentage can fluctuate over time, including as the WMH LLC equity holders elect to exchange Units for Class A Common Stock. The Company has consolidated the financial position and results of operations of WMH LLC and reflected the proportionate interest held by the WMH LLC Unit equity holders as noncontrolling interests. Net income for the period prior to the Business Combination from January 1, 2021 to June 15, 2021 is allocated to net income attributable to noncontrolling interests on the consolidated statements of operations for the year ended December 31, 2021.</w:t>
      </w:r>
    </w:p>
    <w:p>
      <w:pPr>
        <w:spacing w:after="0" w:line="78" w:lineRule="exact"/>
        <w:rPr>
          <w:sz w:val="20"/>
          <w:szCs w:val="20"/>
          <w:color w:val="auto"/>
        </w:rPr>
      </w:pPr>
    </w:p>
    <w:p>
      <w:pPr>
        <w:ind w:left="546" w:hanging="546"/>
        <w:spacing w:after="0"/>
        <w:tabs>
          <w:tab w:leader="none" w:pos="546" w:val="left"/>
        </w:tabs>
        <w:numPr>
          <w:ilvl w:val="0"/>
          <w:numId w:val="97"/>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b w:val="1"/>
          <w:bCs w:val="1"/>
          <w:color w:val="auto"/>
        </w:rPr>
        <w:t>Stock-based Compensation</w:t>
      </w:r>
    </w:p>
    <w:p>
      <w:pPr>
        <w:spacing w:after="0" w:line="172" w:lineRule="exact"/>
        <w:rPr>
          <w:sz w:val="20"/>
          <w:szCs w:val="20"/>
          <w:color w:val="auto"/>
        </w:rPr>
      </w:pPr>
    </w:p>
    <w:p>
      <w:pPr>
        <w:ind w:left="6"/>
        <w:spacing w:after="0"/>
        <w:rPr>
          <w:sz w:val="20"/>
          <w:szCs w:val="20"/>
          <w:color w:val="auto"/>
        </w:rPr>
      </w:pPr>
      <w:r>
        <w:rPr>
          <w:rFonts w:ascii="Times New Roman" w:cs="Times New Roman" w:eastAsia="Times New Roman" w:hAnsi="Times New Roman"/>
          <w:sz w:val="20"/>
          <w:szCs w:val="20"/>
          <w:i w:val="1"/>
          <w:iCs w:val="1"/>
          <w:color w:val="auto"/>
        </w:rPr>
        <w:t>WM Holding Company, LLC Equity Incentive Plan</w:t>
      </w:r>
    </w:p>
    <w:p>
      <w:pPr>
        <w:spacing w:after="0" w:line="162" w:lineRule="exact"/>
        <w:rPr>
          <w:sz w:val="20"/>
          <w:szCs w:val="20"/>
          <w:color w:val="auto"/>
        </w:rPr>
      </w:pPr>
    </w:p>
    <w:p>
      <w:pPr>
        <w:jc w:val="both"/>
        <w:ind w:left="6"/>
        <w:spacing w:after="0" w:line="301" w:lineRule="auto"/>
        <w:rPr>
          <w:sz w:val="20"/>
          <w:szCs w:val="20"/>
          <w:color w:val="auto"/>
        </w:rPr>
      </w:pPr>
      <w:r>
        <w:rPr>
          <w:rFonts w:ascii="Times New Roman" w:cs="Times New Roman" w:eastAsia="Times New Roman" w:hAnsi="Times New Roman"/>
          <w:sz w:val="20"/>
          <w:szCs w:val="20"/>
          <w:color w:val="auto"/>
        </w:rPr>
        <w:t xml:space="preserve">The Company accounted for the issuance of Class A-3 and Class B Units issued under the WM Holding Company, LLC Equity Incentive Plan in accordance with ASC 718 - </w:t>
      </w:r>
      <w:r>
        <w:rPr>
          <w:rFonts w:ascii="Times New Roman" w:cs="Times New Roman" w:eastAsia="Times New Roman" w:hAnsi="Times New Roman"/>
          <w:sz w:val="20"/>
          <w:szCs w:val="20"/>
          <w:i w:val="1"/>
          <w:iCs w:val="1"/>
          <w:color w:val="auto"/>
        </w:rPr>
        <w:t>Stock Based Compensation</w:t>
      </w:r>
      <w:r>
        <w:rPr>
          <w:rFonts w:ascii="Times New Roman" w:cs="Times New Roman" w:eastAsia="Times New Roman" w:hAnsi="Times New Roman"/>
          <w:sz w:val="20"/>
          <w:szCs w:val="20"/>
          <w:color w:val="auto"/>
        </w:rPr>
        <w:t>. The Company considered the limitation on the exercisability of the Class A-3 and Class B Units to be a performance condition and recorded compensation cost when it became probable that the performance condition would be met.</w:t>
      </w:r>
    </w:p>
    <w:p>
      <w:pPr>
        <w:spacing w:after="0" w:line="70" w:lineRule="exact"/>
        <w:rPr>
          <w:sz w:val="20"/>
          <w:szCs w:val="20"/>
          <w:color w:val="auto"/>
        </w:rPr>
      </w:pPr>
    </w:p>
    <w:p>
      <w:pPr>
        <w:jc w:val="both"/>
        <w:ind w:left="6"/>
        <w:spacing w:after="0" w:line="313" w:lineRule="auto"/>
        <w:rPr>
          <w:sz w:val="20"/>
          <w:szCs w:val="20"/>
          <w:color w:val="auto"/>
        </w:rPr>
      </w:pPr>
      <w:r>
        <w:rPr>
          <w:rFonts w:ascii="Times New Roman" w:cs="Times New Roman" w:eastAsia="Times New Roman" w:hAnsi="Times New Roman"/>
          <w:sz w:val="19"/>
          <w:szCs w:val="19"/>
          <w:color w:val="auto"/>
        </w:rPr>
        <w:t>In connection with the Business Combination, each of the Class A-3 Units outstanding prior to the Business Combination were cancelled, and the holder thereof received a number of Class A units representing limited liability company interests of WMH LLC (the “Class A Units”) and an equivalent number of shares of Class V Common Stock, par value $0.0001 per share (together with the Class A Units, the “Paired Interests”), and each of the Class B Units outstanding prior to the Business Combination were cancelled and holders thereof received a number of Class P units representing limited liability company interests of WMH LLC (the “Class P Units” and together with the Class A Units, the “Units”), each in accordance with the Merger Agreement.</w:t>
      </w:r>
    </w:p>
    <w:p>
      <w:pPr>
        <w:spacing w:after="0" w:line="69" w:lineRule="exact"/>
        <w:rPr>
          <w:sz w:val="20"/>
          <w:szCs w:val="20"/>
          <w:color w:val="auto"/>
        </w:rPr>
      </w:pPr>
    </w:p>
    <w:p>
      <w:pPr>
        <w:jc w:val="both"/>
        <w:ind w:left="6"/>
        <w:spacing w:after="0" w:line="316" w:lineRule="auto"/>
        <w:rPr>
          <w:sz w:val="20"/>
          <w:szCs w:val="20"/>
          <w:color w:val="auto"/>
        </w:rPr>
      </w:pPr>
      <w:r>
        <w:rPr>
          <w:rFonts w:ascii="Times New Roman" w:cs="Times New Roman" w:eastAsia="Times New Roman" w:hAnsi="Times New Roman"/>
          <w:sz w:val="19"/>
          <w:szCs w:val="19"/>
          <w:color w:val="auto"/>
        </w:rPr>
        <w:t>Concurrently with the closing of the Business Combination, the Unit holders entered into an exchange agreement (the “Exchange Agreement”). The terms of the Exchange Agreement, among other things, provide the Unit holders (or certain permitted transferees thereof) with the right from time to time at and after 180 days following the Business Combination to exchange their vested Paired Interests for shares of Class A Common Stock on a one-for-one basis, subject to customary conversion rate adjustments for stock splits, stock dividends and reclassifications, or Class P Units for shares of Class A Common Stock with a</w:t>
      </w:r>
    </w:p>
    <w:p>
      <w:pPr>
        <w:spacing w:after="0" w:line="240" w:lineRule="exact"/>
        <w:rPr>
          <w:sz w:val="20"/>
          <w:szCs w:val="20"/>
          <w:color w:val="auto"/>
        </w:rPr>
      </w:pPr>
    </w:p>
    <w:p>
      <w:pPr>
        <w:jc w:val="center"/>
        <w:ind w:right="-5"/>
        <w:spacing w:after="0"/>
        <w:rPr>
          <w:sz w:val="20"/>
          <w:szCs w:val="20"/>
          <w:color w:val="auto"/>
        </w:rPr>
      </w:pPr>
      <w:r>
        <w:rPr>
          <w:rFonts w:ascii="Times New Roman" w:cs="Times New Roman" w:eastAsia="Times New Roman" w:hAnsi="Times New Roman"/>
          <w:sz w:val="20"/>
          <w:szCs w:val="20"/>
          <w:color w:val="auto"/>
        </w:rPr>
        <w:t>F-31</w:t>
      </w:r>
    </w:p>
    <w:p>
      <w:pPr>
        <w:sectPr>
          <w:pgSz w:w="12240" w:h="15840" w:orient="portrait"/>
          <w:cols w:equalWidth="0" w:num="1">
            <w:col w:w="10266"/>
          </w:cols>
          <w:pgMar w:left="994" w:top="731" w:right="980" w:bottom="222" w:gutter="0" w:footer="0" w:header="0"/>
        </w:sectPr>
      </w:pPr>
    </w:p>
    <w:bookmarkStart w:id="151" w:name="page152"/>
    <w:bookmarkEnd w:id="151"/>
    <w:p>
      <w:pPr>
        <w:jc w:val="center"/>
        <w:ind w:right="20"/>
        <w:spacing w:after="0"/>
        <w:rPr>
          <w:sz w:val="20"/>
          <w:szCs w:val="20"/>
          <w:color w:val="auto"/>
        </w:rPr>
      </w:pPr>
      <w:r>
        <w:rPr>
          <w:rFonts w:ascii="Times New Roman" w:cs="Times New Roman" w:eastAsia="Times New Roman" w:hAnsi="Times New Roman"/>
          <w:sz w:val="20"/>
          <w:szCs w:val="20"/>
          <w:b w:val="1"/>
          <w:bCs w:val="1"/>
          <w:color w:val="auto"/>
        </w:rPr>
        <w:t>WM TECHNOLOGY, INC. AND SUBSIDIARIES</w:t>
      </w:r>
    </w:p>
    <w:p>
      <w:pPr>
        <w:spacing w:after="0" w:line="4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NOTES TO CONSOLIDATED FINANCIAL STATEMENTS</w:t>
      </w:r>
    </w:p>
    <w:p>
      <w:pPr>
        <w:spacing w:after="0" w:line="28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value equal to the value of such Class P Units less their participation threshold, or in each case, at the Company’s election, the</w:t>
      </w:r>
    </w:p>
    <w:p>
      <w:pPr>
        <w:spacing w:after="0" w:line="44" w:lineRule="exact"/>
        <w:rPr>
          <w:sz w:val="20"/>
          <w:szCs w:val="20"/>
          <w:color w:val="auto"/>
        </w:rPr>
      </w:pPr>
    </w:p>
    <w:tbl>
      <w:tblPr>
        <w:tblLayout w:type="fixed"/>
        <w:tblInd w:w="0" w:type="dxa"/>
        <w:tblCellMar>
          <w:top w:w="0" w:type="dxa"/>
          <w:left w:w="0" w:type="dxa"/>
          <w:bottom w:w="0" w:type="dxa"/>
          <w:right w:w="0" w:type="dxa"/>
        </w:tblCellMar>
      </w:tblPr>
      <w:tr>
        <w:trPr>
          <w:trHeight w:val="270"/>
        </w:trPr>
        <w:tc>
          <w:tcPr>
            <w:tcW w:w="8240" w:type="dxa"/>
            <w:vAlign w:val="bottom"/>
          </w:tcPr>
          <w:p>
            <w:pPr>
              <w:spacing w:after="0"/>
              <w:rPr>
                <w:sz w:val="20"/>
                <w:szCs w:val="20"/>
                <w:color w:val="auto"/>
              </w:rPr>
            </w:pPr>
            <w:r>
              <w:rPr>
                <w:rFonts w:ascii="Times New Roman" w:cs="Times New Roman" w:eastAsia="Times New Roman" w:hAnsi="Times New Roman"/>
                <w:sz w:val="20"/>
                <w:szCs w:val="20"/>
                <w:color w:val="auto"/>
              </w:rPr>
              <w:t>cash equivalent of such shares of Class A Common Stock.</w:t>
            </w:r>
          </w:p>
        </w:tc>
        <w:tc>
          <w:tcPr>
            <w:tcW w:w="10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900" w:type="dxa"/>
            <w:vAlign w:val="bottom"/>
          </w:tcPr>
          <w:p>
            <w:pPr>
              <w:spacing w:after="0"/>
              <w:rPr>
                <w:sz w:val="23"/>
                <w:szCs w:val="23"/>
                <w:color w:val="auto"/>
              </w:rPr>
            </w:pPr>
          </w:p>
        </w:tc>
      </w:tr>
      <w:tr>
        <w:trPr>
          <w:trHeight w:val="403"/>
        </w:trPr>
        <w:tc>
          <w:tcPr>
            <w:tcW w:w="8240" w:type="dxa"/>
            <w:vAlign w:val="bottom"/>
          </w:tcPr>
          <w:p>
            <w:pPr>
              <w:spacing w:after="0"/>
              <w:rPr>
                <w:sz w:val="20"/>
                <w:szCs w:val="20"/>
                <w:color w:val="auto"/>
              </w:rPr>
            </w:pPr>
            <w:r>
              <w:rPr>
                <w:rFonts w:ascii="Times New Roman" w:cs="Times New Roman" w:eastAsia="Times New Roman" w:hAnsi="Times New Roman"/>
                <w:sz w:val="20"/>
                <w:szCs w:val="20"/>
                <w:color w:val="auto"/>
              </w:rPr>
              <w:t>A summary of the Class P Unit activity for the periods presented is as follows:</w:t>
            </w: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900" w:type="dxa"/>
            <w:vAlign w:val="bottom"/>
          </w:tcPr>
          <w:p>
            <w:pPr>
              <w:spacing w:after="0"/>
              <w:rPr>
                <w:sz w:val="24"/>
                <w:szCs w:val="24"/>
                <w:color w:val="auto"/>
              </w:rPr>
            </w:pPr>
          </w:p>
        </w:tc>
      </w:tr>
      <w:tr>
        <w:trPr>
          <w:trHeight w:val="333"/>
        </w:trPr>
        <w:tc>
          <w:tcPr>
            <w:tcW w:w="8240" w:type="dxa"/>
            <w:vAlign w:val="bottom"/>
            <w:tcBorders>
              <w:bottom w:val="single" w:sz="8" w:color="DDDDDD"/>
            </w:tcBorders>
          </w:tcPr>
          <w:p>
            <w:pPr>
              <w:spacing w:after="0"/>
              <w:rPr>
                <w:sz w:val="24"/>
                <w:szCs w:val="24"/>
                <w:color w:val="auto"/>
              </w:rPr>
            </w:pPr>
          </w:p>
        </w:tc>
        <w:tc>
          <w:tcPr>
            <w:tcW w:w="100" w:type="dxa"/>
            <w:vAlign w:val="bottom"/>
            <w:tcBorders>
              <w:bottom w:val="single" w:sz="8" w:color="DDDDDD"/>
            </w:tcBorders>
          </w:tcPr>
          <w:p>
            <w:pPr>
              <w:spacing w:after="0"/>
              <w:rPr>
                <w:sz w:val="24"/>
                <w:szCs w:val="24"/>
                <w:color w:val="auto"/>
              </w:rPr>
            </w:pPr>
          </w:p>
        </w:tc>
        <w:tc>
          <w:tcPr>
            <w:tcW w:w="20" w:type="dxa"/>
            <w:vAlign w:val="bottom"/>
            <w:tcBorders>
              <w:bottom w:val="single" w:sz="8" w:color="DDDDDD"/>
            </w:tcBorders>
          </w:tcPr>
          <w:p>
            <w:pPr>
              <w:spacing w:after="0"/>
              <w:rPr>
                <w:sz w:val="24"/>
                <w:szCs w:val="24"/>
                <w:color w:val="auto"/>
              </w:rPr>
            </w:pPr>
          </w:p>
        </w:tc>
        <w:tc>
          <w:tcPr>
            <w:tcW w:w="1900" w:type="dxa"/>
            <w:vAlign w:val="bottom"/>
            <w:tcBorders>
              <w:bottom w:val="single" w:sz="8" w:color="auto"/>
            </w:tcBorders>
          </w:tcPr>
          <w:p>
            <w:pPr>
              <w:jc w:val="right"/>
              <w:ind w:right="139"/>
              <w:spacing w:after="0"/>
              <w:rPr>
                <w:sz w:val="20"/>
                <w:szCs w:val="20"/>
                <w:color w:val="auto"/>
              </w:rPr>
            </w:pPr>
            <w:r>
              <w:rPr>
                <w:rFonts w:ascii="Times New Roman" w:cs="Times New Roman" w:eastAsia="Times New Roman" w:hAnsi="Times New Roman"/>
                <w:sz w:val="20"/>
                <w:szCs w:val="20"/>
                <w:b w:val="1"/>
                <w:bCs w:val="1"/>
                <w:color w:val="auto"/>
              </w:rPr>
              <w:t>Number of Units</w:t>
            </w:r>
          </w:p>
        </w:tc>
      </w:tr>
      <w:tr>
        <w:trPr>
          <w:trHeight w:val="300"/>
        </w:trPr>
        <w:tc>
          <w:tcPr>
            <w:tcW w:w="8240" w:type="dxa"/>
            <w:vAlign w:val="bottom"/>
            <w:shd w:val="clear" w:color="auto" w:fill="DDDDDD"/>
          </w:tcPr>
          <w:p>
            <w:pPr>
              <w:ind w:left="40"/>
              <w:spacing w:after="0"/>
              <w:rPr>
                <w:sz w:val="20"/>
                <w:szCs w:val="20"/>
                <w:color w:val="auto"/>
              </w:rPr>
            </w:pPr>
            <w:r>
              <w:rPr>
                <w:rFonts w:ascii="Times New Roman" w:cs="Times New Roman" w:eastAsia="Times New Roman" w:hAnsi="Times New Roman"/>
                <w:sz w:val="20"/>
                <w:szCs w:val="20"/>
                <w:color w:val="auto"/>
              </w:rPr>
              <w:t>Outstanding Class P Units, December 31, 2022</w:t>
            </w:r>
          </w:p>
        </w:tc>
        <w:tc>
          <w:tcPr>
            <w:tcW w:w="100" w:type="dxa"/>
            <w:vAlign w:val="bottom"/>
            <w:shd w:val="clear" w:color="auto" w:fill="DDDDDD"/>
          </w:tcPr>
          <w:p>
            <w:pPr>
              <w:spacing w:after="0"/>
              <w:rPr>
                <w:sz w:val="24"/>
                <w:szCs w:val="24"/>
                <w:color w:val="auto"/>
              </w:rPr>
            </w:pPr>
          </w:p>
        </w:tc>
        <w:tc>
          <w:tcPr>
            <w:tcW w:w="20" w:type="dxa"/>
            <w:vAlign w:val="bottom"/>
            <w:shd w:val="clear" w:color="auto" w:fill="DDDDDD"/>
          </w:tcPr>
          <w:p>
            <w:pPr>
              <w:spacing w:after="0"/>
              <w:rPr>
                <w:sz w:val="24"/>
                <w:szCs w:val="24"/>
                <w:color w:val="auto"/>
              </w:rPr>
            </w:pPr>
          </w:p>
        </w:tc>
        <w:tc>
          <w:tcPr>
            <w:tcW w:w="1900" w:type="dxa"/>
            <w:vAlign w:val="bottom"/>
            <w:shd w:val="clear" w:color="auto" w:fill="DDDDDD"/>
          </w:tcPr>
          <w:p>
            <w:pPr>
              <w:jc w:val="right"/>
              <w:spacing w:after="0"/>
              <w:rPr>
                <w:sz w:val="20"/>
                <w:szCs w:val="20"/>
                <w:color w:val="auto"/>
              </w:rPr>
            </w:pPr>
            <w:r>
              <w:rPr>
                <w:rFonts w:ascii="Times New Roman" w:cs="Times New Roman" w:eastAsia="Times New Roman" w:hAnsi="Times New Roman"/>
                <w:sz w:val="20"/>
                <w:szCs w:val="20"/>
                <w:color w:val="auto"/>
              </w:rPr>
              <w:t>15,125,429</w:t>
            </w:r>
          </w:p>
        </w:tc>
      </w:tr>
      <w:tr>
        <w:trPr>
          <w:trHeight w:val="304"/>
        </w:trPr>
        <w:tc>
          <w:tcPr>
            <w:tcW w:w="8240" w:type="dxa"/>
            <w:vAlign w:val="bottom"/>
          </w:tcPr>
          <w:p>
            <w:pPr>
              <w:ind w:left="40"/>
              <w:spacing w:after="0"/>
              <w:rPr>
                <w:sz w:val="20"/>
                <w:szCs w:val="20"/>
                <w:color w:val="auto"/>
              </w:rPr>
            </w:pPr>
            <w:r>
              <w:rPr>
                <w:rFonts w:ascii="Times New Roman" w:cs="Times New Roman" w:eastAsia="Times New Roman" w:hAnsi="Times New Roman"/>
                <w:sz w:val="20"/>
                <w:szCs w:val="20"/>
                <w:color w:val="auto"/>
              </w:rPr>
              <w:t>Cancellations</w:t>
            </w:r>
          </w:p>
        </w:tc>
        <w:tc>
          <w:tcPr>
            <w:tcW w:w="2020" w:type="dxa"/>
            <w:vAlign w:val="bottom"/>
            <w:gridSpan w:val="3"/>
          </w:tcPr>
          <w:p>
            <w:pPr>
              <w:jc w:val="right"/>
              <w:spacing w:after="0"/>
              <w:rPr>
                <w:sz w:val="20"/>
                <w:szCs w:val="20"/>
                <w:color w:val="auto"/>
              </w:rPr>
            </w:pPr>
            <w:r>
              <w:rPr>
                <w:rFonts w:ascii="Times New Roman" w:cs="Times New Roman" w:eastAsia="Times New Roman" w:hAnsi="Times New Roman"/>
                <w:sz w:val="20"/>
                <w:szCs w:val="20"/>
                <w:color w:val="auto"/>
              </w:rPr>
              <w:t>(75,922)</w:t>
            </w:r>
          </w:p>
        </w:tc>
      </w:tr>
      <w:tr>
        <w:trPr>
          <w:trHeight w:val="317"/>
        </w:trPr>
        <w:tc>
          <w:tcPr>
            <w:tcW w:w="8240" w:type="dxa"/>
            <w:vAlign w:val="bottom"/>
            <w:shd w:val="clear" w:color="auto" w:fill="DDDDDD"/>
          </w:tcPr>
          <w:p>
            <w:pPr>
              <w:ind w:left="40"/>
              <w:spacing w:after="0"/>
              <w:rPr>
                <w:sz w:val="20"/>
                <w:szCs w:val="20"/>
                <w:color w:val="auto"/>
              </w:rPr>
            </w:pPr>
            <w:r>
              <w:rPr>
                <w:rFonts w:ascii="Times New Roman" w:cs="Times New Roman" w:eastAsia="Times New Roman" w:hAnsi="Times New Roman"/>
                <w:sz w:val="20"/>
                <w:szCs w:val="20"/>
                <w:color w:val="auto"/>
              </w:rPr>
              <w:t>Exchanged for Class A Common Stock</w:t>
            </w:r>
          </w:p>
        </w:tc>
        <w:tc>
          <w:tcPr>
            <w:tcW w:w="100" w:type="dxa"/>
            <w:vAlign w:val="bottom"/>
            <w:shd w:val="clear" w:color="auto" w:fill="DDDDDD"/>
          </w:tcPr>
          <w:p>
            <w:pPr>
              <w:spacing w:after="0"/>
              <w:rPr>
                <w:sz w:val="24"/>
                <w:szCs w:val="24"/>
                <w:color w:val="auto"/>
              </w:rPr>
            </w:pPr>
          </w:p>
        </w:tc>
        <w:tc>
          <w:tcPr>
            <w:tcW w:w="20" w:type="dxa"/>
            <w:vAlign w:val="bottom"/>
            <w:shd w:val="clear" w:color="auto" w:fill="DDDDDD"/>
          </w:tcPr>
          <w:p>
            <w:pPr>
              <w:spacing w:after="0"/>
              <w:rPr>
                <w:sz w:val="24"/>
                <w:szCs w:val="24"/>
                <w:color w:val="auto"/>
              </w:rPr>
            </w:pPr>
          </w:p>
        </w:tc>
        <w:tc>
          <w:tcPr>
            <w:tcW w:w="1900" w:type="dxa"/>
            <w:vAlign w:val="bottom"/>
            <w:tcBorders>
              <w:bottom w:val="single" w:sz="8" w:color="auto"/>
            </w:tcBorders>
            <w:shd w:val="clear" w:color="auto" w:fill="DDDDDD"/>
          </w:tcPr>
          <w:p>
            <w:pPr>
              <w:jc w:val="right"/>
              <w:spacing w:after="0"/>
              <w:rPr>
                <w:sz w:val="20"/>
                <w:szCs w:val="20"/>
                <w:color w:val="auto"/>
              </w:rPr>
            </w:pPr>
            <w:r>
              <w:rPr>
                <w:rFonts w:ascii="Times New Roman" w:cs="Times New Roman" w:eastAsia="Times New Roman" w:hAnsi="Times New Roman"/>
                <w:sz w:val="20"/>
                <w:szCs w:val="20"/>
                <w:color w:val="auto"/>
              </w:rPr>
              <w:t>(245,000)</w:t>
            </w:r>
          </w:p>
        </w:tc>
      </w:tr>
      <w:tr>
        <w:trPr>
          <w:trHeight w:val="330"/>
        </w:trPr>
        <w:tc>
          <w:tcPr>
            <w:tcW w:w="8240" w:type="dxa"/>
            <w:vAlign w:val="bottom"/>
          </w:tcPr>
          <w:p>
            <w:pPr>
              <w:ind w:left="40"/>
              <w:spacing w:after="0"/>
              <w:rPr>
                <w:sz w:val="20"/>
                <w:szCs w:val="20"/>
                <w:color w:val="auto"/>
              </w:rPr>
            </w:pPr>
            <w:r>
              <w:rPr>
                <w:rFonts w:ascii="Times New Roman" w:cs="Times New Roman" w:eastAsia="Times New Roman" w:hAnsi="Times New Roman"/>
                <w:sz w:val="20"/>
                <w:szCs w:val="20"/>
                <w:color w:val="auto"/>
              </w:rPr>
              <w:t>Outstanding Class P Units, December 31, 2023</w:t>
            </w:r>
          </w:p>
        </w:tc>
        <w:tc>
          <w:tcPr>
            <w:tcW w:w="2020" w:type="dxa"/>
            <w:vAlign w:val="bottom"/>
            <w:gridSpan w:val="3"/>
          </w:tcPr>
          <w:p>
            <w:pPr>
              <w:jc w:val="right"/>
              <w:spacing w:after="0"/>
              <w:rPr>
                <w:sz w:val="20"/>
                <w:szCs w:val="20"/>
                <w:color w:val="auto"/>
              </w:rPr>
            </w:pPr>
            <w:r>
              <w:rPr>
                <w:rFonts w:ascii="Times New Roman" w:cs="Times New Roman" w:eastAsia="Times New Roman" w:hAnsi="Times New Roman"/>
                <w:sz w:val="20"/>
                <w:szCs w:val="20"/>
                <w:color w:val="auto"/>
              </w:rPr>
              <w:t>14,804,507</w:t>
            </w:r>
          </w:p>
        </w:tc>
      </w:tr>
      <w:tr>
        <w:trPr>
          <w:trHeight w:val="284"/>
        </w:trPr>
        <w:tc>
          <w:tcPr>
            <w:tcW w:w="8240" w:type="dxa"/>
            <w:vAlign w:val="bottom"/>
            <w:tcBorders>
              <w:top w:val="single" w:sz="8" w:color="DDDDDD"/>
            </w:tcBorders>
            <w:shd w:val="clear" w:color="auto" w:fill="DDDDDD"/>
          </w:tcPr>
          <w:p>
            <w:pPr>
              <w:ind w:left="40"/>
              <w:spacing w:after="0"/>
              <w:rPr>
                <w:sz w:val="20"/>
                <w:szCs w:val="20"/>
                <w:color w:val="auto"/>
              </w:rPr>
            </w:pPr>
            <w:r>
              <w:rPr>
                <w:rFonts w:ascii="Times New Roman" w:cs="Times New Roman" w:eastAsia="Times New Roman" w:hAnsi="Times New Roman"/>
                <w:sz w:val="20"/>
                <w:szCs w:val="20"/>
                <w:color w:val="auto"/>
              </w:rPr>
              <w:t>Vested, December 31, 2023</w:t>
            </w:r>
          </w:p>
        </w:tc>
        <w:tc>
          <w:tcPr>
            <w:tcW w:w="100" w:type="dxa"/>
            <w:vAlign w:val="bottom"/>
            <w:tcBorders>
              <w:top w:val="single" w:sz="8" w:color="DDDDDD"/>
            </w:tcBorders>
            <w:shd w:val="clear" w:color="auto" w:fill="DDDDDD"/>
          </w:tcPr>
          <w:p>
            <w:pPr>
              <w:spacing w:after="0"/>
              <w:rPr>
                <w:sz w:val="24"/>
                <w:szCs w:val="24"/>
                <w:color w:val="auto"/>
              </w:rPr>
            </w:pPr>
          </w:p>
        </w:tc>
        <w:tc>
          <w:tcPr>
            <w:tcW w:w="20" w:type="dxa"/>
            <w:vAlign w:val="bottom"/>
            <w:tcBorders>
              <w:top w:val="single" w:sz="8" w:color="DDDDDD"/>
            </w:tcBorders>
            <w:shd w:val="clear" w:color="auto" w:fill="DDDDDD"/>
          </w:tcPr>
          <w:p>
            <w:pPr>
              <w:spacing w:after="0"/>
              <w:rPr>
                <w:sz w:val="24"/>
                <w:szCs w:val="24"/>
                <w:color w:val="auto"/>
              </w:rPr>
            </w:pPr>
          </w:p>
        </w:tc>
        <w:tc>
          <w:tcPr>
            <w:tcW w:w="1900" w:type="dxa"/>
            <w:vAlign w:val="bottom"/>
            <w:tcBorders>
              <w:top w:val="single" w:sz="8" w:color="auto"/>
            </w:tcBorders>
            <w:shd w:val="clear" w:color="auto" w:fill="DDDDDD"/>
          </w:tcPr>
          <w:p>
            <w:pPr>
              <w:jc w:val="right"/>
              <w:spacing w:after="0"/>
              <w:rPr>
                <w:sz w:val="20"/>
                <w:szCs w:val="20"/>
                <w:color w:val="auto"/>
              </w:rPr>
            </w:pPr>
            <w:r>
              <w:rPr>
                <w:rFonts w:ascii="Times New Roman" w:cs="Times New Roman" w:eastAsia="Times New Roman" w:hAnsi="Times New Roman"/>
                <w:sz w:val="20"/>
                <w:szCs w:val="20"/>
                <w:color w:val="auto"/>
              </w:rPr>
              <w:t>14,723,936</w:t>
            </w:r>
          </w:p>
        </w:tc>
      </w:tr>
      <w:tr>
        <w:trPr>
          <w:trHeight w:val="20"/>
        </w:trPr>
        <w:tc>
          <w:tcPr>
            <w:tcW w:w="82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900" w:type="dxa"/>
            <w:vAlign w:val="bottom"/>
            <w:tcBorders>
              <w:bottom w:val="single" w:sz="8" w:color="auto"/>
            </w:tcBorders>
          </w:tcPr>
          <w:p>
            <w:pPr>
              <w:spacing w:after="0" w:line="20" w:lineRule="exact"/>
              <w:rPr>
                <w:sz w:val="1"/>
                <w:szCs w:val="1"/>
                <w:color w:val="auto"/>
              </w:rPr>
            </w:pPr>
          </w:p>
        </w:tc>
      </w:tr>
      <w:tr>
        <w:trPr>
          <w:trHeight w:val="20"/>
        </w:trPr>
        <w:tc>
          <w:tcPr>
            <w:tcW w:w="82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900" w:type="dxa"/>
            <w:vAlign w:val="bottom"/>
            <w:tcBorders>
              <w:bottom w:val="single" w:sz="8" w:color="auto"/>
            </w:tcBorders>
          </w:tcPr>
          <w:p>
            <w:pPr>
              <w:spacing w:after="0" w:line="20" w:lineRule="exact"/>
              <w:rPr>
                <w:sz w:val="1"/>
                <w:szCs w:val="1"/>
                <w:color w:val="auto"/>
              </w:rPr>
            </w:pPr>
          </w:p>
        </w:tc>
      </w:tr>
    </w:tbl>
    <w:p>
      <w:pPr>
        <w:spacing w:after="0" w:line="100" w:lineRule="exact"/>
        <w:rPr>
          <w:sz w:val="20"/>
          <w:szCs w:val="20"/>
          <w:color w:val="auto"/>
        </w:rPr>
      </w:pPr>
    </w:p>
    <w:p>
      <w:pPr>
        <w:jc w:val="both"/>
        <w:spacing w:after="0" w:line="310" w:lineRule="auto"/>
        <w:rPr>
          <w:sz w:val="20"/>
          <w:szCs w:val="20"/>
          <w:color w:val="auto"/>
        </w:rPr>
      </w:pPr>
      <w:r>
        <w:rPr>
          <w:rFonts w:ascii="Times New Roman" w:cs="Times New Roman" w:eastAsia="Times New Roman" w:hAnsi="Times New Roman"/>
          <w:sz w:val="19"/>
          <w:szCs w:val="19"/>
          <w:color w:val="auto"/>
        </w:rPr>
        <w:t>As of December 31, 2023, unrecognized stock-based compensation expense for non-vested Class P Units were $0.2 million, which is expected to be recognized over a weighted-average period of 0.9 years. For the years ended December 31, 2023, 2022 and 2021, the Company recorded stock-based compensation expense for the Class P Units of $0.5 million, $2.3 million and $20.9 million, respectively. Due to the Business Combination completed in the second quarter of 2021, certain limitations on exercisability related to the Company’s Class P equity awards issued to employees and consultants were removed and as a result the Company recognized the life-to-date expense on units vested through the Business Combination date on those equity awards. The stock-based compensation expense recognized during the year ended December 31, 2021 includes a one-time incremental expense of $4.1 million related to an award modification as a result of an advisory agreement entered into with a former executive.</w:t>
      </w:r>
    </w:p>
    <w:p>
      <w:pPr>
        <w:spacing w:after="0" w:line="72"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i w:val="1"/>
          <w:iCs w:val="1"/>
          <w:color w:val="auto"/>
        </w:rPr>
        <w:t>WM Technology, Inc. Equity Incentive Plan</w:t>
      </w:r>
    </w:p>
    <w:p>
      <w:pPr>
        <w:spacing w:after="0" w:line="162" w:lineRule="exact"/>
        <w:rPr>
          <w:sz w:val="20"/>
          <w:szCs w:val="20"/>
          <w:color w:val="auto"/>
        </w:rPr>
      </w:pPr>
    </w:p>
    <w:p>
      <w:pPr>
        <w:jc w:val="both"/>
        <w:spacing w:after="0" w:line="309" w:lineRule="auto"/>
        <w:rPr>
          <w:sz w:val="20"/>
          <w:szCs w:val="20"/>
          <w:color w:val="auto"/>
        </w:rPr>
      </w:pPr>
      <w:r>
        <w:rPr>
          <w:rFonts w:ascii="Times New Roman" w:cs="Times New Roman" w:eastAsia="Times New Roman" w:hAnsi="Times New Roman"/>
          <w:sz w:val="19"/>
          <w:szCs w:val="19"/>
          <w:color w:val="auto"/>
        </w:rPr>
        <w:t>In connection with the Business Combination, the Company adopted the WM Technology, Inc. 2021 Equity Incentive Plan (the “2021 Plan”). The 2021 Plan permits the granting of incentive stock options to employees and for the grant of nonstatutory stock options, stock appreciation rights, restricted stock awards, restricted stock unit awards, performance awards and other forms of stock awards to employees, directors and consultants. As of December 31, 2023, 33,146,412 shares of Class A Common Stock are authorized for issuance pursuant to awards under the 2021 Plan. The number of shares of Class A Common stock reserved for issuance under the 2021 Plan will automatically increase on January 1 of each year for a period of ten years commencing on January 1, 2022 and ending on (and including) January 1, 2031, in an amount equal to five percent (5%) of the total number of shares of the Company’s capital stock outstanding on December 31 of the preceding year; provided, however that the Board may act prior to January 1st of a given year to provide that the increase for such year will be a lesser number of shares of Common Stock. As of December 31, 2023, 19,530,046 shares of Class A Common Stock are available for future issuance.</w:t>
      </w:r>
    </w:p>
    <w:p>
      <w:pPr>
        <w:spacing w:after="0" w:line="67"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A summary of the restricted stock unit (“RSU”) activity for the year ended December 31, 2023 is as follows:</w:t>
      </w:r>
    </w:p>
    <w:p>
      <w:pPr>
        <w:spacing w:after="0" w:line="200" w:lineRule="exact"/>
        <w:rPr>
          <w:sz w:val="20"/>
          <w:szCs w:val="20"/>
          <w:color w:val="auto"/>
        </w:rPr>
      </w:pPr>
    </w:p>
    <w:p>
      <w:pPr>
        <w:spacing w:after="0" w:line="288"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62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9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740" w:type="dxa"/>
            <w:vAlign w:val="bottom"/>
          </w:tcPr>
          <w:p>
            <w:pPr>
              <w:jc w:val="center"/>
              <w:ind w:right="59"/>
              <w:spacing w:after="0"/>
              <w:rPr>
                <w:sz w:val="20"/>
                <w:szCs w:val="20"/>
                <w:color w:val="auto"/>
              </w:rPr>
            </w:pPr>
            <w:r>
              <w:rPr>
                <w:rFonts w:ascii="Times New Roman" w:cs="Times New Roman" w:eastAsia="Times New Roman" w:hAnsi="Times New Roman"/>
                <w:sz w:val="20"/>
                <w:szCs w:val="20"/>
                <w:b w:val="1"/>
                <w:bCs w:val="1"/>
                <w:color w:val="auto"/>
                <w:w w:val="98"/>
              </w:rPr>
              <w:t>Weighted-average</w:t>
            </w:r>
          </w:p>
        </w:tc>
      </w:tr>
      <w:tr>
        <w:trPr>
          <w:trHeight w:val="230"/>
        </w:trPr>
        <w:tc>
          <w:tcPr>
            <w:tcW w:w="62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9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740" w:type="dxa"/>
            <w:vAlign w:val="bottom"/>
          </w:tcPr>
          <w:p>
            <w:pPr>
              <w:jc w:val="center"/>
              <w:ind w:right="79"/>
              <w:spacing w:after="0"/>
              <w:rPr>
                <w:sz w:val="20"/>
                <w:szCs w:val="20"/>
                <w:color w:val="auto"/>
              </w:rPr>
            </w:pPr>
            <w:r>
              <w:rPr>
                <w:rFonts w:ascii="Times New Roman" w:cs="Times New Roman" w:eastAsia="Times New Roman" w:hAnsi="Times New Roman"/>
                <w:sz w:val="20"/>
                <w:szCs w:val="20"/>
                <w:b w:val="1"/>
                <w:bCs w:val="1"/>
                <w:color w:val="auto"/>
              </w:rPr>
              <w:t>Grant Date Fair</w:t>
            </w:r>
          </w:p>
        </w:tc>
      </w:tr>
      <w:tr>
        <w:trPr>
          <w:trHeight w:val="285"/>
        </w:trPr>
        <w:tc>
          <w:tcPr>
            <w:tcW w:w="6240" w:type="dxa"/>
            <w:vAlign w:val="bottom"/>
            <w:tcBorders>
              <w:bottom w:val="single" w:sz="8" w:color="DDDDDD"/>
            </w:tcBorders>
          </w:tcPr>
          <w:p>
            <w:pPr>
              <w:spacing w:after="0"/>
              <w:rPr>
                <w:sz w:val="24"/>
                <w:szCs w:val="24"/>
                <w:color w:val="auto"/>
              </w:rPr>
            </w:pPr>
          </w:p>
        </w:tc>
        <w:tc>
          <w:tcPr>
            <w:tcW w:w="80" w:type="dxa"/>
            <w:vAlign w:val="bottom"/>
            <w:tcBorders>
              <w:bottom w:val="single" w:sz="8" w:color="DDDDDD"/>
            </w:tcBorders>
          </w:tcPr>
          <w:p>
            <w:pPr>
              <w:spacing w:after="0"/>
              <w:rPr>
                <w:sz w:val="24"/>
                <w:szCs w:val="24"/>
                <w:color w:val="auto"/>
              </w:rPr>
            </w:pPr>
          </w:p>
        </w:tc>
        <w:tc>
          <w:tcPr>
            <w:tcW w:w="20" w:type="dxa"/>
            <w:vAlign w:val="bottom"/>
            <w:tcBorders>
              <w:bottom w:val="single" w:sz="8" w:color="DDDDDD"/>
            </w:tcBorders>
          </w:tcPr>
          <w:p>
            <w:pPr>
              <w:spacing w:after="0"/>
              <w:rPr>
                <w:sz w:val="24"/>
                <w:szCs w:val="24"/>
                <w:color w:val="auto"/>
              </w:rPr>
            </w:pPr>
          </w:p>
        </w:tc>
        <w:tc>
          <w:tcPr>
            <w:tcW w:w="1900" w:type="dxa"/>
            <w:vAlign w:val="bottom"/>
            <w:tcBorders>
              <w:bottom w:val="single" w:sz="8" w:color="auto"/>
            </w:tcBorders>
          </w:tcPr>
          <w:p>
            <w:pPr>
              <w:jc w:val="right"/>
              <w:ind w:right="119"/>
              <w:spacing w:after="0"/>
              <w:rPr>
                <w:sz w:val="20"/>
                <w:szCs w:val="20"/>
                <w:color w:val="auto"/>
              </w:rPr>
            </w:pPr>
            <w:r>
              <w:rPr>
                <w:rFonts w:ascii="Times New Roman" w:cs="Times New Roman" w:eastAsia="Times New Roman" w:hAnsi="Times New Roman"/>
                <w:sz w:val="20"/>
                <w:szCs w:val="20"/>
                <w:b w:val="1"/>
                <w:bCs w:val="1"/>
                <w:color w:val="auto"/>
              </w:rPr>
              <w:t>Number of RSUs</w:t>
            </w:r>
          </w:p>
        </w:tc>
        <w:tc>
          <w:tcPr>
            <w:tcW w:w="100" w:type="dxa"/>
            <w:vAlign w:val="bottom"/>
            <w:tcBorders>
              <w:bottom w:val="single" w:sz="8" w:color="DDDDDD"/>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1740" w:type="dxa"/>
            <w:vAlign w:val="bottom"/>
            <w:tcBorders>
              <w:bottom w:val="single" w:sz="8" w:color="auto"/>
            </w:tcBorders>
          </w:tcPr>
          <w:p>
            <w:pPr>
              <w:jc w:val="center"/>
              <w:ind w:right="59"/>
              <w:spacing w:after="0"/>
              <w:rPr>
                <w:sz w:val="20"/>
                <w:szCs w:val="20"/>
                <w:color w:val="auto"/>
              </w:rPr>
            </w:pPr>
            <w:r>
              <w:rPr>
                <w:rFonts w:ascii="Times New Roman" w:cs="Times New Roman" w:eastAsia="Times New Roman" w:hAnsi="Times New Roman"/>
                <w:sz w:val="20"/>
                <w:szCs w:val="20"/>
                <w:b w:val="1"/>
                <w:bCs w:val="1"/>
                <w:color w:val="auto"/>
                <w:w w:val="99"/>
              </w:rPr>
              <w:t>Value</w:t>
            </w:r>
          </w:p>
        </w:tc>
      </w:tr>
      <w:tr>
        <w:trPr>
          <w:trHeight w:val="295"/>
        </w:trPr>
        <w:tc>
          <w:tcPr>
            <w:tcW w:w="6240" w:type="dxa"/>
            <w:vAlign w:val="bottom"/>
            <w:shd w:val="clear" w:color="auto" w:fill="DDDDDD"/>
          </w:tcPr>
          <w:p>
            <w:pPr>
              <w:ind w:left="40"/>
              <w:spacing w:after="0"/>
              <w:rPr>
                <w:sz w:val="20"/>
                <w:szCs w:val="20"/>
                <w:color w:val="auto"/>
              </w:rPr>
            </w:pPr>
            <w:r>
              <w:rPr>
                <w:rFonts w:ascii="Times New Roman" w:cs="Times New Roman" w:eastAsia="Times New Roman" w:hAnsi="Times New Roman"/>
                <w:sz w:val="20"/>
                <w:szCs w:val="20"/>
                <w:color w:val="auto"/>
              </w:rPr>
              <w:t>Non-vested at December 31, 2022</w:t>
            </w:r>
          </w:p>
        </w:tc>
        <w:tc>
          <w:tcPr>
            <w:tcW w:w="80" w:type="dxa"/>
            <w:vAlign w:val="bottom"/>
            <w:shd w:val="clear" w:color="auto" w:fill="DDDDDD"/>
          </w:tcPr>
          <w:p>
            <w:pPr>
              <w:spacing w:after="0"/>
              <w:rPr>
                <w:sz w:val="24"/>
                <w:szCs w:val="24"/>
                <w:color w:val="auto"/>
              </w:rPr>
            </w:pPr>
          </w:p>
        </w:tc>
        <w:tc>
          <w:tcPr>
            <w:tcW w:w="20" w:type="dxa"/>
            <w:vAlign w:val="bottom"/>
            <w:shd w:val="clear" w:color="auto" w:fill="DDDDDD"/>
          </w:tcPr>
          <w:p>
            <w:pPr>
              <w:spacing w:after="0"/>
              <w:rPr>
                <w:sz w:val="24"/>
                <w:szCs w:val="24"/>
                <w:color w:val="auto"/>
              </w:rPr>
            </w:pPr>
          </w:p>
        </w:tc>
        <w:tc>
          <w:tcPr>
            <w:tcW w:w="1900" w:type="dxa"/>
            <w:vAlign w:val="bottom"/>
            <w:shd w:val="clear" w:color="auto" w:fill="DDDDDD"/>
          </w:tcPr>
          <w:p>
            <w:pPr>
              <w:jc w:val="right"/>
              <w:spacing w:after="0"/>
              <w:rPr>
                <w:sz w:val="20"/>
                <w:szCs w:val="20"/>
                <w:color w:val="auto"/>
              </w:rPr>
            </w:pPr>
            <w:r>
              <w:rPr>
                <w:rFonts w:ascii="Times New Roman" w:cs="Times New Roman" w:eastAsia="Times New Roman" w:hAnsi="Times New Roman"/>
                <w:sz w:val="20"/>
                <w:szCs w:val="20"/>
                <w:color w:val="auto"/>
              </w:rPr>
              <w:t>6,269,868</w:t>
            </w:r>
          </w:p>
        </w:tc>
        <w:tc>
          <w:tcPr>
            <w:tcW w:w="100" w:type="dxa"/>
            <w:vAlign w:val="bottom"/>
            <w:shd w:val="clear" w:color="auto" w:fill="DDDDDD"/>
          </w:tcPr>
          <w:p>
            <w:pPr>
              <w:spacing w:after="0"/>
              <w:rPr>
                <w:sz w:val="24"/>
                <w:szCs w:val="24"/>
                <w:color w:val="auto"/>
              </w:rPr>
            </w:pPr>
          </w:p>
        </w:tc>
        <w:tc>
          <w:tcPr>
            <w:tcW w:w="180" w:type="dxa"/>
            <w:vAlign w:val="bottom"/>
            <w:shd w:val="clear" w:color="auto" w:fill="DDDDDD"/>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1740" w:type="dxa"/>
            <w:vAlign w:val="bottom"/>
            <w:shd w:val="clear" w:color="auto" w:fill="DDDDDD"/>
          </w:tcPr>
          <w:p>
            <w:pPr>
              <w:jc w:val="right"/>
              <w:spacing w:after="0"/>
              <w:rPr>
                <w:sz w:val="20"/>
                <w:szCs w:val="20"/>
                <w:color w:val="auto"/>
              </w:rPr>
            </w:pPr>
            <w:r>
              <w:rPr>
                <w:rFonts w:ascii="Times New Roman" w:cs="Times New Roman" w:eastAsia="Times New Roman" w:hAnsi="Times New Roman"/>
                <w:sz w:val="20"/>
                <w:szCs w:val="20"/>
                <w:color w:val="auto"/>
              </w:rPr>
              <w:t>7.07</w:t>
            </w:r>
          </w:p>
        </w:tc>
      </w:tr>
      <w:tr>
        <w:trPr>
          <w:trHeight w:val="307"/>
        </w:trPr>
        <w:tc>
          <w:tcPr>
            <w:tcW w:w="6240" w:type="dxa"/>
            <w:vAlign w:val="bottom"/>
          </w:tcPr>
          <w:p>
            <w:pPr>
              <w:ind w:left="40"/>
              <w:spacing w:after="0"/>
              <w:rPr>
                <w:sz w:val="20"/>
                <w:szCs w:val="20"/>
                <w:color w:val="auto"/>
              </w:rPr>
            </w:pPr>
            <w:r>
              <w:rPr>
                <w:rFonts w:ascii="Times New Roman" w:cs="Times New Roman" w:eastAsia="Times New Roman" w:hAnsi="Times New Roman"/>
                <w:sz w:val="20"/>
                <w:szCs w:val="20"/>
                <w:color w:val="auto"/>
              </w:rPr>
              <w:t>Granted</w:t>
            </w:r>
          </w:p>
        </w:tc>
        <w:tc>
          <w:tcPr>
            <w:tcW w:w="2000" w:type="dxa"/>
            <w:vAlign w:val="bottom"/>
            <w:gridSpan w:val="3"/>
          </w:tcPr>
          <w:p>
            <w:pPr>
              <w:jc w:val="right"/>
              <w:spacing w:after="0"/>
              <w:rPr>
                <w:sz w:val="20"/>
                <w:szCs w:val="20"/>
                <w:color w:val="auto"/>
              </w:rPr>
            </w:pPr>
            <w:r>
              <w:rPr>
                <w:rFonts w:ascii="Times New Roman" w:cs="Times New Roman" w:eastAsia="Times New Roman" w:hAnsi="Times New Roman"/>
                <w:sz w:val="20"/>
                <w:szCs w:val="20"/>
                <w:color w:val="auto"/>
              </w:rPr>
              <w:t>6,634,013</w:t>
            </w: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7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1.03</w:t>
            </w:r>
          </w:p>
        </w:tc>
      </w:tr>
      <w:tr>
        <w:trPr>
          <w:trHeight w:val="319"/>
        </w:trPr>
        <w:tc>
          <w:tcPr>
            <w:tcW w:w="6240" w:type="dxa"/>
            <w:vAlign w:val="bottom"/>
            <w:shd w:val="clear" w:color="auto" w:fill="DDDDDD"/>
          </w:tcPr>
          <w:p>
            <w:pPr>
              <w:ind w:left="40"/>
              <w:spacing w:after="0"/>
              <w:rPr>
                <w:sz w:val="20"/>
                <w:szCs w:val="20"/>
                <w:color w:val="auto"/>
              </w:rPr>
            </w:pPr>
            <w:r>
              <w:rPr>
                <w:rFonts w:ascii="Times New Roman" w:cs="Times New Roman" w:eastAsia="Times New Roman" w:hAnsi="Times New Roman"/>
                <w:sz w:val="20"/>
                <w:szCs w:val="20"/>
                <w:color w:val="auto"/>
              </w:rPr>
              <w:t>Vested</w:t>
            </w:r>
          </w:p>
        </w:tc>
        <w:tc>
          <w:tcPr>
            <w:tcW w:w="80" w:type="dxa"/>
            <w:vAlign w:val="bottom"/>
            <w:shd w:val="clear" w:color="auto" w:fill="DDDDDD"/>
          </w:tcPr>
          <w:p>
            <w:pPr>
              <w:spacing w:after="0"/>
              <w:rPr>
                <w:sz w:val="24"/>
                <w:szCs w:val="24"/>
                <w:color w:val="auto"/>
              </w:rPr>
            </w:pPr>
          </w:p>
        </w:tc>
        <w:tc>
          <w:tcPr>
            <w:tcW w:w="20" w:type="dxa"/>
            <w:vAlign w:val="bottom"/>
            <w:shd w:val="clear" w:color="auto" w:fill="DDDDDD"/>
          </w:tcPr>
          <w:p>
            <w:pPr>
              <w:spacing w:after="0"/>
              <w:rPr>
                <w:sz w:val="24"/>
                <w:szCs w:val="24"/>
                <w:color w:val="auto"/>
              </w:rPr>
            </w:pPr>
          </w:p>
        </w:tc>
        <w:tc>
          <w:tcPr>
            <w:tcW w:w="1900" w:type="dxa"/>
            <w:vAlign w:val="bottom"/>
            <w:shd w:val="clear" w:color="auto" w:fill="DDDDDD"/>
          </w:tcPr>
          <w:p>
            <w:pPr>
              <w:jc w:val="right"/>
              <w:spacing w:after="0"/>
              <w:rPr>
                <w:sz w:val="20"/>
                <w:szCs w:val="20"/>
                <w:color w:val="auto"/>
              </w:rPr>
            </w:pPr>
            <w:r>
              <w:rPr>
                <w:rFonts w:ascii="Times New Roman" w:cs="Times New Roman" w:eastAsia="Times New Roman" w:hAnsi="Times New Roman"/>
                <w:sz w:val="20"/>
                <w:szCs w:val="20"/>
                <w:color w:val="auto"/>
              </w:rPr>
              <w:t>(2,245,844)</w:t>
            </w:r>
          </w:p>
        </w:tc>
        <w:tc>
          <w:tcPr>
            <w:tcW w:w="100" w:type="dxa"/>
            <w:vAlign w:val="bottom"/>
            <w:shd w:val="clear" w:color="auto" w:fill="DDDDDD"/>
          </w:tcPr>
          <w:p>
            <w:pPr>
              <w:spacing w:after="0"/>
              <w:rPr>
                <w:sz w:val="24"/>
                <w:szCs w:val="24"/>
                <w:color w:val="auto"/>
              </w:rPr>
            </w:pPr>
          </w:p>
        </w:tc>
        <w:tc>
          <w:tcPr>
            <w:tcW w:w="180" w:type="dxa"/>
            <w:vAlign w:val="bottom"/>
            <w:shd w:val="clear" w:color="auto" w:fill="DDDDDD"/>
          </w:tcPr>
          <w:p>
            <w:pPr>
              <w:spacing w:after="0"/>
              <w:rPr>
                <w:sz w:val="24"/>
                <w:szCs w:val="24"/>
                <w:color w:val="auto"/>
              </w:rPr>
            </w:pPr>
          </w:p>
        </w:tc>
        <w:tc>
          <w:tcPr>
            <w:tcW w:w="1740" w:type="dxa"/>
            <w:vAlign w:val="bottom"/>
            <w:shd w:val="clear" w:color="auto" w:fill="DDDDDD"/>
          </w:tcPr>
          <w:p>
            <w:pPr>
              <w:jc w:val="right"/>
              <w:spacing w:after="0"/>
              <w:rPr>
                <w:sz w:val="20"/>
                <w:szCs w:val="20"/>
                <w:color w:val="auto"/>
              </w:rPr>
            </w:pPr>
            <w:r>
              <w:rPr>
                <w:rFonts w:ascii="Times New Roman" w:cs="Times New Roman" w:eastAsia="Times New Roman" w:hAnsi="Times New Roman"/>
                <w:sz w:val="20"/>
                <w:szCs w:val="20"/>
                <w:color w:val="auto"/>
              </w:rPr>
              <w:t>6.66</w:t>
            </w:r>
          </w:p>
        </w:tc>
      </w:tr>
      <w:tr>
        <w:trPr>
          <w:trHeight w:val="304"/>
        </w:trPr>
        <w:tc>
          <w:tcPr>
            <w:tcW w:w="6240" w:type="dxa"/>
            <w:vAlign w:val="bottom"/>
          </w:tcPr>
          <w:p>
            <w:pPr>
              <w:ind w:left="40"/>
              <w:spacing w:after="0"/>
              <w:rPr>
                <w:sz w:val="20"/>
                <w:szCs w:val="20"/>
                <w:color w:val="auto"/>
              </w:rPr>
            </w:pPr>
            <w:r>
              <w:rPr>
                <w:rFonts w:ascii="Times New Roman" w:cs="Times New Roman" w:eastAsia="Times New Roman" w:hAnsi="Times New Roman"/>
                <w:sz w:val="20"/>
                <w:szCs w:val="20"/>
                <w:color w:val="auto"/>
              </w:rPr>
              <w:t>Cancelled/Forfeited/Expired</w:t>
            </w:r>
          </w:p>
        </w:tc>
        <w:tc>
          <w:tcPr>
            <w:tcW w:w="2000" w:type="dxa"/>
            <w:vAlign w:val="bottom"/>
            <w:gridSpan w:val="3"/>
          </w:tcPr>
          <w:p>
            <w:pPr>
              <w:jc w:val="right"/>
              <w:spacing w:after="0"/>
              <w:rPr>
                <w:sz w:val="20"/>
                <w:szCs w:val="20"/>
                <w:color w:val="auto"/>
              </w:rPr>
            </w:pPr>
            <w:r>
              <w:rPr>
                <w:rFonts w:ascii="Times New Roman" w:cs="Times New Roman" w:eastAsia="Times New Roman" w:hAnsi="Times New Roman"/>
                <w:sz w:val="20"/>
                <w:szCs w:val="20"/>
                <w:color w:val="auto"/>
              </w:rPr>
              <w:t>(2,974,439)</w:t>
            </w: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7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4.53</w:t>
            </w:r>
          </w:p>
        </w:tc>
      </w:tr>
      <w:tr>
        <w:trPr>
          <w:trHeight w:val="302"/>
        </w:trPr>
        <w:tc>
          <w:tcPr>
            <w:tcW w:w="6240" w:type="dxa"/>
            <w:vAlign w:val="bottom"/>
            <w:tcBorders>
              <w:top w:val="single" w:sz="8" w:color="DDDDDD"/>
            </w:tcBorders>
            <w:shd w:val="clear" w:color="auto" w:fill="DDDDDD"/>
          </w:tcPr>
          <w:p>
            <w:pPr>
              <w:ind w:left="40"/>
              <w:spacing w:after="0"/>
              <w:rPr>
                <w:sz w:val="20"/>
                <w:szCs w:val="20"/>
                <w:color w:val="auto"/>
              </w:rPr>
            </w:pPr>
            <w:r>
              <w:rPr>
                <w:rFonts w:ascii="Times New Roman" w:cs="Times New Roman" w:eastAsia="Times New Roman" w:hAnsi="Times New Roman"/>
                <w:sz w:val="20"/>
                <w:szCs w:val="20"/>
                <w:color w:val="auto"/>
              </w:rPr>
              <w:t>Non-vested at December 31, 2023</w:t>
            </w:r>
          </w:p>
        </w:tc>
        <w:tc>
          <w:tcPr>
            <w:tcW w:w="80" w:type="dxa"/>
            <w:vAlign w:val="bottom"/>
            <w:tcBorders>
              <w:top w:val="single" w:sz="8" w:color="DDDDDD"/>
            </w:tcBorders>
            <w:shd w:val="clear" w:color="auto" w:fill="DDDDDD"/>
          </w:tcPr>
          <w:p>
            <w:pPr>
              <w:spacing w:after="0"/>
              <w:rPr>
                <w:sz w:val="24"/>
                <w:szCs w:val="24"/>
                <w:color w:val="auto"/>
              </w:rPr>
            </w:pPr>
          </w:p>
        </w:tc>
        <w:tc>
          <w:tcPr>
            <w:tcW w:w="20" w:type="dxa"/>
            <w:vAlign w:val="bottom"/>
            <w:tcBorders>
              <w:top w:val="single" w:sz="8" w:color="DDDDDD"/>
            </w:tcBorders>
            <w:shd w:val="clear" w:color="auto" w:fill="DDDDDD"/>
          </w:tcPr>
          <w:p>
            <w:pPr>
              <w:spacing w:after="0"/>
              <w:rPr>
                <w:sz w:val="24"/>
                <w:szCs w:val="24"/>
                <w:color w:val="auto"/>
              </w:rPr>
            </w:pPr>
          </w:p>
        </w:tc>
        <w:tc>
          <w:tcPr>
            <w:tcW w:w="1900" w:type="dxa"/>
            <w:vAlign w:val="bottom"/>
            <w:tcBorders>
              <w:top w:val="single" w:sz="8" w:color="auto"/>
            </w:tcBorders>
            <w:shd w:val="clear" w:color="auto" w:fill="DDDDDD"/>
          </w:tcPr>
          <w:p>
            <w:pPr>
              <w:jc w:val="right"/>
              <w:spacing w:after="0"/>
              <w:rPr>
                <w:sz w:val="20"/>
                <w:szCs w:val="20"/>
                <w:color w:val="auto"/>
              </w:rPr>
            </w:pPr>
            <w:r>
              <w:rPr>
                <w:rFonts w:ascii="Times New Roman" w:cs="Times New Roman" w:eastAsia="Times New Roman" w:hAnsi="Times New Roman"/>
                <w:sz w:val="20"/>
                <w:szCs w:val="20"/>
                <w:color w:val="auto"/>
              </w:rPr>
              <w:t>7,683,598</w:t>
            </w:r>
          </w:p>
        </w:tc>
        <w:tc>
          <w:tcPr>
            <w:tcW w:w="100" w:type="dxa"/>
            <w:vAlign w:val="bottom"/>
            <w:tcBorders>
              <w:top w:val="single" w:sz="8" w:color="DDDDDD"/>
            </w:tcBorders>
            <w:shd w:val="clear" w:color="auto" w:fill="DDDDDD"/>
          </w:tcPr>
          <w:p>
            <w:pPr>
              <w:spacing w:after="0"/>
              <w:rPr>
                <w:sz w:val="24"/>
                <w:szCs w:val="24"/>
                <w:color w:val="auto"/>
              </w:rPr>
            </w:pPr>
          </w:p>
        </w:tc>
        <w:tc>
          <w:tcPr>
            <w:tcW w:w="180" w:type="dxa"/>
            <w:vAlign w:val="bottom"/>
            <w:tcBorders>
              <w:top w:val="single" w:sz="8" w:color="DDDDDD"/>
            </w:tcBorders>
            <w:shd w:val="clear" w:color="auto" w:fill="DDDDDD"/>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1740" w:type="dxa"/>
            <w:vAlign w:val="bottom"/>
            <w:tcBorders>
              <w:top w:val="single" w:sz="8" w:color="DDDDDD"/>
            </w:tcBorders>
            <w:shd w:val="clear" w:color="auto" w:fill="DDDDDD"/>
          </w:tcPr>
          <w:p>
            <w:pPr>
              <w:jc w:val="right"/>
              <w:spacing w:after="0"/>
              <w:rPr>
                <w:sz w:val="20"/>
                <w:szCs w:val="20"/>
                <w:color w:val="auto"/>
              </w:rPr>
            </w:pPr>
            <w:r>
              <w:rPr>
                <w:rFonts w:ascii="Times New Roman" w:cs="Times New Roman" w:eastAsia="Times New Roman" w:hAnsi="Times New Roman"/>
                <w:sz w:val="20"/>
                <w:szCs w:val="20"/>
                <w:color w:val="auto"/>
              </w:rPr>
              <w:t>2.96</w:t>
            </w:r>
          </w:p>
        </w:tc>
      </w:tr>
      <w:tr>
        <w:trPr>
          <w:trHeight w:val="20"/>
        </w:trPr>
        <w:tc>
          <w:tcPr>
            <w:tcW w:w="62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9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740" w:type="dxa"/>
            <w:vAlign w:val="bottom"/>
          </w:tcPr>
          <w:p>
            <w:pPr>
              <w:spacing w:after="0" w:line="20" w:lineRule="exact"/>
              <w:rPr>
                <w:sz w:val="1"/>
                <w:szCs w:val="1"/>
                <w:color w:val="auto"/>
              </w:rPr>
            </w:pPr>
          </w:p>
        </w:tc>
      </w:tr>
      <w:tr>
        <w:trPr>
          <w:trHeight w:val="20"/>
        </w:trPr>
        <w:tc>
          <w:tcPr>
            <w:tcW w:w="62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9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740" w:type="dxa"/>
            <w:vAlign w:val="bottom"/>
          </w:tcPr>
          <w:p>
            <w:pPr>
              <w:spacing w:after="0" w:line="20" w:lineRule="exact"/>
              <w:rPr>
                <w:sz w:val="1"/>
                <w:szCs w:val="1"/>
                <w:color w:val="auto"/>
              </w:rPr>
            </w:pPr>
          </w:p>
        </w:tc>
      </w:tr>
    </w:tbl>
    <w:p>
      <w:pPr>
        <w:spacing w:after="0" w:line="100" w:lineRule="exact"/>
        <w:rPr>
          <w:sz w:val="20"/>
          <w:szCs w:val="20"/>
          <w:color w:val="auto"/>
        </w:rPr>
      </w:pPr>
    </w:p>
    <w:p>
      <w:pPr>
        <w:jc w:val="both"/>
        <w:spacing w:after="0" w:line="297" w:lineRule="auto"/>
        <w:rPr>
          <w:sz w:val="20"/>
          <w:szCs w:val="20"/>
          <w:color w:val="auto"/>
        </w:rPr>
      </w:pPr>
      <w:r>
        <w:rPr>
          <w:rFonts w:ascii="Times New Roman" w:cs="Times New Roman" w:eastAsia="Times New Roman" w:hAnsi="Times New Roman"/>
          <w:sz w:val="20"/>
          <w:szCs w:val="20"/>
          <w:color w:val="auto"/>
        </w:rPr>
        <w:t>As of December 31, 2023, unrecognized stock-based compensation expense for non-vested RSUs was $20.6 million, which is expected to be recognized over a weighted-average period of 1.8 years. For the years ended December 31, 2023, 2022 and 2021, the Company recorded stock-based compensation expense for the RSUs of $13.1 million, $21.2 million and $8.0 million, respectively. Stock-based compensation recognized during the year ended December 31, 2022 included a $0.6 million expense related to an award modification as a result of the departure of the Company’s former chief executive officer.</w:t>
      </w:r>
    </w:p>
    <w:p>
      <w:pPr>
        <w:spacing w:after="0" w:line="5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F-32</w:t>
      </w:r>
    </w:p>
    <w:p>
      <w:pPr>
        <w:sectPr>
          <w:pgSz w:w="12240" w:h="15840" w:orient="portrait"/>
          <w:cols w:equalWidth="0" w:num="1">
            <w:col w:w="10260"/>
          </w:cols>
          <w:pgMar w:left="1000" w:top="731" w:right="980" w:bottom="222" w:gutter="0" w:footer="0" w:header="0"/>
        </w:sectPr>
      </w:pPr>
    </w:p>
    <w:bookmarkStart w:id="152" w:name="page153"/>
    <w:bookmarkEnd w:id="152"/>
    <w:p>
      <w:pPr>
        <w:jc w:val="center"/>
        <w:ind w:right="20"/>
        <w:spacing w:after="0"/>
        <w:rPr>
          <w:sz w:val="20"/>
          <w:szCs w:val="20"/>
          <w:color w:val="auto"/>
        </w:rPr>
      </w:pPr>
      <w:r>
        <w:rPr>
          <w:rFonts w:ascii="Times New Roman" w:cs="Times New Roman" w:eastAsia="Times New Roman" w:hAnsi="Times New Roman"/>
          <w:sz w:val="20"/>
          <w:szCs w:val="20"/>
          <w:b w:val="1"/>
          <w:bCs w:val="1"/>
          <w:color w:val="auto"/>
        </w:rPr>
        <w:t>WM TECHNOLOGY, INC. AND SUBSIDIARIES</w:t>
      </w:r>
    </w:p>
    <w:p>
      <w:pPr>
        <w:spacing w:after="0" w:line="4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NOTES TO CONSOLIDATED FINANCIAL STATEMENTS</w:t>
      </w:r>
    </w:p>
    <w:p>
      <w:pPr>
        <w:spacing w:after="0" w:line="286" w:lineRule="exact"/>
        <w:rPr>
          <w:sz w:val="20"/>
          <w:szCs w:val="20"/>
          <w:color w:val="auto"/>
        </w:rPr>
      </w:pPr>
    </w:p>
    <w:p>
      <w:pPr>
        <w:jc w:val="both"/>
        <w:spacing w:after="0" w:line="297" w:lineRule="auto"/>
        <w:rPr>
          <w:sz w:val="20"/>
          <w:szCs w:val="20"/>
          <w:color w:val="auto"/>
        </w:rPr>
      </w:pPr>
      <w:r>
        <w:rPr>
          <w:rFonts w:ascii="Times New Roman" w:cs="Times New Roman" w:eastAsia="Times New Roman" w:hAnsi="Times New Roman"/>
          <w:sz w:val="20"/>
          <w:szCs w:val="20"/>
          <w:color w:val="auto"/>
        </w:rPr>
        <w:t>The Company grants performance-based restricted stock units (“PRSUs”) with performance and service-based vesting conditions. The level of achievement of such goals may cause the actual number of units that ultimately vest to range from 0% to 200% of the original units granted. The Company recognizes expense ratably over the vesting period for the PRSUs when it is probable that the performance criteria specified will be achieved. The fair value is equal to the market price of the Company’s common stock on the date of grant.</w:t>
      </w:r>
    </w:p>
    <w:p>
      <w:pPr>
        <w:spacing w:after="0" w:line="82"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A summary of the PRSU activity for the year ended December 31, 2023 is as follows:</w:t>
      </w: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62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9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920" w:type="dxa"/>
            <w:vAlign w:val="bottom"/>
          </w:tcPr>
          <w:p>
            <w:pPr>
              <w:jc w:val="center"/>
              <w:spacing w:after="0"/>
              <w:rPr>
                <w:sz w:val="20"/>
                <w:szCs w:val="20"/>
                <w:color w:val="auto"/>
              </w:rPr>
            </w:pPr>
            <w:r>
              <w:rPr>
                <w:rFonts w:ascii="Times New Roman" w:cs="Times New Roman" w:eastAsia="Times New Roman" w:hAnsi="Times New Roman"/>
                <w:sz w:val="20"/>
                <w:szCs w:val="20"/>
                <w:b w:val="1"/>
                <w:bCs w:val="1"/>
                <w:color w:val="auto"/>
                <w:w w:val="98"/>
              </w:rPr>
              <w:t>Weighted-average</w:t>
            </w:r>
          </w:p>
        </w:tc>
        <w:tc>
          <w:tcPr>
            <w:tcW w:w="0" w:type="dxa"/>
            <w:vAlign w:val="bottom"/>
          </w:tcPr>
          <w:p>
            <w:pPr>
              <w:spacing w:after="0"/>
              <w:rPr>
                <w:sz w:val="1"/>
                <w:szCs w:val="1"/>
                <w:color w:val="auto"/>
              </w:rPr>
            </w:pPr>
          </w:p>
        </w:tc>
      </w:tr>
      <w:tr>
        <w:trPr>
          <w:trHeight w:val="230"/>
        </w:trPr>
        <w:tc>
          <w:tcPr>
            <w:tcW w:w="62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900" w:type="dxa"/>
            <w:vAlign w:val="bottom"/>
            <w:vMerge w:val="restart"/>
          </w:tcPr>
          <w:p>
            <w:pPr>
              <w:jc w:val="right"/>
              <w:ind w:right="59"/>
              <w:spacing w:after="0"/>
              <w:rPr>
                <w:sz w:val="20"/>
                <w:szCs w:val="20"/>
                <w:color w:val="auto"/>
              </w:rPr>
            </w:pPr>
            <w:r>
              <w:rPr>
                <w:rFonts w:ascii="Times New Roman" w:cs="Times New Roman" w:eastAsia="Times New Roman" w:hAnsi="Times New Roman"/>
                <w:sz w:val="20"/>
                <w:szCs w:val="20"/>
                <w:b w:val="1"/>
                <w:bCs w:val="1"/>
                <w:color w:val="auto"/>
              </w:rPr>
              <w:t>Number of PRSUs</w:t>
            </w:r>
          </w:p>
        </w:tc>
        <w:tc>
          <w:tcPr>
            <w:tcW w:w="100" w:type="dxa"/>
            <w:vAlign w:val="bottom"/>
          </w:tcPr>
          <w:p>
            <w:pPr>
              <w:spacing w:after="0"/>
              <w:rPr>
                <w:sz w:val="20"/>
                <w:szCs w:val="20"/>
                <w:color w:val="auto"/>
              </w:rPr>
            </w:pPr>
          </w:p>
        </w:tc>
        <w:tc>
          <w:tcPr>
            <w:tcW w:w="1920" w:type="dxa"/>
            <w:vAlign w:val="bottom"/>
          </w:tcPr>
          <w:p>
            <w:pPr>
              <w:jc w:val="center"/>
              <w:spacing w:after="0"/>
              <w:rPr>
                <w:sz w:val="20"/>
                <w:szCs w:val="20"/>
                <w:color w:val="auto"/>
              </w:rPr>
            </w:pPr>
            <w:r>
              <w:rPr>
                <w:rFonts w:ascii="Times New Roman" w:cs="Times New Roman" w:eastAsia="Times New Roman" w:hAnsi="Times New Roman"/>
                <w:sz w:val="20"/>
                <w:szCs w:val="20"/>
                <w:b w:val="1"/>
                <w:bCs w:val="1"/>
                <w:color w:val="auto"/>
              </w:rPr>
              <w:t>Grant Date Fair</w:t>
            </w:r>
          </w:p>
        </w:tc>
        <w:tc>
          <w:tcPr>
            <w:tcW w:w="0" w:type="dxa"/>
            <w:vAlign w:val="bottom"/>
          </w:tcPr>
          <w:p>
            <w:pPr>
              <w:spacing w:after="0"/>
              <w:rPr>
                <w:sz w:val="1"/>
                <w:szCs w:val="1"/>
                <w:color w:val="auto"/>
              </w:rPr>
            </w:pPr>
          </w:p>
        </w:tc>
      </w:tr>
      <w:tr>
        <w:trPr>
          <w:trHeight w:val="281"/>
        </w:trPr>
        <w:tc>
          <w:tcPr>
            <w:tcW w:w="6240" w:type="dxa"/>
            <w:vAlign w:val="bottom"/>
            <w:tcBorders>
              <w:bottom w:val="single" w:sz="8" w:color="DDDDDD"/>
            </w:tcBorders>
          </w:tcPr>
          <w:p>
            <w:pPr>
              <w:spacing w:after="0"/>
              <w:rPr>
                <w:sz w:val="24"/>
                <w:szCs w:val="24"/>
                <w:color w:val="auto"/>
              </w:rPr>
            </w:pPr>
          </w:p>
        </w:tc>
        <w:tc>
          <w:tcPr>
            <w:tcW w:w="80" w:type="dxa"/>
            <w:vAlign w:val="bottom"/>
            <w:tcBorders>
              <w:bottom w:val="single" w:sz="8" w:color="DDDDDD"/>
            </w:tcBorders>
          </w:tcPr>
          <w:p>
            <w:pPr>
              <w:spacing w:after="0"/>
              <w:rPr>
                <w:sz w:val="24"/>
                <w:szCs w:val="24"/>
                <w:color w:val="auto"/>
              </w:rPr>
            </w:pPr>
          </w:p>
        </w:tc>
        <w:tc>
          <w:tcPr>
            <w:tcW w:w="20" w:type="dxa"/>
            <w:vAlign w:val="bottom"/>
            <w:tcBorders>
              <w:bottom w:val="single" w:sz="8" w:color="DDDDDD"/>
            </w:tcBorders>
          </w:tcPr>
          <w:p>
            <w:pPr>
              <w:spacing w:after="0"/>
              <w:rPr>
                <w:sz w:val="24"/>
                <w:szCs w:val="24"/>
                <w:color w:val="auto"/>
              </w:rPr>
            </w:pPr>
          </w:p>
        </w:tc>
        <w:tc>
          <w:tcPr>
            <w:tcW w:w="1900" w:type="dxa"/>
            <w:vAlign w:val="bottom"/>
            <w:tcBorders>
              <w:bottom w:val="single" w:sz="8" w:color="auto"/>
            </w:tcBorders>
            <w:vMerge w:val="continue"/>
          </w:tcPr>
          <w:p>
            <w:pPr>
              <w:spacing w:after="0"/>
              <w:rPr>
                <w:sz w:val="24"/>
                <w:szCs w:val="24"/>
                <w:color w:val="auto"/>
              </w:rPr>
            </w:pPr>
          </w:p>
        </w:tc>
        <w:tc>
          <w:tcPr>
            <w:tcW w:w="100" w:type="dxa"/>
            <w:vAlign w:val="bottom"/>
            <w:tcBorders>
              <w:bottom w:val="single" w:sz="8" w:color="DDDDDD"/>
            </w:tcBorders>
          </w:tcPr>
          <w:p>
            <w:pPr>
              <w:spacing w:after="0"/>
              <w:rPr>
                <w:sz w:val="24"/>
                <w:szCs w:val="24"/>
                <w:color w:val="auto"/>
              </w:rPr>
            </w:pPr>
          </w:p>
        </w:tc>
        <w:tc>
          <w:tcPr>
            <w:tcW w:w="19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20"/>
                <w:szCs w:val="20"/>
                <w:b w:val="1"/>
                <w:bCs w:val="1"/>
                <w:color w:val="auto"/>
                <w:w w:val="99"/>
              </w:rPr>
              <w:t>Value</w:t>
            </w:r>
          </w:p>
        </w:tc>
        <w:tc>
          <w:tcPr>
            <w:tcW w:w="0" w:type="dxa"/>
            <w:vAlign w:val="bottom"/>
          </w:tcPr>
          <w:p>
            <w:pPr>
              <w:spacing w:after="0"/>
              <w:rPr>
                <w:sz w:val="1"/>
                <w:szCs w:val="1"/>
                <w:color w:val="auto"/>
              </w:rPr>
            </w:pPr>
          </w:p>
        </w:tc>
      </w:tr>
      <w:tr>
        <w:trPr>
          <w:trHeight w:val="293"/>
        </w:trPr>
        <w:tc>
          <w:tcPr>
            <w:tcW w:w="6240" w:type="dxa"/>
            <w:vAlign w:val="bottom"/>
            <w:shd w:val="clear" w:color="auto" w:fill="DDDDDD"/>
          </w:tcPr>
          <w:p>
            <w:pPr>
              <w:ind w:left="40"/>
              <w:spacing w:after="0"/>
              <w:rPr>
                <w:sz w:val="20"/>
                <w:szCs w:val="20"/>
                <w:color w:val="auto"/>
              </w:rPr>
            </w:pPr>
            <w:r>
              <w:rPr>
                <w:rFonts w:ascii="Times New Roman" w:cs="Times New Roman" w:eastAsia="Times New Roman" w:hAnsi="Times New Roman"/>
                <w:sz w:val="20"/>
                <w:szCs w:val="20"/>
                <w:color w:val="auto"/>
              </w:rPr>
              <w:t>Non-vested at December 31, 2022</w:t>
            </w:r>
          </w:p>
        </w:tc>
        <w:tc>
          <w:tcPr>
            <w:tcW w:w="80" w:type="dxa"/>
            <w:vAlign w:val="bottom"/>
            <w:shd w:val="clear" w:color="auto" w:fill="DDDDDD"/>
          </w:tcPr>
          <w:p>
            <w:pPr>
              <w:spacing w:after="0"/>
              <w:rPr>
                <w:sz w:val="24"/>
                <w:szCs w:val="24"/>
                <w:color w:val="auto"/>
              </w:rPr>
            </w:pPr>
          </w:p>
        </w:tc>
        <w:tc>
          <w:tcPr>
            <w:tcW w:w="20" w:type="dxa"/>
            <w:vAlign w:val="bottom"/>
            <w:shd w:val="clear" w:color="auto" w:fill="DDDDDD"/>
          </w:tcPr>
          <w:p>
            <w:pPr>
              <w:spacing w:after="0"/>
              <w:rPr>
                <w:sz w:val="24"/>
                <w:szCs w:val="24"/>
                <w:color w:val="auto"/>
              </w:rPr>
            </w:pPr>
          </w:p>
        </w:tc>
        <w:tc>
          <w:tcPr>
            <w:tcW w:w="1900" w:type="dxa"/>
            <w:vAlign w:val="bottom"/>
            <w:shd w:val="clear" w:color="auto" w:fill="DDDDDD"/>
          </w:tcPr>
          <w:p>
            <w:pPr>
              <w:jc w:val="right"/>
              <w:spacing w:after="0"/>
              <w:rPr>
                <w:sz w:val="20"/>
                <w:szCs w:val="20"/>
                <w:color w:val="auto"/>
              </w:rPr>
            </w:pPr>
            <w:r>
              <w:rPr>
                <w:rFonts w:ascii="Times New Roman" w:cs="Times New Roman" w:eastAsia="Times New Roman" w:hAnsi="Times New Roman"/>
                <w:sz w:val="20"/>
                <w:szCs w:val="20"/>
                <w:color w:val="auto"/>
              </w:rPr>
              <w:t>859,375</w:t>
            </w:r>
          </w:p>
        </w:tc>
        <w:tc>
          <w:tcPr>
            <w:tcW w:w="100" w:type="dxa"/>
            <w:vAlign w:val="bottom"/>
            <w:shd w:val="clear" w:color="auto" w:fill="DDDDDD"/>
          </w:tcPr>
          <w:p>
            <w:pPr>
              <w:spacing w:after="0"/>
              <w:rPr>
                <w:sz w:val="24"/>
                <w:szCs w:val="24"/>
                <w:color w:val="auto"/>
              </w:rPr>
            </w:pPr>
          </w:p>
        </w:tc>
        <w:tc>
          <w:tcPr>
            <w:tcW w:w="1920" w:type="dxa"/>
            <w:vAlign w:val="bottom"/>
            <w:shd w:val="clear" w:color="auto" w:fill="DDDDDD"/>
          </w:tcPr>
          <w:p>
            <w:pPr>
              <w:jc w:val="right"/>
              <w:spacing w:after="0"/>
              <w:rPr>
                <w:sz w:val="20"/>
                <w:szCs w:val="20"/>
                <w:color w:val="auto"/>
              </w:rPr>
            </w:pPr>
            <w:r>
              <w:rPr>
                <w:rFonts w:ascii="Times New Roman" w:cs="Times New Roman" w:eastAsia="Times New Roman" w:hAnsi="Times New Roman"/>
                <w:sz w:val="20"/>
                <w:szCs w:val="20"/>
                <w:color w:val="auto"/>
              </w:rPr>
              <w:t>6.40</w:t>
            </w:r>
          </w:p>
        </w:tc>
        <w:tc>
          <w:tcPr>
            <w:tcW w:w="0" w:type="dxa"/>
            <w:vAlign w:val="bottom"/>
          </w:tcPr>
          <w:p>
            <w:pPr>
              <w:spacing w:after="0"/>
              <w:rPr>
                <w:sz w:val="1"/>
                <w:szCs w:val="1"/>
                <w:color w:val="auto"/>
              </w:rPr>
            </w:pPr>
          </w:p>
        </w:tc>
      </w:tr>
      <w:tr>
        <w:trPr>
          <w:trHeight w:val="307"/>
        </w:trPr>
        <w:tc>
          <w:tcPr>
            <w:tcW w:w="6240" w:type="dxa"/>
            <w:vAlign w:val="bottom"/>
          </w:tcPr>
          <w:p>
            <w:pPr>
              <w:ind w:left="40"/>
              <w:spacing w:after="0"/>
              <w:rPr>
                <w:sz w:val="20"/>
                <w:szCs w:val="20"/>
                <w:color w:val="auto"/>
              </w:rPr>
            </w:pPr>
            <w:r>
              <w:rPr>
                <w:rFonts w:ascii="Times New Roman" w:cs="Times New Roman" w:eastAsia="Times New Roman" w:hAnsi="Times New Roman"/>
                <w:sz w:val="20"/>
                <w:szCs w:val="20"/>
                <w:color w:val="auto"/>
              </w:rPr>
              <w:t>Granted</w:t>
            </w: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9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100" w:type="dxa"/>
            <w:vAlign w:val="bottom"/>
          </w:tcPr>
          <w:p>
            <w:pPr>
              <w:spacing w:after="0"/>
              <w:rPr>
                <w:sz w:val="24"/>
                <w:szCs w:val="24"/>
                <w:color w:val="auto"/>
              </w:rPr>
            </w:pPr>
          </w:p>
        </w:tc>
        <w:tc>
          <w:tcPr>
            <w:tcW w:w="19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0" w:type="dxa"/>
            <w:vAlign w:val="bottom"/>
          </w:tcPr>
          <w:p>
            <w:pPr>
              <w:spacing w:after="0"/>
              <w:rPr>
                <w:sz w:val="1"/>
                <w:szCs w:val="1"/>
                <w:color w:val="auto"/>
              </w:rPr>
            </w:pPr>
          </w:p>
        </w:tc>
      </w:tr>
      <w:tr>
        <w:trPr>
          <w:trHeight w:val="319"/>
        </w:trPr>
        <w:tc>
          <w:tcPr>
            <w:tcW w:w="6240" w:type="dxa"/>
            <w:vAlign w:val="bottom"/>
            <w:shd w:val="clear" w:color="auto" w:fill="DDDDDD"/>
          </w:tcPr>
          <w:p>
            <w:pPr>
              <w:ind w:left="40"/>
              <w:spacing w:after="0"/>
              <w:rPr>
                <w:sz w:val="20"/>
                <w:szCs w:val="20"/>
                <w:color w:val="auto"/>
              </w:rPr>
            </w:pPr>
            <w:r>
              <w:rPr>
                <w:rFonts w:ascii="Times New Roman" w:cs="Times New Roman" w:eastAsia="Times New Roman" w:hAnsi="Times New Roman"/>
                <w:sz w:val="20"/>
                <w:szCs w:val="20"/>
                <w:color w:val="auto"/>
              </w:rPr>
              <w:t>Vested</w:t>
            </w:r>
          </w:p>
        </w:tc>
        <w:tc>
          <w:tcPr>
            <w:tcW w:w="80" w:type="dxa"/>
            <w:vAlign w:val="bottom"/>
            <w:shd w:val="clear" w:color="auto" w:fill="DDDDDD"/>
          </w:tcPr>
          <w:p>
            <w:pPr>
              <w:spacing w:after="0"/>
              <w:rPr>
                <w:sz w:val="24"/>
                <w:szCs w:val="24"/>
                <w:color w:val="auto"/>
              </w:rPr>
            </w:pPr>
          </w:p>
        </w:tc>
        <w:tc>
          <w:tcPr>
            <w:tcW w:w="20" w:type="dxa"/>
            <w:vAlign w:val="bottom"/>
            <w:shd w:val="clear" w:color="auto" w:fill="DDDDDD"/>
          </w:tcPr>
          <w:p>
            <w:pPr>
              <w:spacing w:after="0"/>
              <w:rPr>
                <w:sz w:val="24"/>
                <w:szCs w:val="24"/>
                <w:color w:val="auto"/>
              </w:rPr>
            </w:pPr>
          </w:p>
        </w:tc>
        <w:tc>
          <w:tcPr>
            <w:tcW w:w="1900" w:type="dxa"/>
            <w:vAlign w:val="bottom"/>
            <w:shd w:val="clear" w:color="auto" w:fill="DDDDDD"/>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100" w:type="dxa"/>
            <w:vAlign w:val="bottom"/>
            <w:shd w:val="clear" w:color="auto" w:fill="DDDDDD"/>
          </w:tcPr>
          <w:p>
            <w:pPr>
              <w:spacing w:after="0"/>
              <w:rPr>
                <w:sz w:val="24"/>
                <w:szCs w:val="24"/>
                <w:color w:val="auto"/>
              </w:rPr>
            </w:pPr>
          </w:p>
        </w:tc>
        <w:tc>
          <w:tcPr>
            <w:tcW w:w="1920" w:type="dxa"/>
            <w:vAlign w:val="bottom"/>
            <w:shd w:val="clear" w:color="auto" w:fill="DDDDDD"/>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0" w:type="dxa"/>
            <w:vAlign w:val="bottom"/>
          </w:tcPr>
          <w:p>
            <w:pPr>
              <w:spacing w:after="0"/>
              <w:rPr>
                <w:sz w:val="1"/>
                <w:szCs w:val="1"/>
                <w:color w:val="auto"/>
              </w:rPr>
            </w:pPr>
          </w:p>
        </w:tc>
      </w:tr>
      <w:tr>
        <w:trPr>
          <w:trHeight w:val="311"/>
        </w:trPr>
        <w:tc>
          <w:tcPr>
            <w:tcW w:w="6240" w:type="dxa"/>
            <w:vAlign w:val="bottom"/>
          </w:tcPr>
          <w:p>
            <w:pPr>
              <w:ind w:left="40"/>
              <w:spacing w:after="0"/>
              <w:rPr>
                <w:sz w:val="20"/>
                <w:szCs w:val="20"/>
                <w:color w:val="auto"/>
              </w:rPr>
            </w:pPr>
            <w:r>
              <w:rPr>
                <w:rFonts w:ascii="Times New Roman" w:cs="Times New Roman" w:eastAsia="Times New Roman" w:hAnsi="Times New Roman"/>
                <w:sz w:val="20"/>
                <w:szCs w:val="20"/>
                <w:color w:val="auto"/>
              </w:rPr>
              <w:t>Cancelled/Forfeited/Expired</w:t>
            </w:r>
          </w:p>
        </w:tc>
        <w:tc>
          <w:tcPr>
            <w:tcW w:w="2000" w:type="dxa"/>
            <w:vAlign w:val="bottom"/>
            <w:gridSpan w:val="3"/>
          </w:tcPr>
          <w:p>
            <w:pPr>
              <w:jc w:val="right"/>
              <w:spacing w:after="0"/>
              <w:rPr>
                <w:sz w:val="20"/>
                <w:szCs w:val="20"/>
                <w:color w:val="auto"/>
              </w:rPr>
            </w:pPr>
            <w:r>
              <w:rPr>
                <w:rFonts w:ascii="Times New Roman" w:cs="Times New Roman" w:eastAsia="Times New Roman" w:hAnsi="Times New Roman"/>
                <w:sz w:val="20"/>
                <w:szCs w:val="20"/>
                <w:color w:val="auto"/>
              </w:rPr>
              <w:t>(625,000)</w:t>
            </w:r>
          </w:p>
        </w:tc>
        <w:tc>
          <w:tcPr>
            <w:tcW w:w="202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6.40</w:t>
            </w:r>
          </w:p>
        </w:tc>
        <w:tc>
          <w:tcPr>
            <w:tcW w:w="0" w:type="dxa"/>
            <w:vAlign w:val="bottom"/>
          </w:tcPr>
          <w:p>
            <w:pPr>
              <w:spacing w:after="0"/>
              <w:rPr>
                <w:sz w:val="1"/>
                <w:szCs w:val="1"/>
                <w:color w:val="auto"/>
              </w:rPr>
            </w:pPr>
          </w:p>
        </w:tc>
      </w:tr>
      <w:tr>
        <w:trPr>
          <w:trHeight w:val="295"/>
        </w:trPr>
        <w:tc>
          <w:tcPr>
            <w:tcW w:w="6240" w:type="dxa"/>
            <w:vAlign w:val="bottom"/>
            <w:tcBorders>
              <w:top w:val="single" w:sz="8" w:color="DDDDDD"/>
            </w:tcBorders>
            <w:shd w:val="clear" w:color="auto" w:fill="DDDDDD"/>
          </w:tcPr>
          <w:p>
            <w:pPr>
              <w:ind w:left="40"/>
              <w:spacing w:after="0"/>
              <w:rPr>
                <w:sz w:val="20"/>
                <w:szCs w:val="20"/>
                <w:color w:val="auto"/>
              </w:rPr>
            </w:pPr>
            <w:r>
              <w:rPr>
                <w:rFonts w:ascii="Times New Roman" w:cs="Times New Roman" w:eastAsia="Times New Roman" w:hAnsi="Times New Roman"/>
                <w:sz w:val="20"/>
                <w:szCs w:val="20"/>
                <w:color w:val="auto"/>
              </w:rPr>
              <w:t>Non-vested at December 31, 2023</w:t>
            </w:r>
          </w:p>
        </w:tc>
        <w:tc>
          <w:tcPr>
            <w:tcW w:w="80" w:type="dxa"/>
            <w:vAlign w:val="bottom"/>
            <w:tcBorders>
              <w:top w:val="single" w:sz="8" w:color="DDDDDD"/>
            </w:tcBorders>
            <w:shd w:val="clear" w:color="auto" w:fill="DDDDDD"/>
          </w:tcPr>
          <w:p>
            <w:pPr>
              <w:spacing w:after="0"/>
              <w:rPr>
                <w:sz w:val="24"/>
                <w:szCs w:val="24"/>
                <w:color w:val="auto"/>
              </w:rPr>
            </w:pPr>
          </w:p>
        </w:tc>
        <w:tc>
          <w:tcPr>
            <w:tcW w:w="20" w:type="dxa"/>
            <w:vAlign w:val="bottom"/>
            <w:tcBorders>
              <w:top w:val="single" w:sz="8" w:color="DDDDDD"/>
            </w:tcBorders>
            <w:shd w:val="clear" w:color="auto" w:fill="DDDDDD"/>
          </w:tcPr>
          <w:p>
            <w:pPr>
              <w:spacing w:after="0"/>
              <w:rPr>
                <w:sz w:val="24"/>
                <w:szCs w:val="24"/>
                <w:color w:val="auto"/>
              </w:rPr>
            </w:pPr>
          </w:p>
        </w:tc>
        <w:tc>
          <w:tcPr>
            <w:tcW w:w="1900" w:type="dxa"/>
            <w:vAlign w:val="bottom"/>
            <w:tcBorders>
              <w:top w:val="single" w:sz="8" w:color="auto"/>
            </w:tcBorders>
            <w:shd w:val="clear" w:color="auto" w:fill="DDDDDD"/>
          </w:tcPr>
          <w:p>
            <w:pPr>
              <w:jc w:val="right"/>
              <w:spacing w:after="0"/>
              <w:rPr>
                <w:sz w:val="20"/>
                <w:szCs w:val="20"/>
                <w:color w:val="auto"/>
              </w:rPr>
            </w:pPr>
            <w:r>
              <w:rPr>
                <w:rFonts w:ascii="Times New Roman" w:cs="Times New Roman" w:eastAsia="Times New Roman" w:hAnsi="Times New Roman"/>
                <w:sz w:val="20"/>
                <w:szCs w:val="20"/>
                <w:color w:val="auto"/>
              </w:rPr>
              <w:t>234,375</w:t>
            </w:r>
          </w:p>
        </w:tc>
        <w:tc>
          <w:tcPr>
            <w:tcW w:w="100" w:type="dxa"/>
            <w:vAlign w:val="bottom"/>
            <w:tcBorders>
              <w:top w:val="single" w:sz="8" w:color="DDDDDD"/>
            </w:tcBorders>
            <w:shd w:val="clear" w:color="auto" w:fill="DDDDDD"/>
          </w:tcPr>
          <w:p>
            <w:pPr>
              <w:spacing w:after="0"/>
              <w:rPr>
                <w:sz w:val="24"/>
                <w:szCs w:val="24"/>
                <w:color w:val="auto"/>
              </w:rPr>
            </w:pPr>
          </w:p>
        </w:tc>
        <w:tc>
          <w:tcPr>
            <w:tcW w:w="1920" w:type="dxa"/>
            <w:vAlign w:val="bottom"/>
            <w:tcBorders>
              <w:top w:val="single" w:sz="8" w:color="DDDDDD"/>
            </w:tcBorders>
            <w:shd w:val="clear" w:color="auto" w:fill="DDDDDD"/>
          </w:tcPr>
          <w:p>
            <w:pPr>
              <w:jc w:val="right"/>
              <w:spacing w:after="0"/>
              <w:rPr>
                <w:sz w:val="20"/>
                <w:szCs w:val="20"/>
                <w:color w:val="auto"/>
              </w:rPr>
            </w:pPr>
            <w:r>
              <w:rPr>
                <w:rFonts w:ascii="Times New Roman" w:cs="Times New Roman" w:eastAsia="Times New Roman" w:hAnsi="Times New Roman"/>
                <w:sz w:val="20"/>
                <w:szCs w:val="20"/>
                <w:color w:val="auto"/>
              </w:rPr>
              <w:t>6.40</w:t>
            </w:r>
          </w:p>
        </w:tc>
        <w:tc>
          <w:tcPr>
            <w:tcW w:w="0" w:type="dxa"/>
            <w:vAlign w:val="bottom"/>
          </w:tcPr>
          <w:p>
            <w:pPr>
              <w:spacing w:after="0"/>
              <w:rPr>
                <w:sz w:val="1"/>
                <w:szCs w:val="1"/>
                <w:color w:val="auto"/>
              </w:rPr>
            </w:pPr>
          </w:p>
        </w:tc>
      </w:tr>
      <w:tr>
        <w:trPr>
          <w:trHeight w:val="20"/>
        </w:trPr>
        <w:tc>
          <w:tcPr>
            <w:tcW w:w="62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9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9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
        </w:trPr>
        <w:tc>
          <w:tcPr>
            <w:tcW w:w="62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9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9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00" w:lineRule="exact"/>
        <w:rPr>
          <w:sz w:val="20"/>
          <w:szCs w:val="20"/>
          <w:color w:val="auto"/>
        </w:rPr>
      </w:pPr>
    </w:p>
    <w:p>
      <w:pPr>
        <w:jc w:val="both"/>
        <w:spacing w:after="0" w:line="316" w:lineRule="auto"/>
        <w:rPr>
          <w:sz w:val="20"/>
          <w:szCs w:val="20"/>
          <w:color w:val="auto"/>
        </w:rPr>
      </w:pPr>
      <w:r>
        <w:rPr>
          <w:rFonts w:ascii="Times New Roman" w:cs="Times New Roman" w:eastAsia="Times New Roman" w:hAnsi="Times New Roman"/>
          <w:sz w:val="19"/>
          <w:szCs w:val="19"/>
          <w:color w:val="auto"/>
        </w:rPr>
        <w:t>Based on the probability of attainment as of December 31, 2023, the unrecognized stock-based compensation expense for non-vested PRSUs was nil. For the years ended December 31, 2023 and 2022, the Company recorded stock-based compensation credit of $0.1 million and less than $0.1 million, respectively, related to the PRSUs. For the year ended December 31, 2021, the Company recorded stock-based compensation expense of $0.4 million related to the PRSUs. Stock-based compensation expense related to these PRSUs decreased due to the reassessment of vesting probability and the forfeitures resulting from the executive departures.</w:t>
      </w:r>
    </w:p>
    <w:p>
      <w:pPr>
        <w:spacing w:after="0" w:line="67" w:lineRule="exact"/>
        <w:rPr>
          <w:sz w:val="20"/>
          <w:szCs w:val="20"/>
          <w:color w:val="auto"/>
        </w:rPr>
      </w:pPr>
    </w:p>
    <w:p>
      <w:pPr>
        <w:jc w:val="both"/>
        <w:spacing w:after="0" w:line="326" w:lineRule="auto"/>
        <w:rPr>
          <w:sz w:val="20"/>
          <w:szCs w:val="20"/>
          <w:color w:val="auto"/>
        </w:rPr>
      </w:pPr>
      <w:r>
        <w:rPr>
          <w:rFonts w:ascii="Times New Roman" w:cs="Times New Roman" w:eastAsia="Times New Roman" w:hAnsi="Times New Roman"/>
          <w:sz w:val="20"/>
          <w:szCs w:val="20"/>
          <w:color w:val="auto"/>
        </w:rPr>
        <w:t>The Company recorded stock-based compensation cost related to the Class P Units, RSUs and PRSUs in the following expense categories on the consolidated statements of operations (in thousands):</w:t>
      </w:r>
    </w:p>
    <w:p>
      <w:pPr>
        <w:spacing w:after="0" w:line="244" w:lineRule="exact"/>
        <w:rPr>
          <w:sz w:val="20"/>
          <w:szCs w:val="20"/>
          <w:color w:val="auto"/>
        </w:rPr>
      </w:pPr>
    </w:p>
    <w:tbl>
      <w:tblPr>
        <w:tblLayout w:type="fixed"/>
        <w:tblInd w:w="0" w:type="dxa"/>
        <w:tblCellMar>
          <w:top w:w="0" w:type="dxa"/>
          <w:left w:w="0" w:type="dxa"/>
          <w:bottom w:w="0" w:type="dxa"/>
          <w:right w:w="0" w:type="dxa"/>
        </w:tblCellMar>
      </w:tblPr>
      <w:tr>
        <w:trPr>
          <w:trHeight w:val="285"/>
        </w:trPr>
        <w:tc>
          <w:tcPr>
            <w:tcW w:w="44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20" w:type="dxa"/>
            <w:vAlign w:val="bottom"/>
            <w:tcBorders>
              <w:bottom w:val="single" w:sz="8" w:color="auto"/>
            </w:tcBorders>
          </w:tcPr>
          <w:p>
            <w:pPr>
              <w:spacing w:after="0"/>
              <w:rPr>
                <w:sz w:val="24"/>
                <w:szCs w:val="24"/>
                <w:color w:val="auto"/>
              </w:rPr>
            </w:pPr>
          </w:p>
        </w:tc>
        <w:tc>
          <w:tcPr>
            <w:tcW w:w="3160" w:type="dxa"/>
            <w:vAlign w:val="bottom"/>
            <w:tcBorders>
              <w:bottom w:val="single" w:sz="8" w:color="auto"/>
            </w:tcBorders>
            <w:gridSpan w:val="6"/>
          </w:tcPr>
          <w:p>
            <w:pPr>
              <w:jc w:val="right"/>
              <w:ind w:right="219"/>
              <w:spacing w:after="0"/>
              <w:rPr>
                <w:sz w:val="20"/>
                <w:szCs w:val="20"/>
                <w:color w:val="auto"/>
              </w:rPr>
            </w:pPr>
            <w:r>
              <w:rPr>
                <w:rFonts w:ascii="Times New Roman" w:cs="Times New Roman" w:eastAsia="Times New Roman" w:hAnsi="Times New Roman"/>
                <w:sz w:val="20"/>
                <w:szCs w:val="20"/>
                <w:b w:val="1"/>
                <w:bCs w:val="1"/>
                <w:color w:val="auto"/>
              </w:rPr>
              <w:t>Years Ended December 31,</w:t>
            </w:r>
          </w:p>
        </w:tc>
        <w:tc>
          <w:tcPr>
            <w:tcW w:w="1460" w:type="dxa"/>
            <w:vAlign w:val="bottom"/>
            <w:tcBorders>
              <w:bottom w:val="single" w:sz="8" w:color="auto"/>
            </w:tcBorders>
          </w:tcPr>
          <w:p>
            <w:pPr>
              <w:spacing w:after="0"/>
              <w:rPr>
                <w:sz w:val="24"/>
                <w:szCs w:val="24"/>
                <w:color w:val="auto"/>
              </w:rPr>
            </w:pPr>
          </w:p>
        </w:tc>
      </w:tr>
      <w:tr>
        <w:trPr>
          <w:trHeight w:val="295"/>
        </w:trPr>
        <w:tc>
          <w:tcPr>
            <w:tcW w:w="4400" w:type="dxa"/>
            <w:vAlign w:val="bottom"/>
            <w:tcBorders>
              <w:bottom w:val="single" w:sz="8" w:color="DDDDDD"/>
            </w:tcBorders>
          </w:tcPr>
          <w:p>
            <w:pPr>
              <w:spacing w:after="0"/>
              <w:rPr>
                <w:sz w:val="24"/>
                <w:szCs w:val="24"/>
                <w:color w:val="auto"/>
              </w:rPr>
            </w:pPr>
          </w:p>
        </w:tc>
        <w:tc>
          <w:tcPr>
            <w:tcW w:w="20" w:type="dxa"/>
            <w:vAlign w:val="bottom"/>
            <w:tcBorders>
              <w:bottom w:val="single" w:sz="8" w:color="DDDDDD"/>
            </w:tcBorders>
          </w:tcPr>
          <w:p>
            <w:pPr>
              <w:spacing w:after="0"/>
              <w:rPr>
                <w:sz w:val="24"/>
                <w:szCs w:val="24"/>
                <w:color w:val="auto"/>
              </w:rPr>
            </w:pP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b w:val="1"/>
                <w:bCs w:val="1"/>
                <w:color w:val="auto"/>
              </w:rPr>
              <w:t>2023</w:t>
            </w:r>
          </w:p>
        </w:tc>
        <w:tc>
          <w:tcPr>
            <w:tcW w:w="680" w:type="dxa"/>
            <w:vAlign w:val="bottom"/>
            <w:tcBorders>
              <w:bottom w:val="single" w:sz="8" w:color="auto"/>
            </w:tcBorders>
          </w:tcPr>
          <w:p>
            <w:pPr>
              <w:spacing w:after="0"/>
              <w:rPr>
                <w:sz w:val="24"/>
                <w:szCs w:val="24"/>
                <w:color w:val="auto"/>
              </w:rPr>
            </w:pPr>
          </w:p>
        </w:tc>
        <w:tc>
          <w:tcPr>
            <w:tcW w:w="60" w:type="dxa"/>
            <w:vAlign w:val="bottom"/>
            <w:tcBorders>
              <w:bottom w:val="single" w:sz="8" w:color="DDDDDD"/>
            </w:tcBorders>
          </w:tcPr>
          <w:p>
            <w:pPr>
              <w:spacing w:after="0"/>
              <w:rPr>
                <w:sz w:val="24"/>
                <w:szCs w:val="24"/>
                <w:color w:val="auto"/>
              </w:rPr>
            </w:pPr>
          </w:p>
        </w:tc>
        <w:tc>
          <w:tcPr>
            <w:tcW w:w="460" w:type="dxa"/>
            <w:vAlign w:val="bottom"/>
            <w:tcBorders>
              <w:bottom w:val="single" w:sz="8" w:color="auto"/>
            </w:tcBorders>
          </w:tcPr>
          <w:p>
            <w:pPr>
              <w:spacing w:after="0"/>
              <w:rPr>
                <w:sz w:val="24"/>
                <w:szCs w:val="24"/>
                <w:color w:val="auto"/>
              </w:rPr>
            </w:pPr>
          </w:p>
        </w:tc>
        <w:tc>
          <w:tcPr>
            <w:tcW w:w="1440" w:type="dxa"/>
            <w:vAlign w:val="bottom"/>
            <w:tcBorders>
              <w:bottom w:val="single" w:sz="8" w:color="auto"/>
            </w:tcBorders>
          </w:tcPr>
          <w:p>
            <w:pPr>
              <w:jc w:val="right"/>
              <w:ind w:right="639"/>
              <w:spacing w:after="0"/>
              <w:rPr>
                <w:sz w:val="20"/>
                <w:szCs w:val="20"/>
                <w:color w:val="auto"/>
              </w:rPr>
            </w:pPr>
            <w:r>
              <w:rPr>
                <w:rFonts w:ascii="Times New Roman" w:cs="Times New Roman" w:eastAsia="Times New Roman" w:hAnsi="Times New Roman"/>
                <w:sz w:val="20"/>
                <w:szCs w:val="20"/>
                <w:b w:val="1"/>
                <w:bCs w:val="1"/>
                <w:color w:val="auto"/>
              </w:rPr>
              <w:t>2022</w:t>
            </w:r>
          </w:p>
        </w:tc>
        <w:tc>
          <w:tcPr>
            <w:tcW w:w="60" w:type="dxa"/>
            <w:vAlign w:val="bottom"/>
          </w:tcPr>
          <w:p>
            <w:pPr>
              <w:spacing w:after="0"/>
              <w:rPr>
                <w:sz w:val="24"/>
                <w:szCs w:val="24"/>
                <w:color w:val="auto"/>
              </w:rPr>
            </w:pPr>
          </w:p>
        </w:tc>
        <w:tc>
          <w:tcPr>
            <w:tcW w:w="460" w:type="dxa"/>
            <w:vAlign w:val="bottom"/>
            <w:tcBorders>
              <w:bottom w:val="single" w:sz="8" w:color="auto"/>
            </w:tcBorders>
          </w:tcPr>
          <w:p>
            <w:pPr>
              <w:spacing w:after="0"/>
              <w:rPr>
                <w:sz w:val="24"/>
                <w:szCs w:val="24"/>
                <w:color w:val="auto"/>
              </w:rPr>
            </w:pPr>
          </w:p>
        </w:tc>
        <w:tc>
          <w:tcPr>
            <w:tcW w:w="1460" w:type="dxa"/>
            <w:vAlign w:val="bottom"/>
            <w:tcBorders>
              <w:bottom w:val="single" w:sz="8" w:color="auto"/>
            </w:tcBorders>
          </w:tcPr>
          <w:p>
            <w:pPr>
              <w:jc w:val="right"/>
              <w:ind w:right="659"/>
              <w:spacing w:after="0"/>
              <w:rPr>
                <w:sz w:val="20"/>
                <w:szCs w:val="20"/>
                <w:color w:val="auto"/>
              </w:rPr>
            </w:pPr>
            <w:r>
              <w:rPr>
                <w:rFonts w:ascii="Times New Roman" w:cs="Times New Roman" w:eastAsia="Times New Roman" w:hAnsi="Times New Roman"/>
                <w:sz w:val="20"/>
                <w:szCs w:val="20"/>
                <w:b w:val="1"/>
                <w:bCs w:val="1"/>
                <w:color w:val="auto"/>
              </w:rPr>
              <w:t>2021</w:t>
            </w:r>
          </w:p>
        </w:tc>
      </w:tr>
      <w:tr>
        <w:trPr>
          <w:trHeight w:val="297"/>
        </w:trPr>
        <w:tc>
          <w:tcPr>
            <w:tcW w:w="4420" w:type="dxa"/>
            <w:vAlign w:val="bottom"/>
            <w:gridSpan w:val="2"/>
            <w:shd w:val="clear" w:color="auto" w:fill="DDDDDD"/>
          </w:tcPr>
          <w:p>
            <w:pPr>
              <w:ind w:left="40"/>
              <w:spacing w:after="0"/>
              <w:rPr>
                <w:sz w:val="20"/>
                <w:szCs w:val="20"/>
                <w:color w:val="auto"/>
              </w:rPr>
            </w:pPr>
            <w:r>
              <w:rPr>
                <w:rFonts w:ascii="Times New Roman" w:cs="Times New Roman" w:eastAsia="Times New Roman" w:hAnsi="Times New Roman"/>
                <w:sz w:val="20"/>
                <w:szCs w:val="20"/>
                <w:color w:val="auto"/>
              </w:rPr>
              <w:t>Sales and marketing</w:t>
            </w:r>
          </w:p>
        </w:tc>
        <w:tc>
          <w:tcPr>
            <w:tcW w:w="1220" w:type="dxa"/>
            <w:vAlign w:val="bottom"/>
            <w:shd w:val="clear" w:color="auto" w:fill="DDDDDD"/>
          </w:tcPr>
          <w:p>
            <w:pPr>
              <w:jc w:val="right"/>
              <w:ind w:right="959"/>
              <w:spacing w:after="0"/>
              <w:rPr>
                <w:sz w:val="20"/>
                <w:szCs w:val="20"/>
                <w:color w:val="auto"/>
              </w:rPr>
            </w:pPr>
            <w:r>
              <w:rPr>
                <w:rFonts w:ascii="Times New Roman" w:cs="Times New Roman" w:eastAsia="Times New Roman" w:hAnsi="Times New Roman"/>
                <w:sz w:val="20"/>
                <w:szCs w:val="20"/>
                <w:color w:val="auto"/>
              </w:rPr>
              <w:t>$</w:t>
            </w:r>
          </w:p>
        </w:tc>
        <w:tc>
          <w:tcPr>
            <w:tcW w:w="680" w:type="dxa"/>
            <w:vAlign w:val="bottom"/>
            <w:shd w:val="clear" w:color="auto" w:fill="DDDDDD"/>
          </w:tcPr>
          <w:p>
            <w:pPr>
              <w:jc w:val="right"/>
              <w:spacing w:after="0"/>
              <w:rPr>
                <w:sz w:val="20"/>
                <w:szCs w:val="20"/>
                <w:color w:val="auto"/>
              </w:rPr>
            </w:pPr>
            <w:r>
              <w:rPr>
                <w:rFonts w:ascii="Times New Roman" w:cs="Times New Roman" w:eastAsia="Times New Roman" w:hAnsi="Times New Roman"/>
                <w:sz w:val="20"/>
                <w:szCs w:val="20"/>
                <w:color w:val="auto"/>
              </w:rPr>
              <w:t>2,706</w:t>
            </w:r>
          </w:p>
        </w:tc>
        <w:tc>
          <w:tcPr>
            <w:tcW w:w="60" w:type="dxa"/>
            <w:vAlign w:val="bottom"/>
            <w:shd w:val="clear" w:color="auto" w:fill="DDDDDD"/>
          </w:tcPr>
          <w:p>
            <w:pPr>
              <w:spacing w:after="0"/>
              <w:rPr>
                <w:sz w:val="24"/>
                <w:szCs w:val="24"/>
                <w:color w:val="auto"/>
              </w:rPr>
            </w:pPr>
          </w:p>
        </w:tc>
        <w:tc>
          <w:tcPr>
            <w:tcW w:w="460" w:type="dxa"/>
            <w:vAlign w:val="bottom"/>
            <w:shd w:val="clear" w:color="auto" w:fill="DDDDDD"/>
          </w:tcPr>
          <w:p>
            <w:pPr>
              <w:jc w:val="right"/>
              <w:ind w:right="199"/>
              <w:spacing w:after="0"/>
              <w:rPr>
                <w:sz w:val="20"/>
                <w:szCs w:val="20"/>
                <w:color w:val="auto"/>
              </w:rPr>
            </w:pPr>
            <w:r>
              <w:rPr>
                <w:rFonts w:ascii="Times New Roman" w:cs="Times New Roman" w:eastAsia="Times New Roman" w:hAnsi="Times New Roman"/>
                <w:sz w:val="20"/>
                <w:szCs w:val="20"/>
                <w:color w:val="auto"/>
              </w:rPr>
              <w:t>$</w:t>
            </w:r>
          </w:p>
        </w:tc>
        <w:tc>
          <w:tcPr>
            <w:tcW w:w="1440" w:type="dxa"/>
            <w:vAlign w:val="bottom"/>
            <w:shd w:val="clear" w:color="auto" w:fill="DDDDDD"/>
          </w:tcPr>
          <w:p>
            <w:pPr>
              <w:jc w:val="right"/>
              <w:spacing w:after="0"/>
              <w:rPr>
                <w:sz w:val="20"/>
                <w:szCs w:val="20"/>
                <w:color w:val="auto"/>
              </w:rPr>
            </w:pPr>
            <w:r>
              <w:rPr>
                <w:rFonts w:ascii="Times New Roman" w:cs="Times New Roman" w:eastAsia="Times New Roman" w:hAnsi="Times New Roman"/>
                <w:sz w:val="20"/>
                <w:szCs w:val="20"/>
                <w:color w:val="auto"/>
              </w:rPr>
              <w:t>6,358</w:t>
            </w:r>
          </w:p>
        </w:tc>
        <w:tc>
          <w:tcPr>
            <w:tcW w:w="60" w:type="dxa"/>
            <w:vAlign w:val="bottom"/>
            <w:shd w:val="clear" w:color="auto" w:fill="DDDDDD"/>
          </w:tcPr>
          <w:p>
            <w:pPr>
              <w:spacing w:after="0"/>
              <w:rPr>
                <w:sz w:val="24"/>
                <w:szCs w:val="24"/>
                <w:color w:val="auto"/>
              </w:rPr>
            </w:pPr>
          </w:p>
        </w:tc>
        <w:tc>
          <w:tcPr>
            <w:tcW w:w="460" w:type="dxa"/>
            <w:vAlign w:val="bottom"/>
            <w:shd w:val="clear" w:color="auto" w:fill="DDDDDD"/>
          </w:tcPr>
          <w:p>
            <w:pPr>
              <w:jc w:val="right"/>
              <w:ind w:right="199"/>
              <w:spacing w:after="0"/>
              <w:rPr>
                <w:sz w:val="20"/>
                <w:szCs w:val="20"/>
                <w:color w:val="auto"/>
              </w:rPr>
            </w:pPr>
            <w:r>
              <w:rPr>
                <w:rFonts w:ascii="Times New Roman" w:cs="Times New Roman" w:eastAsia="Times New Roman" w:hAnsi="Times New Roman"/>
                <w:sz w:val="20"/>
                <w:szCs w:val="20"/>
                <w:color w:val="auto"/>
              </w:rPr>
              <w:t>$</w:t>
            </w:r>
          </w:p>
        </w:tc>
        <w:tc>
          <w:tcPr>
            <w:tcW w:w="1460" w:type="dxa"/>
            <w:vAlign w:val="bottom"/>
            <w:shd w:val="clear" w:color="auto" w:fill="DDDDDD"/>
          </w:tcPr>
          <w:p>
            <w:pPr>
              <w:jc w:val="right"/>
              <w:spacing w:after="0"/>
              <w:rPr>
                <w:sz w:val="20"/>
                <w:szCs w:val="20"/>
                <w:color w:val="auto"/>
              </w:rPr>
            </w:pPr>
            <w:r>
              <w:rPr>
                <w:rFonts w:ascii="Times New Roman" w:cs="Times New Roman" w:eastAsia="Times New Roman" w:hAnsi="Times New Roman"/>
                <w:sz w:val="20"/>
                <w:szCs w:val="20"/>
                <w:color w:val="auto"/>
              </w:rPr>
              <w:t>6,021</w:t>
            </w:r>
          </w:p>
        </w:tc>
      </w:tr>
      <w:tr>
        <w:trPr>
          <w:trHeight w:val="304"/>
        </w:trPr>
        <w:tc>
          <w:tcPr>
            <w:tcW w:w="4420" w:type="dxa"/>
            <w:vAlign w:val="bottom"/>
            <w:gridSpan w:val="2"/>
          </w:tcPr>
          <w:p>
            <w:pPr>
              <w:ind w:left="40"/>
              <w:spacing w:after="0"/>
              <w:rPr>
                <w:sz w:val="20"/>
                <w:szCs w:val="20"/>
                <w:color w:val="auto"/>
              </w:rPr>
            </w:pPr>
            <w:r>
              <w:rPr>
                <w:rFonts w:ascii="Times New Roman" w:cs="Times New Roman" w:eastAsia="Times New Roman" w:hAnsi="Times New Roman"/>
                <w:sz w:val="20"/>
                <w:szCs w:val="20"/>
                <w:color w:val="auto"/>
              </w:rPr>
              <w:t>Product development</w:t>
            </w:r>
          </w:p>
        </w:tc>
        <w:tc>
          <w:tcPr>
            <w:tcW w:w="1220" w:type="dxa"/>
            <w:vAlign w:val="bottom"/>
          </w:tcPr>
          <w:p>
            <w:pPr>
              <w:spacing w:after="0"/>
              <w:rPr>
                <w:sz w:val="24"/>
                <w:szCs w:val="24"/>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4,170</w:t>
            </w:r>
          </w:p>
        </w:tc>
        <w:tc>
          <w:tcPr>
            <w:tcW w:w="6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5,260</w:t>
            </w:r>
          </w:p>
        </w:tc>
        <w:tc>
          <w:tcPr>
            <w:tcW w:w="6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5,103</w:t>
            </w:r>
          </w:p>
        </w:tc>
      </w:tr>
      <w:tr>
        <w:trPr>
          <w:trHeight w:val="317"/>
        </w:trPr>
        <w:tc>
          <w:tcPr>
            <w:tcW w:w="4420" w:type="dxa"/>
            <w:vAlign w:val="bottom"/>
            <w:gridSpan w:val="2"/>
            <w:shd w:val="clear" w:color="auto" w:fill="DDDDDD"/>
          </w:tcPr>
          <w:p>
            <w:pPr>
              <w:ind w:left="40"/>
              <w:spacing w:after="0"/>
              <w:rPr>
                <w:sz w:val="20"/>
                <w:szCs w:val="20"/>
                <w:color w:val="auto"/>
              </w:rPr>
            </w:pPr>
            <w:r>
              <w:rPr>
                <w:rFonts w:ascii="Times New Roman" w:cs="Times New Roman" w:eastAsia="Times New Roman" w:hAnsi="Times New Roman"/>
                <w:sz w:val="20"/>
                <w:szCs w:val="20"/>
                <w:color w:val="auto"/>
              </w:rPr>
              <w:t>General and administrative</w:t>
            </w:r>
          </w:p>
        </w:tc>
        <w:tc>
          <w:tcPr>
            <w:tcW w:w="1220" w:type="dxa"/>
            <w:vAlign w:val="bottom"/>
            <w:tcBorders>
              <w:bottom w:val="single" w:sz="8" w:color="auto"/>
            </w:tcBorders>
            <w:shd w:val="clear" w:color="auto" w:fill="DDDDDD"/>
          </w:tcPr>
          <w:p>
            <w:pPr>
              <w:spacing w:after="0"/>
              <w:rPr>
                <w:sz w:val="24"/>
                <w:szCs w:val="24"/>
                <w:color w:val="auto"/>
              </w:rPr>
            </w:pPr>
          </w:p>
        </w:tc>
        <w:tc>
          <w:tcPr>
            <w:tcW w:w="680" w:type="dxa"/>
            <w:vAlign w:val="bottom"/>
            <w:tcBorders>
              <w:bottom w:val="single" w:sz="8" w:color="auto"/>
            </w:tcBorders>
            <w:shd w:val="clear" w:color="auto" w:fill="DDDDDD"/>
          </w:tcPr>
          <w:p>
            <w:pPr>
              <w:jc w:val="right"/>
              <w:spacing w:after="0"/>
              <w:rPr>
                <w:sz w:val="20"/>
                <w:szCs w:val="20"/>
                <w:color w:val="auto"/>
              </w:rPr>
            </w:pPr>
            <w:r>
              <w:rPr>
                <w:rFonts w:ascii="Times New Roman" w:cs="Times New Roman" w:eastAsia="Times New Roman" w:hAnsi="Times New Roman"/>
                <w:sz w:val="20"/>
                <w:szCs w:val="20"/>
                <w:color w:val="auto"/>
              </w:rPr>
              <w:t>6,639</w:t>
            </w:r>
          </w:p>
        </w:tc>
        <w:tc>
          <w:tcPr>
            <w:tcW w:w="60" w:type="dxa"/>
            <w:vAlign w:val="bottom"/>
            <w:shd w:val="clear" w:color="auto" w:fill="DDDDDD"/>
          </w:tcPr>
          <w:p>
            <w:pPr>
              <w:spacing w:after="0"/>
              <w:rPr>
                <w:sz w:val="24"/>
                <w:szCs w:val="24"/>
                <w:color w:val="auto"/>
              </w:rPr>
            </w:pPr>
          </w:p>
        </w:tc>
        <w:tc>
          <w:tcPr>
            <w:tcW w:w="460" w:type="dxa"/>
            <w:vAlign w:val="bottom"/>
            <w:tcBorders>
              <w:bottom w:val="single" w:sz="8" w:color="auto"/>
            </w:tcBorders>
            <w:shd w:val="clear" w:color="auto" w:fill="DDDDDD"/>
          </w:tcPr>
          <w:p>
            <w:pPr>
              <w:spacing w:after="0"/>
              <w:rPr>
                <w:sz w:val="24"/>
                <w:szCs w:val="24"/>
                <w:color w:val="auto"/>
              </w:rPr>
            </w:pPr>
          </w:p>
        </w:tc>
        <w:tc>
          <w:tcPr>
            <w:tcW w:w="1440" w:type="dxa"/>
            <w:vAlign w:val="bottom"/>
            <w:tcBorders>
              <w:bottom w:val="single" w:sz="8" w:color="auto"/>
            </w:tcBorders>
            <w:shd w:val="clear" w:color="auto" w:fill="DDDDDD"/>
          </w:tcPr>
          <w:p>
            <w:pPr>
              <w:jc w:val="right"/>
              <w:spacing w:after="0"/>
              <w:rPr>
                <w:sz w:val="20"/>
                <w:szCs w:val="20"/>
                <w:color w:val="auto"/>
              </w:rPr>
            </w:pPr>
            <w:r>
              <w:rPr>
                <w:rFonts w:ascii="Times New Roman" w:cs="Times New Roman" w:eastAsia="Times New Roman" w:hAnsi="Times New Roman"/>
                <w:sz w:val="20"/>
                <w:szCs w:val="20"/>
                <w:color w:val="auto"/>
              </w:rPr>
              <w:t>11,875</w:t>
            </w:r>
          </w:p>
        </w:tc>
        <w:tc>
          <w:tcPr>
            <w:tcW w:w="60" w:type="dxa"/>
            <w:vAlign w:val="bottom"/>
            <w:shd w:val="clear" w:color="auto" w:fill="DDDDDD"/>
          </w:tcPr>
          <w:p>
            <w:pPr>
              <w:spacing w:after="0"/>
              <w:rPr>
                <w:sz w:val="24"/>
                <w:szCs w:val="24"/>
                <w:color w:val="auto"/>
              </w:rPr>
            </w:pPr>
          </w:p>
        </w:tc>
        <w:tc>
          <w:tcPr>
            <w:tcW w:w="460" w:type="dxa"/>
            <w:vAlign w:val="bottom"/>
            <w:tcBorders>
              <w:bottom w:val="single" w:sz="8" w:color="auto"/>
            </w:tcBorders>
            <w:shd w:val="clear" w:color="auto" w:fill="DDDDDD"/>
          </w:tcPr>
          <w:p>
            <w:pPr>
              <w:spacing w:after="0"/>
              <w:rPr>
                <w:sz w:val="24"/>
                <w:szCs w:val="24"/>
                <w:color w:val="auto"/>
              </w:rPr>
            </w:pPr>
          </w:p>
        </w:tc>
        <w:tc>
          <w:tcPr>
            <w:tcW w:w="1460" w:type="dxa"/>
            <w:vAlign w:val="bottom"/>
            <w:tcBorders>
              <w:bottom w:val="single" w:sz="8" w:color="auto"/>
            </w:tcBorders>
            <w:shd w:val="clear" w:color="auto" w:fill="DDDDDD"/>
          </w:tcPr>
          <w:p>
            <w:pPr>
              <w:jc w:val="right"/>
              <w:spacing w:after="0"/>
              <w:rPr>
                <w:sz w:val="20"/>
                <w:szCs w:val="20"/>
                <w:color w:val="auto"/>
              </w:rPr>
            </w:pPr>
            <w:r>
              <w:rPr>
                <w:rFonts w:ascii="Times New Roman" w:cs="Times New Roman" w:eastAsia="Times New Roman" w:hAnsi="Times New Roman"/>
                <w:sz w:val="20"/>
                <w:szCs w:val="20"/>
                <w:color w:val="auto"/>
              </w:rPr>
              <w:t>18,200</w:t>
            </w:r>
          </w:p>
        </w:tc>
      </w:tr>
      <w:tr>
        <w:trPr>
          <w:trHeight w:val="289"/>
        </w:trPr>
        <w:tc>
          <w:tcPr>
            <w:tcW w:w="4420" w:type="dxa"/>
            <w:vAlign w:val="bottom"/>
            <w:gridSpan w:val="2"/>
          </w:tcPr>
          <w:p>
            <w:pPr>
              <w:ind w:left="160"/>
              <w:spacing w:after="0"/>
              <w:rPr>
                <w:sz w:val="20"/>
                <w:szCs w:val="20"/>
                <w:color w:val="auto"/>
              </w:rPr>
            </w:pPr>
            <w:r>
              <w:rPr>
                <w:rFonts w:ascii="Times New Roman" w:cs="Times New Roman" w:eastAsia="Times New Roman" w:hAnsi="Times New Roman"/>
                <w:sz w:val="20"/>
                <w:szCs w:val="20"/>
                <w:color w:val="auto"/>
              </w:rPr>
              <w:t>Total stock-based compensation expense</w:t>
            </w:r>
          </w:p>
        </w:tc>
        <w:tc>
          <w:tcPr>
            <w:tcW w:w="1220" w:type="dxa"/>
            <w:vAlign w:val="bottom"/>
          </w:tcPr>
          <w:p>
            <w:pPr>
              <w:spacing w:after="0"/>
              <w:rPr>
                <w:sz w:val="24"/>
                <w:szCs w:val="24"/>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13,515</w:t>
            </w:r>
          </w:p>
        </w:tc>
        <w:tc>
          <w:tcPr>
            <w:tcW w:w="6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23,493</w:t>
            </w:r>
          </w:p>
        </w:tc>
        <w:tc>
          <w:tcPr>
            <w:tcW w:w="6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29,324</w:t>
            </w:r>
          </w:p>
        </w:tc>
      </w:tr>
      <w:tr>
        <w:trPr>
          <w:trHeight w:val="317"/>
        </w:trPr>
        <w:tc>
          <w:tcPr>
            <w:tcW w:w="4420" w:type="dxa"/>
            <w:vAlign w:val="bottom"/>
            <w:tcBorders>
              <w:bottom w:val="single" w:sz="8" w:color="DDDDDD"/>
            </w:tcBorders>
            <w:gridSpan w:val="2"/>
            <w:shd w:val="clear" w:color="auto" w:fill="DDDDDD"/>
          </w:tcPr>
          <w:p>
            <w:pPr>
              <w:ind w:left="40"/>
              <w:spacing w:after="0"/>
              <w:rPr>
                <w:sz w:val="20"/>
                <w:szCs w:val="20"/>
                <w:color w:val="auto"/>
              </w:rPr>
            </w:pPr>
            <w:r>
              <w:rPr>
                <w:rFonts w:ascii="Times New Roman" w:cs="Times New Roman" w:eastAsia="Times New Roman" w:hAnsi="Times New Roman"/>
                <w:sz w:val="20"/>
                <w:szCs w:val="20"/>
                <w:color w:val="auto"/>
              </w:rPr>
              <w:t>Amount capitalized to software development</w:t>
            </w:r>
          </w:p>
        </w:tc>
        <w:tc>
          <w:tcPr>
            <w:tcW w:w="1220" w:type="dxa"/>
            <w:vAlign w:val="bottom"/>
            <w:tcBorders>
              <w:bottom w:val="single" w:sz="8" w:color="auto"/>
            </w:tcBorders>
            <w:shd w:val="clear" w:color="auto" w:fill="DDDDDD"/>
          </w:tcPr>
          <w:p>
            <w:pPr>
              <w:spacing w:after="0"/>
              <w:rPr>
                <w:sz w:val="24"/>
                <w:szCs w:val="24"/>
                <w:color w:val="auto"/>
              </w:rPr>
            </w:pPr>
          </w:p>
        </w:tc>
        <w:tc>
          <w:tcPr>
            <w:tcW w:w="680" w:type="dxa"/>
            <w:vAlign w:val="bottom"/>
            <w:tcBorders>
              <w:bottom w:val="single" w:sz="8" w:color="auto"/>
            </w:tcBorders>
            <w:shd w:val="clear" w:color="auto" w:fill="DDDDDD"/>
          </w:tcPr>
          <w:p>
            <w:pPr>
              <w:jc w:val="right"/>
              <w:spacing w:after="0"/>
              <w:rPr>
                <w:sz w:val="20"/>
                <w:szCs w:val="20"/>
                <w:color w:val="auto"/>
              </w:rPr>
            </w:pPr>
            <w:r>
              <w:rPr>
                <w:rFonts w:ascii="Times New Roman" w:cs="Times New Roman" w:eastAsia="Times New Roman" w:hAnsi="Times New Roman"/>
                <w:sz w:val="20"/>
                <w:szCs w:val="20"/>
                <w:color w:val="auto"/>
              </w:rPr>
              <w:t>1,386</w:t>
            </w:r>
          </w:p>
        </w:tc>
        <w:tc>
          <w:tcPr>
            <w:tcW w:w="60" w:type="dxa"/>
            <w:vAlign w:val="bottom"/>
            <w:tcBorders>
              <w:bottom w:val="single" w:sz="8" w:color="DDDDDD"/>
            </w:tcBorders>
            <w:shd w:val="clear" w:color="auto" w:fill="DDDDDD"/>
          </w:tcPr>
          <w:p>
            <w:pPr>
              <w:spacing w:after="0"/>
              <w:rPr>
                <w:sz w:val="24"/>
                <w:szCs w:val="24"/>
                <w:color w:val="auto"/>
              </w:rPr>
            </w:pPr>
          </w:p>
        </w:tc>
        <w:tc>
          <w:tcPr>
            <w:tcW w:w="460" w:type="dxa"/>
            <w:vAlign w:val="bottom"/>
            <w:tcBorders>
              <w:bottom w:val="single" w:sz="8" w:color="auto"/>
            </w:tcBorders>
            <w:shd w:val="clear" w:color="auto" w:fill="DDDDDD"/>
          </w:tcPr>
          <w:p>
            <w:pPr>
              <w:spacing w:after="0"/>
              <w:rPr>
                <w:sz w:val="24"/>
                <w:szCs w:val="24"/>
                <w:color w:val="auto"/>
              </w:rPr>
            </w:pPr>
          </w:p>
        </w:tc>
        <w:tc>
          <w:tcPr>
            <w:tcW w:w="1440" w:type="dxa"/>
            <w:vAlign w:val="bottom"/>
            <w:tcBorders>
              <w:bottom w:val="single" w:sz="8" w:color="auto"/>
            </w:tcBorders>
            <w:shd w:val="clear" w:color="auto" w:fill="DDDDDD"/>
          </w:tcPr>
          <w:p>
            <w:pPr>
              <w:jc w:val="right"/>
              <w:spacing w:after="0"/>
              <w:rPr>
                <w:sz w:val="20"/>
                <w:szCs w:val="20"/>
                <w:color w:val="auto"/>
              </w:rPr>
            </w:pPr>
            <w:r>
              <w:rPr>
                <w:rFonts w:ascii="Times New Roman" w:cs="Times New Roman" w:eastAsia="Times New Roman" w:hAnsi="Times New Roman"/>
                <w:sz w:val="20"/>
                <w:szCs w:val="20"/>
                <w:color w:val="auto"/>
              </w:rPr>
              <w:t>1,667</w:t>
            </w:r>
          </w:p>
        </w:tc>
        <w:tc>
          <w:tcPr>
            <w:tcW w:w="60" w:type="dxa"/>
            <w:vAlign w:val="bottom"/>
            <w:tcBorders>
              <w:bottom w:val="single" w:sz="8" w:color="DDDDDD"/>
            </w:tcBorders>
            <w:shd w:val="clear" w:color="auto" w:fill="DDDDDD"/>
          </w:tcPr>
          <w:p>
            <w:pPr>
              <w:spacing w:after="0"/>
              <w:rPr>
                <w:sz w:val="24"/>
                <w:szCs w:val="24"/>
                <w:color w:val="auto"/>
              </w:rPr>
            </w:pPr>
          </w:p>
        </w:tc>
        <w:tc>
          <w:tcPr>
            <w:tcW w:w="460" w:type="dxa"/>
            <w:vAlign w:val="bottom"/>
            <w:tcBorders>
              <w:bottom w:val="single" w:sz="8" w:color="auto"/>
            </w:tcBorders>
            <w:shd w:val="clear" w:color="auto" w:fill="DDDDDD"/>
          </w:tcPr>
          <w:p>
            <w:pPr>
              <w:spacing w:after="0"/>
              <w:rPr>
                <w:sz w:val="24"/>
                <w:szCs w:val="24"/>
                <w:color w:val="auto"/>
              </w:rPr>
            </w:pPr>
          </w:p>
        </w:tc>
        <w:tc>
          <w:tcPr>
            <w:tcW w:w="1460" w:type="dxa"/>
            <w:vAlign w:val="bottom"/>
            <w:tcBorders>
              <w:bottom w:val="single" w:sz="8" w:color="auto"/>
            </w:tcBorders>
            <w:shd w:val="clear" w:color="auto" w:fill="DDDDDD"/>
          </w:tcPr>
          <w:p>
            <w:pPr>
              <w:jc w:val="right"/>
              <w:spacing w:after="0"/>
              <w:rPr>
                <w:sz w:val="20"/>
                <w:szCs w:val="20"/>
                <w:color w:val="auto"/>
              </w:rPr>
            </w:pPr>
            <w:r>
              <w:rPr>
                <w:rFonts w:ascii="Times New Roman" w:cs="Times New Roman" w:eastAsia="Times New Roman" w:hAnsi="Times New Roman"/>
                <w:sz w:val="20"/>
                <w:szCs w:val="20"/>
                <w:color w:val="auto"/>
              </w:rPr>
              <w:t>1,099</w:t>
            </w:r>
          </w:p>
        </w:tc>
      </w:tr>
      <w:tr>
        <w:trPr>
          <w:trHeight w:val="283"/>
        </w:trPr>
        <w:tc>
          <w:tcPr>
            <w:tcW w:w="4420" w:type="dxa"/>
            <w:vAlign w:val="bottom"/>
            <w:gridSpan w:val="2"/>
          </w:tcPr>
          <w:p>
            <w:pPr>
              <w:ind w:left="280"/>
              <w:spacing w:after="0"/>
              <w:rPr>
                <w:sz w:val="20"/>
                <w:szCs w:val="20"/>
                <w:color w:val="auto"/>
              </w:rPr>
            </w:pPr>
            <w:r>
              <w:rPr>
                <w:rFonts w:ascii="Times New Roman" w:cs="Times New Roman" w:eastAsia="Times New Roman" w:hAnsi="Times New Roman"/>
                <w:sz w:val="20"/>
                <w:szCs w:val="20"/>
                <w:color w:val="auto"/>
              </w:rPr>
              <w:t>Total stock-based compensation cost</w:t>
            </w:r>
          </w:p>
        </w:tc>
        <w:tc>
          <w:tcPr>
            <w:tcW w:w="1220" w:type="dxa"/>
            <w:vAlign w:val="bottom"/>
          </w:tcPr>
          <w:p>
            <w:pPr>
              <w:jc w:val="right"/>
              <w:ind w:right="959"/>
              <w:spacing w:after="0"/>
              <w:rPr>
                <w:sz w:val="20"/>
                <w:szCs w:val="20"/>
                <w:color w:val="auto"/>
              </w:rPr>
            </w:pPr>
            <w:r>
              <w:rPr>
                <w:rFonts w:ascii="Times New Roman" w:cs="Times New Roman" w:eastAsia="Times New Roman" w:hAnsi="Times New Roman"/>
                <w:sz w:val="20"/>
                <w:szCs w:val="20"/>
                <w:color w:val="auto"/>
              </w:rPr>
              <w:t>$</w:t>
            </w:r>
          </w:p>
        </w:tc>
        <w:tc>
          <w:tcPr>
            <w:tcW w:w="6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14,901</w:t>
            </w:r>
          </w:p>
        </w:tc>
        <w:tc>
          <w:tcPr>
            <w:tcW w:w="520" w:type="dxa"/>
            <w:vAlign w:val="bottom"/>
            <w:gridSpan w:val="2"/>
          </w:tcPr>
          <w:p>
            <w:pPr>
              <w:jc w:val="right"/>
              <w:ind w:right="199"/>
              <w:spacing w:after="0"/>
              <w:rPr>
                <w:sz w:val="20"/>
                <w:szCs w:val="20"/>
                <w:color w:val="auto"/>
              </w:rPr>
            </w:pPr>
            <w:r>
              <w:rPr>
                <w:rFonts w:ascii="Times New Roman" w:cs="Times New Roman" w:eastAsia="Times New Roman" w:hAnsi="Times New Roman"/>
                <w:sz w:val="20"/>
                <w:szCs w:val="20"/>
                <w:color w:val="auto"/>
              </w:rPr>
              <w:t>$</w:t>
            </w:r>
          </w:p>
        </w:tc>
        <w:tc>
          <w:tcPr>
            <w:tcW w:w="14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25,160</w:t>
            </w:r>
          </w:p>
        </w:tc>
        <w:tc>
          <w:tcPr>
            <w:tcW w:w="6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30,423</w:t>
            </w:r>
          </w:p>
        </w:tc>
      </w:tr>
      <w:tr>
        <w:trPr>
          <w:trHeight w:val="26"/>
        </w:trPr>
        <w:tc>
          <w:tcPr>
            <w:tcW w:w="4400" w:type="dxa"/>
            <w:vAlign w:val="bottom"/>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60" w:type="dxa"/>
            <w:vAlign w:val="bottom"/>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c>
          <w:tcPr>
            <w:tcW w:w="60" w:type="dxa"/>
            <w:vAlign w:val="bottom"/>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r>
      <w:tr>
        <w:trPr>
          <w:trHeight w:val="20"/>
        </w:trPr>
        <w:tc>
          <w:tcPr>
            <w:tcW w:w="440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5262880</wp:posOffset>
                </wp:positionH>
                <wp:positionV relativeFrom="paragraph">
                  <wp:posOffset>-1229360</wp:posOffset>
                </wp:positionV>
                <wp:extent cx="36195" cy="13335"/>
                <wp:wrapNone/>
                <wp:docPr id="99" name="Shape 99"/>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36195" cy="13335"/>
                        </a:xfrm>
                        <a:prstGeom prst="rect">
                          <a:avLst/>
                        </a:prstGeom>
                        <a:solidFill>
                          <a:srgbClr val="DDDDDD"/>
                        </a:solidFill>
                      </wps:spPr>
                      <wps:bodyPr/>
                    </wps:wsp>
                  </a:graphicData>
                </a:graphic>
              </wp:anchor>
            </w:drawing>
          </mc:Choice>
          <mc:Fallback>
            <w:pict>
              <v:rect id="Shape 99" o:spid="_x0000_s1124" style="position:absolute;margin-left:414.4pt;margin-top:-96.7999pt;width:2.85pt;height:1.05pt;z-index:-251657728;visibility:visible;mso-wrap-style:square;mso-width-percent:0;mso-height-percent:0;mso-wrap-distance-left:0pt;mso-wrap-distance-top:0;mso-wrap-distance-right:0pt;mso-wrap-distance-bottom:0;mso-position-horizontal:absolute;mso-position-horizontal-relative:text;mso-position-vertical:absolute;mso-position-vertical-relative:text;mso-width-percent:0;mso-height-percent:0;mso-width-relative:page;mso-height-relative:page;v-text-anchor:top" o:allowincell="f" fillcolor="#DDDDDD" stroked="f"/>
            </w:pict>
          </mc:Fallback>
        </mc:AlternateContent>
      </w:r>
    </w:p>
    <w:p>
      <w:pPr>
        <w:spacing w:after="0" w:line="251" w:lineRule="exact"/>
        <w:rPr>
          <w:sz w:val="20"/>
          <w:szCs w:val="20"/>
          <w:color w:val="auto"/>
        </w:rPr>
      </w:pPr>
    </w:p>
    <w:p>
      <w:pPr>
        <w:ind w:left="540" w:hanging="496"/>
        <w:spacing w:after="0"/>
        <w:tabs>
          <w:tab w:leader="none" w:pos="540" w:val="left"/>
        </w:tabs>
        <w:numPr>
          <w:ilvl w:val="0"/>
          <w:numId w:val="98"/>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b w:val="1"/>
          <w:bCs w:val="1"/>
          <w:color w:val="auto"/>
        </w:rPr>
        <w:t>Earnings Per Share</w:t>
      </w:r>
    </w:p>
    <w:p>
      <w:pPr>
        <w:spacing w:after="0" w:line="175" w:lineRule="exact"/>
        <w:rPr>
          <w:sz w:val="20"/>
          <w:szCs w:val="20"/>
          <w:color w:val="auto"/>
        </w:rPr>
      </w:pPr>
    </w:p>
    <w:p>
      <w:pPr>
        <w:jc w:val="both"/>
        <w:spacing w:after="0" w:line="293" w:lineRule="auto"/>
        <w:rPr>
          <w:sz w:val="20"/>
          <w:szCs w:val="20"/>
          <w:color w:val="auto"/>
        </w:rPr>
      </w:pPr>
      <w:r>
        <w:rPr>
          <w:rFonts w:ascii="Times New Roman" w:cs="Times New Roman" w:eastAsia="Times New Roman" w:hAnsi="Times New Roman"/>
          <w:sz w:val="20"/>
          <w:szCs w:val="20"/>
          <w:color w:val="auto"/>
        </w:rPr>
        <w:t>Basic income (loss) per share of Class A Common Stock is computed by dividing net earnings (loss) attributable to WM Technology, Inc. by the weighted-average number of shares of Class A Common Stock outstanding during the period. Diluted income (loss) per share of Class A Common Stock adjusts basic net income (loss) per share of Class A Common Stock for the potentially dilutive impact of securities. For warrants that are liability-classified, during periods when the impact is dilutive, the Company assumes share settlement of the instruments as of the beginning of the reporting period and adjusts the numerator to remove the change in fair value of the warrant liability, net of the portion attributable to non-controlling interests, and adjusts the denominator to include the dilutive shares calculated using the treasury stock method.</w:t>
      </w:r>
    </w:p>
    <w:p>
      <w:pPr>
        <w:spacing w:after="0" w:line="87" w:lineRule="exact"/>
        <w:rPr>
          <w:sz w:val="20"/>
          <w:szCs w:val="20"/>
          <w:color w:val="auto"/>
        </w:rPr>
      </w:pPr>
    </w:p>
    <w:p>
      <w:pPr>
        <w:jc w:val="both"/>
        <w:spacing w:after="0" w:line="299" w:lineRule="auto"/>
        <w:rPr>
          <w:sz w:val="20"/>
          <w:szCs w:val="20"/>
          <w:color w:val="auto"/>
        </w:rPr>
      </w:pPr>
      <w:r>
        <w:rPr>
          <w:rFonts w:ascii="Times New Roman" w:cs="Times New Roman" w:eastAsia="Times New Roman" w:hAnsi="Times New Roman"/>
          <w:sz w:val="20"/>
          <w:szCs w:val="20"/>
          <w:color w:val="auto"/>
        </w:rPr>
        <w:t>Prior to the Business Combination, the membership structure of WMH included units which had profit interests. The Company analyzed the calculation of net earnings (loss) per unit for periods prior to the Business Combination and determined that it resulted in values that would not be meaningful to the users of these consolidated financial statements. Therefore, net earnings per share information has not been presented for periods prior to the Business Combination on June 16, 2021. The basic and</w:t>
      </w:r>
    </w:p>
    <w:p>
      <w:pPr>
        <w:spacing w:after="0" w:line="10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F-33</w:t>
      </w:r>
    </w:p>
    <w:p>
      <w:pPr>
        <w:sectPr>
          <w:pgSz w:w="12240" w:h="15840" w:orient="portrait"/>
          <w:cols w:equalWidth="0" w:num="1">
            <w:col w:w="10260"/>
          </w:cols>
          <w:pgMar w:left="1000" w:top="731" w:right="980" w:bottom="222" w:gutter="0" w:footer="0" w:header="0"/>
        </w:sectPr>
      </w:pPr>
    </w:p>
    <w:bookmarkStart w:id="153" w:name="page154"/>
    <w:bookmarkEnd w:id="153"/>
    <w:p>
      <w:pPr>
        <w:jc w:val="center"/>
        <w:ind w:right="20"/>
        <w:spacing w:after="0"/>
        <w:rPr>
          <w:sz w:val="20"/>
          <w:szCs w:val="20"/>
          <w:color w:val="auto"/>
        </w:rPr>
      </w:pPr>
      <w:r>
        <w:rPr>
          <w:rFonts w:ascii="Times New Roman" w:cs="Times New Roman" w:eastAsia="Times New Roman" w:hAnsi="Times New Roman"/>
          <w:sz w:val="20"/>
          <w:szCs w:val="20"/>
          <w:b w:val="1"/>
          <w:bCs w:val="1"/>
          <w:color w:val="auto"/>
        </w:rPr>
        <w:t>WM TECHNOLOGY, INC. AND SUBSIDIARIES</w:t>
      </w:r>
    </w:p>
    <w:p>
      <w:pPr>
        <w:spacing w:after="0" w:line="4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NOTES TO CONSOLIDATED FINANCIAL STATEMENTS</w:t>
      </w:r>
    </w:p>
    <w:p>
      <w:pPr>
        <w:spacing w:after="0" w:line="286" w:lineRule="exact"/>
        <w:rPr>
          <w:sz w:val="20"/>
          <w:szCs w:val="20"/>
          <w:color w:val="auto"/>
        </w:rPr>
      </w:pPr>
    </w:p>
    <w:p>
      <w:pPr>
        <w:jc w:val="both"/>
        <w:spacing w:after="0" w:line="326" w:lineRule="auto"/>
        <w:rPr>
          <w:sz w:val="20"/>
          <w:szCs w:val="20"/>
          <w:color w:val="auto"/>
        </w:rPr>
      </w:pPr>
      <w:r>
        <w:rPr>
          <w:rFonts w:ascii="Times New Roman" w:cs="Times New Roman" w:eastAsia="Times New Roman" w:hAnsi="Times New Roman"/>
          <w:sz w:val="20"/>
          <w:szCs w:val="20"/>
          <w:color w:val="auto"/>
        </w:rPr>
        <w:t>diluted income (loss) per share for the year ended December 31, 2021 represent the period from June 16, 2021 (Closing Date) to December 31, 2021.</w:t>
      </w:r>
    </w:p>
    <w:p>
      <w:pPr>
        <w:spacing w:after="0" w:line="45" w:lineRule="exact"/>
        <w:rPr>
          <w:sz w:val="20"/>
          <w:szCs w:val="20"/>
          <w:color w:val="auto"/>
        </w:rPr>
      </w:pPr>
    </w:p>
    <w:p>
      <w:pPr>
        <w:jc w:val="both"/>
        <w:spacing w:after="0" w:line="309" w:lineRule="auto"/>
        <w:rPr>
          <w:sz w:val="20"/>
          <w:szCs w:val="20"/>
          <w:color w:val="auto"/>
        </w:rPr>
      </w:pPr>
      <w:r>
        <w:rPr>
          <w:rFonts w:ascii="Times New Roman" w:cs="Times New Roman" w:eastAsia="Times New Roman" w:hAnsi="Times New Roman"/>
          <w:sz w:val="20"/>
          <w:szCs w:val="20"/>
          <w:color w:val="auto"/>
        </w:rPr>
        <w:t>The computation of (loss) income per share attributable to WM Technology, Inc. and weighted-average shares of the Company’s Class A Common Stock outstanding are as follows for the years ended December 31, 2023, 2022 and 2021 (amounts in thousands, except for share and per share amounts):</w:t>
      </w:r>
    </w:p>
    <w:p>
      <w:pPr>
        <w:spacing w:after="0" w:line="111" w:lineRule="exact"/>
        <w:rPr>
          <w:sz w:val="20"/>
          <w:szCs w:val="20"/>
          <w:color w:val="auto"/>
        </w:rPr>
      </w:pPr>
    </w:p>
    <w:tbl>
      <w:tblPr>
        <w:tblLayout w:type="fixed"/>
        <w:tblInd w:w="0" w:type="dxa"/>
        <w:tblCellMar>
          <w:top w:w="0" w:type="dxa"/>
          <w:left w:w="0" w:type="dxa"/>
          <w:bottom w:w="0" w:type="dxa"/>
          <w:right w:w="0" w:type="dxa"/>
        </w:tblCellMar>
      </w:tblPr>
      <w:tr>
        <w:trPr>
          <w:trHeight w:val="262"/>
        </w:trPr>
        <w:tc>
          <w:tcPr>
            <w:tcW w:w="62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260" w:type="dxa"/>
            <w:vAlign w:val="bottom"/>
            <w:tcBorders>
              <w:bottom w:val="single" w:sz="8" w:color="auto"/>
            </w:tcBorders>
          </w:tcPr>
          <w:p>
            <w:pPr>
              <w:spacing w:after="0"/>
              <w:rPr>
                <w:sz w:val="22"/>
                <w:szCs w:val="22"/>
                <w:color w:val="auto"/>
              </w:rPr>
            </w:pPr>
          </w:p>
        </w:tc>
        <w:tc>
          <w:tcPr>
            <w:tcW w:w="3780" w:type="dxa"/>
            <w:vAlign w:val="bottom"/>
            <w:tcBorders>
              <w:bottom w:val="single" w:sz="8" w:color="auto"/>
            </w:tcBorders>
            <w:gridSpan w:val="9"/>
          </w:tcPr>
          <w:p>
            <w:pPr>
              <w:jc w:val="right"/>
              <w:ind w:right="779"/>
              <w:spacing w:after="0"/>
              <w:rPr>
                <w:sz w:val="20"/>
                <w:szCs w:val="20"/>
                <w:color w:val="auto"/>
              </w:rPr>
            </w:pPr>
            <w:r>
              <w:rPr>
                <w:rFonts w:ascii="Times New Roman" w:cs="Times New Roman" w:eastAsia="Times New Roman" w:hAnsi="Times New Roman"/>
                <w:sz w:val="20"/>
                <w:szCs w:val="20"/>
                <w:b w:val="1"/>
                <w:bCs w:val="1"/>
                <w:color w:val="auto"/>
              </w:rPr>
              <w:t>Years Ended December 31,</w:t>
            </w:r>
          </w:p>
        </w:tc>
        <w:tc>
          <w:tcPr>
            <w:tcW w:w="0" w:type="dxa"/>
            <w:vAlign w:val="bottom"/>
          </w:tcPr>
          <w:p>
            <w:pPr>
              <w:spacing w:after="0"/>
              <w:rPr>
                <w:sz w:val="1"/>
                <w:szCs w:val="1"/>
                <w:color w:val="auto"/>
              </w:rPr>
            </w:pPr>
          </w:p>
        </w:tc>
      </w:tr>
      <w:tr>
        <w:trPr>
          <w:trHeight w:val="262"/>
        </w:trPr>
        <w:tc>
          <w:tcPr>
            <w:tcW w:w="6200" w:type="dxa"/>
            <w:vAlign w:val="bottom"/>
            <w:tcBorders>
              <w:bottom w:val="single" w:sz="8" w:color="DDDDDD"/>
            </w:tcBorders>
          </w:tcPr>
          <w:p>
            <w:pPr>
              <w:spacing w:after="0"/>
              <w:rPr>
                <w:sz w:val="22"/>
                <w:szCs w:val="22"/>
                <w:color w:val="auto"/>
              </w:rPr>
            </w:pPr>
          </w:p>
        </w:tc>
        <w:tc>
          <w:tcPr>
            <w:tcW w:w="20" w:type="dxa"/>
            <w:vAlign w:val="bottom"/>
            <w:tcBorders>
              <w:bottom w:val="single" w:sz="8" w:color="DDDDDD"/>
            </w:tcBorders>
          </w:tcPr>
          <w:p>
            <w:pPr>
              <w:spacing w:after="0"/>
              <w:rPr>
                <w:sz w:val="22"/>
                <w:szCs w:val="22"/>
                <w:color w:val="auto"/>
              </w:rPr>
            </w:pPr>
          </w:p>
        </w:tc>
        <w:tc>
          <w:tcPr>
            <w:tcW w:w="260" w:type="dxa"/>
            <w:vAlign w:val="bottom"/>
            <w:tcBorders>
              <w:bottom w:val="single" w:sz="8" w:color="auto"/>
            </w:tcBorders>
          </w:tcPr>
          <w:p>
            <w:pPr>
              <w:spacing w:after="0"/>
              <w:rPr>
                <w:sz w:val="22"/>
                <w:szCs w:val="22"/>
                <w:color w:val="auto"/>
              </w:rPr>
            </w:pPr>
          </w:p>
        </w:tc>
        <w:tc>
          <w:tcPr>
            <w:tcW w:w="1040" w:type="dxa"/>
            <w:vAlign w:val="bottom"/>
            <w:tcBorders>
              <w:bottom w:val="single" w:sz="8" w:color="auto"/>
            </w:tcBorders>
          </w:tcPr>
          <w:p>
            <w:pPr>
              <w:jc w:val="right"/>
              <w:ind w:right="359"/>
              <w:spacing w:after="0"/>
              <w:rPr>
                <w:sz w:val="20"/>
                <w:szCs w:val="20"/>
                <w:color w:val="auto"/>
              </w:rPr>
            </w:pPr>
            <w:r>
              <w:rPr>
                <w:rFonts w:ascii="Times New Roman" w:cs="Times New Roman" w:eastAsia="Times New Roman" w:hAnsi="Times New Roman"/>
                <w:sz w:val="20"/>
                <w:szCs w:val="20"/>
                <w:b w:val="1"/>
                <w:bCs w:val="1"/>
                <w:color w:val="auto"/>
              </w:rPr>
              <w:t>2023</w:t>
            </w:r>
          </w:p>
        </w:tc>
        <w:tc>
          <w:tcPr>
            <w:tcW w:w="4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260" w:type="dxa"/>
            <w:vAlign w:val="bottom"/>
            <w:tcBorders>
              <w:bottom w:val="single" w:sz="8" w:color="auto"/>
            </w:tcBorders>
          </w:tcPr>
          <w:p>
            <w:pPr>
              <w:spacing w:after="0"/>
              <w:rPr>
                <w:sz w:val="22"/>
                <w:szCs w:val="22"/>
                <w:color w:val="auto"/>
              </w:rPr>
            </w:pPr>
          </w:p>
        </w:tc>
        <w:tc>
          <w:tcPr>
            <w:tcW w:w="1040" w:type="dxa"/>
            <w:vAlign w:val="bottom"/>
            <w:tcBorders>
              <w:bottom w:val="single" w:sz="8" w:color="auto"/>
            </w:tcBorders>
          </w:tcPr>
          <w:p>
            <w:pPr>
              <w:jc w:val="right"/>
              <w:ind w:right="359"/>
              <w:spacing w:after="0"/>
              <w:rPr>
                <w:sz w:val="20"/>
                <w:szCs w:val="20"/>
                <w:color w:val="auto"/>
              </w:rPr>
            </w:pPr>
            <w:r>
              <w:rPr>
                <w:rFonts w:ascii="Times New Roman" w:cs="Times New Roman" w:eastAsia="Times New Roman" w:hAnsi="Times New Roman"/>
                <w:sz w:val="20"/>
                <w:szCs w:val="20"/>
                <w:b w:val="1"/>
                <w:bCs w:val="1"/>
                <w:color w:val="auto"/>
              </w:rPr>
              <w:t>2022</w:t>
            </w:r>
          </w:p>
        </w:tc>
        <w:tc>
          <w:tcPr>
            <w:tcW w:w="60" w:type="dxa"/>
            <w:vAlign w:val="bottom"/>
            <w:tcBorders>
              <w:bottom w:val="single" w:sz="8" w:color="DDDDDD"/>
            </w:tcBorders>
          </w:tcPr>
          <w:p>
            <w:pPr>
              <w:spacing w:after="0"/>
              <w:rPr>
                <w:sz w:val="22"/>
                <w:szCs w:val="22"/>
                <w:color w:val="auto"/>
              </w:rPr>
            </w:pPr>
          </w:p>
        </w:tc>
        <w:tc>
          <w:tcPr>
            <w:tcW w:w="20" w:type="dxa"/>
            <w:vAlign w:val="bottom"/>
            <w:tcBorders>
              <w:bottom w:val="single" w:sz="8" w:color="DDDDDD"/>
            </w:tcBorders>
          </w:tcPr>
          <w:p>
            <w:pPr>
              <w:spacing w:after="0"/>
              <w:rPr>
                <w:sz w:val="22"/>
                <w:szCs w:val="22"/>
                <w:color w:val="auto"/>
              </w:rPr>
            </w:pPr>
          </w:p>
        </w:tc>
        <w:tc>
          <w:tcPr>
            <w:tcW w:w="260" w:type="dxa"/>
            <w:vAlign w:val="bottom"/>
            <w:tcBorders>
              <w:bottom w:val="single" w:sz="8" w:color="auto"/>
            </w:tcBorders>
          </w:tcPr>
          <w:p>
            <w:pPr>
              <w:spacing w:after="0"/>
              <w:rPr>
                <w:sz w:val="22"/>
                <w:szCs w:val="22"/>
                <w:color w:val="auto"/>
              </w:rPr>
            </w:pPr>
          </w:p>
        </w:tc>
        <w:tc>
          <w:tcPr>
            <w:tcW w:w="1040" w:type="dxa"/>
            <w:vAlign w:val="bottom"/>
            <w:tcBorders>
              <w:bottom w:val="single" w:sz="8" w:color="auto"/>
            </w:tcBorders>
          </w:tcPr>
          <w:p>
            <w:pPr>
              <w:jc w:val="right"/>
              <w:ind w:right="359"/>
              <w:spacing w:after="0"/>
              <w:rPr>
                <w:sz w:val="20"/>
                <w:szCs w:val="20"/>
                <w:color w:val="auto"/>
              </w:rPr>
            </w:pPr>
            <w:r>
              <w:rPr>
                <w:rFonts w:ascii="Times New Roman" w:cs="Times New Roman" w:eastAsia="Times New Roman" w:hAnsi="Times New Roman"/>
                <w:sz w:val="20"/>
                <w:szCs w:val="20"/>
                <w:b w:val="1"/>
                <w:bCs w:val="1"/>
                <w:color w:val="auto"/>
              </w:rPr>
              <w:t>2021</w:t>
            </w:r>
          </w:p>
        </w:tc>
        <w:tc>
          <w:tcPr>
            <w:tcW w:w="0" w:type="dxa"/>
            <w:vAlign w:val="bottom"/>
          </w:tcPr>
          <w:p>
            <w:pPr>
              <w:spacing w:after="0"/>
              <w:rPr>
                <w:sz w:val="1"/>
                <w:szCs w:val="1"/>
                <w:color w:val="auto"/>
              </w:rPr>
            </w:pPr>
          </w:p>
        </w:tc>
      </w:tr>
      <w:tr>
        <w:trPr>
          <w:trHeight w:val="266"/>
        </w:trPr>
        <w:tc>
          <w:tcPr>
            <w:tcW w:w="6220" w:type="dxa"/>
            <w:vAlign w:val="bottom"/>
            <w:gridSpan w:val="2"/>
            <w:shd w:val="clear" w:color="auto" w:fill="DDDDDD"/>
          </w:tcPr>
          <w:p>
            <w:pPr>
              <w:ind w:left="40"/>
              <w:spacing w:after="0"/>
              <w:rPr>
                <w:sz w:val="20"/>
                <w:szCs w:val="20"/>
                <w:color w:val="auto"/>
              </w:rPr>
            </w:pPr>
            <w:r>
              <w:rPr>
                <w:rFonts w:ascii="Times New Roman" w:cs="Times New Roman" w:eastAsia="Times New Roman" w:hAnsi="Times New Roman"/>
                <w:sz w:val="20"/>
                <w:szCs w:val="20"/>
                <w:b w:val="1"/>
                <w:bCs w:val="1"/>
                <w:color w:val="auto"/>
              </w:rPr>
              <w:t>Numerator:</w:t>
            </w:r>
          </w:p>
        </w:tc>
        <w:tc>
          <w:tcPr>
            <w:tcW w:w="260" w:type="dxa"/>
            <w:vAlign w:val="bottom"/>
            <w:shd w:val="clear" w:color="auto" w:fill="DDDDDD"/>
          </w:tcPr>
          <w:p>
            <w:pPr>
              <w:spacing w:after="0"/>
              <w:rPr>
                <w:sz w:val="23"/>
                <w:szCs w:val="23"/>
                <w:color w:val="auto"/>
              </w:rPr>
            </w:pPr>
          </w:p>
        </w:tc>
        <w:tc>
          <w:tcPr>
            <w:tcW w:w="1040" w:type="dxa"/>
            <w:vAlign w:val="bottom"/>
            <w:shd w:val="clear" w:color="auto" w:fill="DDDDDD"/>
          </w:tcPr>
          <w:p>
            <w:pPr>
              <w:spacing w:after="0"/>
              <w:rPr>
                <w:sz w:val="23"/>
                <w:szCs w:val="23"/>
                <w:color w:val="auto"/>
              </w:rPr>
            </w:pPr>
          </w:p>
        </w:tc>
        <w:tc>
          <w:tcPr>
            <w:tcW w:w="40" w:type="dxa"/>
            <w:vAlign w:val="bottom"/>
            <w:shd w:val="clear" w:color="auto" w:fill="DDDDDD"/>
          </w:tcPr>
          <w:p>
            <w:pPr>
              <w:spacing w:after="0"/>
              <w:rPr>
                <w:sz w:val="23"/>
                <w:szCs w:val="23"/>
                <w:color w:val="auto"/>
              </w:rPr>
            </w:pPr>
          </w:p>
        </w:tc>
        <w:tc>
          <w:tcPr>
            <w:tcW w:w="20" w:type="dxa"/>
            <w:vAlign w:val="bottom"/>
            <w:shd w:val="clear" w:color="auto" w:fill="DDDDDD"/>
          </w:tcPr>
          <w:p>
            <w:pPr>
              <w:spacing w:after="0"/>
              <w:rPr>
                <w:sz w:val="23"/>
                <w:szCs w:val="23"/>
                <w:color w:val="auto"/>
              </w:rPr>
            </w:pPr>
          </w:p>
        </w:tc>
        <w:tc>
          <w:tcPr>
            <w:tcW w:w="260" w:type="dxa"/>
            <w:vAlign w:val="bottom"/>
            <w:shd w:val="clear" w:color="auto" w:fill="DDDDDD"/>
          </w:tcPr>
          <w:p>
            <w:pPr>
              <w:spacing w:after="0"/>
              <w:rPr>
                <w:sz w:val="23"/>
                <w:szCs w:val="23"/>
                <w:color w:val="auto"/>
              </w:rPr>
            </w:pPr>
          </w:p>
        </w:tc>
        <w:tc>
          <w:tcPr>
            <w:tcW w:w="1040" w:type="dxa"/>
            <w:vAlign w:val="bottom"/>
            <w:shd w:val="clear" w:color="auto" w:fill="DDDDDD"/>
          </w:tcPr>
          <w:p>
            <w:pPr>
              <w:spacing w:after="0"/>
              <w:rPr>
                <w:sz w:val="23"/>
                <w:szCs w:val="23"/>
                <w:color w:val="auto"/>
              </w:rPr>
            </w:pPr>
          </w:p>
        </w:tc>
        <w:tc>
          <w:tcPr>
            <w:tcW w:w="60" w:type="dxa"/>
            <w:vAlign w:val="bottom"/>
            <w:shd w:val="clear" w:color="auto" w:fill="DDDDDD"/>
          </w:tcPr>
          <w:p>
            <w:pPr>
              <w:spacing w:after="0"/>
              <w:rPr>
                <w:sz w:val="23"/>
                <w:szCs w:val="23"/>
                <w:color w:val="auto"/>
              </w:rPr>
            </w:pPr>
          </w:p>
        </w:tc>
        <w:tc>
          <w:tcPr>
            <w:tcW w:w="20" w:type="dxa"/>
            <w:vAlign w:val="bottom"/>
            <w:shd w:val="clear" w:color="auto" w:fill="DDDDDD"/>
          </w:tcPr>
          <w:p>
            <w:pPr>
              <w:spacing w:after="0"/>
              <w:rPr>
                <w:sz w:val="23"/>
                <w:szCs w:val="23"/>
                <w:color w:val="auto"/>
              </w:rPr>
            </w:pPr>
          </w:p>
        </w:tc>
        <w:tc>
          <w:tcPr>
            <w:tcW w:w="260" w:type="dxa"/>
            <w:vAlign w:val="bottom"/>
            <w:shd w:val="clear" w:color="auto" w:fill="DDDDDD"/>
          </w:tcPr>
          <w:p>
            <w:pPr>
              <w:spacing w:after="0"/>
              <w:rPr>
                <w:sz w:val="23"/>
                <w:szCs w:val="23"/>
                <w:color w:val="auto"/>
              </w:rPr>
            </w:pPr>
          </w:p>
        </w:tc>
        <w:tc>
          <w:tcPr>
            <w:tcW w:w="1040" w:type="dxa"/>
            <w:vAlign w:val="bottom"/>
            <w:shd w:val="clear" w:color="auto" w:fill="DDDDDD"/>
          </w:tcPr>
          <w:p>
            <w:pPr>
              <w:spacing w:after="0"/>
              <w:rPr>
                <w:sz w:val="23"/>
                <w:szCs w:val="23"/>
                <w:color w:val="auto"/>
              </w:rPr>
            </w:pPr>
          </w:p>
        </w:tc>
        <w:tc>
          <w:tcPr>
            <w:tcW w:w="0" w:type="dxa"/>
            <w:vAlign w:val="bottom"/>
          </w:tcPr>
          <w:p>
            <w:pPr>
              <w:spacing w:after="0"/>
              <w:rPr>
                <w:sz w:val="1"/>
                <w:szCs w:val="1"/>
                <w:color w:val="auto"/>
              </w:rPr>
            </w:pPr>
          </w:p>
        </w:tc>
      </w:tr>
      <w:tr>
        <w:trPr>
          <w:trHeight w:val="281"/>
        </w:trPr>
        <w:tc>
          <w:tcPr>
            <w:tcW w:w="6220" w:type="dxa"/>
            <w:vAlign w:val="bottom"/>
            <w:gridSpan w:val="2"/>
          </w:tcPr>
          <w:p>
            <w:pPr>
              <w:ind w:left="40"/>
              <w:spacing w:after="0"/>
              <w:rPr>
                <w:sz w:val="20"/>
                <w:szCs w:val="20"/>
                <w:color w:val="auto"/>
              </w:rPr>
            </w:pPr>
            <w:r>
              <w:rPr>
                <w:rFonts w:ascii="Times New Roman" w:cs="Times New Roman" w:eastAsia="Times New Roman" w:hAnsi="Times New Roman"/>
                <w:sz w:val="20"/>
                <w:szCs w:val="20"/>
                <w:color w:val="auto"/>
              </w:rPr>
              <w:t>Net income (loss)</w:t>
            </w:r>
          </w:p>
        </w:tc>
        <w:tc>
          <w:tcPr>
            <w:tcW w:w="2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(15,727)</w:t>
            </w:r>
          </w:p>
        </w:tc>
        <w:tc>
          <w:tcPr>
            <w:tcW w:w="320" w:type="dxa"/>
            <w:vAlign w:val="bottom"/>
            <w:gridSpan w:val="3"/>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(82,651)</w:t>
            </w:r>
          </w:p>
        </w:tc>
        <w:tc>
          <w:tcPr>
            <w:tcW w:w="340" w:type="dxa"/>
            <w:vAlign w:val="bottom"/>
            <w:gridSpan w:val="3"/>
          </w:tcPr>
          <w:p>
            <w:pPr>
              <w:jc w:val="right"/>
              <w:ind w:right="19"/>
              <w:spacing w:after="0"/>
              <w:rPr>
                <w:sz w:val="20"/>
                <w:szCs w:val="20"/>
                <w:color w:val="auto"/>
              </w:rPr>
            </w:pPr>
            <w:r>
              <w:rPr>
                <w:rFonts w:ascii="Times New Roman" w:cs="Times New Roman" w:eastAsia="Times New Roman" w:hAnsi="Times New Roman"/>
                <w:sz w:val="20"/>
                <w:szCs w:val="20"/>
                <w:color w:val="auto"/>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152,218</w:t>
            </w:r>
          </w:p>
        </w:tc>
        <w:tc>
          <w:tcPr>
            <w:tcW w:w="0" w:type="dxa"/>
            <w:vAlign w:val="bottom"/>
          </w:tcPr>
          <w:p>
            <w:pPr>
              <w:spacing w:after="0"/>
              <w:rPr>
                <w:sz w:val="1"/>
                <w:szCs w:val="1"/>
                <w:color w:val="auto"/>
              </w:rPr>
            </w:pPr>
          </w:p>
        </w:tc>
      </w:tr>
      <w:tr>
        <w:trPr>
          <w:trHeight w:val="288"/>
        </w:trPr>
        <w:tc>
          <w:tcPr>
            <w:tcW w:w="6220" w:type="dxa"/>
            <w:vAlign w:val="bottom"/>
            <w:gridSpan w:val="2"/>
            <w:shd w:val="clear" w:color="auto" w:fill="DDDDDD"/>
          </w:tcPr>
          <w:p>
            <w:pPr>
              <w:ind w:left="40"/>
              <w:spacing w:after="0"/>
              <w:rPr>
                <w:sz w:val="20"/>
                <w:szCs w:val="20"/>
                <w:color w:val="auto"/>
              </w:rPr>
            </w:pPr>
            <w:r>
              <w:rPr>
                <w:rFonts w:ascii="Times New Roman" w:cs="Times New Roman" w:eastAsia="Times New Roman" w:hAnsi="Times New Roman"/>
                <w:sz w:val="20"/>
                <w:szCs w:val="20"/>
                <w:color w:val="auto"/>
              </w:rPr>
              <w:t>Less: net income attributable to WMH prior to the Business Combination</w:t>
            </w:r>
          </w:p>
        </w:tc>
        <w:tc>
          <w:tcPr>
            <w:tcW w:w="260" w:type="dxa"/>
            <w:vAlign w:val="bottom"/>
            <w:shd w:val="clear" w:color="auto" w:fill="DDDDDD"/>
          </w:tcPr>
          <w:p>
            <w:pPr>
              <w:spacing w:after="0"/>
              <w:rPr>
                <w:sz w:val="24"/>
                <w:szCs w:val="24"/>
                <w:color w:val="auto"/>
              </w:rPr>
            </w:pPr>
          </w:p>
        </w:tc>
        <w:tc>
          <w:tcPr>
            <w:tcW w:w="1040" w:type="dxa"/>
            <w:vAlign w:val="bottom"/>
            <w:shd w:val="clear" w:color="auto" w:fill="DDDDDD"/>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40" w:type="dxa"/>
            <w:vAlign w:val="bottom"/>
            <w:shd w:val="clear" w:color="auto" w:fill="DDDDDD"/>
          </w:tcPr>
          <w:p>
            <w:pPr>
              <w:spacing w:after="0"/>
              <w:rPr>
                <w:sz w:val="24"/>
                <w:szCs w:val="24"/>
                <w:color w:val="auto"/>
              </w:rPr>
            </w:pPr>
          </w:p>
        </w:tc>
        <w:tc>
          <w:tcPr>
            <w:tcW w:w="20" w:type="dxa"/>
            <w:vAlign w:val="bottom"/>
            <w:shd w:val="clear" w:color="auto" w:fill="DDDDDD"/>
          </w:tcPr>
          <w:p>
            <w:pPr>
              <w:spacing w:after="0"/>
              <w:rPr>
                <w:sz w:val="24"/>
                <w:szCs w:val="24"/>
                <w:color w:val="auto"/>
              </w:rPr>
            </w:pPr>
          </w:p>
        </w:tc>
        <w:tc>
          <w:tcPr>
            <w:tcW w:w="260" w:type="dxa"/>
            <w:vAlign w:val="bottom"/>
            <w:shd w:val="clear" w:color="auto" w:fill="DDDDDD"/>
          </w:tcPr>
          <w:p>
            <w:pPr>
              <w:spacing w:after="0"/>
              <w:rPr>
                <w:sz w:val="24"/>
                <w:szCs w:val="24"/>
                <w:color w:val="auto"/>
              </w:rPr>
            </w:pPr>
          </w:p>
        </w:tc>
        <w:tc>
          <w:tcPr>
            <w:tcW w:w="1040" w:type="dxa"/>
            <w:vAlign w:val="bottom"/>
            <w:shd w:val="clear" w:color="auto" w:fill="DDDDDD"/>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60" w:type="dxa"/>
            <w:vAlign w:val="bottom"/>
            <w:shd w:val="clear" w:color="auto" w:fill="DDDDDD"/>
          </w:tcPr>
          <w:p>
            <w:pPr>
              <w:spacing w:after="0"/>
              <w:rPr>
                <w:sz w:val="24"/>
                <w:szCs w:val="24"/>
                <w:color w:val="auto"/>
              </w:rPr>
            </w:pPr>
          </w:p>
        </w:tc>
        <w:tc>
          <w:tcPr>
            <w:tcW w:w="20" w:type="dxa"/>
            <w:vAlign w:val="bottom"/>
            <w:shd w:val="clear" w:color="auto" w:fill="DDDDDD"/>
          </w:tcPr>
          <w:p>
            <w:pPr>
              <w:spacing w:after="0"/>
              <w:rPr>
                <w:sz w:val="24"/>
                <w:szCs w:val="24"/>
                <w:color w:val="auto"/>
              </w:rPr>
            </w:pPr>
          </w:p>
        </w:tc>
        <w:tc>
          <w:tcPr>
            <w:tcW w:w="260" w:type="dxa"/>
            <w:vAlign w:val="bottom"/>
            <w:shd w:val="clear" w:color="auto" w:fill="DDDDDD"/>
          </w:tcPr>
          <w:p>
            <w:pPr>
              <w:spacing w:after="0"/>
              <w:rPr>
                <w:sz w:val="24"/>
                <w:szCs w:val="24"/>
                <w:color w:val="auto"/>
              </w:rPr>
            </w:pPr>
          </w:p>
        </w:tc>
        <w:tc>
          <w:tcPr>
            <w:tcW w:w="1040" w:type="dxa"/>
            <w:vAlign w:val="bottom"/>
            <w:shd w:val="clear" w:color="auto" w:fill="DDDDDD"/>
          </w:tcPr>
          <w:p>
            <w:pPr>
              <w:jc w:val="right"/>
              <w:spacing w:after="0"/>
              <w:rPr>
                <w:sz w:val="20"/>
                <w:szCs w:val="20"/>
                <w:color w:val="auto"/>
              </w:rPr>
            </w:pPr>
            <w:r>
              <w:rPr>
                <w:rFonts w:ascii="Times New Roman" w:cs="Times New Roman" w:eastAsia="Times New Roman" w:hAnsi="Times New Roman"/>
                <w:sz w:val="20"/>
                <w:szCs w:val="20"/>
                <w:color w:val="auto"/>
              </w:rPr>
              <w:t>15,078</w:t>
            </w:r>
          </w:p>
        </w:tc>
        <w:tc>
          <w:tcPr>
            <w:tcW w:w="0" w:type="dxa"/>
            <w:vAlign w:val="bottom"/>
          </w:tcPr>
          <w:p>
            <w:pPr>
              <w:spacing w:after="0"/>
              <w:rPr>
                <w:sz w:val="1"/>
                <w:szCs w:val="1"/>
                <w:color w:val="auto"/>
              </w:rPr>
            </w:pPr>
          </w:p>
        </w:tc>
      </w:tr>
      <w:tr>
        <w:trPr>
          <w:trHeight w:val="258"/>
        </w:trPr>
        <w:tc>
          <w:tcPr>
            <w:tcW w:w="6220" w:type="dxa"/>
            <w:vAlign w:val="bottom"/>
            <w:gridSpan w:val="2"/>
          </w:tcPr>
          <w:p>
            <w:pPr>
              <w:ind w:left="40"/>
              <w:spacing w:after="0"/>
              <w:rPr>
                <w:sz w:val="20"/>
                <w:szCs w:val="20"/>
                <w:color w:val="auto"/>
              </w:rPr>
            </w:pPr>
            <w:r>
              <w:rPr>
                <w:rFonts w:ascii="Times New Roman" w:cs="Times New Roman" w:eastAsia="Times New Roman" w:hAnsi="Times New Roman"/>
                <w:sz w:val="20"/>
                <w:szCs w:val="20"/>
                <w:color w:val="auto"/>
              </w:rPr>
              <w:t>Less: net income (loss) attributable to noncontrolling interests after the</w:t>
            </w:r>
          </w:p>
        </w:tc>
        <w:tc>
          <w:tcPr>
            <w:tcW w:w="260" w:type="dxa"/>
            <w:vAlign w:val="bottom"/>
          </w:tcPr>
          <w:p>
            <w:pPr>
              <w:spacing w:after="0"/>
              <w:rPr>
                <w:sz w:val="22"/>
                <w:szCs w:val="22"/>
                <w:color w:val="auto"/>
              </w:rPr>
            </w:pPr>
          </w:p>
        </w:tc>
        <w:tc>
          <w:tcPr>
            <w:tcW w:w="1040" w:type="dxa"/>
            <w:vAlign w:val="bottom"/>
            <w:vMerge w:val="restart"/>
          </w:tcPr>
          <w:p>
            <w:pPr>
              <w:jc w:val="right"/>
              <w:spacing w:after="0"/>
              <w:rPr>
                <w:sz w:val="20"/>
                <w:szCs w:val="20"/>
                <w:color w:val="auto"/>
              </w:rPr>
            </w:pPr>
            <w:r>
              <w:rPr>
                <w:rFonts w:ascii="Times New Roman" w:cs="Times New Roman" w:eastAsia="Times New Roman" w:hAnsi="Times New Roman"/>
                <w:sz w:val="20"/>
                <w:szCs w:val="20"/>
                <w:color w:val="auto"/>
              </w:rPr>
              <w:t>(5,829)</w:t>
            </w:r>
          </w:p>
        </w:tc>
        <w:tc>
          <w:tcPr>
            <w:tcW w:w="4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1040" w:type="dxa"/>
            <w:vAlign w:val="bottom"/>
            <w:vMerge w:val="restart"/>
          </w:tcPr>
          <w:p>
            <w:pPr>
              <w:jc w:val="right"/>
              <w:spacing w:after="0"/>
              <w:rPr>
                <w:sz w:val="20"/>
                <w:szCs w:val="20"/>
                <w:color w:val="auto"/>
              </w:rPr>
            </w:pPr>
            <w:r>
              <w:rPr>
                <w:rFonts w:ascii="Times New Roman" w:cs="Times New Roman" w:eastAsia="Times New Roman" w:hAnsi="Times New Roman"/>
                <w:sz w:val="20"/>
                <w:szCs w:val="20"/>
                <w:color w:val="auto"/>
              </w:rPr>
              <w:t>33,338</w:t>
            </w:r>
          </w:p>
        </w:tc>
        <w:tc>
          <w:tcPr>
            <w:tcW w:w="6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1040" w:type="dxa"/>
            <w:vAlign w:val="bottom"/>
            <w:vMerge w:val="restart"/>
          </w:tcPr>
          <w:p>
            <w:pPr>
              <w:jc w:val="right"/>
              <w:spacing w:after="0"/>
              <w:rPr>
                <w:sz w:val="20"/>
                <w:szCs w:val="20"/>
                <w:color w:val="auto"/>
              </w:rPr>
            </w:pPr>
            <w:r>
              <w:rPr>
                <w:rFonts w:ascii="Times New Roman" w:cs="Times New Roman" w:eastAsia="Times New Roman" w:hAnsi="Times New Roman"/>
                <w:sz w:val="20"/>
                <w:szCs w:val="20"/>
                <w:color w:val="auto"/>
              </w:rPr>
              <w:t>76,757</w:t>
            </w:r>
          </w:p>
        </w:tc>
        <w:tc>
          <w:tcPr>
            <w:tcW w:w="0" w:type="dxa"/>
            <w:vAlign w:val="bottom"/>
          </w:tcPr>
          <w:p>
            <w:pPr>
              <w:spacing w:after="0"/>
              <w:rPr>
                <w:sz w:val="1"/>
                <w:szCs w:val="1"/>
                <w:color w:val="auto"/>
              </w:rPr>
            </w:pPr>
          </w:p>
        </w:tc>
      </w:tr>
      <w:tr>
        <w:trPr>
          <w:trHeight w:val="202"/>
        </w:trPr>
        <w:tc>
          <w:tcPr>
            <w:tcW w:w="6220" w:type="dxa"/>
            <w:vAlign w:val="bottom"/>
            <w:tcBorders>
              <w:bottom w:val="single" w:sz="8" w:color="DDDDDD"/>
            </w:tcBorders>
            <w:gridSpan w:val="2"/>
          </w:tcPr>
          <w:p>
            <w:pPr>
              <w:ind w:left="40"/>
              <w:spacing w:after="0" w:line="203" w:lineRule="exact"/>
              <w:rPr>
                <w:sz w:val="20"/>
                <w:szCs w:val="20"/>
                <w:color w:val="auto"/>
              </w:rPr>
            </w:pPr>
            <w:r>
              <w:rPr>
                <w:rFonts w:ascii="Times New Roman" w:cs="Times New Roman" w:eastAsia="Times New Roman" w:hAnsi="Times New Roman"/>
                <w:sz w:val="20"/>
                <w:szCs w:val="20"/>
                <w:color w:val="auto"/>
              </w:rPr>
              <w:t>Business Combination</w:t>
            </w:r>
          </w:p>
        </w:tc>
        <w:tc>
          <w:tcPr>
            <w:tcW w:w="260" w:type="dxa"/>
            <w:vAlign w:val="bottom"/>
            <w:tcBorders>
              <w:bottom w:val="single" w:sz="8" w:color="auto"/>
            </w:tcBorders>
          </w:tcPr>
          <w:p>
            <w:pPr>
              <w:spacing w:after="0"/>
              <w:rPr>
                <w:sz w:val="17"/>
                <w:szCs w:val="17"/>
                <w:color w:val="auto"/>
              </w:rPr>
            </w:pPr>
          </w:p>
        </w:tc>
        <w:tc>
          <w:tcPr>
            <w:tcW w:w="1040" w:type="dxa"/>
            <w:vAlign w:val="bottom"/>
            <w:tcBorders>
              <w:bottom w:val="single" w:sz="8" w:color="auto"/>
            </w:tcBorders>
            <w:vMerge w:val="continue"/>
          </w:tcPr>
          <w:p>
            <w:pPr>
              <w:spacing w:after="0"/>
              <w:rPr>
                <w:sz w:val="17"/>
                <w:szCs w:val="17"/>
                <w:color w:val="auto"/>
              </w:rPr>
            </w:pPr>
          </w:p>
        </w:tc>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1040" w:type="dxa"/>
            <w:vAlign w:val="bottom"/>
            <w:tcBorders>
              <w:bottom w:val="single" w:sz="8" w:color="auto"/>
            </w:tcBorders>
            <w:vMerge w:val="continue"/>
          </w:tcPr>
          <w:p>
            <w:pPr>
              <w:spacing w:after="0"/>
              <w:rPr>
                <w:sz w:val="17"/>
                <w:szCs w:val="17"/>
                <w:color w:val="auto"/>
              </w:rPr>
            </w:pPr>
          </w:p>
        </w:tc>
        <w:tc>
          <w:tcPr>
            <w:tcW w:w="60" w:type="dxa"/>
            <w:vAlign w:val="bottom"/>
            <w:tcBorders>
              <w:bottom w:val="single" w:sz="8" w:color="DDDDDD"/>
            </w:tcBorders>
          </w:tcPr>
          <w:p>
            <w:pPr>
              <w:spacing w:after="0"/>
              <w:rPr>
                <w:sz w:val="17"/>
                <w:szCs w:val="17"/>
                <w:color w:val="auto"/>
              </w:rPr>
            </w:pPr>
          </w:p>
        </w:tc>
        <w:tc>
          <w:tcPr>
            <w:tcW w:w="20" w:type="dxa"/>
            <w:vAlign w:val="bottom"/>
            <w:tcBorders>
              <w:bottom w:val="single" w:sz="8" w:color="DDDDDD"/>
            </w:tcBorders>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1040" w:type="dxa"/>
            <w:vAlign w:val="bottom"/>
            <w:tcBorders>
              <w:bottom w:val="single" w:sz="8" w:color="auto"/>
            </w:tcBorders>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68"/>
        </w:trPr>
        <w:tc>
          <w:tcPr>
            <w:tcW w:w="6220" w:type="dxa"/>
            <w:vAlign w:val="bottom"/>
            <w:gridSpan w:val="2"/>
            <w:shd w:val="clear" w:color="auto" w:fill="DDDDDD"/>
          </w:tcPr>
          <w:p>
            <w:pPr>
              <w:ind w:left="160"/>
              <w:spacing w:after="0"/>
              <w:rPr>
                <w:sz w:val="20"/>
                <w:szCs w:val="20"/>
                <w:color w:val="auto"/>
              </w:rPr>
            </w:pPr>
            <w:r>
              <w:rPr>
                <w:rFonts w:ascii="Times New Roman" w:cs="Times New Roman" w:eastAsia="Times New Roman" w:hAnsi="Times New Roman"/>
                <w:sz w:val="20"/>
                <w:szCs w:val="20"/>
                <w:color w:val="auto"/>
              </w:rPr>
              <w:t>Net income (loss) attributable to WM Technology, Inc. - basic</w:t>
            </w:r>
          </w:p>
        </w:tc>
        <w:tc>
          <w:tcPr>
            <w:tcW w:w="260" w:type="dxa"/>
            <w:vAlign w:val="bottom"/>
            <w:shd w:val="clear" w:color="auto" w:fill="DDDDDD"/>
          </w:tcPr>
          <w:p>
            <w:pPr>
              <w:spacing w:after="0"/>
              <w:rPr>
                <w:sz w:val="23"/>
                <w:szCs w:val="23"/>
                <w:color w:val="auto"/>
              </w:rPr>
            </w:pPr>
          </w:p>
        </w:tc>
        <w:tc>
          <w:tcPr>
            <w:tcW w:w="1040" w:type="dxa"/>
            <w:vAlign w:val="bottom"/>
            <w:shd w:val="clear" w:color="auto" w:fill="DDDDDD"/>
          </w:tcPr>
          <w:p>
            <w:pPr>
              <w:jc w:val="right"/>
              <w:spacing w:after="0"/>
              <w:rPr>
                <w:sz w:val="20"/>
                <w:szCs w:val="20"/>
                <w:color w:val="auto"/>
              </w:rPr>
            </w:pPr>
            <w:r>
              <w:rPr>
                <w:rFonts w:ascii="Times New Roman" w:cs="Times New Roman" w:eastAsia="Times New Roman" w:hAnsi="Times New Roman"/>
                <w:sz w:val="20"/>
                <w:szCs w:val="20"/>
                <w:color w:val="auto"/>
              </w:rPr>
              <w:t>(9,898)</w:t>
            </w:r>
          </w:p>
        </w:tc>
        <w:tc>
          <w:tcPr>
            <w:tcW w:w="40" w:type="dxa"/>
            <w:vAlign w:val="bottom"/>
            <w:shd w:val="clear" w:color="auto" w:fill="DDDDDD"/>
          </w:tcPr>
          <w:p>
            <w:pPr>
              <w:spacing w:after="0"/>
              <w:rPr>
                <w:sz w:val="23"/>
                <w:szCs w:val="23"/>
                <w:color w:val="auto"/>
              </w:rPr>
            </w:pPr>
          </w:p>
        </w:tc>
        <w:tc>
          <w:tcPr>
            <w:tcW w:w="20" w:type="dxa"/>
            <w:vAlign w:val="bottom"/>
            <w:shd w:val="clear" w:color="auto" w:fill="DDDDDD"/>
          </w:tcPr>
          <w:p>
            <w:pPr>
              <w:spacing w:after="0"/>
              <w:rPr>
                <w:sz w:val="23"/>
                <w:szCs w:val="23"/>
                <w:color w:val="auto"/>
              </w:rPr>
            </w:pPr>
          </w:p>
        </w:tc>
        <w:tc>
          <w:tcPr>
            <w:tcW w:w="260" w:type="dxa"/>
            <w:vAlign w:val="bottom"/>
            <w:shd w:val="clear" w:color="auto" w:fill="DDDDDD"/>
          </w:tcPr>
          <w:p>
            <w:pPr>
              <w:spacing w:after="0"/>
              <w:rPr>
                <w:sz w:val="23"/>
                <w:szCs w:val="23"/>
                <w:color w:val="auto"/>
              </w:rPr>
            </w:pPr>
          </w:p>
        </w:tc>
        <w:tc>
          <w:tcPr>
            <w:tcW w:w="1040" w:type="dxa"/>
            <w:vAlign w:val="bottom"/>
            <w:shd w:val="clear" w:color="auto" w:fill="DDDDDD"/>
          </w:tcPr>
          <w:p>
            <w:pPr>
              <w:jc w:val="right"/>
              <w:spacing w:after="0"/>
              <w:rPr>
                <w:sz w:val="20"/>
                <w:szCs w:val="20"/>
                <w:color w:val="auto"/>
              </w:rPr>
            </w:pPr>
            <w:r>
              <w:rPr>
                <w:rFonts w:ascii="Times New Roman" w:cs="Times New Roman" w:eastAsia="Times New Roman" w:hAnsi="Times New Roman"/>
                <w:sz w:val="20"/>
                <w:szCs w:val="20"/>
                <w:color w:val="auto"/>
              </w:rPr>
              <w:t>(115,989)</w:t>
            </w:r>
          </w:p>
        </w:tc>
        <w:tc>
          <w:tcPr>
            <w:tcW w:w="60" w:type="dxa"/>
            <w:vAlign w:val="bottom"/>
            <w:shd w:val="clear" w:color="auto" w:fill="DDDDDD"/>
          </w:tcPr>
          <w:p>
            <w:pPr>
              <w:spacing w:after="0"/>
              <w:rPr>
                <w:sz w:val="23"/>
                <w:szCs w:val="23"/>
                <w:color w:val="auto"/>
              </w:rPr>
            </w:pPr>
          </w:p>
        </w:tc>
        <w:tc>
          <w:tcPr>
            <w:tcW w:w="20" w:type="dxa"/>
            <w:vAlign w:val="bottom"/>
            <w:shd w:val="clear" w:color="auto" w:fill="DDDDDD"/>
          </w:tcPr>
          <w:p>
            <w:pPr>
              <w:spacing w:after="0"/>
              <w:rPr>
                <w:sz w:val="23"/>
                <w:szCs w:val="23"/>
                <w:color w:val="auto"/>
              </w:rPr>
            </w:pPr>
          </w:p>
        </w:tc>
        <w:tc>
          <w:tcPr>
            <w:tcW w:w="260" w:type="dxa"/>
            <w:vAlign w:val="bottom"/>
            <w:shd w:val="clear" w:color="auto" w:fill="DDDDDD"/>
          </w:tcPr>
          <w:p>
            <w:pPr>
              <w:spacing w:after="0"/>
              <w:rPr>
                <w:sz w:val="23"/>
                <w:szCs w:val="23"/>
                <w:color w:val="auto"/>
              </w:rPr>
            </w:pPr>
          </w:p>
        </w:tc>
        <w:tc>
          <w:tcPr>
            <w:tcW w:w="1040" w:type="dxa"/>
            <w:vAlign w:val="bottom"/>
            <w:shd w:val="clear" w:color="auto" w:fill="DDDDDD"/>
          </w:tcPr>
          <w:p>
            <w:pPr>
              <w:jc w:val="right"/>
              <w:spacing w:after="0"/>
              <w:rPr>
                <w:sz w:val="20"/>
                <w:szCs w:val="20"/>
                <w:color w:val="auto"/>
              </w:rPr>
            </w:pPr>
            <w:r>
              <w:rPr>
                <w:rFonts w:ascii="Times New Roman" w:cs="Times New Roman" w:eastAsia="Times New Roman" w:hAnsi="Times New Roman"/>
                <w:sz w:val="20"/>
                <w:szCs w:val="20"/>
                <w:color w:val="auto"/>
              </w:rPr>
              <w:t>60,383</w:t>
            </w:r>
          </w:p>
        </w:tc>
        <w:tc>
          <w:tcPr>
            <w:tcW w:w="0" w:type="dxa"/>
            <w:vAlign w:val="bottom"/>
          </w:tcPr>
          <w:p>
            <w:pPr>
              <w:spacing w:after="0"/>
              <w:rPr>
                <w:sz w:val="1"/>
                <w:szCs w:val="1"/>
                <w:color w:val="auto"/>
              </w:rPr>
            </w:pPr>
          </w:p>
        </w:tc>
      </w:tr>
      <w:tr>
        <w:trPr>
          <w:trHeight w:val="288"/>
        </w:trPr>
        <w:tc>
          <w:tcPr>
            <w:tcW w:w="6220" w:type="dxa"/>
            <w:vAlign w:val="bottom"/>
            <w:gridSpan w:val="2"/>
          </w:tcPr>
          <w:p>
            <w:pPr>
              <w:ind w:left="40"/>
              <w:spacing w:after="0"/>
              <w:rPr>
                <w:sz w:val="20"/>
                <w:szCs w:val="20"/>
                <w:color w:val="auto"/>
              </w:rPr>
            </w:pPr>
            <w:r>
              <w:rPr>
                <w:rFonts w:ascii="Times New Roman" w:cs="Times New Roman" w:eastAsia="Times New Roman" w:hAnsi="Times New Roman"/>
                <w:sz w:val="20"/>
                <w:szCs w:val="20"/>
                <w:color w:val="auto"/>
              </w:rPr>
              <w:t>Effect of dilutive securities:</w:t>
            </w:r>
          </w:p>
        </w:tc>
        <w:tc>
          <w:tcPr>
            <w:tcW w:w="26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8"/>
        </w:trPr>
        <w:tc>
          <w:tcPr>
            <w:tcW w:w="6220" w:type="dxa"/>
            <w:vAlign w:val="bottom"/>
            <w:gridSpan w:val="2"/>
            <w:shd w:val="clear" w:color="auto" w:fill="DDDDDD"/>
          </w:tcPr>
          <w:p>
            <w:pPr>
              <w:ind w:left="40"/>
              <w:spacing w:after="0"/>
              <w:rPr>
                <w:sz w:val="20"/>
                <w:szCs w:val="20"/>
                <w:color w:val="auto"/>
              </w:rPr>
            </w:pPr>
            <w:r>
              <w:rPr>
                <w:rFonts w:ascii="Times New Roman" w:cs="Times New Roman" w:eastAsia="Times New Roman" w:hAnsi="Times New Roman"/>
                <w:sz w:val="20"/>
                <w:szCs w:val="20"/>
                <w:color w:val="auto"/>
              </w:rPr>
              <w:t>Change in fair value of Public and Private Placement Warrants, net of</w:t>
            </w:r>
          </w:p>
        </w:tc>
        <w:tc>
          <w:tcPr>
            <w:tcW w:w="260" w:type="dxa"/>
            <w:vAlign w:val="bottom"/>
            <w:shd w:val="clear" w:color="auto" w:fill="DDDDDD"/>
          </w:tcPr>
          <w:p>
            <w:pPr>
              <w:spacing w:after="0"/>
              <w:rPr>
                <w:sz w:val="22"/>
                <w:szCs w:val="22"/>
                <w:color w:val="auto"/>
              </w:rPr>
            </w:pPr>
          </w:p>
        </w:tc>
        <w:tc>
          <w:tcPr>
            <w:tcW w:w="1040" w:type="dxa"/>
            <w:vAlign w:val="bottom"/>
            <w:vMerge w:val="restart"/>
            <w:shd w:val="clear" w:color="auto" w:fill="DDDDDD"/>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40" w:type="dxa"/>
            <w:vAlign w:val="bottom"/>
            <w:shd w:val="clear" w:color="auto" w:fill="DDDDDD"/>
          </w:tcPr>
          <w:p>
            <w:pPr>
              <w:spacing w:after="0"/>
              <w:rPr>
                <w:sz w:val="22"/>
                <w:szCs w:val="22"/>
                <w:color w:val="auto"/>
              </w:rPr>
            </w:pPr>
          </w:p>
        </w:tc>
        <w:tc>
          <w:tcPr>
            <w:tcW w:w="20" w:type="dxa"/>
            <w:vAlign w:val="bottom"/>
            <w:shd w:val="clear" w:color="auto" w:fill="DDDDDD"/>
          </w:tcPr>
          <w:p>
            <w:pPr>
              <w:spacing w:after="0"/>
              <w:rPr>
                <w:sz w:val="22"/>
                <w:szCs w:val="22"/>
                <w:color w:val="auto"/>
              </w:rPr>
            </w:pPr>
          </w:p>
        </w:tc>
        <w:tc>
          <w:tcPr>
            <w:tcW w:w="260" w:type="dxa"/>
            <w:vAlign w:val="bottom"/>
            <w:shd w:val="clear" w:color="auto" w:fill="DDDDDD"/>
          </w:tcPr>
          <w:p>
            <w:pPr>
              <w:spacing w:after="0"/>
              <w:rPr>
                <w:sz w:val="22"/>
                <w:szCs w:val="22"/>
                <w:color w:val="auto"/>
              </w:rPr>
            </w:pPr>
          </w:p>
        </w:tc>
        <w:tc>
          <w:tcPr>
            <w:tcW w:w="1040" w:type="dxa"/>
            <w:vAlign w:val="bottom"/>
            <w:vMerge w:val="restart"/>
            <w:shd w:val="clear" w:color="auto" w:fill="DDDDDD"/>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60" w:type="dxa"/>
            <w:vAlign w:val="bottom"/>
            <w:shd w:val="clear" w:color="auto" w:fill="DDDDDD"/>
          </w:tcPr>
          <w:p>
            <w:pPr>
              <w:spacing w:after="0"/>
              <w:rPr>
                <w:sz w:val="22"/>
                <w:szCs w:val="22"/>
                <w:color w:val="auto"/>
              </w:rPr>
            </w:pPr>
          </w:p>
        </w:tc>
        <w:tc>
          <w:tcPr>
            <w:tcW w:w="20" w:type="dxa"/>
            <w:vAlign w:val="bottom"/>
            <w:shd w:val="clear" w:color="auto" w:fill="DDDDDD"/>
          </w:tcPr>
          <w:p>
            <w:pPr>
              <w:spacing w:after="0"/>
              <w:rPr>
                <w:sz w:val="22"/>
                <w:szCs w:val="22"/>
                <w:color w:val="auto"/>
              </w:rPr>
            </w:pPr>
          </w:p>
        </w:tc>
        <w:tc>
          <w:tcPr>
            <w:tcW w:w="260" w:type="dxa"/>
            <w:vAlign w:val="bottom"/>
            <w:shd w:val="clear" w:color="auto" w:fill="DDDDDD"/>
          </w:tcPr>
          <w:p>
            <w:pPr>
              <w:spacing w:after="0"/>
              <w:rPr>
                <w:sz w:val="22"/>
                <w:szCs w:val="22"/>
                <w:color w:val="auto"/>
              </w:rPr>
            </w:pPr>
          </w:p>
        </w:tc>
        <w:tc>
          <w:tcPr>
            <w:tcW w:w="1040" w:type="dxa"/>
            <w:vAlign w:val="bottom"/>
            <w:vMerge w:val="restart"/>
            <w:shd w:val="clear" w:color="auto" w:fill="DDDDDD"/>
          </w:tcPr>
          <w:p>
            <w:pPr>
              <w:jc w:val="right"/>
              <w:spacing w:after="0"/>
              <w:rPr>
                <w:sz w:val="20"/>
                <w:szCs w:val="20"/>
                <w:color w:val="auto"/>
              </w:rPr>
            </w:pPr>
            <w:r>
              <w:rPr>
                <w:rFonts w:ascii="Times New Roman" w:cs="Times New Roman" w:eastAsia="Times New Roman" w:hAnsi="Times New Roman"/>
                <w:sz w:val="20"/>
                <w:szCs w:val="20"/>
                <w:color w:val="auto"/>
              </w:rPr>
              <w:t>72,483</w:t>
            </w:r>
          </w:p>
        </w:tc>
        <w:tc>
          <w:tcPr>
            <w:tcW w:w="0" w:type="dxa"/>
            <w:vAlign w:val="bottom"/>
          </w:tcPr>
          <w:p>
            <w:pPr>
              <w:spacing w:after="0"/>
              <w:rPr>
                <w:sz w:val="1"/>
                <w:szCs w:val="1"/>
                <w:color w:val="auto"/>
              </w:rPr>
            </w:pPr>
          </w:p>
        </w:tc>
      </w:tr>
      <w:tr>
        <w:trPr>
          <w:trHeight w:val="222"/>
        </w:trPr>
        <w:tc>
          <w:tcPr>
            <w:tcW w:w="6220" w:type="dxa"/>
            <w:vAlign w:val="bottom"/>
            <w:gridSpan w:val="2"/>
            <w:shd w:val="clear" w:color="auto" w:fill="DDDDDD"/>
          </w:tcPr>
          <w:p>
            <w:pPr>
              <w:ind w:left="40"/>
              <w:spacing w:after="0" w:line="183" w:lineRule="exact"/>
              <w:rPr>
                <w:sz w:val="20"/>
                <w:szCs w:val="20"/>
                <w:color w:val="auto"/>
              </w:rPr>
            </w:pPr>
            <w:r>
              <w:rPr>
                <w:rFonts w:ascii="Times New Roman" w:cs="Times New Roman" w:eastAsia="Times New Roman" w:hAnsi="Times New Roman"/>
                <w:sz w:val="20"/>
                <w:szCs w:val="20"/>
                <w:color w:val="auto"/>
              </w:rPr>
              <w:t>amounts attributable to noncontrolling interests</w:t>
            </w:r>
          </w:p>
        </w:tc>
        <w:tc>
          <w:tcPr>
            <w:tcW w:w="260" w:type="dxa"/>
            <w:vAlign w:val="bottom"/>
            <w:tcBorders>
              <w:bottom w:val="single" w:sz="8" w:color="auto"/>
            </w:tcBorders>
            <w:shd w:val="clear" w:color="auto" w:fill="DDDDDD"/>
          </w:tcPr>
          <w:p>
            <w:pPr>
              <w:spacing w:after="0"/>
              <w:rPr>
                <w:sz w:val="19"/>
                <w:szCs w:val="19"/>
                <w:color w:val="auto"/>
              </w:rPr>
            </w:pPr>
          </w:p>
        </w:tc>
        <w:tc>
          <w:tcPr>
            <w:tcW w:w="1040" w:type="dxa"/>
            <w:vAlign w:val="bottom"/>
            <w:tcBorders>
              <w:bottom w:val="single" w:sz="8" w:color="auto"/>
            </w:tcBorders>
            <w:vMerge w:val="continue"/>
            <w:shd w:val="clear" w:color="auto" w:fill="DDDDDD"/>
          </w:tcPr>
          <w:p>
            <w:pPr>
              <w:spacing w:after="0"/>
              <w:rPr>
                <w:sz w:val="19"/>
                <w:szCs w:val="19"/>
                <w:color w:val="auto"/>
              </w:rPr>
            </w:pPr>
          </w:p>
        </w:tc>
        <w:tc>
          <w:tcPr>
            <w:tcW w:w="40" w:type="dxa"/>
            <w:vAlign w:val="bottom"/>
            <w:shd w:val="clear" w:color="auto" w:fill="DDDDDD"/>
          </w:tcPr>
          <w:p>
            <w:pPr>
              <w:spacing w:after="0"/>
              <w:rPr>
                <w:sz w:val="19"/>
                <w:szCs w:val="19"/>
                <w:color w:val="auto"/>
              </w:rPr>
            </w:pPr>
          </w:p>
        </w:tc>
        <w:tc>
          <w:tcPr>
            <w:tcW w:w="20" w:type="dxa"/>
            <w:vAlign w:val="bottom"/>
            <w:shd w:val="clear" w:color="auto" w:fill="DDDDDD"/>
          </w:tcPr>
          <w:p>
            <w:pPr>
              <w:spacing w:after="0"/>
              <w:rPr>
                <w:sz w:val="19"/>
                <w:szCs w:val="19"/>
                <w:color w:val="auto"/>
              </w:rPr>
            </w:pPr>
          </w:p>
        </w:tc>
        <w:tc>
          <w:tcPr>
            <w:tcW w:w="260" w:type="dxa"/>
            <w:vAlign w:val="bottom"/>
            <w:tcBorders>
              <w:bottom w:val="single" w:sz="8" w:color="auto"/>
            </w:tcBorders>
            <w:shd w:val="clear" w:color="auto" w:fill="DDDDDD"/>
          </w:tcPr>
          <w:p>
            <w:pPr>
              <w:spacing w:after="0"/>
              <w:rPr>
                <w:sz w:val="19"/>
                <w:szCs w:val="19"/>
                <w:color w:val="auto"/>
              </w:rPr>
            </w:pPr>
          </w:p>
        </w:tc>
        <w:tc>
          <w:tcPr>
            <w:tcW w:w="1040" w:type="dxa"/>
            <w:vAlign w:val="bottom"/>
            <w:tcBorders>
              <w:bottom w:val="single" w:sz="8" w:color="auto"/>
            </w:tcBorders>
            <w:vMerge w:val="continue"/>
            <w:shd w:val="clear" w:color="auto" w:fill="DDDDDD"/>
          </w:tcPr>
          <w:p>
            <w:pPr>
              <w:spacing w:after="0"/>
              <w:rPr>
                <w:sz w:val="19"/>
                <w:szCs w:val="19"/>
                <w:color w:val="auto"/>
              </w:rPr>
            </w:pPr>
          </w:p>
        </w:tc>
        <w:tc>
          <w:tcPr>
            <w:tcW w:w="60" w:type="dxa"/>
            <w:vAlign w:val="bottom"/>
            <w:shd w:val="clear" w:color="auto" w:fill="DDDDDD"/>
          </w:tcPr>
          <w:p>
            <w:pPr>
              <w:spacing w:after="0"/>
              <w:rPr>
                <w:sz w:val="19"/>
                <w:szCs w:val="19"/>
                <w:color w:val="auto"/>
              </w:rPr>
            </w:pPr>
          </w:p>
        </w:tc>
        <w:tc>
          <w:tcPr>
            <w:tcW w:w="20" w:type="dxa"/>
            <w:vAlign w:val="bottom"/>
            <w:shd w:val="clear" w:color="auto" w:fill="DDDDDD"/>
          </w:tcPr>
          <w:p>
            <w:pPr>
              <w:spacing w:after="0"/>
              <w:rPr>
                <w:sz w:val="19"/>
                <w:szCs w:val="19"/>
                <w:color w:val="auto"/>
              </w:rPr>
            </w:pPr>
          </w:p>
        </w:tc>
        <w:tc>
          <w:tcPr>
            <w:tcW w:w="260" w:type="dxa"/>
            <w:vAlign w:val="bottom"/>
            <w:tcBorders>
              <w:bottom w:val="single" w:sz="8" w:color="auto"/>
            </w:tcBorders>
            <w:shd w:val="clear" w:color="auto" w:fill="DDDDDD"/>
          </w:tcPr>
          <w:p>
            <w:pPr>
              <w:spacing w:after="0"/>
              <w:rPr>
                <w:sz w:val="19"/>
                <w:szCs w:val="19"/>
                <w:color w:val="auto"/>
              </w:rPr>
            </w:pPr>
          </w:p>
        </w:tc>
        <w:tc>
          <w:tcPr>
            <w:tcW w:w="1040" w:type="dxa"/>
            <w:vAlign w:val="bottom"/>
            <w:tcBorders>
              <w:bottom w:val="single" w:sz="8" w:color="auto"/>
            </w:tcBorders>
            <w:vMerge w:val="continue"/>
            <w:shd w:val="clear" w:color="auto" w:fill="DDDDDD"/>
          </w:tcPr>
          <w:p>
            <w:pPr>
              <w:spacing w:after="0"/>
              <w:rPr>
                <w:sz w:val="19"/>
                <w:szCs w:val="19"/>
                <w:color w:val="auto"/>
              </w:rPr>
            </w:pPr>
          </w:p>
        </w:tc>
        <w:tc>
          <w:tcPr>
            <w:tcW w:w="0" w:type="dxa"/>
            <w:vAlign w:val="bottom"/>
          </w:tcPr>
          <w:p>
            <w:pPr>
              <w:spacing w:after="0"/>
              <w:rPr>
                <w:sz w:val="1"/>
                <w:szCs w:val="1"/>
                <w:color w:val="auto"/>
              </w:rPr>
            </w:pPr>
          </w:p>
        </w:tc>
      </w:tr>
      <w:tr>
        <w:trPr>
          <w:trHeight w:val="288"/>
        </w:trPr>
        <w:tc>
          <w:tcPr>
            <w:tcW w:w="6220" w:type="dxa"/>
            <w:vAlign w:val="bottom"/>
            <w:gridSpan w:val="2"/>
          </w:tcPr>
          <w:p>
            <w:pPr>
              <w:ind w:left="160"/>
              <w:spacing w:after="0"/>
              <w:rPr>
                <w:sz w:val="20"/>
                <w:szCs w:val="20"/>
                <w:color w:val="auto"/>
              </w:rPr>
            </w:pPr>
            <w:r>
              <w:rPr>
                <w:rFonts w:ascii="Times New Roman" w:cs="Times New Roman" w:eastAsia="Times New Roman" w:hAnsi="Times New Roman"/>
                <w:sz w:val="20"/>
                <w:szCs w:val="20"/>
                <w:color w:val="auto"/>
              </w:rPr>
              <w:t>Net income (loss) attributable to WM Technology, Inc. - diluted</w:t>
            </w:r>
          </w:p>
        </w:tc>
        <w:tc>
          <w:tcPr>
            <w:tcW w:w="2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(9,898)</w:t>
            </w:r>
          </w:p>
        </w:tc>
        <w:tc>
          <w:tcPr>
            <w:tcW w:w="320" w:type="dxa"/>
            <w:vAlign w:val="bottom"/>
            <w:gridSpan w:val="3"/>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(115,989)</w:t>
            </w:r>
          </w:p>
        </w:tc>
        <w:tc>
          <w:tcPr>
            <w:tcW w:w="340" w:type="dxa"/>
            <w:vAlign w:val="bottom"/>
            <w:gridSpan w:val="3"/>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(12,100)</w:t>
            </w:r>
          </w:p>
        </w:tc>
        <w:tc>
          <w:tcPr>
            <w:tcW w:w="0" w:type="dxa"/>
            <w:vAlign w:val="bottom"/>
          </w:tcPr>
          <w:p>
            <w:pPr>
              <w:spacing w:after="0"/>
              <w:rPr>
                <w:sz w:val="1"/>
                <w:szCs w:val="1"/>
                <w:color w:val="auto"/>
              </w:rPr>
            </w:pPr>
          </w:p>
        </w:tc>
      </w:tr>
      <w:tr>
        <w:trPr>
          <w:trHeight w:val="221"/>
        </w:trPr>
        <w:tc>
          <w:tcPr>
            <w:tcW w:w="6220" w:type="dxa"/>
            <w:vAlign w:val="bottom"/>
            <w:tcBorders>
              <w:top w:val="single" w:sz="8" w:color="DDDDDD"/>
            </w:tcBorders>
            <w:gridSpan w:val="2"/>
            <w:shd w:val="clear" w:color="auto" w:fill="DDDDDD"/>
          </w:tcPr>
          <w:p>
            <w:pPr>
              <w:ind w:left="40"/>
              <w:spacing w:after="0" w:line="221" w:lineRule="exact"/>
              <w:rPr>
                <w:sz w:val="20"/>
                <w:szCs w:val="20"/>
                <w:color w:val="auto"/>
              </w:rPr>
            </w:pPr>
            <w:r>
              <w:rPr>
                <w:rFonts w:ascii="Times New Roman" w:cs="Times New Roman" w:eastAsia="Times New Roman" w:hAnsi="Times New Roman"/>
                <w:sz w:val="20"/>
                <w:szCs w:val="20"/>
                <w:b w:val="1"/>
                <w:bCs w:val="1"/>
                <w:color w:val="auto"/>
              </w:rPr>
              <w:t>Denominator:</w:t>
            </w:r>
          </w:p>
        </w:tc>
        <w:tc>
          <w:tcPr>
            <w:tcW w:w="260" w:type="dxa"/>
            <w:vAlign w:val="bottom"/>
            <w:tcBorders>
              <w:top w:val="single" w:sz="8" w:color="auto"/>
            </w:tcBorders>
            <w:shd w:val="clear" w:color="auto" w:fill="DDDDDD"/>
          </w:tcPr>
          <w:p>
            <w:pPr>
              <w:spacing w:after="0"/>
              <w:rPr>
                <w:sz w:val="19"/>
                <w:szCs w:val="19"/>
                <w:color w:val="auto"/>
              </w:rPr>
            </w:pPr>
          </w:p>
        </w:tc>
        <w:tc>
          <w:tcPr>
            <w:tcW w:w="1040" w:type="dxa"/>
            <w:vAlign w:val="bottom"/>
            <w:tcBorders>
              <w:top w:val="single" w:sz="8" w:color="auto"/>
            </w:tcBorders>
            <w:shd w:val="clear" w:color="auto" w:fill="DDDDDD"/>
          </w:tcPr>
          <w:p>
            <w:pPr>
              <w:spacing w:after="0"/>
              <w:rPr>
                <w:sz w:val="19"/>
                <w:szCs w:val="19"/>
                <w:color w:val="auto"/>
              </w:rPr>
            </w:pPr>
          </w:p>
        </w:tc>
        <w:tc>
          <w:tcPr>
            <w:tcW w:w="40" w:type="dxa"/>
            <w:vAlign w:val="bottom"/>
            <w:shd w:val="clear" w:color="auto" w:fill="DDDDDD"/>
          </w:tcPr>
          <w:p>
            <w:pPr>
              <w:spacing w:after="0"/>
              <w:rPr>
                <w:sz w:val="19"/>
                <w:szCs w:val="19"/>
                <w:color w:val="auto"/>
              </w:rPr>
            </w:pPr>
          </w:p>
        </w:tc>
        <w:tc>
          <w:tcPr>
            <w:tcW w:w="20" w:type="dxa"/>
            <w:vAlign w:val="bottom"/>
            <w:shd w:val="clear" w:color="auto" w:fill="DDDDDD"/>
          </w:tcPr>
          <w:p>
            <w:pPr>
              <w:spacing w:after="0"/>
              <w:rPr>
                <w:sz w:val="19"/>
                <w:szCs w:val="19"/>
                <w:color w:val="auto"/>
              </w:rPr>
            </w:pPr>
          </w:p>
        </w:tc>
        <w:tc>
          <w:tcPr>
            <w:tcW w:w="260" w:type="dxa"/>
            <w:vAlign w:val="bottom"/>
            <w:tcBorders>
              <w:top w:val="single" w:sz="8" w:color="auto"/>
            </w:tcBorders>
            <w:shd w:val="clear" w:color="auto" w:fill="DDDDDD"/>
          </w:tcPr>
          <w:p>
            <w:pPr>
              <w:spacing w:after="0"/>
              <w:rPr>
                <w:sz w:val="19"/>
                <w:szCs w:val="19"/>
                <w:color w:val="auto"/>
              </w:rPr>
            </w:pPr>
          </w:p>
        </w:tc>
        <w:tc>
          <w:tcPr>
            <w:tcW w:w="1040" w:type="dxa"/>
            <w:vAlign w:val="bottom"/>
            <w:tcBorders>
              <w:top w:val="single" w:sz="8" w:color="auto"/>
            </w:tcBorders>
            <w:shd w:val="clear" w:color="auto" w:fill="DDDDDD"/>
          </w:tcPr>
          <w:p>
            <w:pPr>
              <w:spacing w:after="0"/>
              <w:rPr>
                <w:sz w:val="19"/>
                <w:szCs w:val="19"/>
                <w:color w:val="auto"/>
              </w:rPr>
            </w:pPr>
          </w:p>
        </w:tc>
        <w:tc>
          <w:tcPr>
            <w:tcW w:w="60" w:type="dxa"/>
            <w:vAlign w:val="bottom"/>
            <w:tcBorders>
              <w:top w:val="single" w:sz="8" w:color="DDDDDD"/>
            </w:tcBorders>
            <w:shd w:val="clear" w:color="auto" w:fill="DDDDDD"/>
          </w:tcPr>
          <w:p>
            <w:pPr>
              <w:spacing w:after="0"/>
              <w:rPr>
                <w:sz w:val="19"/>
                <w:szCs w:val="19"/>
                <w:color w:val="auto"/>
              </w:rPr>
            </w:pPr>
          </w:p>
        </w:tc>
        <w:tc>
          <w:tcPr>
            <w:tcW w:w="20" w:type="dxa"/>
            <w:vAlign w:val="bottom"/>
            <w:tcBorders>
              <w:top w:val="single" w:sz="8" w:color="DDDDDD"/>
            </w:tcBorders>
            <w:shd w:val="clear" w:color="auto" w:fill="DDDDDD"/>
          </w:tcPr>
          <w:p>
            <w:pPr>
              <w:spacing w:after="0"/>
              <w:rPr>
                <w:sz w:val="19"/>
                <w:szCs w:val="19"/>
                <w:color w:val="auto"/>
              </w:rPr>
            </w:pPr>
          </w:p>
        </w:tc>
        <w:tc>
          <w:tcPr>
            <w:tcW w:w="260" w:type="dxa"/>
            <w:vAlign w:val="bottom"/>
            <w:tcBorders>
              <w:top w:val="single" w:sz="8" w:color="auto"/>
            </w:tcBorders>
            <w:shd w:val="clear" w:color="auto" w:fill="DDDDDD"/>
          </w:tcPr>
          <w:p>
            <w:pPr>
              <w:spacing w:after="0"/>
              <w:rPr>
                <w:sz w:val="19"/>
                <w:szCs w:val="19"/>
                <w:color w:val="auto"/>
              </w:rPr>
            </w:pPr>
          </w:p>
        </w:tc>
        <w:tc>
          <w:tcPr>
            <w:tcW w:w="1040" w:type="dxa"/>
            <w:vAlign w:val="bottom"/>
            <w:tcBorders>
              <w:top w:val="single" w:sz="8" w:color="auto"/>
            </w:tcBorders>
            <w:shd w:val="clear" w:color="auto" w:fill="DDDDDD"/>
          </w:tcPr>
          <w:p>
            <w:pPr>
              <w:spacing w:after="0"/>
              <w:rPr>
                <w:sz w:val="19"/>
                <w:szCs w:val="19"/>
                <w:color w:val="auto"/>
              </w:rPr>
            </w:pPr>
          </w:p>
        </w:tc>
        <w:tc>
          <w:tcPr>
            <w:tcW w:w="0" w:type="dxa"/>
            <w:vAlign w:val="bottom"/>
          </w:tcPr>
          <w:p>
            <w:pPr>
              <w:spacing w:after="0"/>
              <w:rPr>
                <w:sz w:val="1"/>
                <w:szCs w:val="1"/>
                <w:color w:val="auto"/>
              </w:rPr>
            </w:pPr>
          </w:p>
        </w:tc>
      </w:tr>
      <w:tr>
        <w:trPr>
          <w:trHeight w:val="288"/>
        </w:trPr>
        <w:tc>
          <w:tcPr>
            <w:tcW w:w="6220" w:type="dxa"/>
            <w:vAlign w:val="bottom"/>
            <w:gridSpan w:val="2"/>
          </w:tcPr>
          <w:p>
            <w:pPr>
              <w:ind w:left="40"/>
              <w:spacing w:after="0"/>
              <w:rPr>
                <w:sz w:val="20"/>
                <w:szCs w:val="20"/>
                <w:color w:val="auto"/>
              </w:rPr>
            </w:pPr>
            <w:r>
              <w:rPr>
                <w:rFonts w:ascii="Times New Roman" w:cs="Times New Roman" w:eastAsia="Times New Roman" w:hAnsi="Times New Roman"/>
                <w:sz w:val="20"/>
                <w:szCs w:val="20"/>
                <w:color w:val="auto"/>
              </w:rPr>
              <w:t>Weighted average common shares outstanding - basic</w:t>
            </w:r>
          </w:p>
        </w:tc>
        <w:tc>
          <w:tcPr>
            <w:tcW w:w="260" w:type="dxa"/>
            <w:vAlign w:val="bottom"/>
          </w:tcPr>
          <w:p>
            <w:pPr>
              <w:spacing w:after="0"/>
              <w:rPr>
                <w:sz w:val="24"/>
                <w:szCs w:val="24"/>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93,244,911</w:t>
            </w: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85,027,120</w:t>
            </w: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65,013,517</w:t>
            </w:r>
          </w:p>
        </w:tc>
        <w:tc>
          <w:tcPr>
            <w:tcW w:w="0" w:type="dxa"/>
            <w:vAlign w:val="bottom"/>
          </w:tcPr>
          <w:p>
            <w:pPr>
              <w:spacing w:after="0"/>
              <w:rPr>
                <w:sz w:val="1"/>
                <w:szCs w:val="1"/>
                <w:color w:val="auto"/>
              </w:rPr>
            </w:pPr>
          </w:p>
        </w:tc>
      </w:tr>
      <w:tr>
        <w:trPr>
          <w:trHeight w:val="288"/>
        </w:trPr>
        <w:tc>
          <w:tcPr>
            <w:tcW w:w="6220" w:type="dxa"/>
            <w:vAlign w:val="bottom"/>
            <w:gridSpan w:val="2"/>
            <w:shd w:val="clear" w:color="auto" w:fill="DDDDDD"/>
          </w:tcPr>
          <w:p>
            <w:pPr>
              <w:ind w:left="40"/>
              <w:spacing w:after="0"/>
              <w:rPr>
                <w:sz w:val="20"/>
                <w:szCs w:val="20"/>
                <w:color w:val="auto"/>
              </w:rPr>
            </w:pPr>
            <w:r>
              <w:rPr>
                <w:rFonts w:ascii="Times New Roman" w:cs="Times New Roman" w:eastAsia="Times New Roman" w:hAnsi="Times New Roman"/>
                <w:sz w:val="20"/>
                <w:szCs w:val="20"/>
                <w:color w:val="auto"/>
              </w:rPr>
              <w:t>Weighted average effect of dilutive securities:</w:t>
            </w:r>
          </w:p>
        </w:tc>
        <w:tc>
          <w:tcPr>
            <w:tcW w:w="260" w:type="dxa"/>
            <w:vAlign w:val="bottom"/>
            <w:shd w:val="clear" w:color="auto" w:fill="DDDDDD"/>
          </w:tcPr>
          <w:p>
            <w:pPr>
              <w:spacing w:after="0"/>
              <w:rPr>
                <w:sz w:val="24"/>
                <w:szCs w:val="24"/>
                <w:color w:val="auto"/>
              </w:rPr>
            </w:pPr>
          </w:p>
        </w:tc>
        <w:tc>
          <w:tcPr>
            <w:tcW w:w="1040" w:type="dxa"/>
            <w:vAlign w:val="bottom"/>
            <w:shd w:val="clear" w:color="auto" w:fill="DDDDDD"/>
          </w:tcPr>
          <w:p>
            <w:pPr>
              <w:spacing w:after="0"/>
              <w:rPr>
                <w:sz w:val="24"/>
                <w:szCs w:val="24"/>
                <w:color w:val="auto"/>
              </w:rPr>
            </w:pPr>
          </w:p>
        </w:tc>
        <w:tc>
          <w:tcPr>
            <w:tcW w:w="40" w:type="dxa"/>
            <w:vAlign w:val="bottom"/>
            <w:shd w:val="clear" w:color="auto" w:fill="DDDDDD"/>
          </w:tcPr>
          <w:p>
            <w:pPr>
              <w:spacing w:after="0"/>
              <w:rPr>
                <w:sz w:val="24"/>
                <w:szCs w:val="24"/>
                <w:color w:val="auto"/>
              </w:rPr>
            </w:pPr>
          </w:p>
        </w:tc>
        <w:tc>
          <w:tcPr>
            <w:tcW w:w="20" w:type="dxa"/>
            <w:vAlign w:val="bottom"/>
            <w:shd w:val="clear" w:color="auto" w:fill="DDDDDD"/>
          </w:tcPr>
          <w:p>
            <w:pPr>
              <w:spacing w:after="0"/>
              <w:rPr>
                <w:sz w:val="24"/>
                <w:szCs w:val="24"/>
                <w:color w:val="auto"/>
              </w:rPr>
            </w:pPr>
          </w:p>
        </w:tc>
        <w:tc>
          <w:tcPr>
            <w:tcW w:w="260" w:type="dxa"/>
            <w:vAlign w:val="bottom"/>
            <w:shd w:val="clear" w:color="auto" w:fill="DDDDDD"/>
          </w:tcPr>
          <w:p>
            <w:pPr>
              <w:spacing w:after="0"/>
              <w:rPr>
                <w:sz w:val="24"/>
                <w:szCs w:val="24"/>
                <w:color w:val="auto"/>
              </w:rPr>
            </w:pPr>
          </w:p>
        </w:tc>
        <w:tc>
          <w:tcPr>
            <w:tcW w:w="1040" w:type="dxa"/>
            <w:vAlign w:val="bottom"/>
            <w:shd w:val="clear" w:color="auto" w:fill="DDDDDD"/>
          </w:tcPr>
          <w:p>
            <w:pPr>
              <w:spacing w:after="0"/>
              <w:rPr>
                <w:sz w:val="24"/>
                <w:szCs w:val="24"/>
                <w:color w:val="auto"/>
              </w:rPr>
            </w:pPr>
          </w:p>
        </w:tc>
        <w:tc>
          <w:tcPr>
            <w:tcW w:w="60" w:type="dxa"/>
            <w:vAlign w:val="bottom"/>
            <w:shd w:val="clear" w:color="auto" w:fill="DDDDDD"/>
          </w:tcPr>
          <w:p>
            <w:pPr>
              <w:spacing w:after="0"/>
              <w:rPr>
                <w:sz w:val="24"/>
                <w:szCs w:val="24"/>
                <w:color w:val="auto"/>
              </w:rPr>
            </w:pPr>
          </w:p>
        </w:tc>
        <w:tc>
          <w:tcPr>
            <w:tcW w:w="20" w:type="dxa"/>
            <w:vAlign w:val="bottom"/>
            <w:shd w:val="clear" w:color="auto" w:fill="DDDDDD"/>
          </w:tcPr>
          <w:p>
            <w:pPr>
              <w:spacing w:after="0"/>
              <w:rPr>
                <w:sz w:val="24"/>
                <w:szCs w:val="24"/>
                <w:color w:val="auto"/>
              </w:rPr>
            </w:pPr>
          </w:p>
        </w:tc>
        <w:tc>
          <w:tcPr>
            <w:tcW w:w="260" w:type="dxa"/>
            <w:vAlign w:val="bottom"/>
            <w:shd w:val="clear" w:color="auto" w:fill="DDDDDD"/>
          </w:tcPr>
          <w:p>
            <w:pPr>
              <w:spacing w:after="0"/>
              <w:rPr>
                <w:sz w:val="24"/>
                <w:szCs w:val="24"/>
                <w:color w:val="auto"/>
              </w:rPr>
            </w:pPr>
          </w:p>
        </w:tc>
        <w:tc>
          <w:tcPr>
            <w:tcW w:w="1040" w:type="dxa"/>
            <w:vAlign w:val="bottom"/>
            <w:shd w:val="clear" w:color="auto" w:fill="DDDDDD"/>
          </w:tcPr>
          <w:p>
            <w:pPr>
              <w:spacing w:after="0"/>
              <w:rPr>
                <w:sz w:val="24"/>
                <w:szCs w:val="24"/>
                <w:color w:val="auto"/>
              </w:rPr>
            </w:pPr>
          </w:p>
        </w:tc>
        <w:tc>
          <w:tcPr>
            <w:tcW w:w="0" w:type="dxa"/>
            <w:vAlign w:val="bottom"/>
          </w:tcPr>
          <w:p>
            <w:pPr>
              <w:spacing w:after="0"/>
              <w:rPr>
                <w:sz w:val="1"/>
                <w:szCs w:val="1"/>
                <w:color w:val="auto"/>
              </w:rPr>
            </w:pPr>
          </w:p>
        </w:tc>
      </w:tr>
      <w:tr>
        <w:trPr>
          <w:trHeight w:val="281"/>
        </w:trPr>
        <w:tc>
          <w:tcPr>
            <w:tcW w:w="6220" w:type="dxa"/>
            <w:vAlign w:val="bottom"/>
            <w:gridSpan w:val="2"/>
          </w:tcPr>
          <w:p>
            <w:pPr>
              <w:ind w:left="40"/>
              <w:spacing w:after="0"/>
              <w:rPr>
                <w:sz w:val="20"/>
                <w:szCs w:val="20"/>
                <w:color w:val="auto"/>
              </w:rPr>
            </w:pPr>
            <w:r>
              <w:rPr>
                <w:rFonts w:ascii="Times New Roman" w:cs="Times New Roman" w:eastAsia="Times New Roman" w:hAnsi="Times New Roman"/>
                <w:sz w:val="20"/>
                <w:szCs w:val="20"/>
                <w:color w:val="auto"/>
              </w:rPr>
              <w:t>Public warrants¹</w:t>
            </w:r>
          </w:p>
        </w:tc>
        <w:tc>
          <w:tcPr>
            <w:tcW w:w="260" w:type="dxa"/>
            <w:vAlign w:val="bottom"/>
          </w:tcPr>
          <w:p>
            <w:pPr>
              <w:spacing w:after="0"/>
              <w:rPr>
                <w:sz w:val="24"/>
                <w:szCs w:val="24"/>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1,153,782</w:t>
            </w:r>
          </w:p>
        </w:tc>
        <w:tc>
          <w:tcPr>
            <w:tcW w:w="0" w:type="dxa"/>
            <w:vAlign w:val="bottom"/>
          </w:tcPr>
          <w:p>
            <w:pPr>
              <w:spacing w:after="0"/>
              <w:rPr>
                <w:sz w:val="1"/>
                <w:szCs w:val="1"/>
                <w:color w:val="auto"/>
              </w:rPr>
            </w:pPr>
          </w:p>
        </w:tc>
      </w:tr>
      <w:tr>
        <w:trPr>
          <w:trHeight w:val="308"/>
        </w:trPr>
        <w:tc>
          <w:tcPr>
            <w:tcW w:w="6220" w:type="dxa"/>
            <w:vAlign w:val="bottom"/>
            <w:gridSpan w:val="2"/>
            <w:shd w:val="clear" w:color="auto" w:fill="DDDDDD"/>
          </w:tcPr>
          <w:p>
            <w:pPr>
              <w:ind w:left="40"/>
              <w:spacing w:after="0"/>
              <w:rPr>
                <w:sz w:val="20"/>
                <w:szCs w:val="20"/>
                <w:color w:val="auto"/>
              </w:rPr>
            </w:pPr>
            <w:r>
              <w:rPr>
                <w:rFonts w:ascii="Times New Roman" w:cs="Times New Roman" w:eastAsia="Times New Roman" w:hAnsi="Times New Roman"/>
                <w:sz w:val="20"/>
                <w:szCs w:val="20"/>
                <w:color w:val="auto"/>
              </w:rPr>
              <w:t>Private warrants¹</w:t>
            </w:r>
          </w:p>
        </w:tc>
        <w:tc>
          <w:tcPr>
            <w:tcW w:w="260" w:type="dxa"/>
            <w:vAlign w:val="bottom"/>
            <w:tcBorders>
              <w:bottom w:val="single" w:sz="8" w:color="auto"/>
            </w:tcBorders>
            <w:shd w:val="clear" w:color="auto" w:fill="DDDDDD"/>
          </w:tcPr>
          <w:p>
            <w:pPr>
              <w:spacing w:after="0"/>
              <w:rPr>
                <w:sz w:val="24"/>
                <w:szCs w:val="24"/>
                <w:color w:val="auto"/>
              </w:rPr>
            </w:pPr>
          </w:p>
        </w:tc>
        <w:tc>
          <w:tcPr>
            <w:tcW w:w="1040" w:type="dxa"/>
            <w:vAlign w:val="bottom"/>
            <w:tcBorders>
              <w:bottom w:val="single" w:sz="8" w:color="auto"/>
            </w:tcBorders>
            <w:shd w:val="clear" w:color="auto" w:fill="DDDDDD"/>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40" w:type="dxa"/>
            <w:vAlign w:val="bottom"/>
            <w:shd w:val="clear" w:color="auto" w:fill="DDDDDD"/>
          </w:tcPr>
          <w:p>
            <w:pPr>
              <w:spacing w:after="0"/>
              <w:rPr>
                <w:sz w:val="24"/>
                <w:szCs w:val="24"/>
                <w:color w:val="auto"/>
              </w:rPr>
            </w:pPr>
          </w:p>
        </w:tc>
        <w:tc>
          <w:tcPr>
            <w:tcW w:w="20" w:type="dxa"/>
            <w:vAlign w:val="bottom"/>
            <w:shd w:val="clear" w:color="auto" w:fill="DDDDDD"/>
          </w:tcPr>
          <w:p>
            <w:pPr>
              <w:spacing w:after="0"/>
              <w:rPr>
                <w:sz w:val="24"/>
                <w:szCs w:val="24"/>
                <w:color w:val="auto"/>
              </w:rPr>
            </w:pPr>
          </w:p>
        </w:tc>
        <w:tc>
          <w:tcPr>
            <w:tcW w:w="260" w:type="dxa"/>
            <w:vAlign w:val="bottom"/>
            <w:tcBorders>
              <w:bottom w:val="single" w:sz="8" w:color="auto"/>
            </w:tcBorders>
            <w:shd w:val="clear" w:color="auto" w:fill="DDDDDD"/>
          </w:tcPr>
          <w:p>
            <w:pPr>
              <w:spacing w:after="0"/>
              <w:rPr>
                <w:sz w:val="24"/>
                <w:szCs w:val="24"/>
                <w:color w:val="auto"/>
              </w:rPr>
            </w:pPr>
          </w:p>
        </w:tc>
        <w:tc>
          <w:tcPr>
            <w:tcW w:w="1040" w:type="dxa"/>
            <w:vAlign w:val="bottom"/>
            <w:tcBorders>
              <w:bottom w:val="single" w:sz="8" w:color="auto"/>
            </w:tcBorders>
            <w:shd w:val="clear" w:color="auto" w:fill="DDDDDD"/>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60" w:type="dxa"/>
            <w:vAlign w:val="bottom"/>
            <w:shd w:val="clear" w:color="auto" w:fill="DDDDDD"/>
          </w:tcPr>
          <w:p>
            <w:pPr>
              <w:spacing w:after="0"/>
              <w:rPr>
                <w:sz w:val="24"/>
                <w:szCs w:val="24"/>
                <w:color w:val="auto"/>
              </w:rPr>
            </w:pPr>
          </w:p>
        </w:tc>
        <w:tc>
          <w:tcPr>
            <w:tcW w:w="20" w:type="dxa"/>
            <w:vAlign w:val="bottom"/>
            <w:shd w:val="clear" w:color="auto" w:fill="DDDDDD"/>
          </w:tcPr>
          <w:p>
            <w:pPr>
              <w:spacing w:after="0"/>
              <w:rPr>
                <w:sz w:val="24"/>
                <w:szCs w:val="24"/>
                <w:color w:val="auto"/>
              </w:rPr>
            </w:pPr>
          </w:p>
        </w:tc>
        <w:tc>
          <w:tcPr>
            <w:tcW w:w="260" w:type="dxa"/>
            <w:vAlign w:val="bottom"/>
            <w:tcBorders>
              <w:bottom w:val="single" w:sz="8" w:color="auto"/>
            </w:tcBorders>
            <w:shd w:val="clear" w:color="auto" w:fill="DDDDDD"/>
          </w:tcPr>
          <w:p>
            <w:pPr>
              <w:spacing w:after="0"/>
              <w:rPr>
                <w:sz w:val="24"/>
                <w:szCs w:val="24"/>
                <w:color w:val="auto"/>
              </w:rPr>
            </w:pPr>
          </w:p>
        </w:tc>
        <w:tc>
          <w:tcPr>
            <w:tcW w:w="1040" w:type="dxa"/>
            <w:vAlign w:val="bottom"/>
            <w:tcBorders>
              <w:bottom w:val="single" w:sz="8" w:color="auto"/>
            </w:tcBorders>
            <w:shd w:val="clear" w:color="auto" w:fill="DDDDDD"/>
          </w:tcPr>
          <w:p>
            <w:pPr>
              <w:jc w:val="right"/>
              <w:spacing w:after="0"/>
              <w:rPr>
                <w:sz w:val="20"/>
                <w:szCs w:val="20"/>
                <w:color w:val="auto"/>
              </w:rPr>
            </w:pPr>
            <w:r>
              <w:rPr>
                <w:rFonts w:ascii="Times New Roman" w:cs="Times New Roman" w:eastAsia="Times New Roman" w:hAnsi="Times New Roman"/>
                <w:sz w:val="20"/>
                <w:szCs w:val="20"/>
                <w:color w:val="auto"/>
              </w:rPr>
              <w:t>646,118</w:t>
            </w:r>
          </w:p>
        </w:tc>
        <w:tc>
          <w:tcPr>
            <w:tcW w:w="0" w:type="dxa"/>
            <w:vAlign w:val="bottom"/>
          </w:tcPr>
          <w:p>
            <w:pPr>
              <w:spacing w:after="0"/>
              <w:rPr>
                <w:sz w:val="1"/>
                <w:szCs w:val="1"/>
                <w:color w:val="auto"/>
              </w:rPr>
            </w:pPr>
          </w:p>
        </w:tc>
      </w:tr>
      <w:tr>
        <w:trPr>
          <w:trHeight w:val="306"/>
        </w:trPr>
        <w:tc>
          <w:tcPr>
            <w:tcW w:w="6220" w:type="dxa"/>
            <w:vAlign w:val="bottom"/>
            <w:tcBorders>
              <w:bottom w:val="single" w:sz="8" w:color="DDDDDD"/>
            </w:tcBorders>
            <w:gridSpan w:val="2"/>
          </w:tcPr>
          <w:p>
            <w:pPr>
              <w:ind w:left="160"/>
              <w:spacing w:after="0"/>
              <w:rPr>
                <w:sz w:val="20"/>
                <w:szCs w:val="20"/>
                <w:color w:val="auto"/>
              </w:rPr>
            </w:pPr>
            <w:r>
              <w:rPr>
                <w:rFonts w:ascii="Times New Roman" w:cs="Times New Roman" w:eastAsia="Times New Roman" w:hAnsi="Times New Roman"/>
                <w:sz w:val="20"/>
                <w:szCs w:val="20"/>
                <w:color w:val="auto"/>
              </w:rPr>
              <w:t>Weighted average common shares outstanding - diluted</w:t>
            </w:r>
          </w:p>
        </w:tc>
        <w:tc>
          <w:tcPr>
            <w:tcW w:w="260" w:type="dxa"/>
            <w:vAlign w:val="bottom"/>
            <w:tcBorders>
              <w:bottom w:val="single" w:sz="8" w:color="auto"/>
            </w:tcBorders>
          </w:tcPr>
          <w:p>
            <w:pPr>
              <w:spacing w:after="0"/>
              <w:rPr>
                <w:sz w:val="24"/>
                <w:szCs w:val="24"/>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93,244,911</w:t>
            </w: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85,027,120</w:t>
            </w:r>
          </w:p>
        </w:tc>
        <w:tc>
          <w:tcPr>
            <w:tcW w:w="60" w:type="dxa"/>
            <w:vAlign w:val="bottom"/>
            <w:tcBorders>
              <w:bottom w:val="single" w:sz="8" w:color="DDDDDD"/>
            </w:tcBorders>
          </w:tcPr>
          <w:p>
            <w:pPr>
              <w:spacing w:after="0"/>
              <w:rPr>
                <w:sz w:val="24"/>
                <w:szCs w:val="24"/>
                <w:color w:val="auto"/>
              </w:rPr>
            </w:pPr>
          </w:p>
        </w:tc>
        <w:tc>
          <w:tcPr>
            <w:tcW w:w="20" w:type="dxa"/>
            <w:vAlign w:val="bottom"/>
            <w:tcBorders>
              <w:bottom w:val="single" w:sz="8" w:color="DDDDDD"/>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66,813,417</w:t>
            </w:r>
          </w:p>
        </w:tc>
        <w:tc>
          <w:tcPr>
            <w:tcW w:w="0" w:type="dxa"/>
            <w:vAlign w:val="bottom"/>
          </w:tcPr>
          <w:p>
            <w:pPr>
              <w:spacing w:after="0"/>
              <w:rPr>
                <w:sz w:val="1"/>
                <w:szCs w:val="1"/>
                <w:color w:val="auto"/>
              </w:rPr>
            </w:pPr>
          </w:p>
        </w:tc>
      </w:tr>
      <w:tr>
        <w:trPr>
          <w:trHeight w:val="208"/>
        </w:trPr>
        <w:tc>
          <w:tcPr>
            <w:tcW w:w="6200" w:type="dxa"/>
            <w:vAlign w:val="bottom"/>
            <w:tcBorders>
              <w:top w:val="single" w:sz="8" w:color="DDDDDD"/>
            </w:tcBorders>
            <w:shd w:val="clear" w:color="auto" w:fill="DDDDDD"/>
          </w:tcPr>
          <w:p>
            <w:pPr>
              <w:spacing w:after="0"/>
              <w:rPr>
                <w:sz w:val="18"/>
                <w:szCs w:val="18"/>
                <w:color w:val="auto"/>
              </w:rPr>
            </w:pPr>
          </w:p>
        </w:tc>
        <w:tc>
          <w:tcPr>
            <w:tcW w:w="20" w:type="dxa"/>
            <w:vAlign w:val="bottom"/>
            <w:tcBorders>
              <w:top w:val="single" w:sz="8" w:color="DDDDDD"/>
            </w:tcBorders>
            <w:shd w:val="clear" w:color="auto" w:fill="DDDDDD"/>
          </w:tcPr>
          <w:p>
            <w:pPr>
              <w:spacing w:after="0"/>
              <w:rPr>
                <w:sz w:val="18"/>
                <w:szCs w:val="18"/>
                <w:color w:val="auto"/>
              </w:rPr>
            </w:pPr>
          </w:p>
        </w:tc>
        <w:tc>
          <w:tcPr>
            <w:tcW w:w="260" w:type="dxa"/>
            <w:vAlign w:val="bottom"/>
            <w:tcBorders>
              <w:top w:val="single" w:sz="8" w:color="DDDDDD"/>
            </w:tcBorders>
            <w:shd w:val="clear" w:color="auto" w:fill="DDDDDD"/>
          </w:tcPr>
          <w:p>
            <w:pPr>
              <w:spacing w:after="0"/>
              <w:rPr>
                <w:sz w:val="18"/>
                <w:szCs w:val="18"/>
                <w:color w:val="auto"/>
              </w:rPr>
            </w:pPr>
          </w:p>
        </w:tc>
        <w:tc>
          <w:tcPr>
            <w:tcW w:w="1040" w:type="dxa"/>
            <w:vAlign w:val="bottom"/>
            <w:tcBorders>
              <w:top w:val="single" w:sz="8" w:color="DDDDDD"/>
            </w:tcBorders>
            <w:shd w:val="clear" w:color="auto" w:fill="DDDDDD"/>
          </w:tcPr>
          <w:p>
            <w:pPr>
              <w:spacing w:after="0"/>
              <w:rPr>
                <w:sz w:val="18"/>
                <w:szCs w:val="18"/>
                <w:color w:val="auto"/>
              </w:rPr>
            </w:pPr>
          </w:p>
        </w:tc>
        <w:tc>
          <w:tcPr>
            <w:tcW w:w="40" w:type="dxa"/>
            <w:vAlign w:val="bottom"/>
            <w:shd w:val="clear" w:color="auto" w:fill="DDDDDD"/>
          </w:tcPr>
          <w:p>
            <w:pPr>
              <w:spacing w:after="0"/>
              <w:rPr>
                <w:sz w:val="18"/>
                <w:szCs w:val="18"/>
                <w:color w:val="auto"/>
              </w:rPr>
            </w:pPr>
          </w:p>
        </w:tc>
        <w:tc>
          <w:tcPr>
            <w:tcW w:w="20" w:type="dxa"/>
            <w:vAlign w:val="bottom"/>
            <w:shd w:val="clear" w:color="auto" w:fill="DDDDDD"/>
          </w:tcPr>
          <w:p>
            <w:pPr>
              <w:spacing w:after="0"/>
              <w:rPr>
                <w:sz w:val="18"/>
                <w:szCs w:val="18"/>
                <w:color w:val="auto"/>
              </w:rPr>
            </w:pPr>
          </w:p>
        </w:tc>
        <w:tc>
          <w:tcPr>
            <w:tcW w:w="260" w:type="dxa"/>
            <w:vAlign w:val="bottom"/>
            <w:tcBorders>
              <w:top w:val="single" w:sz="8" w:color="DDDDDD"/>
            </w:tcBorders>
            <w:shd w:val="clear" w:color="auto" w:fill="DDDDDD"/>
          </w:tcPr>
          <w:p>
            <w:pPr>
              <w:spacing w:after="0"/>
              <w:rPr>
                <w:sz w:val="18"/>
                <w:szCs w:val="18"/>
                <w:color w:val="auto"/>
              </w:rPr>
            </w:pPr>
          </w:p>
        </w:tc>
        <w:tc>
          <w:tcPr>
            <w:tcW w:w="1040" w:type="dxa"/>
            <w:vAlign w:val="bottom"/>
            <w:tcBorders>
              <w:top w:val="single" w:sz="8" w:color="DDDDDD"/>
            </w:tcBorders>
            <w:shd w:val="clear" w:color="auto" w:fill="DDDDDD"/>
          </w:tcPr>
          <w:p>
            <w:pPr>
              <w:spacing w:after="0"/>
              <w:rPr>
                <w:sz w:val="18"/>
                <w:szCs w:val="18"/>
                <w:color w:val="auto"/>
              </w:rPr>
            </w:pPr>
          </w:p>
        </w:tc>
        <w:tc>
          <w:tcPr>
            <w:tcW w:w="60" w:type="dxa"/>
            <w:vAlign w:val="bottom"/>
            <w:tcBorders>
              <w:top w:val="single" w:sz="8" w:color="DDDDDD"/>
            </w:tcBorders>
            <w:shd w:val="clear" w:color="auto" w:fill="DDDDDD"/>
          </w:tcPr>
          <w:p>
            <w:pPr>
              <w:spacing w:after="0"/>
              <w:rPr>
                <w:sz w:val="18"/>
                <w:szCs w:val="18"/>
                <w:color w:val="auto"/>
              </w:rPr>
            </w:pPr>
          </w:p>
        </w:tc>
        <w:tc>
          <w:tcPr>
            <w:tcW w:w="20" w:type="dxa"/>
            <w:vAlign w:val="bottom"/>
            <w:tcBorders>
              <w:top w:val="single" w:sz="8" w:color="DDDDDD"/>
            </w:tcBorders>
            <w:shd w:val="clear" w:color="auto" w:fill="DDDDDD"/>
          </w:tcPr>
          <w:p>
            <w:pPr>
              <w:spacing w:after="0"/>
              <w:rPr>
                <w:sz w:val="18"/>
                <w:szCs w:val="18"/>
                <w:color w:val="auto"/>
              </w:rPr>
            </w:pPr>
          </w:p>
        </w:tc>
        <w:tc>
          <w:tcPr>
            <w:tcW w:w="260" w:type="dxa"/>
            <w:vAlign w:val="bottom"/>
            <w:tcBorders>
              <w:top w:val="single" w:sz="8" w:color="DDDDDD"/>
            </w:tcBorders>
            <w:shd w:val="clear" w:color="auto" w:fill="DDDDDD"/>
          </w:tcPr>
          <w:p>
            <w:pPr>
              <w:spacing w:after="0"/>
              <w:rPr>
                <w:sz w:val="18"/>
                <w:szCs w:val="18"/>
                <w:color w:val="auto"/>
              </w:rPr>
            </w:pPr>
          </w:p>
        </w:tc>
        <w:tc>
          <w:tcPr>
            <w:tcW w:w="1040" w:type="dxa"/>
            <w:vAlign w:val="bottom"/>
            <w:tcBorders>
              <w:top w:val="single" w:sz="8" w:color="DDDDDD"/>
            </w:tcBorders>
            <w:shd w:val="clear" w:color="auto" w:fill="DDDDDD"/>
          </w:tcPr>
          <w:p>
            <w:pPr>
              <w:spacing w:after="0"/>
              <w:rPr>
                <w:sz w:val="18"/>
                <w:szCs w:val="18"/>
                <w:color w:val="auto"/>
              </w:rPr>
            </w:pPr>
          </w:p>
        </w:tc>
        <w:tc>
          <w:tcPr>
            <w:tcW w:w="0" w:type="dxa"/>
            <w:vAlign w:val="bottom"/>
          </w:tcPr>
          <w:p>
            <w:pPr>
              <w:spacing w:after="0"/>
              <w:rPr>
                <w:sz w:val="1"/>
                <w:szCs w:val="1"/>
                <w:color w:val="auto"/>
              </w:rPr>
            </w:pPr>
          </w:p>
        </w:tc>
      </w:tr>
      <w:tr>
        <w:trPr>
          <w:trHeight w:val="281"/>
        </w:trPr>
        <w:tc>
          <w:tcPr>
            <w:tcW w:w="6220" w:type="dxa"/>
            <w:vAlign w:val="bottom"/>
            <w:gridSpan w:val="2"/>
          </w:tcPr>
          <w:p>
            <w:pPr>
              <w:ind w:left="40"/>
              <w:spacing w:after="0"/>
              <w:rPr>
                <w:sz w:val="20"/>
                <w:szCs w:val="20"/>
                <w:color w:val="auto"/>
              </w:rPr>
            </w:pPr>
            <w:r>
              <w:rPr>
                <w:rFonts w:ascii="Times New Roman" w:cs="Times New Roman" w:eastAsia="Times New Roman" w:hAnsi="Times New Roman"/>
                <w:sz w:val="20"/>
                <w:szCs w:val="20"/>
                <w:b w:val="1"/>
                <w:bCs w:val="1"/>
                <w:color w:val="auto"/>
              </w:rPr>
              <w:t>Net income (loss) per share of Class A Common Stock:</w:t>
            </w:r>
          </w:p>
        </w:tc>
        <w:tc>
          <w:tcPr>
            <w:tcW w:w="26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88"/>
        </w:trPr>
        <w:tc>
          <w:tcPr>
            <w:tcW w:w="6220" w:type="dxa"/>
            <w:vAlign w:val="bottom"/>
            <w:gridSpan w:val="2"/>
            <w:shd w:val="clear" w:color="auto" w:fill="DDDDDD"/>
          </w:tcPr>
          <w:p>
            <w:pPr>
              <w:ind w:left="40"/>
              <w:spacing w:after="0"/>
              <w:rPr>
                <w:sz w:val="20"/>
                <w:szCs w:val="20"/>
                <w:color w:val="auto"/>
              </w:rPr>
            </w:pPr>
            <w:r>
              <w:rPr>
                <w:rFonts w:ascii="Times New Roman" w:cs="Times New Roman" w:eastAsia="Times New Roman" w:hAnsi="Times New Roman"/>
                <w:sz w:val="20"/>
                <w:szCs w:val="20"/>
                <w:color w:val="auto"/>
              </w:rPr>
              <w:t>Net income (loss) per Class A common share - basic</w:t>
            </w:r>
          </w:p>
        </w:tc>
        <w:tc>
          <w:tcPr>
            <w:tcW w:w="260" w:type="dxa"/>
            <w:vAlign w:val="bottom"/>
            <w:tcBorders>
              <w:bottom w:val="single" w:sz="8" w:color="auto"/>
            </w:tcBorders>
            <w:shd w:val="clear" w:color="auto" w:fill="DDDDDD"/>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1040" w:type="dxa"/>
            <w:vAlign w:val="bottom"/>
            <w:tcBorders>
              <w:bottom w:val="single" w:sz="8" w:color="auto"/>
            </w:tcBorders>
            <w:shd w:val="clear" w:color="auto" w:fill="DDDDDD"/>
          </w:tcPr>
          <w:p>
            <w:pPr>
              <w:jc w:val="right"/>
              <w:spacing w:after="0"/>
              <w:rPr>
                <w:sz w:val="20"/>
                <w:szCs w:val="20"/>
                <w:color w:val="auto"/>
              </w:rPr>
            </w:pPr>
            <w:r>
              <w:rPr>
                <w:rFonts w:ascii="Times New Roman" w:cs="Times New Roman" w:eastAsia="Times New Roman" w:hAnsi="Times New Roman"/>
                <w:sz w:val="20"/>
                <w:szCs w:val="20"/>
                <w:color w:val="auto"/>
              </w:rPr>
              <w:t>(0.11)</w:t>
            </w:r>
          </w:p>
        </w:tc>
        <w:tc>
          <w:tcPr>
            <w:tcW w:w="40" w:type="dxa"/>
            <w:vAlign w:val="bottom"/>
            <w:shd w:val="clear" w:color="auto" w:fill="DDDDDD"/>
          </w:tcPr>
          <w:p>
            <w:pPr>
              <w:spacing w:after="0"/>
              <w:rPr>
                <w:sz w:val="24"/>
                <w:szCs w:val="24"/>
                <w:color w:val="auto"/>
              </w:rPr>
            </w:pPr>
          </w:p>
        </w:tc>
        <w:tc>
          <w:tcPr>
            <w:tcW w:w="20" w:type="dxa"/>
            <w:vAlign w:val="bottom"/>
            <w:shd w:val="clear" w:color="auto" w:fill="DDDDDD"/>
          </w:tcPr>
          <w:p>
            <w:pPr>
              <w:spacing w:after="0"/>
              <w:rPr>
                <w:sz w:val="24"/>
                <w:szCs w:val="24"/>
                <w:color w:val="auto"/>
              </w:rPr>
            </w:pPr>
          </w:p>
        </w:tc>
        <w:tc>
          <w:tcPr>
            <w:tcW w:w="260" w:type="dxa"/>
            <w:vAlign w:val="bottom"/>
            <w:tcBorders>
              <w:bottom w:val="single" w:sz="8" w:color="auto"/>
            </w:tcBorders>
            <w:shd w:val="clear" w:color="auto" w:fill="DDDDDD"/>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1040" w:type="dxa"/>
            <w:vAlign w:val="bottom"/>
            <w:tcBorders>
              <w:bottom w:val="single" w:sz="8" w:color="auto"/>
            </w:tcBorders>
            <w:shd w:val="clear" w:color="auto" w:fill="DDDDDD"/>
          </w:tcPr>
          <w:p>
            <w:pPr>
              <w:jc w:val="right"/>
              <w:spacing w:after="0"/>
              <w:rPr>
                <w:sz w:val="20"/>
                <w:szCs w:val="20"/>
                <w:color w:val="auto"/>
              </w:rPr>
            </w:pPr>
            <w:r>
              <w:rPr>
                <w:rFonts w:ascii="Times New Roman" w:cs="Times New Roman" w:eastAsia="Times New Roman" w:hAnsi="Times New Roman"/>
                <w:sz w:val="20"/>
                <w:szCs w:val="20"/>
                <w:color w:val="auto"/>
              </w:rPr>
              <w:t>(1.36)</w:t>
            </w:r>
          </w:p>
        </w:tc>
        <w:tc>
          <w:tcPr>
            <w:tcW w:w="60" w:type="dxa"/>
            <w:vAlign w:val="bottom"/>
            <w:shd w:val="clear" w:color="auto" w:fill="DDDDDD"/>
          </w:tcPr>
          <w:p>
            <w:pPr>
              <w:spacing w:after="0"/>
              <w:rPr>
                <w:sz w:val="24"/>
                <w:szCs w:val="24"/>
                <w:color w:val="auto"/>
              </w:rPr>
            </w:pPr>
          </w:p>
        </w:tc>
        <w:tc>
          <w:tcPr>
            <w:tcW w:w="20" w:type="dxa"/>
            <w:vAlign w:val="bottom"/>
            <w:shd w:val="clear" w:color="auto" w:fill="DDDDDD"/>
          </w:tcPr>
          <w:p>
            <w:pPr>
              <w:spacing w:after="0"/>
              <w:rPr>
                <w:sz w:val="24"/>
                <w:szCs w:val="24"/>
                <w:color w:val="auto"/>
              </w:rPr>
            </w:pPr>
          </w:p>
        </w:tc>
        <w:tc>
          <w:tcPr>
            <w:tcW w:w="260" w:type="dxa"/>
            <w:vAlign w:val="bottom"/>
            <w:tcBorders>
              <w:bottom w:val="single" w:sz="8" w:color="auto"/>
            </w:tcBorders>
            <w:shd w:val="clear" w:color="auto" w:fill="DDDDDD"/>
          </w:tcPr>
          <w:p>
            <w:pPr>
              <w:jc w:val="right"/>
              <w:ind w:right="19"/>
              <w:spacing w:after="0"/>
              <w:rPr>
                <w:sz w:val="20"/>
                <w:szCs w:val="20"/>
                <w:color w:val="auto"/>
              </w:rPr>
            </w:pPr>
            <w:r>
              <w:rPr>
                <w:rFonts w:ascii="Times New Roman" w:cs="Times New Roman" w:eastAsia="Times New Roman" w:hAnsi="Times New Roman"/>
                <w:sz w:val="20"/>
                <w:szCs w:val="20"/>
                <w:color w:val="auto"/>
              </w:rPr>
              <w:t>$</w:t>
            </w:r>
          </w:p>
        </w:tc>
        <w:tc>
          <w:tcPr>
            <w:tcW w:w="1040" w:type="dxa"/>
            <w:vAlign w:val="bottom"/>
            <w:tcBorders>
              <w:bottom w:val="single" w:sz="8" w:color="auto"/>
            </w:tcBorders>
            <w:shd w:val="clear" w:color="auto" w:fill="DDDDDD"/>
          </w:tcPr>
          <w:p>
            <w:pPr>
              <w:jc w:val="right"/>
              <w:spacing w:after="0"/>
              <w:rPr>
                <w:sz w:val="20"/>
                <w:szCs w:val="20"/>
                <w:color w:val="auto"/>
              </w:rPr>
            </w:pPr>
            <w:r>
              <w:rPr>
                <w:rFonts w:ascii="Times New Roman" w:cs="Times New Roman" w:eastAsia="Times New Roman" w:hAnsi="Times New Roman"/>
                <w:sz w:val="20"/>
                <w:szCs w:val="20"/>
                <w:color w:val="auto"/>
              </w:rPr>
              <w:t>0.93</w:t>
            </w:r>
          </w:p>
        </w:tc>
        <w:tc>
          <w:tcPr>
            <w:tcW w:w="0" w:type="dxa"/>
            <w:vAlign w:val="bottom"/>
          </w:tcPr>
          <w:p>
            <w:pPr>
              <w:spacing w:after="0"/>
              <w:rPr>
                <w:sz w:val="1"/>
                <w:szCs w:val="1"/>
                <w:color w:val="auto"/>
              </w:rPr>
            </w:pPr>
          </w:p>
        </w:tc>
      </w:tr>
      <w:tr>
        <w:trPr>
          <w:trHeight w:val="20"/>
        </w:trPr>
        <w:tc>
          <w:tcPr>
            <w:tcW w:w="6220" w:type="dxa"/>
            <w:vAlign w:val="bottom"/>
            <w:gridSpan w:val="2"/>
            <w:vMerge w:val="restart"/>
          </w:tcPr>
          <w:p>
            <w:pPr>
              <w:ind w:left="40"/>
              <w:spacing w:after="0"/>
              <w:rPr>
                <w:sz w:val="20"/>
                <w:szCs w:val="20"/>
                <w:color w:val="auto"/>
              </w:rPr>
            </w:pPr>
            <w:r>
              <w:rPr>
                <w:rFonts w:ascii="Times New Roman" w:cs="Times New Roman" w:eastAsia="Times New Roman" w:hAnsi="Times New Roman"/>
                <w:sz w:val="20"/>
                <w:szCs w:val="20"/>
                <w:color w:val="auto"/>
              </w:rPr>
              <w:t>Net income (loss) per Class A common share - diluted</w:t>
            </w:r>
          </w:p>
        </w:tc>
        <w:tc>
          <w:tcPr>
            <w:tcW w:w="26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80" w:type="dxa"/>
            <w:vAlign w:val="bottom"/>
            <w:gridSpan w:val="2"/>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80" w:type="dxa"/>
            <w:vAlign w:val="bottom"/>
            <w:gridSpan w:val="2"/>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2"/>
        </w:trPr>
        <w:tc>
          <w:tcPr>
            <w:tcW w:w="6220" w:type="dxa"/>
            <w:vAlign w:val="bottom"/>
            <w:gridSpan w:val="2"/>
            <w:vMerge w:val="continue"/>
          </w:tcPr>
          <w:p>
            <w:pPr>
              <w:spacing w:after="0"/>
              <w:rPr>
                <w:sz w:val="21"/>
                <w:szCs w:val="21"/>
                <w:color w:val="auto"/>
              </w:rPr>
            </w:pPr>
          </w:p>
        </w:tc>
        <w:tc>
          <w:tcPr>
            <w:tcW w:w="2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10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(0.11)</w:t>
            </w:r>
          </w:p>
        </w:tc>
        <w:tc>
          <w:tcPr>
            <w:tcW w:w="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10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(1.36)</w:t>
            </w:r>
          </w:p>
        </w:tc>
        <w:tc>
          <w:tcPr>
            <w:tcW w:w="6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10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(0.18)</w:t>
            </w:r>
          </w:p>
        </w:tc>
        <w:tc>
          <w:tcPr>
            <w:tcW w:w="0" w:type="dxa"/>
            <w:vAlign w:val="bottom"/>
          </w:tcPr>
          <w:p>
            <w:pPr>
              <w:spacing w:after="0"/>
              <w:rPr>
                <w:sz w:val="1"/>
                <w:szCs w:val="1"/>
                <w:color w:val="auto"/>
              </w:rPr>
            </w:pPr>
          </w:p>
        </w:tc>
      </w:tr>
      <w:tr>
        <w:trPr>
          <w:trHeight w:val="20"/>
        </w:trPr>
        <w:tc>
          <w:tcPr>
            <w:tcW w:w="6200" w:type="dxa"/>
            <w:vAlign w:val="bottom"/>
            <w:vMerge w:val="restart"/>
          </w:tcPr>
          <w:p>
            <w:pPr>
              <w:spacing w:after="0"/>
              <w:rPr>
                <w:sz w:val="20"/>
                <w:szCs w:val="20"/>
                <w:color w:val="auto"/>
              </w:rPr>
            </w:pPr>
            <w:r>
              <w:rPr>
                <w:rFonts w:ascii="Times New Roman" w:cs="Times New Roman" w:eastAsia="Times New Roman" w:hAnsi="Times New Roman"/>
                <w:sz w:val="16"/>
                <w:szCs w:val="16"/>
                <w:color w:val="auto"/>
              </w:rPr>
              <w:t>___________________________________</w:t>
            </w:r>
          </w:p>
        </w:tc>
        <w:tc>
          <w:tcPr>
            <w:tcW w:w="2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2"/>
        </w:trPr>
        <w:tc>
          <w:tcPr>
            <w:tcW w:w="6200" w:type="dxa"/>
            <w:vAlign w:val="bottom"/>
            <w:vMerge w:val="continue"/>
          </w:tcPr>
          <w:p>
            <w:pPr>
              <w:spacing w:after="0"/>
              <w:rPr>
                <w:sz w:val="15"/>
                <w:szCs w:val="15"/>
                <w:color w:val="auto"/>
              </w:rPr>
            </w:pPr>
          </w:p>
        </w:tc>
        <w:tc>
          <w:tcPr>
            <w:tcW w:w="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71"/>
        </w:trPr>
        <w:tc>
          <w:tcPr>
            <w:tcW w:w="6220" w:type="dxa"/>
            <w:vAlign w:val="bottom"/>
            <w:gridSpan w:val="2"/>
          </w:tcPr>
          <w:p>
            <w:pPr>
              <w:spacing w:after="0"/>
              <w:rPr>
                <w:sz w:val="20"/>
                <w:szCs w:val="20"/>
                <w:color w:val="auto"/>
              </w:rPr>
            </w:pPr>
            <w:r>
              <w:rPr>
                <w:rFonts w:ascii="Times New Roman" w:cs="Times New Roman" w:eastAsia="Times New Roman" w:hAnsi="Times New Roman"/>
                <w:sz w:val="20"/>
                <w:szCs w:val="20"/>
                <w:color w:val="auto"/>
              </w:rPr>
              <w:t>¹ Calculated using the treasury stock method.</w:t>
            </w:r>
          </w:p>
        </w:tc>
        <w:tc>
          <w:tcPr>
            <w:tcW w:w="260" w:type="dxa"/>
            <w:vAlign w:val="bottom"/>
          </w:tcPr>
          <w:p>
            <w:pPr>
              <w:spacing w:after="0"/>
              <w:rPr>
                <w:sz w:val="23"/>
                <w:szCs w:val="23"/>
                <w:color w:val="auto"/>
              </w:rPr>
            </w:pPr>
          </w:p>
        </w:tc>
        <w:tc>
          <w:tcPr>
            <w:tcW w:w="104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104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1040" w:type="dxa"/>
            <w:vAlign w:val="bottom"/>
          </w:tcPr>
          <w:p>
            <w:pPr>
              <w:spacing w:after="0"/>
              <w:rPr>
                <w:sz w:val="23"/>
                <w:szCs w:val="23"/>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4768850</wp:posOffset>
                </wp:positionH>
                <wp:positionV relativeFrom="paragraph">
                  <wp:posOffset>-3823335</wp:posOffset>
                </wp:positionV>
                <wp:extent cx="36830" cy="13335"/>
                <wp:wrapNone/>
                <wp:docPr id="100" name="Shape 100"/>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36830" cy="13335"/>
                        </a:xfrm>
                        <a:prstGeom prst="rect">
                          <a:avLst/>
                        </a:prstGeom>
                        <a:solidFill>
                          <a:srgbClr val="DDDDDD"/>
                        </a:solidFill>
                      </wps:spPr>
                      <wps:bodyPr/>
                    </wps:wsp>
                  </a:graphicData>
                </a:graphic>
              </wp:anchor>
            </w:drawing>
          </mc:Choice>
          <mc:Fallback>
            <w:pict>
              <v:rect id="Shape 100" o:spid="_x0000_s1125" style="position:absolute;margin-left:375.5pt;margin-top:-301.0499pt;width:2.9pt;height:1.05pt;z-index:-251657728;visibility:visible;mso-wrap-style:square;mso-width-percent:0;mso-height-percent:0;mso-wrap-distance-left:0pt;mso-wrap-distance-top:0;mso-wrap-distance-right:0pt;mso-wrap-distance-bottom:0;mso-position-horizontal:absolute;mso-position-horizontal-relative:text;mso-position-vertical:absolute;mso-position-vertical-relative:text;mso-width-percent:0;mso-height-percent:0;mso-width-relative:page;mso-height-relative:page;v-text-anchor:top" o:allowincell="f" fillcolor="#DDDDDD" stroked="f"/>
            </w:pict>
          </mc:Fallback>
        </mc:AlternateContent>
        <mc:AlternateContent>
          <mc:Choice Requires="wps">
            <w:drawing>
              <wp:anchor simplePos="0" relativeHeight="251657728" behindDoc="1" locked="0" layoutInCell="0" allowOverlap="1">
                <wp:simplePos x="0" y="0"/>
                <wp:positionH relativeFrom="column">
                  <wp:posOffset>4768850</wp:posOffset>
                </wp:positionH>
                <wp:positionV relativeFrom="paragraph">
                  <wp:posOffset>-2987040</wp:posOffset>
                </wp:positionV>
                <wp:extent cx="36830" cy="13970"/>
                <wp:wrapNone/>
                <wp:docPr id="101" name="Shape 101"/>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36830" cy="13970"/>
                        </a:xfrm>
                        <a:prstGeom prst="rect">
                          <a:avLst/>
                        </a:prstGeom>
                        <a:solidFill>
                          <a:srgbClr val="DDDDDD"/>
                        </a:solidFill>
                      </wps:spPr>
                      <wps:bodyPr/>
                    </wps:wsp>
                  </a:graphicData>
                </a:graphic>
              </wp:anchor>
            </w:drawing>
          </mc:Choice>
          <mc:Fallback>
            <w:pict>
              <v:rect id="Shape 101" o:spid="_x0000_s1126" style="position:absolute;margin-left:375.5pt;margin-top:-235.1999pt;width:2.9pt;height:1.1pt;z-index:-251657728;visibility:visible;mso-wrap-style:square;mso-width-percent:0;mso-height-percent:0;mso-wrap-distance-left:0pt;mso-wrap-distance-top:0;mso-wrap-distance-right:0pt;mso-wrap-distance-bottom:0;mso-position-horizontal:absolute;mso-position-horizontal-relative:text;mso-position-vertical:absolute;mso-position-vertical-relative:text;mso-width-percent:0;mso-height-percent:0;mso-width-relative:page;mso-height-relative:page;v-text-anchor:top" o:allowincell="f" fillcolor="#DDDDDD" stroked="f"/>
            </w:pict>
          </mc:Fallback>
        </mc:AlternateContent>
        <mc:AlternateContent>
          <mc:Choice Requires="wps">
            <w:drawing>
              <wp:anchor simplePos="0" relativeHeight="251657728" behindDoc="1" locked="0" layoutInCell="0" allowOverlap="1">
                <wp:simplePos x="0" y="0"/>
                <wp:positionH relativeFrom="column">
                  <wp:posOffset>4805680</wp:posOffset>
                </wp:positionH>
                <wp:positionV relativeFrom="paragraph">
                  <wp:posOffset>-2317115</wp:posOffset>
                </wp:positionV>
                <wp:extent cx="827405" cy="0"/>
                <wp:wrapNone/>
                <wp:docPr id="102" name="Shape 102"/>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827405" cy="4763"/>
                        </a:xfrm>
                        <a:prstGeom prst="line">
                          <a:avLst/>
                        </a:prstGeom>
                        <a:solidFill>
                          <a:srgbClr val="FFFFFF"/>
                        </a:solidFill>
                        <a:ln w="4572">
                          <a:solidFill>
                            <a:srgbClr val="FFFFFF"/>
                          </a:solidFill>
                          <a:miter lim="800000"/>
                          <a:headEnd/>
                          <a:tailEnd/>
                        </a:ln>
                      </wps:spPr>
                      <wps:bodyPr/>
                    </wps:wsp>
                  </a:graphicData>
                </a:graphic>
              </wp:anchor>
            </w:drawing>
          </mc:Choice>
          <mc:Fallback>
            <w:pict>
              <v:line id="Shape 102" o:spid="_x0000_s1127"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378.4pt,-182.4499pt" to="443.55pt,-182.4499pt" o:allowincell="f" strokecolor="#FFFFFF" strokeweight="0.36pt"/>
            </w:pict>
          </mc:Fallback>
        </mc:AlternateContent>
        <mc:AlternateContent>
          <mc:Choice Requires="wps">
            <w:drawing>
              <wp:anchor simplePos="0" relativeHeight="251657728" behindDoc="1" locked="0" layoutInCell="0" allowOverlap="1">
                <wp:simplePos x="0" y="0"/>
                <wp:positionH relativeFrom="column">
                  <wp:posOffset>5683250</wp:posOffset>
                </wp:positionH>
                <wp:positionV relativeFrom="paragraph">
                  <wp:posOffset>-2317115</wp:posOffset>
                </wp:positionV>
                <wp:extent cx="827405" cy="0"/>
                <wp:wrapNone/>
                <wp:docPr id="103" name="Shape 103"/>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827405" cy="4763"/>
                        </a:xfrm>
                        <a:prstGeom prst="line">
                          <a:avLst/>
                        </a:prstGeom>
                        <a:solidFill>
                          <a:srgbClr val="FFFFFF"/>
                        </a:solidFill>
                        <a:ln w="4572">
                          <a:solidFill>
                            <a:srgbClr val="FFFFFF"/>
                          </a:solidFill>
                          <a:miter lim="800000"/>
                          <a:headEnd/>
                          <a:tailEnd/>
                        </a:ln>
                      </wps:spPr>
                      <wps:bodyPr/>
                    </wps:wsp>
                  </a:graphicData>
                </a:graphic>
              </wp:anchor>
            </w:drawing>
          </mc:Choice>
          <mc:Fallback>
            <w:pict>
              <v:line id="Shape 103" o:spid="_x0000_s1128"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447.5pt,-182.4499pt" to="512.65pt,-182.4499pt" o:allowincell="f" strokecolor="#FFFFFF" strokeweight="0.36pt"/>
            </w:pict>
          </mc:Fallback>
        </mc:AlternateContent>
        <mc:AlternateContent>
          <mc:Choice Requires="wps">
            <w:drawing>
              <wp:anchor simplePos="0" relativeHeight="251657728" behindDoc="1" locked="0" layoutInCell="0" allowOverlap="1">
                <wp:simplePos x="0" y="0"/>
                <wp:positionH relativeFrom="column">
                  <wp:posOffset>4768850</wp:posOffset>
                </wp:positionH>
                <wp:positionV relativeFrom="paragraph">
                  <wp:posOffset>-2145665</wp:posOffset>
                </wp:positionV>
                <wp:extent cx="36830" cy="36830"/>
                <wp:wrapNone/>
                <wp:docPr id="104" name="Shape 104"/>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36830" cy="36830"/>
                        </a:xfrm>
                        <a:prstGeom prst="rect">
                          <a:avLst/>
                        </a:prstGeom>
                        <a:solidFill>
                          <a:srgbClr val="DDDDDD"/>
                        </a:solidFill>
                      </wps:spPr>
                      <wps:bodyPr/>
                    </wps:wsp>
                  </a:graphicData>
                </a:graphic>
              </wp:anchor>
            </w:drawing>
          </mc:Choice>
          <mc:Fallback>
            <w:pict>
              <v:rect id="Shape 104" o:spid="_x0000_s1129" style="position:absolute;margin-left:375.5pt;margin-top:-168.9499pt;width:2.9pt;height:2.9pt;z-index:-251657728;visibility:visible;mso-wrap-style:square;mso-width-percent:0;mso-height-percent:0;mso-wrap-distance-left:0pt;mso-wrap-distance-top:0;mso-wrap-distance-right:0pt;mso-wrap-distance-bottom:0;mso-position-horizontal:absolute;mso-position-horizontal-relative:text;mso-position-vertical:absolute;mso-position-vertical-relative:text;mso-width-percent:0;mso-height-percent:0;mso-width-relative:page;mso-height-relative:page;v-text-anchor:top" o:allowincell="f" fillcolor="#DDDDDD" stroked="f"/>
            </w:pict>
          </mc:Fallback>
        </mc:AlternateContent>
        <mc:AlternateContent>
          <mc:Choice Requires="wps">
            <w:drawing>
              <wp:anchor simplePos="0" relativeHeight="251657728" behindDoc="1" locked="0" layoutInCell="0" allowOverlap="1">
                <wp:simplePos x="0" y="0"/>
                <wp:positionH relativeFrom="column">
                  <wp:posOffset>4805680</wp:posOffset>
                </wp:positionH>
                <wp:positionV relativeFrom="paragraph">
                  <wp:posOffset>-1228725</wp:posOffset>
                </wp:positionV>
                <wp:extent cx="827405" cy="0"/>
                <wp:wrapNone/>
                <wp:docPr id="105" name="Shape 105"/>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827405" cy="4763"/>
                        </a:xfrm>
                        <a:prstGeom prst="line">
                          <a:avLst/>
                        </a:prstGeom>
                        <a:solidFill>
                          <a:srgbClr val="FFFFFF"/>
                        </a:solidFill>
                        <a:ln w="4572">
                          <a:solidFill>
                            <a:srgbClr val="FFFFFF"/>
                          </a:solidFill>
                          <a:miter lim="800000"/>
                          <a:headEnd/>
                          <a:tailEnd/>
                        </a:ln>
                      </wps:spPr>
                      <wps:bodyPr/>
                    </wps:wsp>
                  </a:graphicData>
                </a:graphic>
              </wp:anchor>
            </w:drawing>
          </mc:Choice>
          <mc:Fallback>
            <w:pict>
              <v:line id="Shape 105" o:spid="_x0000_s1130"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378.4pt,-96.7499pt" to="443.55pt,-96.7499pt" o:allowincell="f" strokecolor="#FFFFFF" strokeweight="0.36pt"/>
            </w:pict>
          </mc:Fallback>
        </mc:AlternateContent>
        <mc:AlternateContent>
          <mc:Choice Requires="wps">
            <w:drawing>
              <wp:anchor simplePos="0" relativeHeight="251657728" behindDoc="1" locked="0" layoutInCell="0" allowOverlap="1">
                <wp:simplePos x="0" y="0"/>
                <wp:positionH relativeFrom="column">
                  <wp:posOffset>5683250</wp:posOffset>
                </wp:positionH>
                <wp:positionV relativeFrom="paragraph">
                  <wp:posOffset>-1228725</wp:posOffset>
                </wp:positionV>
                <wp:extent cx="827405" cy="0"/>
                <wp:wrapNone/>
                <wp:docPr id="106" name="Shape 106"/>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827405" cy="4763"/>
                        </a:xfrm>
                        <a:prstGeom prst="line">
                          <a:avLst/>
                        </a:prstGeom>
                        <a:solidFill>
                          <a:srgbClr val="FFFFFF"/>
                        </a:solidFill>
                        <a:ln w="4572">
                          <a:solidFill>
                            <a:srgbClr val="FFFFFF"/>
                          </a:solidFill>
                          <a:miter lim="800000"/>
                          <a:headEnd/>
                          <a:tailEnd/>
                        </a:ln>
                      </wps:spPr>
                      <wps:bodyPr/>
                    </wps:wsp>
                  </a:graphicData>
                </a:graphic>
              </wp:anchor>
            </w:drawing>
          </mc:Choice>
          <mc:Fallback>
            <w:pict>
              <v:line id="Shape 106" o:spid="_x0000_s1131"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447.5pt,-96.7499pt" to="512.65pt,-96.7499pt" o:allowincell="f" strokecolor="#FFFFFF" strokeweight="0.36pt"/>
            </w:pict>
          </mc:Fallback>
        </mc:AlternateContent>
        <mc:AlternateContent>
          <mc:Choice Requires="wps">
            <w:drawing>
              <wp:anchor simplePos="0" relativeHeight="251657728" behindDoc="1" locked="0" layoutInCell="0" allowOverlap="1">
                <wp:simplePos x="0" y="0"/>
                <wp:positionH relativeFrom="column">
                  <wp:posOffset>4768850</wp:posOffset>
                </wp:positionH>
                <wp:positionV relativeFrom="paragraph">
                  <wp:posOffset>-1061720</wp:posOffset>
                </wp:positionV>
                <wp:extent cx="36830" cy="36195"/>
                <wp:wrapNone/>
                <wp:docPr id="107" name="Shape 107"/>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36830" cy="36195"/>
                        </a:xfrm>
                        <a:prstGeom prst="rect">
                          <a:avLst/>
                        </a:prstGeom>
                        <a:solidFill>
                          <a:srgbClr val="DDDDDD"/>
                        </a:solidFill>
                      </wps:spPr>
                      <wps:bodyPr/>
                    </wps:wsp>
                  </a:graphicData>
                </a:graphic>
              </wp:anchor>
            </w:drawing>
          </mc:Choice>
          <mc:Fallback>
            <w:pict>
              <v:rect id="Shape 107" o:spid="_x0000_s1132" style="position:absolute;margin-left:375.5pt;margin-top:-83.5999pt;width:2.9pt;height:2.85pt;z-index:-251657728;visibility:visible;mso-wrap-style:square;mso-width-percent:0;mso-height-percent:0;mso-wrap-distance-left:0pt;mso-wrap-distance-top:0;mso-wrap-distance-right:0pt;mso-wrap-distance-bottom:0;mso-position-horizontal:absolute;mso-position-horizontal-relative:text;mso-position-vertical:absolute;mso-position-vertical-relative:text;mso-width-percent:0;mso-height-percent:0;mso-width-relative:page;mso-height-relative:page;v-text-anchor:top" o:allowincell="f" fillcolor="#DDDDDD" stroked="f"/>
            </w:pict>
          </mc:Fallback>
        </mc:AlternateContent>
      </w:r>
    </w:p>
    <w:p>
      <w:pPr>
        <w:spacing w:after="0" w:line="106" w:lineRule="exact"/>
        <w:rPr>
          <w:sz w:val="20"/>
          <w:szCs w:val="20"/>
          <w:color w:val="auto"/>
        </w:rPr>
      </w:pPr>
    </w:p>
    <w:p>
      <w:pPr>
        <w:jc w:val="both"/>
        <w:spacing w:after="0" w:line="297" w:lineRule="auto"/>
        <w:rPr>
          <w:sz w:val="20"/>
          <w:szCs w:val="20"/>
          <w:color w:val="auto"/>
        </w:rPr>
      </w:pPr>
      <w:r>
        <w:rPr>
          <w:rFonts w:ascii="Times New Roman" w:cs="Times New Roman" w:eastAsia="Times New Roman" w:hAnsi="Times New Roman"/>
          <w:sz w:val="20"/>
          <w:szCs w:val="20"/>
          <w:color w:val="auto"/>
        </w:rPr>
        <w:t>Shares of the Class V Common Stock do not participate in the earnings or losses of the Company and are therefore not participating securities. As such, separate presentation of basic and diluted earnings per share of Class V Common Stock under the two-class method has not been presented. However, shares of the Class V Common Stock outstanding for the period are considered potentially dilutive shares of Class A common stock under application of the if-converted method and are included in the computation of diluted earnings (loss) per share, except when the effect would be anti-dilutive.</w:t>
      </w:r>
    </w:p>
    <w:p>
      <w:pPr>
        <w:spacing w:after="0" w:line="75" w:lineRule="exact"/>
        <w:rPr>
          <w:sz w:val="20"/>
          <w:szCs w:val="20"/>
          <w:color w:val="auto"/>
        </w:rPr>
      </w:pPr>
    </w:p>
    <w:p>
      <w:pPr>
        <w:jc w:val="both"/>
        <w:ind w:right="20"/>
        <w:spacing w:after="0" w:line="314" w:lineRule="auto"/>
        <w:rPr>
          <w:sz w:val="20"/>
          <w:szCs w:val="20"/>
          <w:color w:val="auto"/>
        </w:rPr>
      </w:pPr>
      <w:r>
        <w:rPr>
          <w:rFonts w:ascii="Times New Roman" w:cs="Times New Roman" w:eastAsia="Times New Roman" w:hAnsi="Times New Roman"/>
          <w:sz w:val="20"/>
          <w:szCs w:val="20"/>
          <w:color w:val="auto"/>
        </w:rPr>
        <w:t>The Company excluded the following securities from its computation of diluted shares outstanding, as their effect would have been anti-dilutive:</w:t>
      </w:r>
    </w:p>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81"/>
        </w:trPr>
        <w:tc>
          <w:tcPr>
            <w:tcW w:w="4420" w:type="dxa"/>
            <w:vAlign w:val="bottom"/>
          </w:tcPr>
          <w:p>
            <w:pPr>
              <w:spacing w:after="0"/>
              <w:rPr>
                <w:sz w:val="24"/>
                <w:szCs w:val="24"/>
                <w:color w:val="auto"/>
              </w:rPr>
            </w:pPr>
          </w:p>
        </w:tc>
        <w:tc>
          <w:tcPr>
            <w:tcW w:w="4380" w:type="dxa"/>
            <w:vAlign w:val="bottom"/>
            <w:tcBorders>
              <w:bottom w:val="single" w:sz="8" w:color="auto"/>
            </w:tcBorders>
            <w:gridSpan w:val="5"/>
          </w:tcPr>
          <w:p>
            <w:pPr>
              <w:ind w:left="1760"/>
              <w:spacing w:after="0"/>
              <w:rPr>
                <w:sz w:val="20"/>
                <w:szCs w:val="20"/>
                <w:color w:val="auto"/>
              </w:rPr>
            </w:pPr>
            <w:r>
              <w:rPr>
                <w:rFonts w:ascii="Times New Roman" w:cs="Times New Roman" w:eastAsia="Times New Roman" w:hAnsi="Times New Roman"/>
                <w:sz w:val="20"/>
                <w:szCs w:val="20"/>
                <w:b w:val="1"/>
                <w:bCs w:val="1"/>
                <w:color w:val="auto"/>
              </w:rPr>
              <w:t>Years Ended December 31,</w:t>
            </w:r>
          </w:p>
        </w:tc>
        <w:tc>
          <w:tcPr>
            <w:tcW w:w="1460" w:type="dxa"/>
            <w:vAlign w:val="bottom"/>
            <w:tcBorders>
              <w:bottom w:val="single" w:sz="8" w:color="auto"/>
            </w:tcBorders>
          </w:tcPr>
          <w:p>
            <w:pPr>
              <w:spacing w:after="0"/>
              <w:rPr>
                <w:sz w:val="24"/>
                <w:szCs w:val="24"/>
                <w:color w:val="auto"/>
              </w:rPr>
            </w:pPr>
          </w:p>
        </w:tc>
      </w:tr>
      <w:tr>
        <w:trPr>
          <w:trHeight w:val="297"/>
        </w:trPr>
        <w:tc>
          <w:tcPr>
            <w:tcW w:w="4420" w:type="dxa"/>
            <w:vAlign w:val="bottom"/>
            <w:tcBorders>
              <w:bottom w:val="single" w:sz="8" w:color="DDDDDD"/>
            </w:tcBorders>
          </w:tcPr>
          <w:p>
            <w:pPr>
              <w:spacing w:after="0"/>
              <w:rPr>
                <w:sz w:val="24"/>
                <w:szCs w:val="24"/>
                <w:color w:val="auto"/>
              </w:rPr>
            </w:pPr>
          </w:p>
        </w:tc>
        <w:tc>
          <w:tcPr>
            <w:tcW w:w="1900" w:type="dxa"/>
            <w:vAlign w:val="bottom"/>
            <w:tcBorders>
              <w:bottom w:val="single" w:sz="8" w:color="auto"/>
            </w:tcBorders>
          </w:tcPr>
          <w:p>
            <w:pPr>
              <w:jc w:val="right"/>
              <w:ind w:right="639"/>
              <w:spacing w:after="0"/>
              <w:rPr>
                <w:sz w:val="20"/>
                <w:szCs w:val="20"/>
                <w:color w:val="auto"/>
              </w:rPr>
            </w:pPr>
            <w:r>
              <w:rPr>
                <w:rFonts w:ascii="Times New Roman" w:cs="Times New Roman" w:eastAsia="Times New Roman" w:hAnsi="Times New Roman"/>
                <w:sz w:val="20"/>
                <w:szCs w:val="20"/>
                <w:b w:val="1"/>
                <w:bCs w:val="1"/>
                <w:color w:val="auto"/>
              </w:rPr>
              <w:t>2023</w:t>
            </w:r>
          </w:p>
        </w:tc>
        <w:tc>
          <w:tcPr>
            <w:tcW w:w="60" w:type="dxa"/>
            <w:vAlign w:val="bottom"/>
            <w:tcBorders>
              <w:bottom w:val="single" w:sz="8" w:color="DDDDDD"/>
            </w:tcBorders>
          </w:tcPr>
          <w:p>
            <w:pPr>
              <w:spacing w:after="0"/>
              <w:rPr>
                <w:sz w:val="24"/>
                <w:szCs w:val="24"/>
                <w:color w:val="auto"/>
              </w:rPr>
            </w:pPr>
          </w:p>
        </w:tc>
        <w:tc>
          <w:tcPr>
            <w:tcW w:w="1900" w:type="dxa"/>
            <w:vAlign w:val="bottom"/>
            <w:tcBorders>
              <w:bottom w:val="single" w:sz="8" w:color="auto"/>
            </w:tcBorders>
          </w:tcPr>
          <w:p>
            <w:pPr>
              <w:jc w:val="right"/>
              <w:ind w:right="639"/>
              <w:spacing w:after="0"/>
              <w:rPr>
                <w:sz w:val="20"/>
                <w:szCs w:val="20"/>
                <w:color w:val="auto"/>
              </w:rPr>
            </w:pPr>
            <w:r>
              <w:rPr>
                <w:rFonts w:ascii="Times New Roman" w:cs="Times New Roman" w:eastAsia="Times New Roman" w:hAnsi="Times New Roman"/>
                <w:sz w:val="20"/>
                <w:szCs w:val="20"/>
                <w:b w:val="1"/>
                <w:bCs w:val="1"/>
                <w:color w:val="auto"/>
              </w:rPr>
              <w:t>2022</w:t>
            </w:r>
          </w:p>
        </w:tc>
        <w:tc>
          <w:tcPr>
            <w:tcW w:w="60" w:type="dxa"/>
            <w:vAlign w:val="bottom"/>
          </w:tcPr>
          <w:p>
            <w:pPr>
              <w:spacing w:after="0"/>
              <w:rPr>
                <w:sz w:val="24"/>
                <w:szCs w:val="24"/>
                <w:color w:val="auto"/>
              </w:rPr>
            </w:pPr>
          </w:p>
        </w:tc>
        <w:tc>
          <w:tcPr>
            <w:tcW w:w="460" w:type="dxa"/>
            <w:vAlign w:val="bottom"/>
            <w:tcBorders>
              <w:bottom w:val="single" w:sz="8" w:color="auto"/>
            </w:tcBorders>
          </w:tcPr>
          <w:p>
            <w:pPr>
              <w:spacing w:after="0"/>
              <w:rPr>
                <w:sz w:val="24"/>
                <w:szCs w:val="24"/>
                <w:color w:val="auto"/>
              </w:rPr>
            </w:pPr>
          </w:p>
        </w:tc>
        <w:tc>
          <w:tcPr>
            <w:tcW w:w="1460" w:type="dxa"/>
            <w:vAlign w:val="bottom"/>
            <w:tcBorders>
              <w:bottom w:val="single" w:sz="8" w:color="auto"/>
            </w:tcBorders>
          </w:tcPr>
          <w:p>
            <w:pPr>
              <w:jc w:val="right"/>
              <w:ind w:right="659"/>
              <w:spacing w:after="0"/>
              <w:rPr>
                <w:sz w:val="20"/>
                <w:szCs w:val="20"/>
                <w:color w:val="auto"/>
              </w:rPr>
            </w:pPr>
            <w:r>
              <w:rPr>
                <w:rFonts w:ascii="Times New Roman" w:cs="Times New Roman" w:eastAsia="Times New Roman" w:hAnsi="Times New Roman"/>
                <w:sz w:val="20"/>
                <w:szCs w:val="20"/>
                <w:b w:val="1"/>
                <w:bCs w:val="1"/>
                <w:color w:val="auto"/>
              </w:rPr>
              <w:t>2021</w:t>
            </w:r>
          </w:p>
        </w:tc>
      </w:tr>
      <w:tr>
        <w:trPr>
          <w:trHeight w:val="264"/>
        </w:trPr>
        <w:tc>
          <w:tcPr>
            <w:tcW w:w="4420" w:type="dxa"/>
            <w:vAlign w:val="bottom"/>
            <w:shd w:val="clear" w:color="auto" w:fill="DDDDDD"/>
          </w:tcPr>
          <w:p>
            <w:pPr>
              <w:ind w:left="40"/>
              <w:spacing w:after="0"/>
              <w:rPr>
                <w:sz w:val="20"/>
                <w:szCs w:val="20"/>
                <w:color w:val="auto"/>
              </w:rPr>
            </w:pPr>
            <w:r>
              <w:rPr>
                <w:rFonts w:ascii="Times New Roman" w:cs="Times New Roman" w:eastAsia="Times New Roman" w:hAnsi="Times New Roman"/>
                <w:sz w:val="20"/>
                <w:szCs w:val="20"/>
                <w:color w:val="auto"/>
              </w:rPr>
              <w:t>Class V Shares</w:t>
            </w:r>
          </w:p>
        </w:tc>
        <w:tc>
          <w:tcPr>
            <w:tcW w:w="1900" w:type="dxa"/>
            <w:vAlign w:val="bottom"/>
            <w:shd w:val="clear" w:color="auto" w:fill="DDDDDD"/>
          </w:tcPr>
          <w:p>
            <w:pPr>
              <w:jc w:val="right"/>
              <w:spacing w:after="0"/>
              <w:rPr>
                <w:sz w:val="20"/>
                <w:szCs w:val="20"/>
                <w:color w:val="auto"/>
              </w:rPr>
            </w:pPr>
            <w:r>
              <w:rPr>
                <w:rFonts w:ascii="Times New Roman" w:cs="Times New Roman" w:eastAsia="Times New Roman" w:hAnsi="Times New Roman"/>
                <w:sz w:val="20"/>
                <w:szCs w:val="20"/>
                <w:color w:val="auto"/>
              </w:rPr>
              <w:t>55,486,361</w:t>
            </w:r>
          </w:p>
        </w:tc>
        <w:tc>
          <w:tcPr>
            <w:tcW w:w="1960" w:type="dxa"/>
            <w:vAlign w:val="bottom"/>
            <w:gridSpan w:val="2"/>
            <w:shd w:val="clear" w:color="auto" w:fill="DDDDDD"/>
          </w:tcPr>
          <w:p>
            <w:pPr>
              <w:jc w:val="right"/>
              <w:spacing w:after="0"/>
              <w:rPr>
                <w:sz w:val="20"/>
                <w:szCs w:val="20"/>
                <w:color w:val="auto"/>
              </w:rPr>
            </w:pPr>
            <w:r>
              <w:rPr>
                <w:rFonts w:ascii="Times New Roman" w:cs="Times New Roman" w:eastAsia="Times New Roman" w:hAnsi="Times New Roman"/>
                <w:sz w:val="20"/>
                <w:szCs w:val="20"/>
                <w:color w:val="auto"/>
              </w:rPr>
              <w:t>55,486,361</w:t>
            </w:r>
          </w:p>
        </w:tc>
        <w:tc>
          <w:tcPr>
            <w:tcW w:w="60" w:type="dxa"/>
            <w:vAlign w:val="bottom"/>
            <w:shd w:val="clear" w:color="auto" w:fill="DDDDDD"/>
          </w:tcPr>
          <w:p>
            <w:pPr>
              <w:spacing w:after="0"/>
              <w:rPr>
                <w:sz w:val="22"/>
                <w:szCs w:val="22"/>
                <w:color w:val="auto"/>
              </w:rPr>
            </w:pPr>
          </w:p>
        </w:tc>
        <w:tc>
          <w:tcPr>
            <w:tcW w:w="460" w:type="dxa"/>
            <w:vAlign w:val="bottom"/>
            <w:shd w:val="clear" w:color="auto" w:fill="DDDDDD"/>
          </w:tcPr>
          <w:p>
            <w:pPr>
              <w:spacing w:after="0"/>
              <w:rPr>
                <w:sz w:val="22"/>
                <w:szCs w:val="22"/>
                <w:color w:val="auto"/>
              </w:rPr>
            </w:pPr>
          </w:p>
        </w:tc>
        <w:tc>
          <w:tcPr>
            <w:tcW w:w="1460" w:type="dxa"/>
            <w:vAlign w:val="bottom"/>
            <w:shd w:val="clear" w:color="auto" w:fill="DDDDDD"/>
          </w:tcPr>
          <w:p>
            <w:pPr>
              <w:jc w:val="right"/>
              <w:spacing w:after="0"/>
              <w:rPr>
                <w:sz w:val="20"/>
                <w:szCs w:val="20"/>
                <w:color w:val="auto"/>
              </w:rPr>
            </w:pPr>
            <w:r>
              <w:rPr>
                <w:rFonts w:ascii="Times New Roman" w:cs="Times New Roman" w:eastAsia="Times New Roman" w:hAnsi="Times New Roman"/>
                <w:sz w:val="20"/>
                <w:szCs w:val="20"/>
                <w:color w:val="auto"/>
              </w:rPr>
              <w:t>65,502,347</w:t>
            </w:r>
          </w:p>
        </w:tc>
      </w:tr>
      <w:tr>
        <w:trPr>
          <w:trHeight w:val="288"/>
        </w:trPr>
        <w:tc>
          <w:tcPr>
            <w:tcW w:w="4420" w:type="dxa"/>
            <w:vAlign w:val="bottom"/>
          </w:tcPr>
          <w:p>
            <w:pPr>
              <w:ind w:left="40"/>
              <w:spacing w:after="0"/>
              <w:rPr>
                <w:sz w:val="20"/>
                <w:szCs w:val="20"/>
                <w:color w:val="auto"/>
              </w:rPr>
            </w:pPr>
            <w:r>
              <w:rPr>
                <w:rFonts w:ascii="Times New Roman" w:cs="Times New Roman" w:eastAsia="Times New Roman" w:hAnsi="Times New Roman"/>
                <w:sz w:val="20"/>
                <w:szCs w:val="20"/>
                <w:color w:val="auto"/>
              </w:rPr>
              <w:t>Class P Units</w:t>
            </w:r>
          </w:p>
        </w:tc>
        <w:tc>
          <w:tcPr>
            <w:tcW w:w="19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14,804,507</w:t>
            </w:r>
          </w:p>
        </w:tc>
        <w:tc>
          <w:tcPr>
            <w:tcW w:w="196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15,125,429</w:t>
            </w:r>
          </w:p>
        </w:tc>
        <w:tc>
          <w:tcPr>
            <w:tcW w:w="6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25,660,529</w:t>
            </w:r>
          </w:p>
        </w:tc>
      </w:tr>
      <w:tr>
        <w:trPr>
          <w:trHeight w:val="281"/>
        </w:trPr>
        <w:tc>
          <w:tcPr>
            <w:tcW w:w="4420" w:type="dxa"/>
            <w:vAlign w:val="bottom"/>
            <w:shd w:val="clear" w:color="auto" w:fill="DDDDDD"/>
          </w:tcPr>
          <w:p>
            <w:pPr>
              <w:ind w:left="40"/>
              <w:spacing w:after="0"/>
              <w:rPr>
                <w:sz w:val="20"/>
                <w:szCs w:val="20"/>
                <w:color w:val="auto"/>
              </w:rPr>
            </w:pPr>
            <w:r>
              <w:rPr>
                <w:rFonts w:ascii="Times New Roman" w:cs="Times New Roman" w:eastAsia="Times New Roman" w:hAnsi="Times New Roman"/>
                <w:sz w:val="20"/>
                <w:szCs w:val="20"/>
                <w:color w:val="auto"/>
              </w:rPr>
              <w:t>RSUs outstanding</w:t>
            </w:r>
          </w:p>
        </w:tc>
        <w:tc>
          <w:tcPr>
            <w:tcW w:w="1900" w:type="dxa"/>
            <w:vAlign w:val="bottom"/>
            <w:shd w:val="clear" w:color="auto" w:fill="DDDDDD"/>
          </w:tcPr>
          <w:p>
            <w:pPr>
              <w:jc w:val="right"/>
              <w:spacing w:after="0"/>
              <w:rPr>
                <w:sz w:val="20"/>
                <w:szCs w:val="20"/>
                <w:color w:val="auto"/>
              </w:rPr>
            </w:pPr>
            <w:r>
              <w:rPr>
                <w:rFonts w:ascii="Times New Roman" w:cs="Times New Roman" w:eastAsia="Times New Roman" w:hAnsi="Times New Roman"/>
                <w:sz w:val="20"/>
                <w:szCs w:val="20"/>
                <w:color w:val="auto"/>
              </w:rPr>
              <w:t>7,683,598</w:t>
            </w:r>
          </w:p>
        </w:tc>
        <w:tc>
          <w:tcPr>
            <w:tcW w:w="60" w:type="dxa"/>
            <w:vAlign w:val="bottom"/>
            <w:shd w:val="clear" w:color="auto" w:fill="DDDDDD"/>
          </w:tcPr>
          <w:p>
            <w:pPr>
              <w:spacing w:after="0"/>
              <w:rPr>
                <w:sz w:val="24"/>
                <w:szCs w:val="24"/>
                <w:color w:val="auto"/>
              </w:rPr>
            </w:pPr>
          </w:p>
        </w:tc>
        <w:tc>
          <w:tcPr>
            <w:tcW w:w="1900" w:type="dxa"/>
            <w:vAlign w:val="bottom"/>
            <w:shd w:val="clear" w:color="auto" w:fill="DDDDDD"/>
          </w:tcPr>
          <w:p>
            <w:pPr>
              <w:jc w:val="right"/>
              <w:spacing w:after="0"/>
              <w:rPr>
                <w:sz w:val="20"/>
                <w:szCs w:val="20"/>
                <w:color w:val="auto"/>
              </w:rPr>
            </w:pPr>
            <w:r>
              <w:rPr>
                <w:rFonts w:ascii="Times New Roman" w:cs="Times New Roman" w:eastAsia="Times New Roman" w:hAnsi="Times New Roman"/>
                <w:sz w:val="20"/>
                <w:szCs w:val="20"/>
                <w:color w:val="auto"/>
              </w:rPr>
              <w:t>6,269,868</w:t>
            </w:r>
          </w:p>
        </w:tc>
        <w:tc>
          <w:tcPr>
            <w:tcW w:w="60" w:type="dxa"/>
            <w:vAlign w:val="bottom"/>
            <w:shd w:val="clear" w:color="auto" w:fill="DDDDDD"/>
          </w:tcPr>
          <w:p>
            <w:pPr>
              <w:spacing w:after="0"/>
              <w:rPr>
                <w:sz w:val="24"/>
                <w:szCs w:val="24"/>
                <w:color w:val="auto"/>
              </w:rPr>
            </w:pPr>
          </w:p>
        </w:tc>
        <w:tc>
          <w:tcPr>
            <w:tcW w:w="460" w:type="dxa"/>
            <w:vAlign w:val="bottom"/>
            <w:shd w:val="clear" w:color="auto" w:fill="DDDDDD"/>
          </w:tcPr>
          <w:p>
            <w:pPr>
              <w:spacing w:after="0"/>
              <w:rPr>
                <w:sz w:val="24"/>
                <w:szCs w:val="24"/>
                <w:color w:val="auto"/>
              </w:rPr>
            </w:pPr>
          </w:p>
        </w:tc>
        <w:tc>
          <w:tcPr>
            <w:tcW w:w="1460" w:type="dxa"/>
            <w:vAlign w:val="bottom"/>
            <w:shd w:val="clear" w:color="auto" w:fill="DDDDDD"/>
          </w:tcPr>
          <w:p>
            <w:pPr>
              <w:jc w:val="right"/>
              <w:spacing w:after="0"/>
              <w:rPr>
                <w:sz w:val="20"/>
                <w:szCs w:val="20"/>
                <w:color w:val="auto"/>
              </w:rPr>
            </w:pPr>
            <w:r>
              <w:rPr>
                <w:rFonts w:ascii="Times New Roman" w:cs="Times New Roman" w:eastAsia="Times New Roman" w:hAnsi="Times New Roman"/>
                <w:sz w:val="20"/>
                <w:szCs w:val="20"/>
                <w:color w:val="auto"/>
              </w:rPr>
              <w:t>6,398,707</w:t>
            </w:r>
          </w:p>
        </w:tc>
      </w:tr>
      <w:tr>
        <w:trPr>
          <w:trHeight w:val="288"/>
        </w:trPr>
        <w:tc>
          <w:tcPr>
            <w:tcW w:w="4420" w:type="dxa"/>
            <w:vAlign w:val="bottom"/>
          </w:tcPr>
          <w:p>
            <w:pPr>
              <w:ind w:left="40"/>
              <w:spacing w:after="0"/>
              <w:rPr>
                <w:sz w:val="20"/>
                <w:szCs w:val="20"/>
                <w:color w:val="auto"/>
              </w:rPr>
            </w:pPr>
            <w:r>
              <w:rPr>
                <w:rFonts w:ascii="Times New Roman" w:cs="Times New Roman" w:eastAsia="Times New Roman" w:hAnsi="Times New Roman"/>
                <w:sz w:val="20"/>
                <w:szCs w:val="20"/>
                <w:color w:val="auto"/>
              </w:rPr>
              <w:t>PRSUs outstanding</w:t>
            </w:r>
          </w:p>
        </w:tc>
        <w:tc>
          <w:tcPr>
            <w:tcW w:w="19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234,375</w:t>
            </w:r>
          </w:p>
        </w:tc>
        <w:tc>
          <w:tcPr>
            <w:tcW w:w="196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859,375</w:t>
            </w:r>
          </w:p>
        </w:tc>
        <w:tc>
          <w:tcPr>
            <w:tcW w:w="6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2,437,500</w:t>
            </w:r>
          </w:p>
        </w:tc>
      </w:tr>
      <w:tr>
        <w:trPr>
          <w:trHeight w:val="281"/>
        </w:trPr>
        <w:tc>
          <w:tcPr>
            <w:tcW w:w="4420" w:type="dxa"/>
            <w:vAlign w:val="bottom"/>
            <w:shd w:val="clear" w:color="auto" w:fill="DDDDDD"/>
          </w:tcPr>
          <w:p>
            <w:pPr>
              <w:ind w:left="40"/>
              <w:spacing w:after="0"/>
              <w:rPr>
                <w:sz w:val="20"/>
                <w:szCs w:val="20"/>
                <w:color w:val="auto"/>
              </w:rPr>
            </w:pPr>
            <w:r>
              <w:rPr>
                <w:rFonts w:ascii="Times New Roman" w:cs="Times New Roman" w:eastAsia="Times New Roman" w:hAnsi="Times New Roman"/>
                <w:sz w:val="20"/>
                <w:szCs w:val="20"/>
                <w:color w:val="auto"/>
              </w:rPr>
              <w:t>Public Warrants</w:t>
            </w:r>
          </w:p>
        </w:tc>
        <w:tc>
          <w:tcPr>
            <w:tcW w:w="1900" w:type="dxa"/>
            <w:vAlign w:val="bottom"/>
            <w:shd w:val="clear" w:color="auto" w:fill="DDDDDD"/>
          </w:tcPr>
          <w:p>
            <w:pPr>
              <w:jc w:val="right"/>
              <w:spacing w:after="0"/>
              <w:rPr>
                <w:sz w:val="20"/>
                <w:szCs w:val="20"/>
                <w:color w:val="auto"/>
              </w:rPr>
            </w:pPr>
            <w:r>
              <w:rPr>
                <w:rFonts w:ascii="Times New Roman" w:cs="Times New Roman" w:eastAsia="Times New Roman" w:hAnsi="Times New Roman"/>
                <w:sz w:val="20"/>
                <w:szCs w:val="20"/>
                <w:color w:val="auto"/>
              </w:rPr>
              <w:t>12,499,973</w:t>
            </w:r>
          </w:p>
        </w:tc>
        <w:tc>
          <w:tcPr>
            <w:tcW w:w="60" w:type="dxa"/>
            <w:vAlign w:val="bottom"/>
            <w:shd w:val="clear" w:color="auto" w:fill="DDDDDD"/>
          </w:tcPr>
          <w:p>
            <w:pPr>
              <w:spacing w:after="0"/>
              <w:rPr>
                <w:sz w:val="24"/>
                <w:szCs w:val="24"/>
                <w:color w:val="auto"/>
              </w:rPr>
            </w:pPr>
          </w:p>
        </w:tc>
        <w:tc>
          <w:tcPr>
            <w:tcW w:w="1900" w:type="dxa"/>
            <w:vAlign w:val="bottom"/>
            <w:shd w:val="clear" w:color="auto" w:fill="DDDDDD"/>
          </w:tcPr>
          <w:p>
            <w:pPr>
              <w:jc w:val="right"/>
              <w:spacing w:after="0"/>
              <w:rPr>
                <w:sz w:val="20"/>
                <w:szCs w:val="20"/>
                <w:color w:val="auto"/>
              </w:rPr>
            </w:pPr>
            <w:r>
              <w:rPr>
                <w:rFonts w:ascii="Times New Roman" w:cs="Times New Roman" w:eastAsia="Times New Roman" w:hAnsi="Times New Roman"/>
                <w:sz w:val="20"/>
                <w:szCs w:val="20"/>
                <w:color w:val="auto"/>
              </w:rPr>
              <w:t>12,499,973</w:t>
            </w:r>
          </w:p>
        </w:tc>
        <w:tc>
          <w:tcPr>
            <w:tcW w:w="60" w:type="dxa"/>
            <w:vAlign w:val="bottom"/>
            <w:shd w:val="clear" w:color="auto" w:fill="DDDDDD"/>
          </w:tcPr>
          <w:p>
            <w:pPr>
              <w:spacing w:after="0"/>
              <w:rPr>
                <w:sz w:val="24"/>
                <w:szCs w:val="24"/>
                <w:color w:val="auto"/>
              </w:rPr>
            </w:pPr>
          </w:p>
        </w:tc>
        <w:tc>
          <w:tcPr>
            <w:tcW w:w="460" w:type="dxa"/>
            <w:vAlign w:val="bottom"/>
            <w:shd w:val="clear" w:color="auto" w:fill="DDDDDD"/>
          </w:tcPr>
          <w:p>
            <w:pPr>
              <w:spacing w:after="0"/>
              <w:rPr>
                <w:sz w:val="24"/>
                <w:szCs w:val="24"/>
                <w:color w:val="auto"/>
              </w:rPr>
            </w:pPr>
          </w:p>
        </w:tc>
        <w:tc>
          <w:tcPr>
            <w:tcW w:w="1460" w:type="dxa"/>
            <w:vAlign w:val="bottom"/>
            <w:shd w:val="clear" w:color="auto" w:fill="DDDDDD"/>
          </w:tcPr>
          <w:p>
            <w:pPr>
              <w:jc w:val="right"/>
              <w:spacing w:after="0"/>
              <w:rPr>
                <w:sz w:val="20"/>
                <w:szCs w:val="20"/>
                <w:color w:val="auto"/>
              </w:rPr>
            </w:pPr>
            <w:r>
              <w:rPr>
                <w:rFonts w:ascii="Times New Roman" w:cs="Times New Roman" w:eastAsia="Times New Roman" w:hAnsi="Times New Roman"/>
                <w:sz w:val="20"/>
                <w:szCs w:val="20"/>
                <w:color w:val="auto"/>
              </w:rPr>
              <w:t>—</w:t>
            </w:r>
          </w:p>
        </w:tc>
      </w:tr>
      <w:tr>
        <w:trPr>
          <w:trHeight w:val="288"/>
        </w:trPr>
        <w:tc>
          <w:tcPr>
            <w:tcW w:w="4420" w:type="dxa"/>
            <w:vAlign w:val="bottom"/>
          </w:tcPr>
          <w:p>
            <w:pPr>
              <w:ind w:left="40"/>
              <w:spacing w:after="0"/>
              <w:rPr>
                <w:sz w:val="20"/>
                <w:szCs w:val="20"/>
                <w:color w:val="auto"/>
              </w:rPr>
            </w:pPr>
            <w:r>
              <w:rPr>
                <w:rFonts w:ascii="Times New Roman" w:cs="Times New Roman" w:eastAsia="Times New Roman" w:hAnsi="Times New Roman"/>
                <w:sz w:val="20"/>
                <w:szCs w:val="20"/>
                <w:color w:val="auto"/>
              </w:rPr>
              <w:t>Private Placement Warrants</w:t>
            </w:r>
          </w:p>
        </w:tc>
        <w:tc>
          <w:tcPr>
            <w:tcW w:w="19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7,000,000</w:t>
            </w:r>
          </w:p>
        </w:tc>
        <w:tc>
          <w:tcPr>
            <w:tcW w:w="196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7,000,000</w:t>
            </w:r>
          </w:p>
        </w:tc>
        <w:tc>
          <w:tcPr>
            <w:tcW w:w="6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w:t>
            </w:r>
          </w:p>
        </w:tc>
      </w:tr>
      <w:tr>
        <w:trPr>
          <w:trHeight w:val="288"/>
        </w:trPr>
        <w:tc>
          <w:tcPr>
            <w:tcW w:w="4420" w:type="dxa"/>
            <w:vAlign w:val="bottom"/>
            <w:shd w:val="clear" w:color="auto" w:fill="DDDDDD"/>
          </w:tcPr>
          <w:p>
            <w:pPr>
              <w:ind w:left="40"/>
              <w:spacing w:after="0"/>
              <w:rPr>
                <w:sz w:val="20"/>
                <w:szCs w:val="20"/>
                <w:color w:val="auto"/>
              </w:rPr>
            </w:pPr>
            <w:r>
              <w:rPr>
                <w:rFonts w:ascii="Times New Roman" w:cs="Times New Roman" w:eastAsia="Times New Roman" w:hAnsi="Times New Roman"/>
                <w:sz w:val="20"/>
                <w:szCs w:val="20"/>
                <w:color w:val="auto"/>
              </w:rPr>
              <w:t>Acquisition holdback shares</w:t>
            </w:r>
          </w:p>
        </w:tc>
        <w:tc>
          <w:tcPr>
            <w:tcW w:w="1900" w:type="dxa"/>
            <w:vAlign w:val="bottom"/>
            <w:shd w:val="clear" w:color="auto" w:fill="DDDDDD"/>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60" w:type="dxa"/>
            <w:vAlign w:val="bottom"/>
            <w:shd w:val="clear" w:color="auto" w:fill="DDDDDD"/>
          </w:tcPr>
          <w:p>
            <w:pPr>
              <w:spacing w:after="0"/>
              <w:rPr>
                <w:sz w:val="24"/>
                <w:szCs w:val="24"/>
                <w:color w:val="auto"/>
              </w:rPr>
            </w:pPr>
          </w:p>
        </w:tc>
        <w:tc>
          <w:tcPr>
            <w:tcW w:w="1900" w:type="dxa"/>
            <w:vAlign w:val="bottom"/>
            <w:shd w:val="clear" w:color="auto" w:fill="DDDDDD"/>
          </w:tcPr>
          <w:p>
            <w:pPr>
              <w:jc w:val="right"/>
              <w:spacing w:after="0"/>
              <w:rPr>
                <w:sz w:val="20"/>
                <w:szCs w:val="20"/>
                <w:color w:val="auto"/>
              </w:rPr>
            </w:pPr>
            <w:r>
              <w:rPr>
                <w:rFonts w:ascii="Times New Roman" w:cs="Times New Roman" w:eastAsia="Times New Roman" w:hAnsi="Times New Roman"/>
                <w:sz w:val="20"/>
                <w:szCs w:val="20"/>
                <w:color w:val="auto"/>
              </w:rPr>
              <w:t>677,847</w:t>
            </w:r>
          </w:p>
        </w:tc>
        <w:tc>
          <w:tcPr>
            <w:tcW w:w="60" w:type="dxa"/>
            <w:vAlign w:val="bottom"/>
            <w:shd w:val="clear" w:color="auto" w:fill="DDDDDD"/>
          </w:tcPr>
          <w:p>
            <w:pPr>
              <w:spacing w:after="0"/>
              <w:rPr>
                <w:sz w:val="24"/>
                <w:szCs w:val="24"/>
                <w:color w:val="auto"/>
              </w:rPr>
            </w:pPr>
          </w:p>
        </w:tc>
        <w:tc>
          <w:tcPr>
            <w:tcW w:w="460" w:type="dxa"/>
            <w:vAlign w:val="bottom"/>
            <w:shd w:val="clear" w:color="auto" w:fill="DDDDDD"/>
          </w:tcPr>
          <w:p>
            <w:pPr>
              <w:spacing w:after="0"/>
              <w:rPr>
                <w:sz w:val="24"/>
                <w:szCs w:val="24"/>
                <w:color w:val="auto"/>
              </w:rPr>
            </w:pPr>
          </w:p>
        </w:tc>
        <w:tc>
          <w:tcPr>
            <w:tcW w:w="1460" w:type="dxa"/>
            <w:vAlign w:val="bottom"/>
            <w:shd w:val="clear" w:color="auto" w:fill="DDDDDD"/>
          </w:tcPr>
          <w:p>
            <w:pPr>
              <w:jc w:val="right"/>
              <w:spacing w:after="0"/>
              <w:rPr>
                <w:sz w:val="20"/>
                <w:szCs w:val="20"/>
                <w:color w:val="auto"/>
              </w:rPr>
            </w:pPr>
            <w:r>
              <w:rPr>
                <w:rFonts w:ascii="Times New Roman" w:cs="Times New Roman" w:eastAsia="Times New Roman" w:hAnsi="Times New Roman"/>
                <w:sz w:val="20"/>
                <w:szCs w:val="20"/>
                <w:color w:val="auto"/>
              </w:rPr>
              <w:t>—</w:t>
            </w:r>
          </w:p>
        </w:tc>
      </w:tr>
      <w:tr>
        <w:trPr>
          <w:trHeight w:val="514"/>
        </w:trPr>
        <w:tc>
          <w:tcPr>
            <w:tcW w:w="4420" w:type="dxa"/>
            <w:vAlign w:val="bottom"/>
          </w:tcPr>
          <w:p>
            <w:pPr>
              <w:spacing w:after="0"/>
              <w:rPr>
                <w:sz w:val="24"/>
                <w:szCs w:val="24"/>
                <w:color w:val="auto"/>
              </w:rPr>
            </w:pPr>
          </w:p>
        </w:tc>
        <w:tc>
          <w:tcPr>
            <w:tcW w:w="1900" w:type="dxa"/>
            <w:vAlign w:val="bottom"/>
          </w:tcPr>
          <w:p>
            <w:pPr>
              <w:jc w:val="right"/>
              <w:ind w:right="899"/>
              <w:spacing w:after="0"/>
              <w:rPr>
                <w:sz w:val="20"/>
                <w:szCs w:val="20"/>
                <w:color w:val="auto"/>
              </w:rPr>
            </w:pPr>
            <w:r>
              <w:rPr>
                <w:rFonts w:ascii="Times New Roman" w:cs="Times New Roman" w:eastAsia="Times New Roman" w:hAnsi="Times New Roman"/>
                <w:sz w:val="20"/>
                <w:szCs w:val="20"/>
                <w:color w:val="auto"/>
              </w:rPr>
              <w:t>F-34</w:t>
            </w:r>
          </w:p>
        </w:tc>
        <w:tc>
          <w:tcPr>
            <w:tcW w:w="60" w:type="dxa"/>
            <w:vAlign w:val="bottom"/>
          </w:tcPr>
          <w:p>
            <w:pPr>
              <w:spacing w:after="0"/>
              <w:rPr>
                <w:sz w:val="24"/>
                <w:szCs w:val="24"/>
                <w:color w:val="auto"/>
              </w:rPr>
            </w:pPr>
          </w:p>
        </w:tc>
        <w:tc>
          <w:tcPr>
            <w:tcW w:w="19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460" w:type="dxa"/>
            <w:vAlign w:val="bottom"/>
          </w:tcPr>
          <w:p>
            <w:pPr>
              <w:spacing w:after="0"/>
              <w:rPr>
                <w:sz w:val="24"/>
                <w:szCs w:val="24"/>
                <w:color w:val="auto"/>
              </w:rPr>
            </w:pPr>
          </w:p>
        </w:tc>
      </w:tr>
    </w:tbl>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5262880</wp:posOffset>
                </wp:positionH>
                <wp:positionV relativeFrom="paragraph">
                  <wp:posOffset>-1591945</wp:posOffset>
                </wp:positionV>
                <wp:extent cx="36195" cy="13335"/>
                <wp:wrapNone/>
                <wp:docPr id="108" name="Shape 108"/>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36195" cy="13335"/>
                        </a:xfrm>
                        <a:prstGeom prst="rect">
                          <a:avLst/>
                        </a:prstGeom>
                        <a:solidFill>
                          <a:srgbClr val="DDDDDD"/>
                        </a:solidFill>
                      </wps:spPr>
                      <wps:bodyPr/>
                    </wps:wsp>
                  </a:graphicData>
                </a:graphic>
              </wp:anchor>
            </w:drawing>
          </mc:Choice>
          <mc:Fallback>
            <w:pict>
              <v:rect id="Shape 108" o:spid="_x0000_s1133" style="position:absolute;margin-left:414.4pt;margin-top:-125.3499pt;width:2.85pt;height:1.05pt;z-index:-251657728;visibility:visible;mso-wrap-style:square;mso-width-percent:0;mso-height-percent:0;mso-wrap-distance-left:0pt;mso-wrap-distance-top:0;mso-wrap-distance-right:0pt;mso-wrap-distance-bottom:0;mso-position-horizontal:absolute;mso-position-horizontal-relative:text;mso-position-vertical:absolute;mso-position-vertical-relative:text;mso-width-percent:0;mso-height-percent:0;mso-width-relative:page;mso-height-relative:page;v-text-anchor:top" o:allowincell="f" fillcolor="#DDDDDD" stroked="f"/>
            </w:pict>
          </mc:Fallback>
        </mc:AlternateContent>
      </w:r>
    </w:p>
    <w:p>
      <w:pPr>
        <w:sectPr>
          <w:pgSz w:w="12240" w:h="15840" w:orient="portrait"/>
          <w:cols w:equalWidth="0" w:num="1">
            <w:col w:w="10260"/>
          </w:cols>
          <w:pgMar w:left="1000" w:top="731" w:right="980" w:bottom="182" w:gutter="0" w:footer="0" w:header="0"/>
        </w:sectPr>
      </w:pPr>
    </w:p>
    <w:bookmarkStart w:id="154" w:name="page155"/>
    <w:bookmarkEnd w:id="154"/>
    <w:p>
      <w:pPr>
        <w:jc w:val="center"/>
        <w:ind w:right="13"/>
        <w:spacing w:after="0"/>
        <w:rPr>
          <w:sz w:val="20"/>
          <w:szCs w:val="20"/>
          <w:color w:val="auto"/>
        </w:rPr>
      </w:pPr>
      <w:r>
        <w:rPr>
          <w:rFonts w:ascii="Times New Roman" w:cs="Times New Roman" w:eastAsia="Times New Roman" w:hAnsi="Times New Roman"/>
          <w:sz w:val="20"/>
          <w:szCs w:val="20"/>
          <w:b w:val="1"/>
          <w:bCs w:val="1"/>
          <w:color w:val="auto"/>
        </w:rPr>
        <w:t>WM TECHNOLOGY, INC. AND SUBSIDIARIES</w:t>
      </w:r>
    </w:p>
    <w:p>
      <w:pPr>
        <w:spacing w:after="0" w:line="48" w:lineRule="exact"/>
        <w:rPr>
          <w:sz w:val="20"/>
          <w:szCs w:val="20"/>
          <w:color w:val="auto"/>
        </w:rPr>
      </w:pPr>
    </w:p>
    <w:p>
      <w:pPr>
        <w:jc w:val="center"/>
        <w:ind w:right="-6"/>
        <w:spacing w:after="0"/>
        <w:rPr>
          <w:sz w:val="20"/>
          <w:szCs w:val="20"/>
          <w:color w:val="auto"/>
        </w:rPr>
      </w:pPr>
      <w:r>
        <w:rPr>
          <w:rFonts w:ascii="Times New Roman" w:cs="Times New Roman" w:eastAsia="Times New Roman" w:hAnsi="Times New Roman"/>
          <w:sz w:val="20"/>
          <w:szCs w:val="20"/>
          <w:b w:val="1"/>
          <w:bCs w:val="1"/>
          <w:color w:val="auto"/>
        </w:rPr>
        <w:t>NOTES TO CONSOLIDATED FINANCIAL STATEMENTS</w:t>
      </w:r>
    </w:p>
    <w:p>
      <w:pPr>
        <w:spacing w:after="0" w:line="284" w:lineRule="exact"/>
        <w:rPr>
          <w:sz w:val="20"/>
          <w:szCs w:val="20"/>
          <w:color w:val="auto"/>
        </w:rPr>
      </w:pPr>
    </w:p>
    <w:p>
      <w:pPr>
        <w:ind w:left="547" w:hanging="547"/>
        <w:spacing w:after="0"/>
        <w:tabs>
          <w:tab w:leader="none" w:pos="547" w:val="left"/>
        </w:tabs>
        <w:numPr>
          <w:ilvl w:val="0"/>
          <w:numId w:val="99"/>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b w:val="1"/>
          <w:bCs w:val="1"/>
          <w:color w:val="auto"/>
        </w:rPr>
        <w:t>Income Taxes</w:t>
      </w:r>
    </w:p>
    <w:p>
      <w:pPr>
        <w:spacing w:after="0" w:line="168" w:lineRule="exact"/>
        <w:rPr>
          <w:sz w:val="20"/>
          <w:szCs w:val="20"/>
          <w:color w:val="auto"/>
        </w:rPr>
      </w:pPr>
    </w:p>
    <w:p>
      <w:pPr>
        <w:jc w:val="both"/>
        <w:ind w:left="7"/>
        <w:spacing w:after="0" w:line="297" w:lineRule="auto"/>
        <w:rPr>
          <w:sz w:val="20"/>
          <w:szCs w:val="20"/>
          <w:color w:val="auto"/>
        </w:rPr>
      </w:pPr>
      <w:r>
        <w:rPr>
          <w:rFonts w:ascii="Times New Roman" w:cs="Times New Roman" w:eastAsia="Times New Roman" w:hAnsi="Times New Roman"/>
          <w:sz w:val="20"/>
          <w:szCs w:val="20"/>
          <w:color w:val="auto"/>
        </w:rPr>
        <w:t>As a result of the Business Combination, WM Technology, Inc. became the sole managing member of WMH LLC, which is treated as a partnership for U.S. federal and most applicable state and local income tax purposes. As a partnership, WMH LLC is not subject to U.S. federal and certain state and local income taxes. Accordingly, no provision for U.S. federal and state income taxes has been recorded in the financial statements for the period prior to June 16, 2021, as this period was prior to the Business Combination.</w:t>
      </w:r>
    </w:p>
    <w:p>
      <w:pPr>
        <w:spacing w:after="0" w:line="75" w:lineRule="exact"/>
        <w:rPr>
          <w:sz w:val="20"/>
          <w:szCs w:val="20"/>
          <w:color w:val="auto"/>
        </w:rPr>
      </w:pPr>
    </w:p>
    <w:p>
      <w:pPr>
        <w:jc w:val="both"/>
        <w:ind w:left="7"/>
        <w:spacing w:after="0" w:line="294" w:lineRule="auto"/>
        <w:rPr>
          <w:sz w:val="20"/>
          <w:szCs w:val="20"/>
          <w:color w:val="auto"/>
        </w:rPr>
      </w:pPr>
      <w:r>
        <w:rPr>
          <w:rFonts w:ascii="Times New Roman" w:cs="Times New Roman" w:eastAsia="Times New Roman" w:hAnsi="Times New Roman"/>
          <w:sz w:val="20"/>
          <w:szCs w:val="20"/>
          <w:color w:val="auto"/>
        </w:rPr>
        <w:t>Following the Business Combination, any taxable income or loss generated by WMH LLC is passed through to and included in the taxable income or loss of its members, including WM Technology, Inc., on a pro rata basis, with the remainder reflected in the line item Income Taxed to Owners of Non-controlling Interests. WM Technology, Inc. is subject to U.S. federal income taxes, in addition to state and local income taxes with respect to its allocable share of any taxable income of WMH following the Business Combination. The owners of the non-controlling interests are taxed as a partnership, and therefore, no tax provision is allocated to non-controlling interests on the consolidated statements of operations. The Company is also subject to taxes in foreign jurisdictions.</w:t>
      </w:r>
    </w:p>
    <w:p>
      <w:pPr>
        <w:spacing w:after="0" w:line="87" w:lineRule="exact"/>
        <w:rPr>
          <w:sz w:val="20"/>
          <w:szCs w:val="20"/>
          <w:color w:val="auto"/>
        </w:rPr>
      </w:pPr>
    </w:p>
    <w:p>
      <w:pPr>
        <w:ind w:left="7"/>
        <w:spacing w:after="0"/>
        <w:rPr>
          <w:sz w:val="20"/>
          <w:szCs w:val="20"/>
          <w:color w:val="auto"/>
        </w:rPr>
      </w:pPr>
      <w:r>
        <w:rPr>
          <w:rFonts w:ascii="Times New Roman" w:cs="Times New Roman" w:eastAsia="Times New Roman" w:hAnsi="Times New Roman"/>
          <w:sz w:val="20"/>
          <w:szCs w:val="20"/>
          <w:color w:val="auto"/>
        </w:rPr>
        <w:t>The components of income (loss) before taxes are as follows (in thousands):</w:t>
      </w:r>
    </w:p>
    <w:p>
      <w:pPr>
        <w:spacing w:after="0" w:line="92" w:lineRule="exact"/>
        <w:rPr>
          <w:sz w:val="20"/>
          <w:szCs w:val="20"/>
          <w:color w:val="auto"/>
        </w:rPr>
      </w:pPr>
    </w:p>
    <w:tbl>
      <w:tblPr>
        <w:tblLayout w:type="fixed"/>
        <w:tblInd w:w="7" w:type="dxa"/>
        <w:tblCellMar>
          <w:top w:w="0" w:type="dxa"/>
          <w:left w:w="0" w:type="dxa"/>
          <w:bottom w:w="0" w:type="dxa"/>
          <w:right w:w="0" w:type="dxa"/>
        </w:tblCellMar>
      </w:tblPr>
      <w:tr>
        <w:trPr>
          <w:trHeight w:val="281"/>
        </w:trPr>
        <w:tc>
          <w:tcPr>
            <w:tcW w:w="44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180" w:type="dxa"/>
            <w:vAlign w:val="bottom"/>
            <w:tcBorders>
              <w:bottom w:val="single" w:sz="8" w:color="auto"/>
            </w:tcBorders>
          </w:tcPr>
          <w:p>
            <w:pPr>
              <w:spacing w:after="0"/>
              <w:rPr>
                <w:sz w:val="24"/>
                <w:szCs w:val="24"/>
                <w:color w:val="auto"/>
              </w:rPr>
            </w:pPr>
          </w:p>
        </w:tc>
        <w:tc>
          <w:tcPr>
            <w:tcW w:w="3200" w:type="dxa"/>
            <w:vAlign w:val="bottom"/>
            <w:tcBorders>
              <w:bottom w:val="single" w:sz="8" w:color="auto"/>
            </w:tcBorders>
            <w:gridSpan w:val="6"/>
          </w:tcPr>
          <w:p>
            <w:pPr>
              <w:jc w:val="center"/>
              <w:ind w:left="159"/>
              <w:spacing w:after="0"/>
              <w:rPr>
                <w:sz w:val="20"/>
                <w:szCs w:val="20"/>
                <w:color w:val="auto"/>
              </w:rPr>
            </w:pPr>
            <w:r>
              <w:rPr>
                <w:rFonts w:ascii="Times New Roman" w:cs="Times New Roman" w:eastAsia="Times New Roman" w:hAnsi="Times New Roman"/>
                <w:sz w:val="20"/>
                <w:szCs w:val="20"/>
                <w:b w:val="1"/>
                <w:bCs w:val="1"/>
                <w:color w:val="auto"/>
                <w:w w:val="99"/>
              </w:rPr>
              <w:t>Years Ended December 31,</w:t>
            </w:r>
          </w:p>
        </w:tc>
        <w:tc>
          <w:tcPr>
            <w:tcW w:w="1460" w:type="dxa"/>
            <w:vAlign w:val="bottom"/>
            <w:tcBorders>
              <w:bottom w:val="single" w:sz="8" w:color="auto"/>
            </w:tcBorders>
          </w:tcPr>
          <w:p>
            <w:pPr>
              <w:spacing w:after="0"/>
              <w:rPr>
                <w:sz w:val="24"/>
                <w:szCs w:val="24"/>
                <w:color w:val="auto"/>
              </w:rPr>
            </w:pPr>
          </w:p>
        </w:tc>
      </w:tr>
      <w:tr>
        <w:trPr>
          <w:trHeight w:val="297"/>
        </w:trPr>
        <w:tc>
          <w:tcPr>
            <w:tcW w:w="4400" w:type="dxa"/>
            <w:vAlign w:val="bottom"/>
            <w:tcBorders>
              <w:bottom w:val="single" w:sz="8" w:color="DDDDDD"/>
            </w:tcBorders>
          </w:tcPr>
          <w:p>
            <w:pPr>
              <w:spacing w:after="0"/>
              <w:rPr>
                <w:sz w:val="24"/>
                <w:szCs w:val="24"/>
                <w:color w:val="auto"/>
              </w:rPr>
            </w:pPr>
          </w:p>
        </w:tc>
        <w:tc>
          <w:tcPr>
            <w:tcW w:w="20" w:type="dxa"/>
            <w:vAlign w:val="bottom"/>
            <w:tcBorders>
              <w:bottom w:val="single" w:sz="8" w:color="DDDDDD"/>
            </w:tcBorders>
          </w:tcPr>
          <w:p>
            <w:pPr>
              <w:spacing w:after="0"/>
              <w:rPr>
                <w:sz w:val="24"/>
                <w:szCs w:val="24"/>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b w:val="1"/>
                <w:bCs w:val="1"/>
                <w:color w:val="auto"/>
              </w:rPr>
              <w:t>2023</w:t>
            </w:r>
          </w:p>
        </w:tc>
        <w:tc>
          <w:tcPr>
            <w:tcW w:w="720" w:type="dxa"/>
            <w:vAlign w:val="bottom"/>
            <w:tcBorders>
              <w:bottom w:val="single" w:sz="8" w:color="auto"/>
            </w:tcBorders>
          </w:tcPr>
          <w:p>
            <w:pPr>
              <w:spacing w:after="0"/>
              <w:rPr>
                <w:sz w:val="24"/>
                <w:szCs w:val="24"/>
                <w:color w:val="auto"/>
              </w:rPr>
            </w:pPr>
          </w:p>
        </w:tc>
        <w:tc>
          <w:tcPr>
            <w:tcW w:w="60" w:type="dxa"/>
            <w:vAlign w:val="bottom"/>
            <w:tcBorders>
              <w:bottom w:val="single" w:sz="8" w:color="DDDDDD"/>
            </w:tcBorders>
          </w:tcPr>
          <w:p>
            <w:pPr>
              <w:spacing w:after="0"/>
              <w:rPr>
                <w:sz w:val="24"/>
                <w:szCs w:val="24"/>
                <w:color w:val="auto"/>
              </w:rPr>
            </w:pP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b w:val="1"/>
                <w:bCs w:val="1"/>
                <w:color w:val="auto"/>
              </w:rPr>
              <w:t>2022</w:t>
            </w:r>
          </w:p>
        </w:tc>
        <w:tc>
          <w:tcPr>
            <w:tcW w:w="640" w:type="dxa"/>
            <w:vAlign w:val="bottom"/>
            <w:tcBorders>
              <w:bottom w:val="single" w:sz="8" w:color="auto"/>
            </w:tcBorders>
          </w:tcPr>
          <w:p>
            <w:pPr>
              <w:spacing w:after="0"/>
              <w:rPr>
                <w:sz w:val="24"/>
                <w:szCs w:val="24"/>
                <w:color w:val="auto"/>
              </w:rPr>
            </w:pPr>
          </w:p>
        </w:tc>
        <w:tc>
          <w:tcPr>
            <w:tcW w:w="60" w:type="dxa"/>
            <w:vAlign w:val="bottom"/>
            <w:tcBorders>
              <w:bottom w:val="single" w:sz="8" w:color="DDDDDD"/>
            </w:tcBorders>
          </w:tcPr>
          <w:p>
            <w:pPr>
              <w:spacing w:after="0"/>
              <w:rPr>
                <w:sz w:val="24"/>
                <w:szCs w:val="24"/>
                <w:color w:val="auto"/>
              </w:rPr>
            </w:pPr>
          </w:p>
        </w:tc>
        <w:tc>
          <w:tcPr>
            <w:tcW w:w="460" w:type="dxa"/>
            <w:vAlign w:val="bottom"/>
            <w:tcBorders>
              <w:bottom w:val="single" w:sz="8" w:color="auto"/>
            </w:tcBorders>
          </w:tcPr>
          <w:p>
            <w:pPr>
              <w:spacing w:after="0"/>
              <w:rPr>
                <w:sz w:val="24"/>
                <w:szCs w:val="24"/>
                <w:color w:val="auto"/>
              </w:rPr>
            </w:pPr>
          </w:p>
        </w:tc>
        <w:tc>
          <w:tcPr>
            <w:tcW w:w="1460" w:type="dxa"/>
            <w:vAlign w:val="bottom"/>
            <w:tcBorders>
              <w:bottom w:val="single" w:sz="8" w:color="auto"/>
            </w:tcBorders>
          </w:tcPr>
          <w:p>
            <w:pPr>
              <w:jc w:val="right"/>
              <w:ind w:right="659"/>
              <w:spacing w:after="0"/>
              <w:rPr>
                <w:sz w:val="20"/>
                <w:szCs w:val="20"/>
                <w:color w:val="auto"/>
              </w:rPr>
            </w:pPr>
            <w:r>
              <w:rPr>
                <w:rFonts w:ascii="Times New Roman" w:cs="Times New Roman" w:eastAsia="Times New Roman" w:hAnsi="Times New Roman"/>
                <w:sz w:val="20"/>
                <w:szCs w:val="20"/>
                <w:b w:val="1"/>
                <w:bCs w:val="1"/>
                <w:color w:val="auto"/>
              </w:rPr>
              <w:t>2021</w:t>
            </w:r>
          </w:p>
        </w:tc>
      </w:tr>
      <w:tr>
        <w:trPr>
          <w:trHeight w:val="293"/>
        </w:trPr>
        <w:tc>
          <w:tcPr>
            <w:tcW w:w="4400" w:type="dxa"/>
            <w:vAlign w:val="bottom"/>
            <w:shd w:val="clear" w:color="auto" w:fill="DDDDDD"/>
          </w:tcPr>
          <w:p>
            <w:pPr>
              <w:ind w:left="40"/>
              <w:spacing w:after="0"/>
              <w:rPr>
                <w:sz w:val="20"/>
                <w:szCs w:val="20"/>
                <w:color w:val="auto"/>
              </w:rPr>
            </w:pPr>
            <w:r>
              <w:rPr>
                <w:rFonts w:ascii="Times New Roman" w:cs="Times New Roman" w:eastAsia="Times New Roman" w:hAnsi="Times New Roman"/>
                <w:sz w:val="20"/>
                <w:szCs w:val="20"/>
                <w:color w:val="auto"/>
              </w:rPr>
              <w:t>Domestic</w:t>
            </w:r>
          </w:p>
        </w:tc>
        <w:tc>
          <w:tcPr>
            <w:tcW w:w="20" w:type="dxa"/>
            <w:vAlign w:val="bottom"/>
            <w:shd w:val="clear" w:color="auto" w:fill="DDDDDD"/>
          </w:tcPr>
          <w:p>
            <w:pPr>
              <w:spacing w:after="0"/>
              <w:rPr>
                <w:sz w:val="24"/>
                <w:szCs w:val="24"/>
                <w:color w:val="auto"/>
              </w:rPr>
            </w:pPr>
          </w:p>
        </w:tc>
        <w:tc>
          <w:tcPr>
            <w:tcW w:w="1180" w:type="dxa"/>
            <w:vAlign w:val="bottom"/>
            <w:shd w:val="clear" w:color="auto" w:fill="DDDDDD"/>
          </w:tcPr>
          <w:p>
            <w:pPr>
              <w:jc w:val="right"/>
              <w:ind w:right="899"/>
              <w:spacing w:after="0"/>
              <w:rPr>
                <w:sz w:val="20"/>
                <w:szCs w:val="20"/>
                <w:color w:val="auto"/>
              </w:rPr>
            </w:pPr>
            <w:r>
              <w:rPr>
                <w:rFonts w:ascii="Times New Roman" w:cs="Times New Roman" w:eastAsia="Times New Roman" w:hAnsi="Times New Roman"/>
                <w:sz w:val="20"/>
                <w:szCs w:val="20"/>
                <w:color w:val="auto"/>
              </w:rPr>
              <w:t>$</w:t>
            </w:r>
          </w:p>
        </w:tc>
        <w:tc>
          <w:tcPr>
            <w:tcW w:w="720" w:type="dxa"/>
            <w:vAlign w:val="bottom"/>
            <w:shd w:val="clear" w:color="auto" w:fill="DDDDDD"/>
          </w:tcPr>
          <w:p>
            <w:pPr>
              <w:jc w:val="right"/>
              <w:spacing w:after="0"/>
              <w:rPr>
                <w:sz w:val="20"/>
                <w:szCs w:val="20"/>
                <w:color w:val="auto"/>
              </w:rPr>
            </w:pPr>
            <w:r>
              <w:rPr>
                <w:rFonts w:ascii="Times New Roman" w:cs="Times New Roman" w:eastAsia="Times New Roman" w:hAnsi="Times New Roman"/>
                <w:sz w:val="20"/>
                <w:szCs w:val="20"/>
                <w:color w:val="auto"/>
                <w:w w:val="99"/>
              </w:rPr>
              <w:t>(15,582)</w:t>
            </w:r>
          </w:p>
        </w:tc>
        <w:tc>
          <w:tcPr>
            <w:tcW w:w="60" w:type="dxa"/>
            <w:vAlign w:val="bottom"/>
            <w:shd w:val="clear" w:color="auto" w:fill="DDDDDD"/>
          </w:tcPr>
          <w:p>
            <w:pPr>
              <w:spacing w:after="0"/>
              <w:rPr>
                <w:sz w:val="24"/>
                <w:szCs w:val="24"/>
                <w:color w:val="auto"/>
              </w:rPr>
            </w:pPr>
          </w:p>
        </w:tc>
        <w:tc>
          <w:tcPr>
            <w:tcW w:w="1260" w:type="dxa"/>
            <w:vAlign w:val="bottom"/>
            <w:shd w:val="clear" w:color="auto" w:fill="DDDDDD"/>
          </w:tcPr>
          <w:p>
            <w:pPr>
              <w:jc w:val="right"/>
              <w:ind w:right="999"/>
              <w:spacing w:after="0"/>
              <w:rPr>
                <w:sz w:val="20"/>
                <w:szCs w:val="20"/>
                <w:color w:val="auto"/>
              </w:rPr>
            </w:pPr>
            <w:r>
              <w:rPr>
                <w:rFonts w:ascii="Times New Roman" w:cs="Times New Roman" w:eastAsia="Times New Roman" w:hAnsi="Times New Roman"/>
                <w:sz w:val="20"/>
                <w:szCs w:val="20"/>
                <w:color w:val="auto"/>
              </w:rPr>
              <w:t>$</w:t>
            </w:r>
          </w:p>
        </w:tc>
        <w:tc>
          <w:tcPr>
            <w:tcW w:w="640" w:type="dxa"/>
            <w:vAlign w:val="bottom"/>
            <w:shd w:val="clear" w:color="auto" w:fill="DDDDDD"/>
          </w:tcPr>
          <w:p>
            <w:pPr>
              <w:jc w:val="right"/>
              <w:spacing w:after="0"/>
              <w:rPr>
                <w:sz w:val="20"/>
                <w:szCs w:val="20"/>
                <w:color w:val="auto"/>
              </w:rPr>
            </w:pPr>
            <w:r>
              <w:rPr>
                <w:rFonts w:ascii="Times New Roman" w:cs="Times New Roman" w:eastAsia="Times New Roman" w:hAnsi="Times New Roman"/>
                <w:sz w:val="20"/>
                <w:szCs w:val="20"/>
                <w:color w:val="auto"/>
              </w:rPr>
              <w:t>97,639</w:t>
            </w:r>
          </w:p>
        </w:tc>
        <w:tc>
          <w:tcPr>
            <w:tcW w:w="60" w:type="dxa"/>
            <w:vAlign w:val="bottom"/>
            <w:shd w:val="clear" w:color="auto" w:fill="DDDDDD"/>
          </w:tcPr>
          <w:p>
            <w:pPr>
              <w:spacing w:after="0"/>
              <w:rPr>
                <w:sz w:val="24"/>
                <w:szCs w:val="24"/>
                <w:color w:val="auto"/>
              </w:rPr>
            </w:pPr>
          </w:p>
        </w:tc>
        <w:tc>
          <w:tcPr>
            <w:tcW w:w="460" w:type="dxa"/>
            <w:vAlign w:val="bottom"/>
            <w:shd w:val="clear" w:color="auto" w:fill="DDDDDD"/>
          </w:tcPr>
          <w:p>
            <w:pPr>
              <w:jc w:val="right"/>
              <w:ind w:right="199"/>
              <w:spacing w:after="0"/>
              <w:rPr>
                <w:sz w:val="20"/>
                <w:szCs w:val="20"/>
                <w:color w:val="auto"/>
              </w:rPr>
            </w:pPr>
            <w:r>
              <w:rPr>
                <w:rFonts w:ascii="Times New Roman" w:cs="Times New Roman" w:eastAsia="Times New Roman" w:hAnsi="Times New Roman"/>
                <w:sz w:val="20"/>
                <w:szCs w:val="20"/>
                <w:color w:val="auto"/>
              </w:rPr>
              <w:t>$</w:t>
            </w:r>
          </w:p>
        </w:tc>
        <w:tc>
          <w:tcPr>
            <w:tcW w:w="1460" w:type="dxa"/>
            <w:vAlign w:val="bottom"/>
            <w:shd w:val="clear" w:color="auto" w:fill="DDDDDD"/>
          </w:tcPr>
          <w:p>
            <w:pPr>
              <w:jc w:val="right"/>
              <w:spacing w:after="0"/>
              <w:rPr>
                <w:sz w:val="20"/>
                <w:szCs w:val="20"/>
                <w:color w:val="auto"/>
              </w:rPr>
            </w:pPr>
            <w:r>
              <w:rPr>
                <w:rFonts w:ascii="Times New Roman" w:cs="Times New Roman" w:eastAsia="Times New Roman" w:hAnsi="Times New Roman"/>
                <w:sz w:val="20"/>
                <w:szCs w:val="20"/>
                <w:color w:val="auto"/>
              </w:rPr>
              <w:t>151,987</w:t>
            </w:r>
          </w:p>
        </w:tc>
      </w:tr>
      <w:tr>
        <w:trPr>
          <w:trHeight w:val="311"/>
        </w:trPr>
        <w:tc>
          <w:tcPr>
            <w:tcW w:w="4420" w:type="dxa"/>
            <w:vAlign w:val="bottom"/>
            <w:tcBorders>
              <w:bottom w:val="single" w:sz="8" w:color="DDDDDD"/>
            </w:tcBorders>
            <w:gridSpan w:val="2"/>
          </w:tcPr>
          <w:p>
            <w:pPr>
              <w:ind w:left="40"/>
              <w:spacing w:after="0"/>
              <w:rPr>
                <w:sz w:val="20"/>
                <w:szCs w:val="20"/>
                <w:color w:val="auto"/>
              </w:rPr>
            </w:pPr>
            <w:r>
              <w:rPr>
                <w:rFonts w:ascii="Times New Roman" w:cs="Times New Roman" w:eastAsia="Times New Roman" w:hAnsi="Times New Roman"/>
                <w:sz w:val="20"/>
                <w:szCs w:val="20"/>
                <w:color w:val="auto"/>
              </w:rPr>
              <w:t>Foreign</w:t>
            </w:r>
          </w:p>
        </w:tc>
        <w:tc>
          <w:tcPr>
            <w:tcW w:w="1180" w:type="dxa"/>
            <w:vAlign w:val="bottom"/>
            <w:tcBorders>
              <w:bottom w:val="single" w:sz="8" w:color="auto"/>
            </w:tcBorders>
          </w:tcPr>
          <w:p>
            <w:pPr>
              <w:spacing w:after="0"/>
              <w:rPr>
                <w:sz w:val="24"/>
                <w:szCs w:val="24"/>
                <w:color w:val="auto"/>
              </w:rPr>
            </w:pP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(52)</w:t>
            </w:r>
          </w:p>
        </w:tc>
        <w:tc>
          <w:tcPr>
            <w:tcW w:w="60" w:type="dxa"/>
            <w:vAlign w:val="bottom"/>
            <w:tcBorders>
              <w:bottom w:val="single" w:sz="8" w:color="DDDDDD"/>
            </w:tcBorders>
          </w:tcPr>
          <w:p>
            <w:pPr>
              <w:spacing w:after="0"/>
              <w:rPr>
                <w:sz w:val="24"/>
                <w:szCs w:val="24"/>
                <w:color w:val="auto"/>
              </w:rPr>
            </w:pPr>
          </w:p>
        </w:tc>
        <w:tc>
          <w:tcPr>
            <w:tcW w:w="1260" w:type="dxa"/>
            <w:vAlign w:val="bottom"/>
            <w:tcBorders>
              <w:bottom w:val="single" w:sz="8" w:color="auto"/>
            </w:tcBorders>
          </w:tcPr>
          <w:p>
            <w:pPr>
              <w:spacing w:after="0"/>
              <w:rPr>
                <w:sz w:val="24"/>
                <w:szCs w:val="24"/>
                <w:color w:val="auto"/>
              </w:rPr>
            </w:pPr>
          </w:p>
        </w:tc>
        <w:tc>
          <w:tcPr>
            <w:tcW w:w="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(1,213)</w:t>
            </w:r>
          </w:p>
        </w:tc>
        <w:tc>
          <w:tcPr>
            <w:tcW w:w="60" w:type="dxa"/>
            <w:vAlign w:val="bottom"/>
          </w:tcPr>
          <w:p>
            <w:pPr>
              <w:spacing w:after="0"/>
              <w:rPr>
                <w:sz w:val="24"/>
                <w:szCs w:val="24"/>
                <w:color w:val="auto"/>
              </w:rPr>
            </w:pPr>
          </w:p>
        </w:tc>
        <w:tc>
          <w:tcPr>
            <w:tcW w:w="460" w:type="dxa"/>
            <w:vAlign w:val="bottom"/>
            <w:tcBorders>
              <w:bottom w:val="single" w:sz="8" w:color="auto"/>
            </w:tcBorders>
          </w:tcPr>
          <w:p>
            <w:pPr>
              <w:spacing w:after="0"/>
              <w:rPr>
                <w:sz w:val="24"/>
                <w:szCs w:val="24"/>
                <w:color w:val="auto"/>
              </w:rPr>
            </w:pPr>
          </w:p>
        </w:tc>
        <w:tc>
          <w:tcPr>
            <w:tcW w:w="14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(370)</w:t>
            </w:r>
          </w:p>
        </w:tc>
      </w:tr>
      <w:tr>
        <w:trPr>
          <w:trHeight w:val="302"/>
        </w:trPr>
        <w:tc>
          <w:tcPr>
            <w:tcW w:w="4420" w:type="dxa"/>
            <w:vAlign w:val="bottom"/>
            <w:gridSpan w:val="2"/>
            <w:shd w:val="clear" w:color="auto" w:fill="DDDDDD"/>
          </w:tcPr>
          <w:p>
            <w:pPr>
              <w:ind w:left="40"/>
              <w:spacing w:after="0"/>
              <w:rPr>
                <w:sz w:val="20"/>
                <w:szCs w:val="20"/>
                <w:color w:val="auto"/>
              </w:rPr>
            </w:pPr>
            <w:r>
              <w:rPr>
                <w:rFonts w:ascii="Times New Roman" w:cs="Times New Roman" w:eastAsia="Times New Roman" w:hAnsi="Times New Roman"/>
                <w:sz w:val="20"/>
                <w:szCs w:val="20"/>
                <w:color w:val="auto"/>
              </w:rPr>
              <w:t>Income before income taxes</w:t>
            </w:r>
          </w:p>
        </w:tc>
        <w:tc>
          <w:tcPr>
            <w:tcW w:w="1180" w:type="dxa"/>
            <w:vAlign w:val="bottom"/>
            <w:shd w:val="clear" w:color="auto" w:fill="DDDDDD"/>
          </w:tcPr>
          <w:p>
            <w:pPr>
              <w:spacing w:after="0"/>
              <w:rPr>
                <w:sz w:val="24"/>
                <w:szCs w:val="24"/>
                <w:color w:val="auto"/>
              </w:rPr>
            </w:pPr>
          </w:p>
        </w:tc>
        <w:tc>
          <w:tcPr>
            <w:tcW w:w="720" w:type="dxa"/>
            <w:vAlign w:val="bottom"/>
            <w:shd w:val="clear" w:color="auto" w:fill="DDDDDD"/>
          </w:tcPr>
          <w:p>
            <w:pPr>
              <w:jc w:val="right"/>
              <w:spacing w:after="0"/>
              <w:rPr>
                <w:sz w:val="20"/>
                <w:szCs w:val="20"/>
                <w:color w:val="auto"/>
              </w:rPr>
            </w:pPr>
            <w:r>
              <w:rPr>
                <w:rFonts w:ascii="Times New Roman" w:cs="Times New Roman" w:eastAsia="Times New Roman" w:hAnsi="Times New Roman"/>
                <w:sz w:val="20"/>
                <w:szCs w:val="20"/>
                <w:color w:val="auto"/>
              </w:rPr>
              <w:t>(15,634)</w:t>
            </w:r>
          </w:p>
        </w:tc>
        <w:tc>
          <w:tcPr>
            <w:tcW w:w="60" w:type="dxa"/>
            <w:vAlign w:val="bottom"/>
            <w:shd w:val="clear" w:color="auto" w:fill="DDDDDD"/>
          </w:tcPr>
          <w:p>
            <w:pPr>
              <w:spacing w:after="0"/>
              <w:rPr>
                <w:sz w:val="24"/>
                <w:szCs w:val="24"/>
                <w:color w:val="auto"/>
              </w:rPr>
            </w:pPr>
          </w:p>
        </w:tc>
        <w:tc>
          <w:tcPr>
            <w:tcW w:w="1260" w:type="dxa"/>
            <w:vAlign w:val="bottom"/>
            <w:shd w:val="clear" w:color="auto" w:fill="DDDDDD"/>
          </w:tcPr>
          <w:p>
            <w:pPr>
              <w:spacing w:after="0"/>
              <w:rPr>
                <w:sz w:val="24"/>
                <w:szCs w:val="24"/>
                <w:color w:val="auto"/>
              </w:rPr>
            </w:pPr>
          </w:p>
        </w:tc>
        <w:tc>
          <w:tcPr>
            <w:tcW w:w="640" w:type="dxa"/>
            <w:vAlign w:val="bottom"/>
            <w:shd w:val="clear" w:color="auto" w:fill="DDDDDD"/>
          </w:tcPr>
          <w:p>
            <w:pPr>
              <w:jc w:val="right"/>
              <w:spacing w:after="0"/>
              <w:rPr>
                <w:sz w:val="20"/>
                <w:szCs w:val="20"/>
                <w:color w:val="auto"/>
              </w:rPr>
            </w:pPr>
            <w:r>
              <w:rPr>
                <w:rFonts w:ascii="Times New Roman" w:cs="Times New Roman" w:eastAsia="Times New Roman" w:hAnsi="Times New Roman"/>
                <w:sz w:val="20"/>
                <w:szCs w:val="20"/>
                <w:color w:val="auto"/>
              </w:rPr>
              <w:t>96,426</w:t>
            </w:r>
          </w:p>
        </w:tc>
        <w:tc>
          <w:tcPr>
            <w:tcW w:w="60" w:type="dxa"/>
            <w:vAlign w:val="bottom"/>
            <w:shd w:val="clear" w:color="auto" w:fill="DDDDDD"/>
          </w:tcPr>
          <w:p>
            <w:pPr>
              <w:spacing w:after="0"/>
              <w:rPr>
                <w:sz w:val="24"/>
                <w:szCs w:val="24"/>
                <w:color w:val="auto"/>
              </w:rPr>
            </w:pPr>
          </w:p>
        </w:tc>
        <w:tc>
          <w:tcPr>
            <w:tcW w:w="460" w:type="dxa"/>
            <w:vAlign w:val="bottom"/>
            <w:shd w:val="clear" w:color="auto" w:fill="DDDDDD"/>
          </w:tcPr>
          <w:p>
            <w:pPr>
              <w:spacing w:after="0"/>
              <w:rPr>
                <w:sz w:val="24"/>
                <w:szCs w:val="24"/>
                <w:color w:val="auto"/>
              </w:rPr>
            </w:pPr>
          </w:p>
        </w:tc>
        <w:tc>
          <w:tcPr>
            <w:tcW w:w="1460" w:type="dxa"/>
            <w:vAlign w:val="bottom"/>
            <w:shd w:val="clear" w:color="auto" w:fill="DDDDDD"/>
          </w:tcPr>
          <w:p>
            <w:pPr>
              <w:jc w:val="right"/>
              <w:spacing w:after="0"/>
              <w:rPr>
                <w:sz w:val="20"/>
                <w:szCs w:val="20"/>
                <w:color w:val="auto"/>
              </w:rPr>
            </w:pPr>
            <w:r>
              <w:rPr>
                <w:rFonts w:ascii="Times New Roman" w:cs="Times New Roman" w:eastAsia="Times New Roman" w:hAnsi="Times New Roman"/>
                <w:sz w:val="20"/>
                <w:szCs w:val="20"/>
                <w:color w:val="auto"/>
              </w:rPr>
              <w:t>151,617</w:t>
            </w:r>
          </w:p>
        </w:tc>
      </w:tr>
      <w:tr>
        <w:trPr>
          <w:trHeight w:val="20"/>
        </w:trPr>
        <w:tc>
          <w:tcPr>
            <w:tcW w:w="6380" w:type="dxa"/>
            <w:vAlign w:val="bottom"/>
            <w:gridSpan w:val="5"/>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460" w:type="dxa"/>
            <w:vAlign w:val="bottom"/>
          </w:tcPr>
          <w:p>
            <w:pPr>
              <w:spacing w:after="0" w:line="20" w:lineRule="exact"/>
              <w:rPr>
                <w:sz w:val="1"/>
                <w:szCs w:val="1"/>
                <w:color w:val="auto"/>
              </w:rPr>
            </w:pPr>
          </w:p>
        </w:tc>
      </w:tr>
      <w:tr>
        <w:trPr>
          <w:trHeight w:val="20"/>
        </w:trPr>
        <w:tc>
          <w:tcPr>
            <w:tcW w:w="4400" w:type="dxa"/>
            <w:vAlign w:val="bottom"/>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6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1460" w:type="dxa"/>
            <w:vAlign w:val="bottom"/>
            <w:tcBorders>
              <w:top w:val="single" w:sz="8" w:color="auto"/>
              <w:bottom w:val="single" w:sz="8" w:color="auto"/>
            </w:tcBorders>
          </w:tcPr>
          <w:p>
            <w:pPr>
              <w:spacing w:after="0" w:line="20" w:lineRule="exact"/>
              <w:rPr>
                <w:sz w:val="1"/>
                <w:szCs w:val="1"/>
                <w:color w:val="auto"/>
              </w:rPr>
            </w:pPr>
          </w:p>
        </w:tc>
      </w:tr>
      <w:tr>
        <w:trPr>
          <w:trHeight w:val="347"/>
        </w:trPr>
        <w:tc>
          <w:tcPr>
            <w:tcW w:w="7640" w:type="dxa"/>
            <w:vAlign w:val="bottom"/>
            <w:gridSpan w:val="6"/>
          </w:tcPr>
          <w:p>
            <w:pPr>
              <w:spacing w:after="0"/>
              <w:rPr>
                <w:sz w:val="20"/>
                <w:szCs w:val="20"/>
                <w:color w:val="auto"/>
              </w:rPr>
            </w:pPr>
            <w:r>
              <w:rPr>
                <w:rFonts w:ascii="Times New Roman" w:cs="Times New Roman" w:eastAsia="Times New Roman" w:hAnsi="Times New Roman"/>
                <w:sz w:val="20"/>
                <w:szCs w:val="20"/>
                <w:color w:val="auto"/>
              </w:rPr>
              <w:t>The components of the provision for (benefit from) income taxes are as follows (in thousands):</w:t>
            </w:r>
          </w:p>
        </w:tc>
        <w:tc>
          <w:tcPr>
            <w:tcW w:w="6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460" w:type="dxa"/>
            <w:vAlign w:val="bottom"/>
          </w:tcPr>
          <w:p>
            <w:pPr>
              <w:spacing w:after="0"/>
              <w:rPr>
                <w:sz w:val="24"/>
                <w:szCs w:val="24"/>
                <w:color w:val="auto"/>
              </w:rPr>
            </w:pPr>
          </w:p>
        </w:tc>
      </w:tr>
    </w:tbl>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5266690</wp:posOffset>
                </wp:positionH>
                <wp:positionV relativeFrom="paragraph">
                  <wp:posOffset>-471805</wp:posOffset>
                </wp:positionV>
                <wp:extent cx="36830" cy="13335"/>
                <wp:wrapNone/>
                <wp:docPr id="109" name="Shape 109"/>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36830" cy="13335"/>
                        </a:xfrm>
                        <a:prstGeom prst="rect">
                          <a:avLst/>
                        </a:prstGeom>
                        <a:solidFill>
                          <a:srgbClr val="DDDDDD"/>
                        </a:solidFill>
                      </wps:spPr>
                      <wps:bodyPr/>
                    </wps:wsp>
                  </a:graphicData>
                </a:graphic>
              </wp:anchor>
            </w:drawing>
          </mc:Choice>
          <mc:Fallback>
            <w:pict>
              <v:rect id="Shape 109" o:spid="_x0000_s1134" style="position:absolute;margin-left:414.7pt;margin-top:-37.1499pt;width:2.9pt;height:1.05pt;z-index:-251657728;visibility:visible;mso-wrap-style:square;mso-width-percent:0;mso-height-percent:0;mso-wrap-distance-left:0pt;mso-wrap-distance-top:0;mso-wrap-distance-right:0pt;mso-wrap-distance-bottom:0;mso-position-horizontal:absolute;mso-position-horizontal-relative:text;mso-position-vertical:absolute;mso-position-vertical-relative:text;mso-width-percent:0;mso-height-percent:0;mso-width-relative:page;mso-height-relative:page;v-text-anchor:top" o:allowincell="f" fillcolor="#DDDDDD" stroked="f"/>
            </w:pict>
          </mc:Fallback>
        </mc:AlternateContent>
      </w:r>
    </w:p>
    <w:p>
      <w:pPr>
        <w:spacing w:after="0" w:line="155" w:lineRule="exact"/>
        <w:rPr>
          <w:sz w:val="20"/>
          <w:szCs w:val="20"/>
          <w:color w:val="auto"/>
        </w:rPr>
      </w:pPr>
    </w:p>
    <w:tbl>
      <w:tblPr>
        <w:tblLayout w:type="fixed"/>
        <w:tblInd w:w="7" w:type="dxa"/>
        <w:tblCellMar>
          <w:top w:w="0" w:type="dxa"/>
          <w:left w:w="0" w:type="dxa"/>
          <w:bottom w:w="0" w:type="dxa"/>
          <w:right w:w="0" w:type="dxa"/>
        </w:tblCellMar>
      </w:tblPr>
      <w:tr>
        <w:trPr>
          <w:trHeight w:val="281"/>
        </w:trPr>
        <w:tc>
          <w:tcPr>
            <w:tcW w:w="44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60" w:type="dxa"/>
            <w:vAlign w:val="bottom"/>
            <w:tcBorders>
              <w:bottom w:val="single" w:sz="8" w:color="auto"/>
            </w:tcBorders>
          </w:tcPr>
          <w:p>
            <w:pPr>
              <w:spacing w:after="0"/>
              <w:rPr>
                <w:sz w:val="24"/>
                <w:szCs w:val="24"/>
                <w:color w:val="auto"/>
              </w:rPr>
            </w:pPr>
          </w:p>
        </w:tc>
        <w:tc>
          <w:tcPr>
            <w:tcW w:w="3940" w:type="dxa"/>
            <w:vAlign w:val="bottom"/>
            <w:tcBorders>
              <w:bottom w:val="single" w:sz="8" w:color="auto"/>
            </w:tcBorders>
            <w:gridSpan w:val="6"/>
          </w:tcPr>
          <w:p>
            <w:pPr>
              <w:ind w:left="1300"/>
              <w:spacing w:after="0"/>
              <w:rPr>
                <w:sz w:val="20"/>
                <w:szCs w:val="20"/>
                <w:color w:val="auto"/>
              </w:rPr>
            </w:pPr>
            <w:r>
              <w:rPr>
                <w:rFonts w:ascii="Times New Roman" w:cs="Times New Roman" w:eastAsia="Times New Roman" w:hAnsi="Times New Roman"/>
                <w:sz w:val="20"/>
                <w:szCs w:val="20"/>
                <w:b w:val="1"/>
                <w:bCs w:val="1"/>
                <w:color w:val="auto"/>
              </w:rPr>
              <w:t>Years Ended December 31,</w:t>
            </w:r>
          </w:p>
        </w:tc>
        <w:tc>
          <w:tcPr>
            <w:tcW w:w="1440" w:type="dxa"/>
            <w:vAlign w:val="bottom"/>
            <w:tcBorders>
              <w:bottom w:val="single" w:sz="8" w:color="auto"/>
            </w:tcBorders>
          </w:tcPr>
          <w:p>
            <w:pPr>
              <w:spacing w:after="0"/>
              <w:rPr>
                <w:sz w:val="24"/>
                <w:szCs w:val="24"/>
                <w:color w:val="auto"/>
              </w:rPr>
            </w:pPr>
          </w:p>
        </w:tc>
      </w:tr>
      <w:tr>
        <w:trPr>
          <w:trHeight w:val="301"/>
        </w:trPr>
        <w:tc>
          <w:tcPr>
            <w:tcW w:w="4400" w:type="dxa"/>
            <w:vAlign w:val="bottom"/>
            <w:tcBorders>
              <w:bottom w:val="single" w:sz="8" w:color="DDDDDD"/>
            </w:tcBorders>
          </w:tcPr>
          <w:p>
            <w:pPr>
              <w:spacing w:after="0"/>
              <w:rPr>
                <w:sz w:val="24"/>
                <w:szCs w:val="24"/>
                <w:color w:val="auto"/>
              </w:rPr>
            </w:pPr>
          </w:p>
        </w:tc>
        <w:tc>
          <w:tcPr>
            <w:tcW w:w="20" w:type="dxa"/>
            <w:vAlign w:val="bottom"/>
            <w:tcBorders>
              <w:bottom w:val="single" w:sz="8" w:color="DDDDDD"/>
            </w:tcBorders>
          </w:tcPr>
          <w:p>
            <w:pPr>
              <w:spacing w:after="0"/>
              <w:rPr>
                <w:sz w:val="24"/>
                <w:szCs w:val="24"/>
                <w:color w:val="auto"/>
              </w:rPr>
            </w:pPr>
          </w:p>
        </w:tc>
        <w:tc>
          <w:tcPr>
            <w:tcW w:w="460" w:type="dxa"/>
            <w:vAlign w:val="bottom"/>
            <w:tcBorders>
              <w:bottom w:val="single" w:sz="8" w:color="auto"/>
            </w:tcBorders>
          </w:tcPr>
          <w:p>
            <w:pPr>
              <w:spacing w:after="0"/>
              <w:rPr>
                <w:sz w:val="24"/>
                <w:szCs w:val="24"/>
                <w:color w:val="auto"/>
              </w:rPr>
            </w:pPr>
          </w:p>
        </w:tc>
        <w:tc>
          <w:tcPr>
            <w:tcW w:w="1440" w:type="dxa"/>
            <w:vAlign w:val="bottom"/>
            <w:tcBorders>
              <w:bottom w:val="single" w:sz="8" w:color="auto"/>
            </w:tcBorders>
          </w:tcPr>
          <w:p>
            <w:pPr>
              <w:ind w:left="300"/>
              <w:spacing w:after="0"/>
              <w:rPr>
                <w:sz w:val="20"/>
                <w:szCs w:val="20"/>
                <w:color w:val="auto"/>
              </w:rPr>
            </w:pPr>
            <w:r>
              <w:rPr>
                <w:rFonts w:ascii="Times New Roman" w:cs="Times New Roman" w:eastAsia="Times New Roman" w:hAnsi="Times New Roman"/>
                <w:sz w:val="20"/>
                <w:szCs w:val="20"/>
                <w:b w:val="1"/>
                <w:bCs w:val="1"/>
                <w:color w:val="auto"/>
              </w:rPr>
              <w:t>2023</w:t>
            </w:r>
          </w:p>
        </w:tc>
        <w:tc>
          <w:tcPr>
            <w:tcW w:w="60" w:type="dxa"/>
            <w:vAlign w:val="bottom"/>
            <w:tcBorders>
              <w:bottom w:val="single" w:sz="8" w:color="DDDDDD"/>
            </w:tcBorders>
          </w:tcPr>
          <w:p>
            <w:pPr>
              <w:spacing w:after="0"/>
              <w:rPr>
                <w:sz w:val="24"/>
                <w:szCs w:val="24"/>
                <w:color w:val="auto"/>
              </w:rPr>
            </w:pPr>
          </w:p>
        </w:tc>
        <w:tc>
          <w:tcPr>
            <w:tcW w:w="460" w:type="dxa"/>
            <w:vAlign w:val="bottom"/>
            <w:tcBorders>
              <w:bottom w:val="single" w:sz="8" w:color="auto"/>
            </w:tcBorders>
          </w:tcPr>
          <w:p>
            <w:pPr>
              <w:spacing w:after="0"/>
              <w:rPr>
                <w:sz w:val="24"/>
                <w:szCs w:val="24"/>
                <w:color w:val="auto"/>
              </w:rPr>
            </w:pPr>
          </w:p>
        </w:tc>
        <w:tc>
          <w:tcPr>
            <w:tcW w:w="1440" w:type="dxa"/>
            <w:vAlign w:val="bottom"/>
            <w:tcBorders>
              <w:bottom w:val="single" w:sz="8" w:color="auto"/>
            </w:tcBorders>
          </w:tcPr>
          <w:p>
            <w:pPr>
              <w:jc w:val="right"/>
              <w:ind w:right="639"/>
              <w:spacing w:after="0"/>
              <w:rPr>
                <w:sz w:val="20"/>
                <w:szCs w:val="20"/>
                <w:color w:val="auto"/>
              </w:rPr>
            </w:pPr>
            <w:r>
              <w:rPr>
                <w:rFonts w:ascii="Times New Roman" w:cs="Times New Roman" w:eastAsia="Times New Roman" w:hAnsi="Times New Roman"/>
                <w:sz w:val="20"/>
                <w:szCs w:val="20"/>
                <w:b w:val="1"/>
                <w:bCs w:val="1"/>
                <w:color w:val="auto"/>
              </w:rPr>
              <w:t>2022</w:t>
            </w:r>
          </w:p>
        </w:tc>
        <w:tc>
          <w:tcPr>
            <w:tcW w:w="60" w:type="dxa"/>
            <w:vAlign w:val="bottom"/>
          </w:tcPr>
          <w:p>
            <w:pPr>
              <w:spacing w:after="0"/>
              <w:rPr>
                <w:sz w:val="24"/>
                <w:szCs w:val="24"/>
                <w:color w:val="auto"/>
              </w:rPr>
            </w:pPr>
          </w:p>
        </w:tc>
        <w:tc>
          <w:tcPr>
            <w:tcW w:w="480" w:type="dxa"/>
            <w:vAlign w:val="bottom"/>
            <w:tcBorders>
              <w:bottom w:val="single" w:sz="8" w:color="auto"/>
            </w:tcBorders>
          </w:tcPr>
          <w:p>
            <w:pPr>
              <w:spacing w:after="0"/>
              <w:rPr>
                <w:sz w:val="24"/>
                <w:szCs w:val="24"/>
                <w:color w:val="auto"/>
              </w:rPr>
            </w:pPr>
          </w:p>
        </w:tc>
        <w:tc>
          <w:tcPr>
            <w:tcW w:w="1440" w:type="dxa"/>
            <w:vAlign w:val="bottom"/>
            <w:tcBorders>
              <w:bottom w:val="single" w:sz="8" w:color="auto"/>
            </w:tcBorders>
          </w:tcPr>
          <w:p>
            <w:pPr>
              <w:jc w:val="right"/>
              <w:ind w:right="659"/>
              <w:spacing w:after="0"/>
              <w:rPr>
                <w:sz w:val="20"/>
                <w:szCs w:val="20"/>
                <w:color w:val="auto"/>
              </w:rPr>
            </w:pPr>
            <w:r>
              <w:rPr>
                <w:rFonts w:ascii="Times New Roman" w:cs="Times New Roman" w:eastAsia="Times New Roman" w:hAnsi="Times New Roman"/>
                <w:sz w:val="20"/>
                <w:szCs w:val="20"/>
                <w:b w:val="1"/>
                <w:bCs w:val="1"/>
                <w:color w:val="auto"/>
              </w:rPr>
              <w:t>2021</w:t>
            </w:r>
          </w:p>
        </w:tc>
      </w:tr>
      <w:tr>
        <w:trPr>
          <w:trHeight w:val="259"/>
        </w:trPr>
        <w:tc>
          <w:tcPr>
            <w:tcW w:w="4420" w:type="dxa"/>
            <w:vAlign w:val="bottom"/>
            <w:gridSpan w:val="2"/>
            <w:shd w:val="clear" w:color="auto" w:fill="DDDDDD"/>
          </w:tcPr>
          <w:p>
            <w:pPr>
              <w:ind w:left="40"/>
              <w:spacing w:after="0"/>
              <w:rPr>
                <w:sz w:val="20"/>
                <w:szCs w:val="20"/>
                <w:color w:val="auto"/>
              </w:rPr>
            </w:pPr>
            <w:r>
              <w:rPr>
                <w:rFonts w:ascii="Times New Roman" w:cs="Times New Roman" w:eastAsia="Times New Roman" w:hAnsi="Times New Roman"/>
                <w:sz w:val="20"/>
                <w:szCs w:val="20"/>
                <w:color w:val="auto"/>
              </w:rPr>
              <w:t>Current</w:t>
            </w:r>
          </w:p>
        </w:tc>
        <w:tc>
          <w:tcPr>
            <w:tcW w:w="460" w:type="dxa"/>
            <w:vAlign w:val="bottom"/>
            <w:shd w:val="clear" w:color="auto" w:fill="DDDDDD"/>
          </w:tcPr>
          <w:p>
            <w:pPr>
              <w:spacing w:after="0"/>
              <w:rPr>
                <w:sz w:val="22"/>
                <w:szCs w:val="22"/>
                <w:color w:val="auto"/>
              </w:rPr>
            </w:pPr>
          </w:p>
        </w:tc>
        <w:tc>
          <w:tcPr>
            <w:tcW w:w="1440" w:type="dxa"/>
            <w:vAlign w:val="bottom"/>
            <w:shd w:val="clear" w:color="auto" w:fill="DDDDDD"/>
          </w:tcPr>
          <w:p>
            <w:pPr>
              <w:spacing w:after="0"/>
              <w:rPr>
                <w:sz w:val="22"/>
                <w:szCs w:val="22"/>
                <w:color w:val="auto"/>
              </w:rPr>
            </w:pPr>
          </w:p>
        </w:tc>
        <w:tc>
          <w:tcPr>
            <w:tcW w:w="60" w:type="dxa"/>
            <w:vAlign w:val="bottom"/>
            <w:shd w:val="clear" w:color="auto" w:fill="DDDDDD"/>
          </w:tcPr>
          <w:p>
            <w:pPr>
              <w:spacing w:after="0"/>
              <w:rPr>
                <w:sz w:val="22"/>
                <w:szCs w:val="22"/>
                <w:color w:val="auto"/>
              </w:rPr>
            </w:pPr>
          </w:p>
        </w:tc>
        <w:tc>
          <w:tcPr>
            <w:tcW w:w="460" w:type="dxa"/>
            <w:vAlign w:val="bottom"/>
            <w:shd w:val="clear" w:color="auto" w:fill="DDDDDD"/>
          </w:tcPr>
          <w:p>
            <w:pPr>
              <w:spacing w:after="0"/>
              <w:rPr>
                <w:sz w:val="22"/>
                <w:szCs w:val="22"/>
                <w:color w:val="auto"/>
              </w:rPr>
            </w:pPr>
          </w:p>
        </w:tc>
        <w:tc>
          <w:tcPr>
            <w:tcW w:w="1440" w:type="dxa"/>
            <w:vAlign w:val="bottom"/>
            <w:shd w:val="clear" w:color="auto" w:fill="DDDDDD"/>
          </w:tcPr>
          <w:p>
            <w:pPr>
              <w:spacing w:after="0"/>
              <w:rPr>
                <w:sz w:val="22"/>
                <w:szCs w:val="22"/>
                <w:color w:val="auto"/>
              </w:rPr>
            </w:pPr>
          </w:p>
        </w:tc>
        <w:tc>
          <w:tcPr>
            <w:tcW w:w="60" w:type="dxa"/>
            <w:vAlign w:val="bottom"/>
            <w:shd w:val="clear" w:color="auto" w:fill="DDDDDD"/>
          </w:tcPr>
          <w:p>
            <w:pPr>
              <w:spacing w:after="0"/>
              <w:rPr>
                <w:sz w:val="22"/>
                <w:szCs w:val="22"/>
                <w:color w:val="auto"/>
              </w:rPr>
            </w:pPr>
          </w:p>
        </w:tc>
        <w:tc>
          <w:tcPr>
            <w:tcW w:w="480" w:type="dxa"/>
            <w:vAlign w:val="bottom"/>
            <w:shd w:val="clear" w:color="auto" w:fill="DDDDDD"/>
          </w:tcPr>
          <w:p>
            <w:pPr>
              <w:spacing w:after="0"/>
              <w:rPr>
                <w:sz w:val="22"/>
                <w:szCs w:val="22"/>
                <w:color w:val="auto"/>
              </w:rPr>
            </w:pPr>
          </w:p>
        </w:tc>
        <w:tc>
          <w:tcPr>
            <w:tcW w:w="1440" w:type="dxa"/>
            <w:vAlign w:val="bottom"/>
            <w:shd w:val="clear" w:color="auto" w:fill="DDDDDD"/>
          </w:tcPr>
          <w:p>
            <w:pPr>
              <w:spacing w:after="0"/>
              <w:rPr>
                <w:sz w:val="22"/>
                <w:szCs w:val="22"/>
                <w:color w:val="auto"/>
              </w:rPr>
            </w:pPr>
          </w:p>
        </w:tc>
      </w:tr>
      <w:tr>
        <w:trPr>
          <w:trHeight w:val="288"/>
        </w:trPr>
        <w:tc>
          <w:tcPr>
            <w:tcW w:w="4420" w:type="dxa"/>
            <w:vAlign w:val="bottom"/>
            <w:gridSpan w:val="2"/>
          </w:tcPr>
          <w:p>
            <w:pPr>
              <w:ind w:left="160"/>
              <w:spacing w:after="0"/>
              <w:rPr>
                <w:sz w:val="20"/>
                <w:szCs w:val="20"/>
                <w:color w:val="auto"/>
              </w:rPr>
            </w:pPr>
            <w:r>
              <w:rPr>
                <w:rFonts w:ascii="Times New Roman" w:cs="Times New Roman" w:eastAsia="Times New Roman" w:hAnsi="Times New Roman"/>
                <w:sz w:val="20"/>
                <w:szCs w:val="20"/>
                <w:color w:val="auto"/>
              </w:rPr>
              <w:t>Federal</w:t>
            </w:r>
          </w:p>
        </w:tc>
        <w:tc>
          <w:tcPr>
            <w:tcW w:w="460" w:type="dxa"/>
            <w:vAlign w:val="bottom"/>
          </w:tcPr>
          <w:p>
            <w:pPr>
              <w:jc w:val="right"/>
              <w:ind w:right="199"/>
              <w:spacing w:after="0"/>
              <w:rPr>
                <w:sz w:val="20"/>
                <w:szCs w:val="20"/>
                <w:color w:val="auto"/>
              </w:rPr>
            </w:pPr>
            <w:r>
              <w:rPr>
                <w:rFonts w:ascii="Times New Roman" w:cs="Times New Roman" w:eastAsia="Times New Roman" w:hAnsi="Times New Roman"/>
                <w:sz w:val="20"/>
                <w:szCs w:val="20"/>
                <w:color w:val="auto"/>
              </w:rPr>
              <w:t>$</w:t>
            </w:r>
          </w:p>
        </w:tc>
        <w:tc>
          <w:tcPr>
            <w:tcW w:w="1440" w:type="dxa"/>
            <w:vAlign w:val="bottom"/>
          </w:tcPr>
          <w:p>
            <w:pPr>
              <w:ind w:left="1160"/>
              <w:spacing w:after="0"/>
              <w:rPr>
                <w:sz w:val="20"/>
                <w:szCs w:val="20"/>
                <w:color w:val="auto"/>
              </w:rPr>
            </w:pPr>
            <w:r>
              <w:rPr>
                <w:rFonts w:ascii="Times New Roman" w:cs="Times New Roman" w:eastAsia="Times New Roman" w:hAnsi="Times New Roman"/>
                <w:sz w:val="20"/>
                <w:szCs w:val="20"/>
                <w:color w:val="auto"/>
              </w:rPr>
              <w:t>—</w:t>
            </w:r>
          </w:p>
        </w:tc>
        <w:tc>
          <w:tcPr>
            <w:tcW w:w="520" w:type="dxa"/>
            <w:vAlign w:val="bottom"/>
            <w:gridSpan w:val="2"/>
          </w:tcPr>
          <w:p>
            <w:pPr>
              <w:jc w:val="right"/>
              <w:ind w:right="300"/>
              <w:spacing w:after="0"/>
              <w:rPr>
                <w:sz w:val="20"/>
                <w:szCs w:val="20"/>
                <w:color w:val="auto"/>
              </w:rPr>
            </w:pPr>
            <w:r>
              <w:rPr>
                <w:rFonts w:ascii="Times New Roman" w:cs="Times New Roman" w:eastAsia="Times New Roman" w:hAnsi="Times New Roman"/>
                <w:sz w:val="20"/>
                <w:szCs w:val="20"/>
                <w:color w:val="auto"/>
              </w:rPr>
              <w:t>$</w:t>
            </w:r>
          </w:p>
        </w:tc>
        <w:tc>
          <w:tcPr>
            <w:tcW w:w="14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540" w:type="dxa"/>
            <w:vAlign w:val="bottom"/>
            <w:gridSpan w:val="2"/>
          </w:tcPr>
          <w:p>
            <w:pPr>
              <w:jc w:val="right"/>
              <w:ind w:right="320"/>
              <w:spacing w:after="0"/>
              <w:rPr>
                <w:sz w:val="20"/>
                <w:szCs w:val="20"/>
                <w:color w:val="auto"/>
              </w:rPr>
            </w:pPr>
            <w:r>
              <w:rPr>
                <w:rFonts w:ascii="Times New Roman" w:cs="Times New Roman" w:eastAsia="Times New Roman" w:hAnsi="Times New Roman"/>
                <w:sz w:val="20"/>
                <w:szCs w:val="20"/>
                <w:color w:val="auto"/>
              </w:rPr>
              <w:t>$</w:t>
            </w:r>
          </w:p>
        </w:tc>
        <w:tc>
          <w:tcPr>
            <w:tcW w:w="14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w:t>
            </w:r>
          </w:p>
        </w:tc>
      </w:tr>
      <w:tr>
        <w:trPr>
          <w:trHeight w:val="281"/>
        </w:trPr>
        <w:tc>
          <w:tcPr>
            <w:tcW w:w="4420" w:type="dxa"/>
            <w:vAlign w:val="bottom"/>
            <w:gridSpan w:val="2"/>
            <w:shd w:val="clear" w:color="auto" w:fill="DDDDDD"/>
          </w:tcPr>
          <w:p>
            <w:pPr>
              <w:ind w:left="160"/>
              <w:spacing w:after="0"/>
              <w:rPr>
                <w:sz w:val="20"/>
                <w:szCs w:val="20"/>
                <w:color w:val="auto"/>
              </w:rPr>
            </w:pPr>
            <w:r>
              <w:rPr>
                <w:rFonts w:ascii="Times New Roman" w:cs="Times New Roman" w:eastAsia="Times New Roman" w:hAnsi="Times New Roman"/>
                <w:sz w:val="20"/>
                <w:szCs w:val="20"/>
                <w:color w:val="auto"/>
              </w:rPr>
              <w:t>State</w:t>
            </w:r>
          </w:p>
        </w:tc>
        <w:tc>
          <w:tcPr>
            <w:tcW w:w="460" w:type="dxa"/>
            <w:vAlign w:val="bottom"/>
            <w:shd w:val="clear" w:color="auto" w:fill="DDDDDD"/>
          </w:tcPr>
          <w:p>
            <w:pPr>
              <w:spacing w:after="0"/>
              <w:rPr>
                <w:sz w:val="24"/>
                <w:szCs w:val="24"/>
                <w:color w:val="auto"/>
              </w:rPr>
            </w:pPr>
          </w:p>
        </w:tc>
        <w:tc>
          <w:tcPr>
            <w:tcW w:w="1440" w:type="dxa"/>
            <w:vAlign w:val="bottom"/>
            <w:shd w:val="clear" w:color="auto" w:fill="DDDDDD"/>
          </w:tcPr>
          <w:p>
            <w:pPr>
              <w:ind w:left="1160"/>
              <w:spacing w:after="0"/>
              <w:rPr>
                <w:sz w:val="20"/>
                <w:szCs w:val="20"/>
                <w:color w:val="auto"/>
              </w:rPr>
            </w:pPr>
            <w:r>
              <w:rPr>
                <w:rFonts w:ascii="Times New Roman" w:cs="Times New Roman" w:eastAsia="Times New Roman" w:hAnsi="Times New Roman"/>
                <w:sz w:val="20"/>
                <w:szCs w:val="20"/>
                <w:color w:val="auto"/>
              </w:rPr>
              <w:t>93</w:t>
            </w:r>
          </w:p>
        </w:tc>
        <w:tc>
          <w:tcPr>
            <w:tcW w:w="60" w:type="dxa"/>
            <w:vAlign w:val="bottom"/>
            <w:shd w:val="clear" w:color="auto" w:fill="DDDDDD"/>
          </w:tcPr>
          <w:p>
            <w:pPr>
              <w:spacing w:after="0"/>
              <w:rPr>
                <w:sz w:val="24"/>
                <w:szCs w:val="24"/>
                <w:color w:val="auto"/>
              </w:rPr>
            </w:pPr>
          </w:p>
        </w:tc>
        <w:tc>
          <w:tcPr>
            <w:tcW w:w="460" w:type="dxa"/>
            <w:vAlign w:val="bottom"/>
            <w:shd w:val="clear" w:color="auto" w:fill="DDDDDD"/>
          </w:tcPr>
          <w:p>
            <w:pPr>
              <w:spacing w:after="0"/>
              <w:rPr>
                <w:sz w:val="24"/>
                <w:szCs w:val="24"/>
                <w:color w:val="auto"/>
              </w:rPr>
            </w:pPr>
          </w:p>
        </w:tc>
        <w:tc>
          <w:tcPr>
            <w:tcW w:w="1440" w:type="dxa"/>
            <w:vAlign w:val="bottom"/>
            <w:shd w:val="clear" w:color="auto" w:fill="DDDDDD"/>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60" w:type="dxa"/>
            <w:vAlign w:val="bottom"/>
            <w:shd w:val="clear" w:color="auto" w:fill="DDDDDD"/>
          </w:tcPr>
          <w:p>
            <w:pPr>
              <w:spacing w:after="0"/>
              <w:rPr>
                <w:sz w:val="24"/>
                <w:szCs w:val="24"/>
                <w:color w:val="auto"/>
              </w:rPr>
            </w:pPr>
          </w:p>
        </w:tc>
        <w:tc>
          <w:tcPr>
            <w:tcW w:w="480" w:type="dxa"/>
            <w:vAlign w:val="bottom"/>
            <w:shd w:val="clear" w:color="auto" w:fill="DDDDDD"/>
          </w:tcPr>
          <w:p>
            <w:pPr>
              <w:spacing w:after="0"/>
              <w:rPr>
                <w:sz w:val="24"/>
                <w:szCs w:val="24"/>
                <w:color w:val="auto"/>
              </w:rPr>
            </w:pPr>
          </w:p>
        </w:tc>
        <w:tc>
          <w:tcPr>
            <w:tcW w:w="1440" w:type="dxa"/>
            <w:vAlign w:val="bottom"/>
            <w:shd w:val="clear" w:color="auto" w:fill="DDDDDD"/>
          </w:tcPr>
          <w:p>
            <w:pPr>
              <w:jc w:val="right"/>
              <w:spacing w:after="0"/>
              <w:rPr>
                <w:sz w:val="20"/>
                <w:szCs w:val="20"/>
                <w:color w:val="auto"/>
              </w:rPr>
            </w:pPr>
            <w:r>
              <w:rPr>
                <w:rFonts w:ascii="Times New Roman" w:cs="Times New Roman" w:eastAsia="Times New Roman" w:hAnsi="Times New Roman"/>
                <w:sz w:val="20"/>
                <w:szCs w:val="20"/>
                <w:color w:val="auto"/>
              </w:rPr>
              <w:t>—</w:t>
            </w:r>
          </w:p>
        </w:tc>
      </w:tr>
      <w:tr>
        <w:trPr>
          <w:trHeight w:val="288"/>
        </w:trPr>
        <w:tc>
          <w:tcPr>
            <w:tcW w:w="4420" w:type="dxa"/>
            <w:vAlign w:val="bottom"/>
            <w:tcBorders>
              <w:bottom w:val="single" w:sz="8" w:color="DDDDDD"/>
            </w:tcBorders>
            <w:gridSpan w:val="2"/>
          </w:tcPr>
          <w:p>
            <w:pPr>
              <w:ind w:left="160"/>
              <w:spacing w:after="0"/>
              <w:rPr>
                <w:sz w:val="20"/>
                <w:szCs w:val="20"/>
                <w:color w:val="auto"/>
              </w:rPr>
            </w:pPr>
            <w:r>
              <w:rPr>
                <w:rFonts w:ascii="Times New Roman" w:cs="Times New Roman" w:eastAsia="Times New Roman" w:hAnsi="Times New Roman"/>
                <w:sz w:val="20"/>
                <w:szCs w:val="20"/>
                <w:color w:val="auto"/>
              </w:rPr>
              <w:t>Foreign</w:t>
            </w:r>
          </w:p>
        </w:tc>
        <w:tc>
          <w:tcPr>
            <w:tcW w:w="460" w:type="dxa"/>
            <w:vAlign w:val="bottom"/>
            <w:tcBorders>
              <w:bottom w:val="single" w:sz="8" w:color="auto"/>
            </w:tcBorders>
          </w:tcPr>
          <w:p>
            <w:pPr>
              <w:spacing w:after="0"/>
              <w:rPr>
                <w:sz w:val="24"/>
                <w:szCs w:val="24"/>
                <w:color w:val="auto"/>
              </w:rPr>
            </w:pPr>
          </w:p>
        </w:tc>
        <w:tc>
          <w:tcPr>
            <w:tcW w:w="1440" w:type="dxa"/>
            <w:vAlign w:val="bottom"/>
            <w:tcBorders>
              <w:bottom w:val="single" w:sz="8" w:color="auto"/>
            </w:tcBorders>
          </w:tcPr>
          <w:p>
            <w:pPr>
              <w:ind w:left="1160"/>
              <w:spacing w:after="0"/>
              <w:rPr>
                <w:sz w:val="20"/>
                <w:szCs w:val="20"/>
                <w:color w:val="auto"/>
              </w:rPr>
            </w:pPr>
            <w:r>
              <w:rPr>
                <w:rFonts w:ascii="Times New Roman" w:cs="Times New Roman" w:eastAsia="Times New Roman" w:hAnsi="Times New Roman"/>
                <w:sz w:val="20"/>
                <w:szCs w:val="20"/>
                <w:color w:val="auto"/>
              </w:rPr>
              <w:t>—</w:t>
            </w:r>
          </w:p>
        </w:tc>
        <w:tc>
          <w:tcPr>
            <w:tcW w:w="60" w:type="dxa"/>
            <w:vAlign w:val="bottom"/>
            <w:tcBorders>
              <w:bottom w:val="single" w:sz="8" w:color="DDDDDD"/>
            </w:tcBorders>
          </w:tcPr>
          <w:p>
            <w:pPr>
              <w:spacing w:after="0"/>
              <w:rPr>
                <w:sz w:val="24"/>
                <w:szCs w:val="24"/>
                <w:color w:val="auto"/>
              </w:rPr>
            </w:pPr>
          </w:p>
        </w:tc>
        <w:tc>
          <w:tcPr>
            <w:tcW w:w="460" w:type="dxa"/>
            <w:vAlign w:val="bottom"/>
            <w:tcBorders>
              <w:bottom w:val="single" w:sz="8" w:color="auto"/>
            </w:tcBorders>
          </w:tcPr>
          <w:p>
            <w:pPr>
              <w:spacing w:after="0"/>
              <w:rPr>
                <w:sz w:val="24"/>
                <w:szCs w:val="24"/>
                <w:color w:val="auto"/>
              </w:rPr>
            </w:pPr>
          </w:p>
        </w:tc>
        <w:tc>
          <w:tcPr>
            <w:tcW w:w="14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(341)</w:t>
            </w:r>
          </w:p>
        </w:tc>
        <w:tc>
          <w:tcPr>
            <w:tcW w:w="60" w:type="dxa"/>
            <w:vAlign w:val="bottom"/>
          </w:tcPr>
          <w:p>
            <w:pPr>
              <w:spacing w:after="0"/>
              <w:rPr>
                <w:sz w:val="24"/>
                <w:szCs w:val="24"/>
                <w:color w:val="auto"/>
              </w:rPr>
            </w:pPr>
          </w:p>
        </w:tc>
        <w:tc>
          <w:tcPr>
            <w:tcW w:w="480" w:type="dxa"/>
            <w:vAlign w:val="bottom"/>
            <w:tcBorders>
              <w:bottom w:val="single" w:sz="8" w:color="auto"/>
            </w:tcBorders>
          </w:tcPr>
          <w:p>
            <w:pPr>
              <w:spacing w:after="0"/>
              <w:rPr>
                <w:sz w:val="24"/>
                <w:szCs w:val="24"/>
                <w:color w:val="auto"/>
              </w:rPr>
            </w:pPr>
          </w:p>
        </w:tc>
        <w:tc>
          <w:tcPr>
            <w:tcW w:w="14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241</w:t>
            </w:r>
          </w:p>
        </w:tc>
      </w:tr>
      <w:tr>
        <w:trPr>
          <w:trHeight w:val="268"/>
        </w:trPr>
        <w:tc>
          <w:tcPr>
            <w:tcW w:w="4400" w:type="dxa"/>
            <w:vAlign w:val="bottom"/>
            <w:shd w:val="clear" w:color="auto" w:fill="DDDDDD"/>
          </w:tcPr>
          <w:p>
            <w:pPr>
              <w:spacing w:after="0"/>
              <w:rPr>
                <w:sz w:val="23"/>
                <w:szCs w:val="23"/>
                <w:color w:val="auto"/>
              </w:rPr>
            </w:pPr>
          </w:p>
        </w:tc>
        <w:tc>
          <w:tcPr>
            <w:tcW w:w="20" w:type="dxa"/>
            <w:vAlign w:val="bottom"/>
            <w:shd w:val="clear" w:color="auto" w:fill="DDDDDD"/>
          </w:tcPr>
          <w:p>
            <w:pPr>
              <w:spacing w:after="0"/>
              <w:rPr>
                <w:sz w:val="23"/>
                <w:szCs w:val="23"/>
                <w:color w:val="auto"/>
              </w:rPr>
            </w:pPr>
          </w:p>
        </w:tc>
        <w:tc>
          <w:tcPr>
            <w:tcW w:w="460" w:type="dxa"/>
            <w:vAlign w:val="bottom"/>
            <w:shd w:val="clear" w:color="auto" w:fill="DDDDDD"/>
          </w:tcPr>
          <w:p>
            <w:pPr>
              <w:spacing w:after="0"/>
              <w:rPr>
                <w:sz w:val="23"/>
                <w:szCs w:val="23"/>
                <w:color w:val="auto"/>
              </w:rPr>
            </w:pPr>
          </w:p>
        </w:tc>
        <w:tc>
          <w:tcPr>
            <w:tcW w:w="1440" w:type="dxa"/>
            <w:vAlign w:val="bottom"/>
            <w:shd w:val="clear" w:color="auto" w:fill="DDDDDD"/>
          </w:tcPr>
          <w:p>
            <w:pPr>
              <w:ind w:left="1160"/>
              <w:spacing w:after="0"/>
              <w:rPr>
                <w:sz w:val="20"/>
                <w:szCs w:val="20"/>
                <w:color w:val="auto"/>
              </w:rPr>
            </w:pPr>
            <w:r>
              <w:rPr>
                <w:rFonts w:ascii="Times New Roman" w:cs="Times New Roman" w:eastAsia="Times New Roman" w:hAnsi="Times New Roman"/>
                <w:sz w:val="20"/>
                <w:szCs w:val="20"/>
                <w:color w:val="auto"/>
              </w:rPr>
              <w:t>93</w:t>
            </w:r>
          </w:p>
        </w:tc>
        <w:tc>
          <w:tcPr>
            <w:tcW w:w="60" w:type="dxa"/>
            <w:vAlign w:val="bottom"/>
            <w:shd w:val="clear" w:color="auto" w:fill="DDDDDD"/>
          </w:tcPr>
          <w:p>
            <w:pPr>
              <w:spacing w:after="0"/>
              <w:rPr>
                <w:sz w:val="23"/>
                <w:szCs w:val="23"/>
                <w:color w:val="auto"/>
              </w:rPr>
            </w:pPr>
          </w:p>
        </w:tc>
        <w:tc>
          <w:tcPr>
            <w:tcW w:w="460" w:type="dxa"/>
            <w:vAlign w:val="bottom"/>
            <w:shd w:val="clear" w:color="auto" w:fill="DDDDDD"/>
          </w:tcPr>
          <w:p>
            <w:pPr>
              <w:spacing w:after="0"/>
              <w:rPr>
                <w:sz w:val="23"/>
                <w:szCs w:val="23"/>
                <w:color w:val="auto"/>
              </w:rPr>
            </w:pPr>
          </w:p>
        </w:tc>
        <w:tc>
          <w:tcPr>
            <w:tcW w:w="1440" w:type="dxa"/>
            <w:vAlign w:val="bottom"/>
            <w:shd w:val="clear" w:color="auto" w:fill="DDDDDD"/>
          </w:tcPr>
          <w:p>
            <w:pPr>
              <w:jc w:val="right"/>
              <w:spacing w:after="0"/>
              <w:rPr>
                <w:sz w:val="20"/>
                <w:szCs w:val="20"/>
                <w:color w:val="auto"/>
              </w:rPr>
            </w:pPr>
            <w:r>
              <w:rPr>
                <w:rFonts w:ascii="Times New Roman" w:cs="Times New Roman" w:eastAsia="Times New Roman" w:hAnsi="Times New Roman"/>
                <w:sz w:val="20"/>
                <w:szCs w:val="20"/>
                <w:color w:val="auto"/>
              </w:rPr>
              <w:t>(341)</w:t>
            </w:r>
          </w:p>
        </w:tc>
        <w:tc>
          <w:tcPr>
            <w:tcW w:w="60" w:type="dxa"/>
            <w:vAlign w:val="bottom"/>
            <w:shd w:val="clear" w:color="auto" w:fill="DDDDDD"/>
          </w:tcPr>
          <w:p>
            <w:pPr>
              <w:spacing w:after="0"/>
              <w:rPr>
                <w:sz w:val="23"/>
                <w:szCs w:val="23"/>
                <w:color w:val="auto"/>
              </w:rPr>
            </w:pPr>
          </w:p>
        </w:tc>
        <w:tc>
          <w:tcPr>
            <w:tcW w:w="480" w:type="dxa"/>
            <w:vAlign w:val="bottom"/>
            <w:shd w:val="clear" w:color="auto" w:fill="DDDDDD"/>
          </w:tcPr>
          <w:p>
            <w:pPr>
              <w:spacing w:after="0"/>
              <w:rPr>
                <w:sz w:val="23"/>
                <w:szCs w:val="23"/>
                <w:color w:val="auto"/>
              </w:rPr>
            </w:pPr>
          </w:p>
        </w:tc>
        <w:tc>
          <w:tcPr>
            <w:tcW w:w="1440" w:type="dxa"/>
            <w:vAlign w:val="bottom"/>
            <w:shd w:val="clear" w:color="auto" w:fill="DDDDDD"/>
          </w:tcPr>
          <w:p>
            <w:pPr>
              <w:jc w:val="right"/>
              <w:spacing w:after="0"/>
              <w:rPr>
                <w:sz w:val="20"/>
                <w:szCs w:val="20"/>
                <w:color w:val="auto"/>
              </w:rPr>
            </w:pPr>
            <w:r>
              <w:rPr>
                <w:rFonts w:ascii="Times New Roman" w:cs="Times New Roman" w:eastAsia="Times New Roman" w:hAnsi="Times New Roman"/>
                <w:sz w:val="20"/>
                <w:szCs w:val="20"/>
                <w:color w:val="auto"/>
              </w:rPr>
              <w:t>241</w:t>
            </w:r>
          </w:p>
        </w:tc>
      </w:tr>
      <w:tr>
        <w:trPr>
          <w:trHeight w:val="281"/>
        </w:trPr>
        <w:tc>
          <w:tcPr>
            <w:tcW w:w="4420" w:type="dxa"/>
            <w:vAlign w:val="bottom"/>
            <w:gridSpan w:val="2"/>
          </w:tcPr>
          <w:p>
            <w:pPr>
              <w:ind w:left="40"/>
              <w:spacing w:after="0"/>
              <w:rPr>
                <w:sz w:val="20"/>
                <w:szCs w:val="20"/>
                <w:color w:val="auto"/>
              </w:rPr>
            </w:pPr>
            <w:r>
              <w:rPr>
                <w:rFonts w:ascii="Times New Roman" w:cs="Times New Roman" w:eastAsia="Times New Roman" w:hAnsi="Times New Roman"/>
                <w:sz w:val="20"/>
                <w:szCs w:val="20"/>
                <w:color w:val="auto"/>
              </w:rPr>
              <w:t>Deferred</w:t>
            </w:r>
          </w:p>
        </w:tc>
        <w:tc>
          <w:tcPr>
            <w:tcW w:w="460" w:type="dxa"/>
            <w:vAlign w:val="bottom"/>
          </w:tcPr>
          <w:p>
            <w:pPr>
              <w:spacing w:after="0"/>
              <w:rPr>
                <w:sz w:val="24"/>
                <w:szCs w:val="24"/>
                <w:color w:val="auto"/>
              </w:rPr>
            </w:pPr>
          </w:p>
        </w:tc>
        <w:tc>
          <w:tcPr>
            <w:tcW w:w="14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4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440" w:type="dxa"/>
            <w:vAlign w:val="bottom"/>
          </w:tcPr>
          <w:p>
            <w:pPr>
              <w:spacing w:after="0"/>
              <w:rPr>
                <w:sz w:val="24"/>
                <w:szCs w:val="24"/>
                <w:color w:val="auto"/>
              </w:rPr>
            </w:pPr>
          </w:p>
        </w:tc>
      </w:tr>
      <w:tr>
        <w:trPr>
          <w:trHeight w:val="288"/>
        </w:trPr>
        <w:tc>
          <w:tcPr>
            <w:tcW w:w="4420" w:type="dxa"/>
            <w:vAlign w:val="bottom"/>
            <w:gridSpan w:val="2"/>
            <w:shd w:val="clear" w:color="auto" w:fill="DDDDDD"/>
          </w:tcPr>
          <w:p>
            <w:pPr>
              <w:ind w:left="160"/>
              <w:spacing w:after="0"/>
              <w:rPr>
                <w:sz w:val="20"/>
                <w:szCs w:val="20"/>
                <w:color w:val="auto"/>
              </w:rPr>
            </w:pPr>
            <w:r>
              <w:rPr>
                <w:rFonts w:ascii="Times New Roman" w:cs="Times New Roman" w:eastAsia="Times New Roman" w:hAnsi="Times New Roman"/>
                <w:sz w:val="20"/>
                <w:szCs w:val="20"/>
                <w:color w:val="auto"/>
              </w:rPr>
              <w:t>Federal</w:t>
            </w:r>
          </w:p>
        </w:tc>
        <w:tc>
          <w:tcPr>
            <w:tcW w:w="460" w:type="dxa"/>
            <w:vAlign w:val="bottom"/>
            <w:shd w:val="clear" w:color="auto" w:fill="DDDDDD"/>
          </w:tcPr>
          <w:p>
            <w:pPr>
              <w:spacing w:after="0"/>
              <w:rPr>
                <w:sz w:val="24"/>
                <w:szCs w:val="24"/>
                <w:color w:val="auto"/>
              </w:rPr>
            </w:pPr>
          </w:p>
        </w:tc>
        <w:tc>
          <w:tcPr>
            <w:tcW w:w="1440" w:type="dxa"/>
            <w:vAlign w:val="bottom"/>
            <w:shd w:val="clear" w:color="auto" w:fill="DDDDDD"/>
          </w:tcPr>
          <w:p>
            <w:pPr>
              <w:ind w:left="1160"/>
              <w:spacing w:after="0"/>
              <w:rPr>
                <w:sz w:val="20"/>
                <w:szCs w:val="20"/>
                <w:color w:val="auto"/>
              </w:rPr>
            </w:pPr>
            <w:r>
              <w:rPr>
                <w:rFonts w:ascii="Times New Roman" w:cs="Times New Roman" w:eastAsia="Times New Roman" w:hAnsi="Times New Roman"/>
                <w:sz w:val="20"/>
                <w:szCs w:val="20"/>
                <w:color w:val="auto"/>
              </w:rPr>
              <w:t>—</w:t>
            </w:r>
          </w:p>
        </w:tc>
        <w:tc>
          <w:tcPr>
            <w:tcW w:w="60" w:type="dxa"/>
            <w:vAlign w:val="bottom"/>
            <w:shd w:val="clear" w:color="auto" w:fill="DDDDDD"/>
          </w:tcPr>
          <w:p>
            <w:pPr>
              <w:spacing w:after="0"/>
              <w:rPr>
                <w:sz w:val="24"/>
                <w:szCs w:val="24"/>
                <w:color w:val="auto"/>
              </w:rPr>
            </w:pPr>
          </w:p>
        </w:tc>
        <w:tc>
          <w:tcPr>
            <w:tcW w:w="460" w:type="dxa"/>
            <w:vAlign w:val="bottom"/>
            <w:shd w:val="clear" w:color="auto" w:fill="DDDDDD"/>
          </w:tcPr>
          <w:p>
            <w:pPr>
              <w:spacing w:after="0"/>
              <w:rPr>
                <w:sz w:val="24"/>
                <w:szCs w:val="24"/>
                <w:color w:val="auto"/>
              </w:rPr>
            </w:pPr>
          </w:p>
        </w:tc>
        <w:tc>
          <w:tcPr>
            <w:tcW w:w="1440" w:type="dxa"/>
            <w:vAlign w:val="bottom"/>
            <w:shd w:val="clear" w:color="auto" w:fill="DDDDDD"/>
          </w:tcPr>
          <w:p>
            <w:pPr>
              <w:jc w:val="right"/>
              <w:spacing w:after="0"/>
              <w:rPr>
                <w:sz w:val="20"/>
                <w:szCs w:val="20"/>
                <w:color w:val="auto"/>
              </w:rPr>
            </w:pPr>
            <w:r>
              <w:rPr>
                <w:rFonts w:ascii="Times New Roman" w:cs="Times New Roman" w:eastAsia="Times New Roman" w:hAnsi="Times New Roman"/>
                <w:sz w:val="20"/>
                <w:szCs w:val="20"/>
                <w:color w:val="auto"/>
              </w:rPr>
              <w:t>131,766</w:t>
            </w:r>
          </w:p>
        </w:tc>
        <w:tc>
          <w:tcPr>
            <w:tcW w:w="60" w:type="dxa"/>
            <w:vAlign w:val="bottom"/>
            <w:shd w:val="clear" w:color="auto" w:fill="DDDDDD"/>
          </w:tcPr>
          <w:p>
            <w:pPr>
              <w:spacing w:after="0"/>
              <w:rPr>
                <w:sz w:val="24"/>
                <w:szCs w:val="24"/>
                <w:color w:val="auto"/>
              </w:rPr>
            </w:pPr>
          </w:p>
        </w:tc>
        <w:tc>
          <w:tcPr>
            <w:tcW w:w="480" w:type="dxa"/>
            <w:vAlign w:val="bottom"/>
            <w:shd w:val="clear" w:color="auto" w:fill="DDDDDD"/>
          </w:tcPr>
          <w:p>
            <w:pPr>
              <w:spacing w:after="0"/>
              <w:rPr>
                <w:sz w:val="24"/>
                <w:szCs w:val="24"/>
                <w:color w:val="auto"/>
              </w:rPr>
            </w:pPr>
          </w:p>
        </w:tc>
        <w:tc>
          <w:tcPr>
            <w:tcW w:w="1440" w:type="dxa"/>
            <w:vAlign w:val="bottom"/>
            <w:shd w:val="clear" w:color="auto" w:fill="DDDDDD"/>
          </w:tcPr>
          <w:p>
            <w:pPr>
              <w:jc w:val="right"/>
              <w:spacing w:after="0"/>
              <w:rPr>
                <w:sz w:val="20"/>
                <w:szCs w:val="20"/>
                <w:color w:val="auto"/>
              </w:rPr>
            </w:pPr>
            <w:r>
              <w:rPr>
                <w:rFonts w:ascii="Times New Roman" w:cs="Times New Roman" w:eastAsia="Times New Roman" w:hAnsi="Times New Roman"/>
                <w:sz w:val="20"/>
                <w:szCs w:val="20"/>
                <w:color w:val="auto"/>
              </w:rPr>
              <w:t>(508)</w:t>
            </w:r>
          </w:p>
        </w:tc>
      </w:tr>
      <w:tr>
        <w:trPr>
          <w:trHeight w:val="281"/>
        </w:trPr>
        <w:tc>
          <w:tcPr>
            <w:tcW w:w="4420" w:type="dxa"/>
            <w:vAlign w:val="bottom"/>
            <w:gridSpan w:val="2"/>
          </w:tcPr>
          <w:p>
            <w:pPr>
              <w:ind w:left="160"/>
              <w:spacing w:after="0"/>
              <w:rPr>
                <w:sz w:val="20"/>
                <w:szCs w:val="20"/>
                <w:color w:val="auto"/>
              </w:rPr>
            </w:pPr>
            <w:r>
              <w:rPr>
                <w:rFonts w:ascii="Times New Roman" w:cs="Times New Roman" w:eastAsia="Times New Roman" w:hAnsi="Times New Roman"/>
                <w:sz w:val="20"/>
                <w:szCs w:val="20"/>
                <w:color w:val="auto"/>
              </w:rPr>
              <w:t>State</w:t>
            </w:r>
          </w:p>
        </w:tc>
        <w:tc>
          <w:tcPr>
            <w:tcW w:w="460" w:type="dxa"/>
            <w:vAlign w:val="bottom"/>
          </w:tcPr>
          <w:p>
            <w:pPr>
              <w:spacing w:after="0"/>
              <w:rPr>
                <w:sz w:val="24"/>
                <w:szCs w:val="24"/>
                <w:color w:val="auto"/>
              </w:rPr>
            </w:pPr>
          </w:p>
        </w:tc>
        <w:tc>
          <w:tcPr>
            <w:tcW w:w="1440" w:type="dxa"/>
            <w:vAlign w:val="bottom"/>
          </w:tcPr>
          <w:p>
            <w:pPr>
              <w:ind w:left="1160"/>
              <w:spacing w:after="0"/>
              <w:rPr>
                <w:sz w:val="20"/>
                <w:szCs w:val="20"/>
                <w:color w:val="auto"/>
              </w:rPr>
            </w:pPr>
            <w:r>
              <w:rPr>
                <w:rFonts w:ascii="Times New Roman" w:cs="Times New Roman" w:eastAsia="Times New Roman" w:hAnsi="Times New Roman"/>
                <w:sz w:val="20"/>
                <w:szCs w:val="20"/>
                <w:color w:val="auto"/>
              </w:rPr>
              <w:t>—</w:t>
            </w:r>
          </w:p>
        </w:tc>
        <w:tc>
          <w:tcPr>
            <w:tcW w:w="6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47,652</w:t>
            </w:r>
          </w:p>
        </w:tc>
        <w:tc>
          <w:tcPr>
            <w:tcW w:w="6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(334)</w:t>
            </w:r>
          </w:p>
        </w:tc>
      </w:tr>
      <w:tr>
        <w:trPr>
          <w:trHeight w:val="288"/>
        </w:trPr>
        <w:tc>
          <w:tcPr>
            <w:tcW w:w="4420" w:type="dxa"/>
            <w:vAlign w:val="bottom"/>
            <w:gridSpan w:val="2"/>
            <w:shd w:val="clear" w:color="auto" w:fill="DDDDDD"/>
          </w:tcPr>
          <w:p>
            <w:pPr>
              <w:ind w:left="160"/>
              <w:spacing w:after="0"/>
              <w:rPr>
                <w:sz w:val="20"/>
                <w:szCs w:val="20"/>
                <w:color w:val="auto"/>
              </w:rPr>
            </w:pPr>
            <w:r>
              <w:rPr>
                <w:rFonts w:ascii="Times New Roman" w:cs="Times New Roman" w:eastAsia="Times New Roman" w:hAnsi="Times New Roman"/>
                <w:sz w:val="20"/>
                <w:szCs w:val="20"/>
                <w:color w:val="auto"/>
              </w:rPr>
              <w:t>Foreign</w:t>
            </w:r>
          </w:p>
        </w:tc>
        <w:tc>
          <w:tcPr>
            <w:tcW w:w="460" w:type="dxa"/>
            <w:vAlign w:val="bottom"/>
            <w:tcBorders>
              <w:bottom w:val="single" w:sz="8" w:color="auto"/>
            </w:tcBorders>
            <w:shd w:val="clear" w:color="auto" w:fill="DDDDDD"/>
          </w:tcPr>
          <w:p>
            <w:pPr>
              <w:spacing w:after="0"/>
              <w:rPr>
                <w:sz w:val="24"/>
                <w:szCs w:val="24"/>
                <w:color w:val="auto"/>
              </w:rPr>
            </w:pPr>
          </w:p>
        </w:tc>
        <w:tc>
          <w:tcPr>
            <w:tcW w:w="1440" w:type="dxa"/>
            <w:vAlign w:val="bottom"/>
            <w:tcBorders>
              <w:bottom w:val="single" w:sz="8" w:color="auto"/>
            </w:tcBorders>
            <w:shd w:val="clear" w:color="auto" w:fill="DDDDDD"/>
          </w:tcPr>
          <w:p>
            <w:pPr>
              <w:ind w:left="1160"/>
              <w:spacing w:after="0"/>
              <w:rPr>
                <w:sz w:val="20"/>
                <w:szCs w:val="20"/>
                <w:color w:val="auto"/>
              </w:rPr>
            </w:pPr>
            <w:r>
              <w:rPr>
                <w:rFonts w:ascii="Times New Roman" w:cs="Times New Roman" w:eastAsia="Times New Roman" w:hAnsi="Times New Roman"/>
                <w:sz w:val="20"/>
                <w:szCs w:val="20"/>
                <w:color w:val="auto"/>
              </w:rPr>
              <w:t>—</w:t>
            </w:r>
          </w:p>
        </w:tc>
        <w:tc>
          <w:tcPr>
            <w:tcW w:w="60" w:type="dxa"/>
            <w:vAlign w:val="bottom"/>
            <w:shd w:val="clear" w:color="auto" w:fill="DDDDDD"/>
          </w:tcPr>
          <w:p>
            <w:pPr>
              <w:spacing w:after="0"/>
              <w:rPr>
                <w:sz w:val="24"/>
                <w:szCs w:val="24"/>
                <w:color w:val="auto"/>
              </w:rPr>
            </w:pPr>
          </w:p>
        </w:tc>
        <w:tc>
          <w:tcPr>
            <w:tcW w:w="460" w:type="dxa"/>
            <w:vAlign w:val="bottom"/>
            <w:tcBorders>
              <w:bottom w:val="single" w:sz="8" w:color="auto"/>
            </w:tcBorders>
            <w:shd w:val="clear" w:color="auto" w:fill="DDDDDD"/>
          </w:tcPr>
          <w:p>
            <w:pPr>
              <w:spacing w:after="0"/>
              <w:rPr>
                <w:sz w:val="24"/>
                <w:szCs w:val="24"/>
                <w:color w:val="auto"/>
              </w:rPr>
            </w:pPr>
          </w:p>
        </w:tc>
        <w:tc>
          <w:tcPr>
            <w:tcW w:w="1440" w:type="dxa"/>
            <w:vAlign w:val="bottom"/>
            <w:tcBorders>
              <w:bottom w:val="single" w:sz="8" w:color="auto"/>
            </w:tcBorders>
            <w:shd w:val="clear" w:color="auto" w:fill="DDDDDD"/>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60" w:type="dxa"/>
            <w:vAlign w:val="bottom"/>
            <w:shd w:val="clear" w:color="auto" w:fill="DDDDDD"/>
          </w:tcPr>
          <w:p>
            <w:pPr>
              <w:spacing w:after="0"/>
              <w:rPr>
                <w:sz w:val="24"/>
                <w:szCs w:val="24"/>
                <w:color w:val="auto"/>
              </w:rPr>
            </w:pPr>
          </w:p>
        </w:tc>
        <w:tc>
          <w:tcPr>
            <w:tcW w:w="480" w:type="dxa"/>
            <w:vAlign w:val="bottom"/>
            <w:tcBorders>
              <w:bottom w:val="single" w:sz="8" w:color="auto"/>
            </w:tcBorders>
            <w:shd w:val="clear" w:color="auto" w:fill="DDDDDD"/>
          </w:tcPr>
          <w:p>
            <w:pPr>
              <w:spacing w:after="0"/>
              <w:rPr>
                <w:sz w:val="24"/>
                <w:szCs w:val="24"/>
                <w:color w:val="auto"/>
              </w:rPr>
            </w:pPr>
          </w:p>
        </w:tc>
        <w:tc>
          <w:tcPr>
            <w:tcW w:w="1440" w:type="dxa"/>
            <w:vAlign w:val="bottom"/>
            <w:tcBorders>
              <w:bottom w:val="single" w:sz="8" w:color="auto"/>
            </w:tcBorders>
            <w:shd w:val="clear" w:color="auto" w:fill="DDDDDD"/>
          </w:tcPr>
          <w:p>
            <w:pPr>
              <w:jc w:val="right"/>
              <w:spacing w:after="0"/>
              <w:rPr>
                <w:sz w:val="20"/>
                <w:szCs w:val="20"/>
                <w:color w:val="auto"/>
              </w:rPr>
            </w:pPr>
            <w:r>
              <w:rPr>
                <w:rFonts w:ascii="Times New Roman" w:cs="Times New Roman" w:eastAsia="Times New Roman" w:hAnsi="Times New Roman"/>
                <w:sz w:val="20"/>
                <w:szCs w:val="20"/>
                <w:color w:val="auto"/>
              </w:rPr>
              <w:t>—</w:t>
            </w:r>
          </w:p>
        </w:tc>
      </w:tr>
      <w:tr>
        <w:trPr>
          <w:trHeight w:val="268"/>
        </w:trPr>
        <w:tc>
          <w:tcPr>
            <w:tcW w:w="4400" w:type="dxa"/>
            <w:vAlign w:val="bottom"/>
            <w:tcBorders>
              <w:bottom w:val="single" w:sz="8" w:color="DDDDDD"/>
            </w:tcBorders>
          </w:tcPr>
          <w:p>
            <w:pPr>
              <w:spacing w:after="0"/>
              <w:rPr>
                <w:sz w:val="23"/>
                <w:szCs w:val="23"/>
                <w:color w:val="auto"/>
              </w:rPr>
            </w:pPr>
          </w:p>
        </w:tc>
        <w:tc>
          <w:tcPr>
            <w:tcW w:w="20" w:type="dxa"/>
            <w:vAlign w:val="bottom"/>
            <w:tcBorders>
              <w:bottom w:val="single" w:sz="8" w:color="DDDDDD"/>
            </w:tcBorders>
          </w:tcPr>
          <w:p>
            <w:pPr>
              <w:spacing w:after="0"/>
              <w:rPr>
                <w:sz w:val="23"/>
                <w:szCs w:val="23"/>
                <w:color w:val="auto"/>
              </w:rPr>
            </w:pPr>
          </w:p>
        </w:tc>
        <w:tc>
          <w:tcPr>
            <w:tcW w:w="460" w:type="dxa"/>
            <w:vAlign w:val="bottom"/>
            <w:tcBorders>
              <w:bottom w:val="single" w:sz="8" w:color="auto"/>
            </w:tcBorders>
          </w:tcPr>
          <w:p>
            <w:pPr>
              <w:spacing w:after="0"/>
              <w:rPr>
                <w:sz w:val="23"/>
                <w:szCs w:val="23"/>
                <w:color w:val="auto"/>
              </w:rPr>
            </w:pPr>
          </w:p>
        </w:tc>
        <w:tc>
          <w:tcPr>
            <w:tcW w:w="1440" w:type="dxa"/>
            <w:vAlign w:val="bottom"/>
            <w:tcBorders>
              <w:bottom w:val="single" w:sz="8" w:color="auto"/>
            </w:tcBorders>
          </w:tcPr>
          <w:p>
            <w:pPr>
              <w:ind w:left="1160"/>
              <w:spacing w:after="0"/>
              <w:rPr>
                <w:sz w:val="20"/>
                <w:szCs w:val="20"/>
                <w:color w:val="auto"/>
              </w:rPr>
            </w:pPr>
            <w:r>
              <w:rPr>
                <w:rFonts w:ascii="Times New Roman" w:cs="Times New Roman" w:eastAsia="Times New Roman" w:hAnsi="Times New Roman"/>
                <w:sz w:val="20"/>
                <w:szCs w:val="20"/>
                <w:color w:val="auto"/>
              </w:rPr>
              <w:t>—</w:t>
            </w:r>
          </w:p>
        </w:tc>
        <w:tc>
          <w:tcPr>
            <w:tcW w:w="60" w:type="dxa"/>
            <w:vAlign w:val="bottom"/>
            <w:tcBorders>
              <w:bottom w:val="single" w:sz="8" w:color="DDDDDD"/>
            </w:tcBorders>
          </w:tcPr>
          <w:p>
            <w:pPr>
              <w:spacing w:after="0"/>
              <w:rPr>
                <w:sz w:val="23"/>
                <w:szCs w:val="23"/>
                <w:color w:val="auto"/>
              </w:rPr>
            </w:pPr>
          </w:p>
        </w:tc>
        <w:tc>
          <w:tcPr>
            <w:tcW w:w="460" w:type="dxa"/>
            <w:vAlign w:val="bottom"/>
            <w:tcBorders>
              <w:bottom w:val="single" w:sz="8" w:color="auto"/>
            </w:tcBorders>
          </w:tcPr>
          <w:p>
            <w:pPr>
              <w:spacing w:after="0"/>
              <w:rPr>
                <w:sz w:val="23"/>
                <w:szCs w:val="23"/>
                <w:color w:val="auto"/>
              </w:rPr>
            </w:pPr>
          </w:p>
        </w:tc>
        <w:tc>
          <w:tcPr>
            <w:tcW w:w="14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179,418</w:t>
            </w:r>
          </w:p>
        </w:tc>
        <w:tc>
          <w:tcPr>
            <w:tcW w:w="60" w:type="dxa"/>
            <w:vAlign w:val="bottom"/>
          </w:tcPr>
          <w:p>
            <w:pPr>
              <w:spacing w:after="0"/>
              <w:rPr>
                <w:sz w:val="23"/>
                <w:szCs w:val="23"/>
                <w:color w:val="auto"/>
              </w:rPr>
            </w:pPr>
          </w:p>
        </w:tc>
        <w:tc>
          <w:tcPr>
            <w:tcW w:w="480" w:type="dxa"/>
            <w:vAlign w:val="bottom"/>
            <w:tcBorders>
              <w:bottom w:val="single" w:sz="8" w:color="auto"/>
            </w:tcBorders>
          </w:tcPr>
          <w:p>
            <w:pPr>
              <w:spacing w:after="0"/>
              <w:rPr>
                <w:sz w:val="23"/>
                <w:szCs w:val="23"/>
                <w:color w:val="auto"/>
              </w:rPr>
            </w:pPr>
          </w:p>
        </w:tc>
        <w:tc>
          <w:tcPr>
            <w:tcW w:w="14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(842)</w:t>
            </w:r>
          </w:p>
        </w:tc>
      </w:tr>
      <w:tr>
        <w:trPr>
          <w:trHeight w:val="261"/>
        </w:trPr>
        <w:tc>
          <w:tcPr>
            <w:tcW w:w="4420" w:type="dxa"/>
            <w:vAlign w:val="bottom"/>
            <w:gridSpan w:val="2"/>
            <w:shd w:val="clear" w:color="auto" w:fill="DDDDDD"/>
          </w:tcPr>
          <w:p>
            <w:pPr>
              <w:ind w:left="40"/>
              <w:spacing w:after="0"/>
              <w:rPr>
                <w:sz w:val="20"/>
                <w:szCs w:val="20"/>
                <w:color w:val="auto"/>
              </w:rPr>
            </w:pPr>
            <w:r>
              <w:rPr>
                <w:rFonts w:ascii="Times New Roman" w:cs="Times New Roman" w:eastAsia="Times New Roman" w:hAnsi="Times New Roman"/>
                <w:sz w:val="20"/>
                <w:szCs w:val="20"/>
                <w:color w:val="auto"/>
              </w:rPr>
              <w:t>Provision for (benefit from) income taxes</w:t>
            </w:r>
          </w:p>
        </w:tc>
        <w:tc>
          <w:tcPr>
            <w:tcW w:w="460" w:type="dxa"/>
            <w:vAlign w:val="bottom"/>
            <w:shd w:val="clear" w:color="auto" w:fill="DDDDDD"/>
          </w:tcPr>
          <w:p>
            <w:pPr>
              <w:jc w:val="right"/>
              <w:ind w:right="199"/>
              <w:spacing w:after="0"/>
              <w:rPr>
                <w:sz w:val="20"/>
                <w:szCs w:val="20"/>
                <w:color w:val="auto"/>
              </w:rPr>
            </w:pPr>
            <w:r>
              <w:rPr>
                <w:rFonts w:ascii="Times New Roman" w:cs="Times New Roman" w:eastAsia="Times New Roman" w:hAnsi="Times New Roman"/>
                <w:sz w:val="20"/>
                <w:szCs w:val="20"/>
                <w:color w:val="auto"/>
              </w:rPr>
              <w:t>$</w:t>
            </w:r>
          </w:p>
        </w:tc>
        <w:tc>
          <w:tcPr>
            <w:tcW w:w="1440" w:type="dxa"/>
            <w:vAlign w:val="bottom"/>
            <w:shd w:val="clear" w:color="auto" w:fill="DDDDDD"/>
          </w:tcPr>
          <w:p>
            <w:pPr>
              <w:ind w:left="1160"/>
              <w:spacing w:after="0"/>
              <w:rPr>
                <w:sz w:val="20"/>
                <w:szCs w:val="20"/>
                <w:color w:val="auto"/>
              </w:rPr>
            </w:pPr>
            <w:r>
              <w:rPr>
                <w:rFonts w:ascii="Times New Roman" w:cs="Times New Roman" w:eastAsia="Times New Roman" w:hAnsi="Times New Roman"/>
                <w:sz w:val="20"/>
                <w:szCs w:val="20"/>
                <w:color w:val="auto"/>
              </w:rPr>
              <w:t>93</w:t>
            </w:r>
          </w:p>
        </w:tc>
        <w:tc>
          <w:tcPr>
            <w:tcW w:w="520" w:type="dxa"/>
            <w:vAlign w:val="bottom"/>
            <w:gridSpan w:val="2"/>
            <w:shd w:val="clear" w:color="auto" w:fill="DDDDDD"/>
          </w:tcPr>
          <w:p>
            <w:pPr>
              <w:jc w:val="right"/>
              <w:ind w:right="300"/>
              <w:spacing w:after="0"/>
              <w:rPr>
                <w:sz w:val="20"/>
                <w:szCs w:val="20"/>
                <w:color w:val="auto"/>
              </w:rPr>
            </w:pPr>
            <w:r>
              <w:rPr>
                <w:rFonts w:ascii="Times New Roman" w:cs="Times New Roman" w:eastAsia="Times New Roman" w:hAnsi="Times New Roman"/>
                <w:sz w:val="20"/>
                <w:szCs w:val="20"/>
                <w:color w:val="auto"/>
              </w:rPr>
              <w:t>$</w:t>
            </w:r>
          </w:p>
        </w:tc>
        <w:tc>
          <w:tcPr>
            <w:tcW w:w="1440" w:type="dxa"/>
            <w:vAlign w:val="bottom"/>
            <w:shd w:val="clear" w:color="auto" w:fill="DDDDDD"/>
          </w:tcPr>
          <w:p>
            <w:pPr>
              <w:jc w:val="right"/>
              <w:spacing w:after="0"/>
              <w:rPr>
                <w:sz w:val="20"/>
                <w:szCs w:val="20"/>
                <w:color w:val="auto"/>
              </w:rPr>
            </w:pPr>
            <w:r>
              <w:rPr>
                <w:rFonts w:ascii="Times New Roman" w:cs="Times New Roman" w:eastAsia="Times New Roman" w:hAnsi="Times New Roman"/>
                <w:sz w:val="20"/>
                <w:szCs w:val="20"/>
                <w:color w:val="auto"/>
              </w:rPr>
              <w:t>179,077</w:t>
            </w:r>
          </w:p>
        </w:tc>
        <w:tc>
          <w:tcPr>
            <w:tcW w:w="540" w:type="dxa"/>
            <w:vAlign w:val="bottom"/>
            <w:gridSpan w:val="2"/>
            <w:shd w:val="clear" w:color="auto" w:fill="DDDDDD"/>
          </w:tcPr>
          <w:p>
            <w:pPr>
              <w:jc w:val="right"/>
              <w:ind w:right="300"/>
              <w:spacing w:after="0"/>
              <w:rPr>
                <w:sz w:val="20"/>
                <w:szCs w:val="20"/>
                <w:color w:val="auto"/>
              </w:rPr>
            </w:pPr>
            <w:r>
              <w:rPr>
                <w:rFonts w:ascii="Times New Roman" w:cs="Times New Roman" w:eastAsia="Times New Roman" w:hAnsi="Times New Roman"/>
                <w:sz w:val="20"/>
                <w:szCs w:val="20"/>
                <w:color w:val="auto"/>
              </w:rPr>
              <w:t>$</w:t>
            </w:r>
          </w:p>
        </w:tc>
        <w:tc>
          <w:tcPr>
            <w:tcW w:w="1440" w:type="dxa"/>
            <w:vAlign w:val="bottom"/>
            <w:shd w:val="clear" w:color="auto" w:fill="DDDDDD"/>
          </w:tcPr>
          <w:p>
            <w:pPr>
              <w:jc w:val="right"/>
              <w:spacing w:after="0"/>
              <w:rPr>
                <w:sz w:val="20"/>
                <w:szCs w:val="20"/>
                <w:color w:val="auto"/>
              </w:rPr>
            </w:pPr>
            <w:r>
              <w:rPr>
                <w:rFonts w:ascii="Times New Roman" w:cs="Times New Roman" w:eastAsia="Times New Roman" w:hAnsi="Times New Roman"/>
                <w:sz w:val="20"/>
                <w:szCs w:val="20"/>
                <w:color w:val="auto"/>
              </w:rPr>
              <w:t>(601)</w:t>
            </w:r>
          </w:p>
        </w:tc>
      </w:tr>
      <w:tr>
        <w:trPr>
          <w:trHeight w:val="20"/>
        </w:trPr>
        <w:tc>
          <w:tcPr>
            <w:tcW w:w="440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r>
      <w:tr>
        <w:trPr>
          <w:trHeight w:val="20"/>
        </w:trPr>
        <w:tc>
          <w:tcPr>
            <w:tcW w:w="440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5266690</wp:posOffset>
                </wp:positionH>
                <wp:positionV relativeFrom="paragraph">
                  <wp:posOffset>-2025015</wp:posOffset>
                </wp:positionV>
                <wp:extent cx="36830" cy="13335"/>
                <wp:wrapNone/>
                <wp:docPr id="110" name="Shape 110"/>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36830" cy="13335"/>
                        </a:xfrm>
                        <a:prstGeom prst="rect">
                          <a:avLst/>
                        </a:prstGeom>
                        <a:solidFill>
                          <a:srgbClr val="DDDDDD"/>
                        </a:solidFill>
                      </wps:spPr>
                      <wps:bodyPr/>
                    </wps:wsp>
                  </a:graphicData>
                </a:graphic>
              </wp:anchor>
            </w:drawing>
          </mc:Choice>
          <mc:Fallback>
            <w:pict>
              <v:rect id="Shape 110" o:spid="_x0000_s1135" style="position:absolute;margin-left:414.7pt;margin-top:-159.4499pt;width:2.9pt;height:1.05pt;z-index:-251657728;visibility:visible;mso-wrap-style:square;mso-width-percent:0;mso-height-percent:0;mso-wrap-distance-left:0pt;mso-wrap-distance-top:0;mso-wrap-distance-right:0pt;mso-wrap-distance-bottom:0;mso-position-horizontal:absolute;mso-position-horizontal-relative:text;mso-position-vertical:absolute;mso-position-vertical-relative:text;mso-width-percent:0;mso-height-percent:0;mso-width-relative:page;mso-height-relative:page;v-text-anchor:top" o:allowincell="f" fillcolor="#DDDDDD" stroked="f"/>
            </w:pict>
          </mc:Fallback>
        </mc:AlternateContent>
        <mc:AlternateContent>
          <mc:Choice Requires="wps">
            <w:drawing>
              <wp:anchor simplePos="0" relativeHeight="251657728" behindDoc="1" locked="0" layoutInCell="0" allowOverlap="1">
                <wp:simplePos x="0" y="0"/>
                <wp:positionH relativeFrom="column">
                  <wp:posOffset>5266690</wp:posOffset>
                </wp:positionH>
                <wp:positionV relativeFrom="paragraph">
                  <wp:posOffset>-1303020</wp:posOffset>
                </wp:positionV>
                <wp:extent cx="36830" cy="13970"/>
                <wp:wrapNone/>
                <wp:docPr id="111" name="Shape 111"/>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36830" cy="13970"/>
                        </a:xfrm>
                        <a:prstGeom prst="rect">
                          <a:avLst/>
                        </a:prstGeom>
                        <a:solidFill>
                          <a:srgbClr val="DDDDDD"/>
                        </a:solidFill>
                      </wps:spPr>
                      <wps:bodyPr/>
                    </wps:wsp>
                  </a:graphicData>
                </a:graphic>
              </wp:anchor>
            </w:drawing>
          </mc:Choice>
          <mc:Fallback>
            <w:pict>
              <v:rect id="Shape 111" o:spid="_x0000_s1136" style="position:absolute;margin-left:414.7pt;margin-top:-102.5999pt;width:2.9pt;height:1.1pt;z-index:-251657728;visibility:visible;mso-wrap-style:square;mso-width-percent:0;mso-height-percent:0;mso-wrap-distance-left:0pt;mso-wrap-distance-top:0;mso-wrap-distance-right:0pt;mso-wrap-distance-bottom:0;mso-position-horizontal:absolute;mso-position-horizontal-relative:text;mso-position-vertical:absolute;mso-position-vertical-relative:text;mso-width-percent:0;mso-height-percent:0;mso-width-relative:page;mso-height-relative:page;v-text-anchor:top" o:allowincell="f" fillcolor="#DDDDDD" stroked="f"/>
            </w:pict>
          </mc:Fallback>
        </mc:AlternateContent>
        <mc:AlternateContent>
          <mc:Choice Requires="wps">
            <w:drawing>
              <wp:anchor simplePos="0" relativeHeight="251657728" behindDoc="1" locked="0" layoutInCell="0" allowOverlap="1">
                <wp:simplePos x="0" y="0"/>
                <wp:positionH relativeFrom="column">
                  <wp:posOffset>5266690</wp:posOffset>
                </wp:positionH>
                <wp:positionV relativeFrom="paragraph">
                  <wp:posOffset>-214630</wp:posOffset>
                </wp:positionV>
                <wp:extent cx="36830" cy="13970"/>
                <wp:wrapNone/>
                <wp:docPr id="112" name="Shape 112"/>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36830" cy="13970"/>
                        </a:xfrm>
                        <a:prstGeom prst="rect">
                          <a:avLst/>
                        </a:prstGeom>
                        <a:solidFill>
                          <a:srgbClr val="DDDDDD"/>
                        </a:solidFill>
                      </wps:spPr>
                      <wps:bodyPr/>
                    </wps:wsp>
                  </a:graphicData>
                </a:graphic>
              </wp:anchor>
            </w:drawing>
          </mc:Choice>
          <mc:Fallback>
            <w:pict>
              <v:rect id="Shape 112" o:spid="_x0000_s1137" style="position:absolute;margin-left:414.7pt;margin-top:-16.8999pt;width:2.9pt;height:1.1pt;z-index:-251657728;visibility:visible;mso-wrap-style:square;mso-width-percent:0;mso-height-percent:0;mso-wrap-distance-left:0pt;mso-wrap-distance-top:0;mso-wrap-distance-right:0pt;mso-wrap-distance-bottom:0;mso-position-horizontal:absolute;mso-position-horizontal-relative:text;mso-position-vertical:absolute;mso-position-vertical-relative:text;mso-width-percent:0;mso-height-percent:0;mso-width-relative:page;mso-height-relative:page;v-text-anchor:top" o:allowincell="f" fillcolor="#DDDDDD" stroked="f"/>
            </w:pict>
          </mc:Fallback>
        </mc:AlternateContent>
      </w:r>
    </w:p>
    <w:p>
      <w:pPr>
        <w:spacing w:after="0" w:line="81" w:lineRule="exact"/>
        <w:rPr>
          <w:sz w:val="20"/>
          <w:szCs w:val="20"/>
          <w:color w:val="auto"/>
        </w:rPr>
      </w:pPr>
    </w:p>
    <w:p>
      <w:pPr>
        <w:jc w:val="both"/>
        <w:ind w:left="7"/>
        <w:spacing w:after="0" w:line="312" w:lineRule="auto"/>
        <w:rPr>
          <w:sz w:val="20"/>
          <w:szCs w:val="20"/>
          <w:color w:val="auto"/>
        </w:rPr>
      </w:pPr>
      <w:r>
        <w:rPr>
          <w:rFonts w:ascii="Times New Roman" w:cs="Times New Roman" w:eastAsia="Times New Roman" w:hAnsi="Times New Roman"/>
          <w:sz w:val="21"/>
          <w:szCs w:val="21"/>
          <w:color w:val="auto"/>
        </w:rPr>
        <w:t xml:space="preserve">The change in the Company’s income tax provision/(benefit) from 2022 to 2023 is due to the continuation of recording a full valuation allowance on our deferred tax assets as of </w:t>
      </w:r>
      <w:r>
        <w:rPr>
          <w:rFonts w:ascii="Times New Roman" w:cs="Times New Roman" w:eastAsia="Times New Roman" w:hAnsi="Times New Roman"/>
          <w:sz w:val="20"/>
          <w:szCs w:val="20"/>
          <w:color w:val="auto"/>
        </w:rPr>
        <w:t>December 31, 2023,</w:t>
      </w:r>
      <w:r>
        <w:rPr>
          <w:rFonts w:ascii="Times New Roman" w:cs="Times New Roman" w:eastAsia="Times New Roman" w:hAnsi="Times New Roman"/>
          <w:sz w:val="21"/>
          <w:szCs w:val="21"/>
          <w:color w:val="auto"/>
        </w:rPr>
        <w:t xml:space="preserve"> and continued remeasurement of the related TRA liability.</w:t>
      </w:r>
    </w:p>
    <w:p>
      <w:pPr>
        <w:spacing w:after="0" w:line="52" w:lineRule="exact"/>
        <w:rPr>
          <w:sz w:val="20"/>
          <w:szCs w:val="20"/>
          <w:color w:val="auto"/>
        </w:rPr>
      </w:pPr>
    </w:p>
    <w:p>
      <w:pPr>
        <w:jc w:val="both"/>
        <w:ind w:left="7"/>
        <w:spacing w:after="0" w:line="298" w:lineRule="auto"/>
        <w:rPr>
          <w:sz w:val="20"/>
          <w:szCs w:val="20"/>
          <w:color w:val="auto"/>
        </w:rPr>
      </w:pPr>
      <w:r>
        <w:rPr>
          <w:rFonts w:ascii="Times New Roman" w:cs="Times New Roman" w:eastAsia="Times New Roman" w:hAnsi="Times New Roman"/>
          <w:sz w:val="21"/>
          <w:szCs w:val="21"/>
          <w:color w:val="auto"/>
        </w:rPr>
        <w:t xml:space="preserve">The change in the Company’s income tax provision/(benefit) from 2021 to 2022 is due to the recording of a full valuation allowance on our deferred tax assets as of </w:t>
      </w:r>
      <w:r>
        <w:rPr>
          <w:rFonts w:ascii="Times New Roman" w:cs="Times New Roman" w:eastAsia="Times New Roman" w:hAnsi="Times New Roman"/>
          <w:sz w:val="20"/>
          <w:szCs w:val="20"/>
          <w:color w:val="auto"/>
        </w:rPr>
        <w:t>December 31, 2022</w:t>
      </w:r>
      <w:r>
        <w:rPr>
          <w:rFonts w:ascii="Times New Roman" w:cs="Times New Roman" w:eastAsia="Times New Roman" w:hAnsi="Times New Roman"/>
          <w:sz w:val="21"/>
          <w:szCs w:val="21"/>
          <w:color w:val="auto"/>
        </w:rPr>
        <w:t xml:space="preserve"> and remeasurement of the related TRA liability. In previous periods, the provision/(benefit) was also impacted by the Business Combination and settlement of a foreign income tax examination.</w:t>
      </w:r>
    </w:p>
    <w:p>
      <w:pPr>
        <w:spacing w:after="0" w:line="200" w:lineRule="exact"/>
        <w:rPr>
          <w:sz w:val="20"/>
          <w:szCs w:val="20"/>
          <w:color w:val="auto"/>
        </w:rPr>
      </w:pPr>
    </w:p>
    <w:p>
      <w:pPr>
        <w:spacing w:after="0" w:line="200" w:lineRule="exact"/>
        <w:rPr>
          <w:sz w:val="20"/>
          <w:szCs w:val="20"/>
          <w:color w:val="auto"/>
        </w:rPr>
      </w:pPr>
    </w:p>
    <w:p>
      <w:pPr>
        <w:spacing w:after="0" w:line="394" w:lineRule="exact"/>
        <w:rPr>
          <w:sz w:val="20"/>
          <w:szCs w:val="20"/>
          <w:color w:val="auto"/>
        </w:rPr>
      </w:pPr>
    </w:p>
    <w:p>
      <w:pPr>
        <w:jc w:val="center"/>
        <w:ind w:right="-6"/>
        <w:spacing w:after="0"/>
        <w:rPr>
          <w:sz w:val="20"/>
          <w:szCs w:val="20"/>
          <w:color w:val="auto"/>
        </w:rPr>
      </w:pPr>
      <w:r>
        <w:rPr>
          <w:rFonts w:ascii="Times New Roman" w:cs="Times New Roman" w:eastAsia="Times New Roman" w:hAnsi="Times New Roman"/>
          <w:sz w:val="20"/>
          <w:szCs w:val="20"/>
          <w:color w:val="auto"/>
        </w:rPr>
        <w:t>F-35</w:t>
      </w:r>
    </w:p>
    <w:p>
      <w:pPr>
        <w:sectPr>
          <w:pgSz w:w="12240" w:h="15840" w:orient="portrait"/>
          <w:cols w:equalWidth="0" w:num="1">
            <w:col w:w="10267"/>
          </w:cols>
          <w:pgMar w:left="993" w:top="731" w:right="980" w:bottom="222" w:gutter="0" w:footer="0" w:header="0"/>
        </w:sectPr>
      </w:pPr>
    </w:p>
    <w:bookmarkStart w:id="155" w:name="page156"/>
    <w:bookmarkEnd w:id="155"/>
    <w:p>
      <w:pPr>
        <w:jc w:val="center"/>
        <w:ind w:right="20"/>
        <w:spacing w:after="0"/>
        <w:rPr>
          <w:sz w:val="20"/>
          <w:szCs w:val="20"/>
          <w:color w:val="auto"/>
        </w:rPr>
      </w:pPr>
      <w:r>
        <w:rPr>
          <w:rFonts w:ascii="Times New Roman" w:cs="Times New Roman" w:eastAsia="Times New Roman" w:hAnsi="Times New Roman"/>
          <w:sz w:val="20"/>
          <w:szCs w:val="20"/>
          <w:b w:val="1"/>
          <w:bCs w:val="1"/>
          <w:color w:val="auto"/>
        </w:rPr>
        <w:t>WM TECHNOLOGY, INC. AND SUBSIDIARIES</w:t>
      </w:r>
    </w:p>
    <w:p>
      <w:pPr>
        <w:spacing w:after="0" w:line="48"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20"/>
          <w:szCs w:val="20"/>
          <w:b w:val="1"/>
          <w:bCs w:val="1"/>
          <w:color w:val="auto"/>
        </w:rPr>
        <w:t>NOTES TO CONSOLIDATED FINANCIAL STATEMENTS</w:t>
      </w:r>
    </w:p>
    <w:p>
      <w:pPr>
        <w:spacing w:after="0" w:line="287" w:lineRule="exact"/>
        <w:rPr>
          <w:sz w:val="20"/>
          <w:szCs w:val="20"/>
          <w:color w:val="auto"/>
        </w:rPr>
      </w:pPr>
    </w:p>
    <w:p>
      <w:pPr>
        <w:jc w:val="both"/>
        <w:ind w:right="20"/>
        <w:spacing w:after="0" w:line="331" w:lineRule="auto"/>
        <w:rPr>
          <w:sz w:val="20"/>
          <w:szCs w:val="20"/>
          <w:color w:val="auto"/>
        </w:rPr>
      </w:pPr>
      <w:r>
        <w:rPr>
          <w:rFonts w:ascii="Times New Roman" w:cs="Times New Roman" w:eastAsia="Times New Roman" w:hAnsi="Times New Roman"/>
          <w:sz w:val="21"/>
          <w:szCs w:val="21"/>
          <w:color w:val="auto"/>
        </w:rPr>
        <w:t>The actual income tax expense differs from the expected amount computed by applying the federal statutory corporate tax rate of 21 percent as follows (in thousands):</w:t>
      </w:r>
    </w:p>
    <w:p>
      <w:pPr>
        <w:spacing w:after="0" w:line="80" w:lineRule="exact"/>
        <w:rPr>
          <w:sz w:val="20"/>
          <w:szCs w:val="20"/>
          <w:color w:val="auto"/>
        </w:rPr>
      </w:pPr>
    </w:p>
    <w:tbl>
      <w:tblPr>
        <w:tblLayout w:type="fixed"/>
        <w:tblInd w:w="0" w:type="dxa"/>
        <w:tblCellMar>
          <w:top w:w="0" w:type="dxa"/>
          <w:left w:w="0" w:type="dxa"/>
          <w:bottom w:w="0" w:type="dxa"/>
          <w:right w:w="0" w:type="dxa"/>
        </w:tblCellMar>
      </w:tblPr>
      <w:tr>
        <w:trPr>
          <w:trHeight w:val="285"/>
        </w:trPr>
        <w:tc>
          <w:tcPr>
            <w:tcW w:w="40" w:type="dxa"/>
            <w:vAlign w:val="bottom"/>
          </w:tcPr>
          <w:p>
            <w:pPr>
              <w:spacing w:after="0"/>
              <w:rPr>
                <w:sz w:val="24"/>
                <w:szCs w:val="24"/>
                <w:color w:val="auto"/>
              </w:rPr>
            </w:pPr>
          </w:p>
        </w:tc>
        <w:tc>
          <w:tcPr>
            <w:tcW w:w="43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40" w:type="dxa"/>
            <w:vAlign w:val="bottom"/>
            <w:tcBorders>
              <w:bottom w:val="single" w:sz="8" w:color="auto"/>
            </w:tcBorders>
          </w:tcPr>
          <w:p>
            <w:pPr>
              <w:spacing w:after="0"/>
              <w:rPr>
                <w:sz w:val="24"/>
                <w:szCs w:val="24"/>
                <w:color w:val="auto"/>
              </w:rPr>
            </w:pPr>
          </w:p>
        </w:tc>
        <w:tc>
          <w:tcPr>
            <w:tcW w:w="3960" w:type="dxa"/>
            <w:vAlign w:val="bottom"/>
            <w:tcBorders>
              <w:bottom w:val="single" w:sz="8" w:color="auto"/>
            </w:tcBorders>
            <w:gridSpan w:val="8"/>
          </w:tcPr>
          <w:p>
            <w:pPr>
              <w:jc w:val="center"/>
              <w:ind w:left="899"/>
              <w:spacing w:after="0"/>
              <w:rPr>
                <w:sz w:val="20"/>
                <w:szCs w:val="20"/>
                <w:color w:val="auto"/>
              </w:rPr>
            </w:pPr>
            <w:r>
              <w:rPr>
                <w:rFonts w:ascii="Times New Roman" w:cs="Times New Roman" w:eastAsia="Times New Roman" w:hAnsi="Times New Roman"/>
                <w:sz w:val="20"/>
                <w:szCs w:val="20"/>
                <w:b w:val="1"/>
                <w:bCs w:val="1"/>
                <w:color w:val="auto"/>
                <w:w w:val="98"/>
              </w:rPr>
              <w:t>Years Ended December 31,</w:t>
            </w:r>
          </w:p>
        </w:tc>
        <w:tc>
          <w:tcPr>
            <w:tcW w:w="1460" w:type="dxa"/>
            <w:vAlign w:val="bottom"/>
            <w:tcBorders>
              <w:bottom w:val="single" w:sz="8" w:color="auto"/>
            </w:tcBorders>
          </w:tcPr>
          <w:p>
            <w:pPr>
              <w:spacing w:after="0"/>
              <w:rPr>
                <w:sz w:val="24"/>
                <w:szCs w:val="24"/>
                <w:color w:val="auto"/>
              </w:rPr>
            </w:pPr>
          </w:p>
        </w:tc>
      </w:tr>
      <w:tr>
        <w:trPr>
          <w:trHeight w:val="292"/>
        </w:trPr>
        <w:tc>
          <w:tcPr>
            <w:tcW w:w="40" w:type="dxa"/>
            <w:vAlign w:val="bottom"/>
            <w:tcBorders>
              <w:bottom w:val="single" w:sz="8" w:color="DDDDDD"/>
            </w:tcBorders>
          </w:tcPr>
          <w:p>
            <w:pPr>
              <w:spacing w:after="0"/>
              <w:rPr>
                <w:sz w:val="24"/>
                <w:szCs w:val="24"/>
                <w:color w:val="auto"/>
              </w:rPr>
            </w:pPr>
          </w:p>
        </w:tc>
        <w:tc>
          <w:tcPr>
            <w:tcW w:w="4340" w:type="dxa"/>
            <w:vAlign w:val="bottom"/>
            <w:tcBorders>
              <w:bottom w:val="single" w:sz="8" w:color="DDDDDD"/>
            </w:tcBorders>
          </w:tcPr>
          <w:p>
            <w:pPr>
              <w:spacing w:after="0"/>
              <w:rPr>
                <w:sz w:val="24"/>
                <w:szCs w:val="24"/>
                <w:color w:val="auto"/>
              </w:rPr>
            </w:pPr>
          </w:p>
        </w:tc>
        <w:tc>
          <w:tcPr>
            <w:tcW w:w="20" w:type="dxa"/>
            <w:vAlign w:val="bottom"/>
            <w:tcBorders>
              <w:bottom w:val="single" w:sz="8" w:color="DDDDDD"/>
            </w:tcBorders>
          </w:tcPr>
          <w:p>
            <w:pPr>
              <w:spacing w:after="0"/>
              <w:rPr>
                <w:sz w:val="24"/>
                <w:szCs w:val="24"/>
                <w:color w:val="auto"/>
              </w:rPr>
            </w:pPr>
          </w:p>
        </w:tc>
        <w:tc>
          <w:tcPr>
            <w:tcW w:w="440" w:type="dxa"/>
            <w:vAlign w:val="bottom"/>
            <w:tcBorders>
              <w:bottom w:val="single" w:sz="8" w:color="auto"/>
            </w:tcBorders>
          </w:tcPr>
          <w:p>
            <w:pPr>
              <w:spacing w:after="0"/>
              <w:rPr>
                <w:sz w:val="24"/>
                <w:szCs w:val="24"/>
                <w:color w:val="auto"/>
              </w:rPr>
            </w:pPr>
          </w:p>
        </w:tc>
        <w:tc>
          <w:tcPr>
            <w:tcW w:w="1460" w:type="dxa"/>
            <w:vAlign w:val="bottom"/>
            <w:tcBorders>
              <w:bottom w:val="single" w:sz="8" w:color="auto"/>
            </w:tcBorders>
          </w:tcPr>
          <w:p>
            <w:pPr>
              <w:jc w:val="right"/>
              <w:ind w:right="659"/>
              <w:spacing w:after="0"/>
              <w:rPr>
                <w:sz w:val="20"/>
                <w:szCs w:val="20"/>
                <w:color w:val="auto"/>
              </w:rPr>
            </w:pPr>
            <w:r>
              <w:rPr>
                <w:rFonts w:ascii="Times New Roman" w:cs="Times New Roman" w:eastAsia="Times New Roman" w:hAnsi="Times New Roman"/>
                <w:sz w:val="20"/>
                <w:szCs w:val="20"/>
                <w:b w:val="1"/>
                <w:bCs w:val="1"/>
                <w:color w:val="auto"/>
              </w:rPr>
              <w:t>2023</w:t>
            </w:r>
          </w:p>
        </w:tc>
        <w:tc>
          <w:tcPr>
            <w:tcW w:w="60" w:type="dxa"/>
            <w:vAlign w:val="bottom"/>
            <w:tcBorders>
              <w:bottom w:val="single" w:sz="8" w:color="DDDDDD"/>
            </w:tcBorders>
          </w:tcPr>
          <w:p>
            <w:pPr>
              <w:spacing w:after="0"/>
              <w:rPr>
                <w:sz w:val="24"/>
                <w:szCs w:val="24"/>
                <w:color w:val="auto"/>
              </w:rPr>
            </w:pPr>
          </w:p>
        </w:tc>
        <w:tc>
          <w:tcPr>
            <w:tcW w:w="20" w:type="dxa"/>
            <w:vAlign w:val="bottom"/>
            <w:tcBorders>
              <w:bottom w:val="single" w:sz="8" w:color="DDDDDD"/>
            </w:tcBorders>
          </w:tcPr>
          <w:p>
            <w:pPr>
              <w:spacing w:after="0"/>
              <w:rPr>
                <w:sz w:val="24"/>
                <w:szCs w:val="24"/>
                <w:color w:val="auto"/>
              </w:rPr>
            </w:pPr>
          </w:p>
        </w:tc>
        <w:tc>
          <w:tcPr>
            <w:tcW w:w="460" w:type="dxa"/>
            <w:vAlign w:val="bottom"/>
            <w:tcBorders>
              <w:bottom w:val="single" w:sz="8" w:color="auto"/>
            </w:tcBorders>
          </w:tcPr>
          <w:p>
            <w:pPr>
              <w:spacing w:after="0"/>
              <w:rPr>
                <w:sz w:val="24"/>
                <w:szCs w:val="24"/>
                <w:color w:val="auto"/>
              </w:rPr>
            </w:pPr>
          </w:p>
        </w:tc>
        <w:tc>
          <w:tcPr>
            <w:tcW w:w="1440" w:type="dxa"/>
            <w:vAlign w:val="bottom"/>
            <w:tcBorders>
              <w:bottom w:val="single" w:sz="8" w:color="auto"/>
            </w:tcBorders>
          </w:tcPr>
          <w:p>
            <w:pPr>
              <w:jc w:val="center"/>
              <w:ind w:right="379"/>
              <w:spacing w:after="0"/>
              <w:rPr>
                <w:sz w:val="20"/>
                <w:szCs w:val="20"/>
                <w:color w:val="auto"/>
              </w:rPr>
            </w:pPr>
            <w:r>
              <w:rPr>
                <w:rFonts w:ascii="Times New Roman" w:cs="Times New Roman" w:eastAsia="Times New Roman" w:hAnsi="Times New Roman"/>
                <w:sz w:val="20"/>
                <w:szCs w:val="20"/>
                <w:b w:val="1"/>
                <w:bCs w:val="1"/>
                <w:color w:val="auto"/>
                <w:w w:val="99"/>
              </w:rPr>
              <w:t>2022</w:t>
            </w:r>
          </w:p>
        </w:tc>
        <w:tc>
          <w:tcPr>
            <w:tcW w:w="60" w:type="dxa"/>
            <w:vAlign w:val="bottom"/>
            <w:tcBorders>
              <w:bottom w:val="single" w:sz="8" w:color="DDDDDD"/>
            </w:tcBorders>
          </w:tcPr>
          <w:p>
            <w:pPr>
              <w:spacing w:after="0"/>
              <w:rPr>
                <w:sz w:val="24"/>
                <w:szCs w:val="24"/>
                <w:color w:val="auto"/>
              </w:rPr>
            </w:pPr>
          </w:p>
        </w:tc>
        <w:tc>
          <w:tcPr>
            <w:tcW w:w="20" w:type="dxa"/>
            <w:vAlign w:val="bottom"/>
            <w:tcBorders>
              <w:bottom w:val="single" w:sz="8" w:color="DDDDDD"/>
            </w:tcBorders>
          </w:tcPr>
          <w:p>
            <w:pPr>
              <w:spacing w:after="0"/>
              <w:rPr>
                <w:sz w:val="24"/>
                <w:szCs w:val="24"/>
                <w:color w:val="auto"/>
              </w:rPr>
            </w:pPr>
          </w:p>
        </w:tc>
        <w:tc>
          <w:tcPr>
            <w:tcW w:w="440" w:type="dxa"/>
            <w:vAlign w:val="bottom"/>
            <w:tcBorders>
              <w:bottom w:val="single" w:sz="8" w:color="auto"/>
            </w:tcBorders>
          </w:tcPr>
          <w:p>
            <w:pPr>
              <w:spacing w:after="0"/>
              <w:rPr>
                <w:sz w:val="24"/>
                <w:szCs w:val="24"/>
                <w:color w:val="auto"/>
              </w:rPr>
            </w:pPr>
          </w:p>
        </w:tc>
        <w:tc>
          <w:tcPr>
            <w:tcW w:w="1460" w:type="dxa"/>
            <w:vAlign w:val="bottom"/>
            <w:tcBorders>
              <w:bottom w:val="single" w:sz="8" w:color="auto"/>
            </w:tcBorders>
          </w:tcPr>
          <w:p>
            <w:pPr>
              <w:jc w:val="right"/>
              <w:ind w:right="659"/>
              <w:spacing w:after="0"/>
              <w:rPr>
                <w:sz w:val="20"/>
                <w:szCs w:val="20"/>
                <w:color w:val="auto"/>
              </w:rPr>
            </w:pPr>
            <w:r>
              <w:rPr>
                <w:rFonts w:ascii="Times New Roman" w:cs="Times New Roman" w:eastAsia="Times New Roman" w:hAnsi="Times New Roman"/>
                <w:sz w:val="20"/>
                <w:szCs w:val="20"/>
                <w:b w:val="1"/>
                <w:bCs w:val="1"/>
                <w:color w:val="auto"/>
              </w:rPr>
              <w:t>2021</w:t>
            </w:r>
          </w:p>
        </w:tc>
      </w:tr>
      <w:tr>
        <w:trPr>
          <w:trHeight w:val="300"/>
        </w:trPr>
        <w:tc>
          <w:tcPr>
            <w:tcW w:w="40" w:type="dxa"/>
            <w:vAlign w:val="bottom"/>
            <w:shd w:val="clear" w:color="auto" w:fill="DDDDDD"/>
          </w:tcPr>
          <w:p>
            <w:pPr>
              <w:spacing w:after="0"/>
              <w:rPr>
                <w:sz w:val="24"/>
                <w:szCs w:val="24"/>
                <w:color w:val="auto"/>
              </w:rPr>
            </w:pPr>
          </w:p>
        </w:tc>
        <w:tc>
          <w:tcPr>
            <w:tcW w:w="4360" w:type="dxa"/>
            <w:vAlign w:val="bottom"/>
            <w:gridSpan w:val="2"/>
            <w:shd w:val="clear" w:color="auto" w:fill="DDDDDD"/>
          </w:tcPr>
          <w:p>
            <w:pPr>
              <w:spacing w:after="0"/>
              <w:rPr>
                <w:sz w:val="20"/>
                <w:szCs w:val="20"/>
                <w:color w:val="auto"/>
              </w:rPr>
            </w:pPr>
            <w:r>
              <w:rPr>
                <w:rFonts w:ascii="Times New Roman" w:cs="Times New Roman" w:eastAsia="Times New Roman" w:hAnsi="Times New Roman"/>
                <w:sz w:val="20"/>
                <w:szCs w:val="20"/>
                <w:color w:val="auto"/>
              </w:rPr>
              <w:t>Federal statutory rate</w:t>
            </w:r>
          </w:p>
        </w:tc>
        <w:tc>
          <w:tcPr>
            <w:tcW w:w="440" w:type="dxa"/>
            <w:vAlign w:val="bottom"/>
            <w:shd w:val="clear" w:color="auto" w:fill="DDDDDD"/>
          </w:tcPr>
          <w:p>
            <w:pPr>
              <w:jc w:val="right"/>
              <w:ind w:right="179"/>
              <w:spacing w:after="0"/>
              <w:rPr>
                <w:sz w:val="20"/>
                <w:szCs w:val="20"/>
                <w:color w:val="auto"/>
              </w:rPr>
            </w:pPr>
            <w:r>
              <w:rPr>
                <w:rFonts w:ascii="Times New Roman" w:cs="Times New Roman" w:eastAsia="Times New Roman" w:hAnsi="Times New Roman"/>
                <w:sz w:val="20"/>
                <w:szCs w:val="20"/>
                <w:color w:val="auto"/>
              </w:rPr>
              <w:t>$</w:t>
            </w:r>
          </w:p>
        </w:tc>
        <w:tc>
          <w:tcPr>
            <w:tcW w:w="1460" w:type="dxa"/>
            <w:vAlign w:val="bottom"/>
            <w:shd w:val="clear" w:color="auto" w:fill="DDDDDD"/>
          </w:tcPr>
          <w:p>
            <w:pPr>
              <w:jc w:val="right"/>
              <w:ind w:right="99"/>
              <w:spacing w:after="0"/>
              <w:rPr>
                <w:sz w:val="20"/>
                <w:szCs w:val="20"/>
                <w:color w:val="auto"/>
              </w:rPr>
            </w:pPr>
            <w:r>
              <w:rPr>
                <w:rFonts w:ascii="Times New Roman" w:cs="Times New Roman" w:eastAsia="Times New Roman" w:hAnsi="Times New Roman"/>
                <w:sz w:val="20"/>
                <w:szCs w:val="20"/>
                <w:color w:val="auto"/>
              </w:rPr>
              <w:t>(3,283)</w:t>
            </w:r>
          </w:p>
        </w:tc>
        <w:tc>
          <w:tcPr>
            <w:tcW w:w="60" w:type="dxa"/>
            <w:vAlign w:val="bottom"/>
            <w:shd w:val="clear" w:color="auto" w:fill="DDDDDD"/>
          </w:tcPr>
          <w:p>
            <w:pPr>
              <w:spacing w:after="0"/>
              <w:rPr>
                <w:sz w:val="24"/>
                <w:szCs w:val="24"/>
                <w:color w:val="auto"/>
              </w:rPr>
            </w:pPr>
          </w:p>
        </w:tc>
        <w:tc>
          <w:tcPr>
            <w:tcW w:w="20" w:type="dxa"/>
            <w:vAlign w:val="bottom"/>
            <w:shd w:val="clear" w:color="auto" w:fill="DDDDDD"/>
          </w:tcPr>
          <w:p>
            <w:pPr>
              <w:spacing w:after="0"/>
              <w:rPr>
                <w:sz w:val="24"/>
                <w:szCs w:val="24"/>
                <w:color w:val="auto"/>
              </w:rPr>
            </w:pPr>
          </w:p>
        </w:tc>
        <w:tc>
          <w:tcPr>
            <w:tcW w:w="460" w:type="dxa"/>
            <w:vAlign w:val="bottom"/>
            <w:shd w:val="clear" w:color="auto" w:fill="DDDDDD"/>
          </w:tcPr>
          <w:p>
            <w:pPr>
              <w:jc w:val="right"/>
              <w:ind w:right="199"/>
              <w:spacing w:after="0"/>
              <w:rPr>
                <w:sz w:val="20"/>
                <w:szCs w:val="20"/>
                <w:color w:val="auto"/>
              </w:rPr>
            </w:pPr>
            <w:r>
              <w:rPr>
                <w:rFonts w:ascii="Times New Roman" w:cs="Times New Roman" w:eastAsia="Times New Roman" w:hAnsi="Times New Roman"/>
                <w:sz w:val="20"/>
                <w:szCs w:val="20"/>
                <w:color w:val="auto"/>
              </w:rPr>
              <w:t>$</w:t>
            </w:r>
          </w:p>
        </w:tc>
        <w:tc>
          <w:tcPr>
            <w:tcW w:w="1440" w:type="dxa"/>
            <w:vAlign w:val="bottom"/>
            <w:shd w:val="clear" w:color="auto" w:fill="DDDDDD"/>
          </w:tcPr>
          <w:p>
            <w:pPr>
              <w:jc w:val="right"/>
              <w:ind w:right="139"/>
              <w:spacing w:after="0"/>
              <w:rPr>
                <w:sz w:val="20"/>
                <w:szCs w:val="20"/>
                <w:color w:val="auto"/>
              </w:rPr>
            </w:pPr>
            <w:r>
              <w:rPr>
                <w:rFonts w:ascii="Times New Roman" w:cs="Times New Roman" w:eastAsia="Times New Roman" w:hAnsi="Times New Roman"/>
                <w:sz w:val="20"/>
                <w:szCs w:val="20"/>
                <w:color w:val="auto"/>
              </w:rPr>
              <w:t>20,249</w:t>
            </w:r>
          </w:p>
        </w:tc>
        <w:tc>
          <w:tcPr>
            <w:tcW w:w="60" w:type="dxa"/>
            <w:vAlign w:val="bottom"/>
            <w:shd w:val="clear" w:color="auto" w:fill="DDDDDD"/>
          </w:tcPr>
          <w:p>
            <w:pPr>
              <w:spacing w:after="0"/>
              <w:rPr>
                <w:sz w:val="24"/>
                <w:szCs w:val="24"/>
                <w:color w:val="auto"/>
              </w:rPr>
            </w:pPr>
          </w:p>
        </w:tc>
        <w:tc>
          <w:tcPr>
            <w:tcW w:w="20" w:type="dxa"/>
            <w:vAlign w:val="bottom"/>
            <w:shd w:val="clear" w:color="auto" w:fill="DDDDDD"/>
          </w:tcPr>
          <w:p>
            <w:pPr>
              <w:spacing w:after="0"/>
              <w:rPr>
                <w:sz w:val="24"/>
                <w:szCs w:val="24"/>
                <w:color w:val="auto"/>
              </w:rPr>
            </w:pPr>
          </w:p>
        </w:tc>
        <w:tc>
          <w:tcPr>
            <w:tcW w:w="440" w:type="dxa"/>
            <w:vAlign w:val="bottom"/>
            <w:shd w:val="clear" w:color="auto" w:fill="DDDDDD"/>
          </w:tcPr>
          <w:p>
            <w:pPr>
              <w:jc w:val="right"/>
              <w:ind w:right="199"/>
              <w:spacing w:after="0"/>
              <w:rPr>
                <w:sz w:val="20"/>
                <w:szCs w:val="20"/>
                <w:color w:val="auto"/>
              </w:rPr>
            </w:pPr>
            <w:r>
              <w:rPr>
                <w:rFonts w:ascii="Times New Roman" w:cs="Times New Roman" w:eastAsia="Times New Roman" w:hAnsi="Times New Roman"/>
                <w:sz w:val="20"/>
                <w:szCs w:val="20"/>
                <w:color w:val="auto"/>
              </w:rPr>
              <w:t>$</w:t>
            </w:r>
          </w:p>
        </w:tc>
        <w:tc>
          <w:tcPr>
            <w:tcW w:w="1460" w:type="dxa"/>
            <w:vAlign w:val="bottom"/>
            <w:shd w:val="clear" w:color="auto" w:fill="DDDDDD"/>
          </w:tcPr>
          <w:p>
            <w:pPr>
              <w:jc w:val="right"/>
              <w:ind w:right="139"/>
              <w:spacing w:after="0"/>
              <w:rPr>
                <w:sz w:val="20"/>
                <w:szCs w:val="20"/>
                <w:color w:val="auto"/>
              </w:rPr>
            </w:pPr>
            <w:r>
              <w:rPr>
                <w:rFonts w:ascii="Times New Roman" w:cs="Times New Roman" w:eastAsia="Times New Roman" w:hAnsi="Times New Roman"/>
                <w:sz w:val="20"/>
                <w:szCs w:val="20"/>
                <w:color w:val="auto"/>
              </w:rPr>
              <w:t>31,844</w:t>
            </w:r>
          </w:p>
        </w:tc>
      </w:tr>
      <w:tr>
        <w:trPr>
          <w:trHeight w:val="307"/>
        </w:trPr>
        <w:tc>
          <w:tcPr>
            <w:tcW w:w="40" w:type="dxa"/>
            <w:vAlign w:val="bottom"/>
          </w:tcPr>
          <w:p>
            <w:pPr>
              <w:spacing w:after="0"/>
              <w:rPr>
                <w:sz w:val="24"/>
                <w:szCs w:val="24"/>
                <w:color w:val="auto"/>
              </w:rPr>
            </w:pPr>
          </w:p>
        </w:tc>
        <w:tc>
          <w:tcPr>
            <w:tcW w:w="4360" w:type="dxa"/>
            <w:vAlign w:val="bottom"/>
            <w:gridSpan w:val="2"/>
          </w:tcPr>
          <w:p>
            <w:pPr>
              <w:spacing w:after="0"/>
              <w:rPr>
                <w:sz w:val="20"/>
                <w:szCs w:val="20"/>
                <w:color w:val="auto"/>
              </w:rPr>
            </w:pPr>
            <w:r>
              <w:rPr>
                <w:rFonts w:ascii="Times New Roman" w:cs="Times New Roman" w:eastAsia="Times New Roman" w:hAnsi="Times New Roman"/>
                <w:sz w:val="20"/>
                <w:szCs w:val="20"/>
                <w:color w:val="auto"/>
              </w:rPr>
              <w:t>State blended statutory rate</w:t>
            </w:r>
          </w:p>
        </w:tc>
        <w:tc>
          <w:tcPr>
            <w:tcW w:w="440" w:type="dxa"/>
            <w:vAlign w:val="bottom"/>
          </w:tcPr>
          <w:p>
            <w:pPr>
              <w:spacing w:after="0"/>
              <w:rPr>
                <w:sz w:val="24"/>
                <w:szCs w:val="24"/>
                <w:color w:val="auto"/>
              </w:rPr>
            </w:pPr>
          </w:p>
        </w:tc>
        <w:tc>
          <w:tcPr>
            <w:tcW w:w="1460" w:type="dxa"/>
            <w:vAlign w:val="bottom"/>
          </w:tcPr>
          <w:p>
            <w:pPr>
              <w:jc w:val="right"/>
              <w:ind w:right="99"/>
              <w:spacing w:after="0"/>
              <w:rPr>
                <w:sz w:val="20"/>
                <w:szCs w:val="20"/>
                <w:color w:val="auto"/>
              </w:rPr>
            </w:pPr>
            <w:r>
              <w:rPr>
                <w:rFonts w:ascii="Times New Roman" w:cs="Times New Roman" w:eastAsia="Times New Roman" w:hAnsi="Times New Roman"/>
                <w:sz w:val="20"/>
                <w:szCs w:val="20"/>
                <w:color w:val="auto"/>
              </w:rPr>
              <w:t>(828)</w:t>
            </w: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440" w:type="dxa"/>
            <w:vAlign w:val="bottom"/>
          </w:tcPr>
          <w:p>
            <w:pPr>
              <w:jc w:val="right"/>
              <w:ind w:right="139"/>
              <w:spacing w:after="0"/>
              <w:rPr>
                <w:sz w:val="20"/>
                <w:szCs w:val="20"/>
                <w:color w:val="auto"/>
              </w:rPr>
            </w:pPr>
            <w:r>
              <w:rPr>
                <w:rFonts w:ascii="Times New Roman" w:cs="Times New Roman" w:eastAsia="Times New Roman" w:hAnsi="Times New Roman"/>
                <w:sz w:val="20"/>
                <w:szCs w:val="20"/>
                <w:color w:val="auto"/>
              </w:rPr>
              <w:t>5,168</w:t>
            </w: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460" w:type="dxa"/>
            <w:vAlign w:val="bottom"/>
          </w:tcPr>
          <w:p>
            <w:pPr>
              <w:jc w:val="right"/>
              <w:ind w:right="139"/>
              <w:spacing w:after="0"/>
              <w:rPr>
                <w:sz w:val="20"/>
                <w:szCs w:val="20"/>
                <w:color w:val="auto"/>
              </w:rPr>
            </w:pPr>
            <w:r>
              <w:rPr>
                <w:rFonts w:ascii="Times New Roman" w:cs="Times New Roman" w:eastAsia="Times New Roman" w:hAnsi="Times New Roman"/>
                <w:sz w:val="20"/>
                <w:szCs w:val="20"/>
                <w:color w:val="auto"/>
              </w:rPr>
              <w:t>8,497</w:t>
            </w:r>
          </w:p>
        </w:tc>
      </w:tr>
      <w:tr>
        <w:trPr>
          <w:trHeight w:val="319"/>
        </w:trPr>
        <w:tc>
          <w:tcPr>
            <w:tcW w:w="40" w:type="dxa"/>
            <w:vAlign w:val="bottom"/>
            <w:shd w:val="clear" w:color="auto" w:fill="DDDDDD"/>
          </w:tcPr>
          <w:p>
            <w:pPr>
              <w:spacing w:after="0"/>
              <w:rPr>
                <w:sz w:val="24"/>
                <w:szCs w:val="24"/>
                <w:color w:val="auto"/>
              </w:rPr>
            </w:pPr>
          </w:p>
        </w:tc>
        <w:tc>
          <w:tcPr>
            <w:tcW w:w="4360" w:type="dxa"/>
            <w:vAlign w:val="bottom"/>
            <w:gridSpan w:val="2"/>
            <w:shd w:val="clear" w:color="auto" w:fill="DDDDDD"/>
          </w:tcPr>
          <w:p>
            <w:pPr>
              <w:spacing w:after="0"/>
              <w:rPr>
                <w:sz w:val="20"/>
                <w:szCs w:val="20"/>
                <w:color w:val="auto"/>
              </w:rPr>
            </w:pPr>
            <w:r>
              <w:rPr>
                <w:rFonts w:ascii="Times New Roman" w:cs="Times New Roman" w:eastAsia="Times New Roman" w:hAnsi="Times New Roman"/>
                <w:sz w:val="20"/>
                <w:szCs w:val="20"/>
                <w:color w:val="auto"/>
              </w:rPr>
              <w:t>Income taxed to owners of noncontrolling interests</w:t>
            </w:r>
          </w:p>
        </w:tc>
        <w:tc>
          <w:tcPr>
            <w:tcW w:w="440" w:type="dxa"/>
            <w:vAlign w:val="bottom"/>
            <w:shd w:val="clear" w:color="auto" w:fill="DDDDDD"/>
          </w:tcPr>
          <w:p>
            <w:pPr>
              <w:spacing w:after="0"/>
              <w:rPr>
                <w:sz w:val="24"/>
                <w:szCs w:val="24"/>
                <w:color w:val="auto"/>
              </w:rPr>
            </w:pPr>
          </w:p>
        </w:tc>
        <w:tc>
          <w:tcPr>
            <w:tcW w:w="1460" w:type="dxa"/>
            <w:vAlign w:val="bottom"/>
            <w:shd w:val="clear" w:color="auto" w:fill="DDDDDD"/>
          </w:tcPr>
          <w:p>
            <w:pPr>
              <w:jc w:val="right"/>
              <w:ind w:right="139"/>
              <w:spacing w:after="0"/>
              <w:rPr>
                <w:sz w:val="20"/>
                <w:szCs w:val="20"/>
                <w:color w:val="auto"/>
              </w:rPr>
            </w:pPr>
            <w:r>
              <w:rPr>
                <w:rFonts w:ascii="Times New Roman" w:cs="Times New Roman" w:eastAsia="Times New Roman" w:hAnsi="Times New Roman"/>
                <w:sz w:val="20"/>
                <w:szCs w:val="20"/>
                <w:color w:val="auto"/>
              </w:rPr>
              <w:t>1,558</w:t>
            </w:r>
          </w:p>
        </w:tc>
        <w:tc>
          <w:tcPr>
            <w:tcW w:w="60" w:type="dxa"/>
            <w:vAlign w:val="bottom"/>
            <w:shd w:val="clear" w:color="auto" w:fill="DDDDDD"/>
          </w:tcPr>
          <w:p>
            <w:pPr>
              <w:spacing w:after="0"/>
              <w:rPr>
                <w:sz w:val="24"/>
                <w:szCs w:val="24"/>
                <w:color w:val="auto"/>
              </w:rPr>
            </w:pPr>
          </w:p>
        </w:tc>
        <w:tc>
          <w:tcPr>
            <w:tcW w:w="20" w:type="dxa"/>
            <w:vAlign w:val="bottom"/>
            <w:shd w:val="clear" w:color="auto" w:fill="DDDDDD"/>
          </w:tcPr>
          <w:p>
            <w:pPr>
              <w:spacing w:after="0"/>
              <w:rPr>
                <w:sz w:val="24"/>
                <w:szCs w:val="24"/>
                <w:color w:val="auto"/>
              </w:rPr>
            </w:pPr>
          </w:p>
        </w:tc>
        <w:tc>
          <w:tcPr>
            <w:tcW w:w="460" w:type="dxa"/>
            <w:vAlign w:val="bottom"/>
            <w:shd w:val="clear" w:color="auto" w:fill="DDDDDD"/>
          </w:tcPr>
          <w:p>
            <w:pPr>
              <w:spacing w:after="0"/>
              <w:rPr>
                <w:sz w:val="24"/>
                <w:szCs w:val="24"/>
                <w:color w:val="auto"/>
              </w:rPr>
            </w:pPr>
          </w:p>
        </w:tc>
        <w:tc>
          <w:tcPr>
            <w:tcW w:w="1440" w:type="dxa"/>
            <w:vAlign w:val="bottom"/>
            <w:shd w:val="clear" w:color="auto" w:fill="DDDDDD"/>
          </w:tcPr>
          <w:p>
            <w:pPr>
              <w:jc w:val="right"/>
              <w:ind w:right="99"/>
              <w:spacing w:after="0"/>
              <w:rPr>
                <w:sz w:val="20"/>
                <w:szCs w:val="20"/>
                <w:color w:val="auto"/>
              </w:rPr>
            </w:pPr>
            <w:r>
              <w:rPr>
                <w:rFonts w:ascii="Times New Roman" w:cs="Times New Roman" w:eastAsia="Times New Roman" w:hAnsi="Times New Roman"/>
                <w:sz w:val="20"/>
                <w:szCs w:val="20"/>
                <w:color w:val="auto"/>
              </w:rPr>
              <w:t>(11,285)</w:t>
            </w:r>
          </w:p>
        </w:tc>
        <w:tc>
          <w:tcPr>
            <w:tcW w:w="60" w:type="dxa"/>
            <w:vAlign w:val="bottom"/>
            <w:shd w:val="clear" w:color="auto" w:fill="DDDDDD"/>
          </w:tcPr>
          <w:p>
            <w:pPr>
              <w:spacing w:after="0"/>
              <w:rPr>
                <w:sz w:val="24"/>
                <w:szCs w:val="24"/>
                <w:color w:val="auto"/>
              </w:rPr>
            </w:pPr>
          </w:p>
        </w:tc>
        <w:tc>
          <w:tcPr>
            <w:tcW w:w="20" w:type="dxa"/>
            <w:vAlign w:val="bottom"/>
            <w:shd w:val="clear" w:color="auto" w:fill="DDDDDD"/>
          </w:tcPr>
          <w:p>
            <w:pPr>
              <w:spacing w:after="0"/>
              <w:rPr>
                <w:sz w:val="24"/>
                <w:szCs w:val="24"/>
                <w:color w:val="auto"/>
              </w:rPr>
            </w:pPr>
          </w:p>
        </w:tc>
        <w:tc>
          <w:tcPr>
            <w:tcW w:w="440" w:type="dxa"/>
            <w:vAlign w:val="bottom"/>
            <w:shd w:val="clear" w:color="auto" w:fill="DDDDDD"/>
          </w:tcPr>
          <w:p>
            <w:pPr>
              <w:spacing w:after="0"/>
              <w:rPr>
                <w:sz w:val="24"/>
                <w:szCs w:val="24"/>
                <w:color w:val="auto"/>
              </w:rPr>
            </w:pPr>
          </w:p>
        </w:tc>
        <w:tc>
          <w:tcPr>
            <w:tcW w:w="1460" w:type="dxa"/>
            <w:vAlign w:val="bottom"/>
            <w:shd w:val="clear" w:color="auto" w:fill="DDDDDD"/>
          </w:tcPr>
          <w:p>
            <w:pPr>
              <w:jc w:val="right"/>
              <w:ind w:right="99"/>
              <w:spacing w:after="0"/>
              <w:rPr>
                <w:sz w:val="20"/>
                <w:szCs w:val="20"/>
                <w:color w:val="auto"/>
              </w:rPr>
            </w:pPr>
            <w:r>
              <w:rPr>
                <w:rFonts w:ascii="Times New Roman" w:cs="Times New Roman" w:eastAsia="Times New Roman" w:hAnsi="Times New Roman"/>
                <w:sz w:val="20"/>
                <w:szCs w:val="20"/>
                <w:color w:val="auto"/>
              </w:rPr>
              <w:t>(21,762)</w:t>
            </w:r>
          </w:p>
        </w:tc>
      </w:tr>
      <w:tr>
        <w:trPr>
          <w:trHeight w:val="311"/>
        </w:trPr>
        <w:tc>
          <w:tcPr>
            <w:tcW w:w="40" w:type="dxa"/>
            <w:vAlign w:val="bottom"/>
          </w:tcPr>
          <w:p>
            <w:pPr>
              <w:spacing w:after="0"/>
              <w:rPr>
                <w:sz w:val="24"/>
                <w:szCs w:val="24"/>
                <w:color w:val="auto"/>
              </w:rPr>
            </w:pPr>
          </w:p>
        </w:tc>
        <w:tc>
          <w:tcPr>
            <w:tcW w:w="4360" w:type="dxa"/>
            <w:vAlign w:val="bottom"/>
            <w:gridSpan w:val="2"/>
          </w:tcPr>
          <w:p>
            <w:pPr>
              <w:spacing w:after="0"/>
              <w:rPr>
                <w:sz w:val="20"/>
                <w:szCs w:val="20"/>
                <w:color w:val="auto"/>
              </w:rPr>
            </w:pPr>
            <w:r>
              <w:rPr>
                <w:rFonts w:ascii="Times New Roman" w:cs="Times New Roman" w:eastAsia="Times New Roman" w:hAnsi="Times New Roman"/>
                <w:sz w:val="20"/>
                <w:szCs w:val="20"/>
                <w:color w:val="auto"/>
              </w:rPr>
              <w:t>Foreign tax impact</w:t>
            </w:r>
          </w:p>
        </w:tc>
        <w:tc>
          <w:tcPr>
            <w:tcW w:w="440" w:type="dxa"/>
            <w:vAlign w:val="bottom"/>
          </w:tcPr>
          <w:p>
            <w:pPr>
              <w:spacing w:after="0"/>
              <w:rPr>
                <w:sz w:val="24"/>
                <w:szCs w:val="24"/>
                <w:color w:val="auto"/>
              </w:rPr>
            </w:pPr>
          </w:p>
        </w:tc>
        <w:tc>
          <w:tcPr>
            <w:tcW w:w="1460" w:type="dxa"/>
            <w:vAlign w:val="bottom"/>
          </w:tcPr>
          <w:p>
            <w:pPr>
              <w:jc w:val="right"/>
              <w:ind w:right="139"/>
              <w:spacing w:after="0"/>
              <w:rPr>
                <w:sz w:val="20"/>
                <w:szCs w:val="20"/>
                <w:color w:val="auto"/>
              </w:rPr>
            </w:pPr>
            <w:r>
              <w:rPr>
                <w:rFonts w:ascii="Times New Roman" w:cs="Times New Roman" w:eastAsia="Times New Roman" w:hAnsi="Times New Roman"/>
                <w:sz w:val="20"/>
                <w:szCs w:val="20"/>
                <w:color w:val="auto"/>
              </w:rPr>
              <w:t>1</w:t>
            </w: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440" w:type="dxa"/>
            <w:vAlign w:val="bottom"/>
          </w:tcPr>
          <w:p>
            <w:pPr>
              <w:jc w:val="right"/>
              <w:ind w:right="99"/>
              <w:spacing w:after="0"/>
              <w:rPr>
                <w:sz w:val="20"/>
                <w:szCs w:val="20"/>
                <w:color w:val="auto"/>
              </w:rPr>
            </w:pPr>
            <w:r>
              <w:rPr>
                <w:rFonts w:ascii="Times New Roman" w:cs="Times New Roman" w:eastAsia="Times New Roman" w:hAnsi="Times New Roman"/>
                <w:sz w:val="20"/>
                <w:szCs w:val="20"/>
                <w:color w:val="auto"/>
              </w:rPr>
              <w:t>(80)</w:t>
            </w: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460" w:type="dxa"/>
            <w:vAlign w:val="bottom"/>
          </w:tcPr>
          <w:p>
            <w:pPr>
              <w:jc w:val="right"/>
              <w:ind w:right="159"/>
              <w:spacing w:after="0"/>
              <w:rPr>
                <w:sz w:val="20"/>
                <w:szCs w:val="20"/>
                <w:color w:val="auto"/>
              </w:rPr>
            </w:pPr>
            <w:r>
              <w:rPr>
                <w:rFonts w:ascii="Times New Roman" w:cs="Times New Roman" w:eastAsia="Times New Roman" w:hAnsi="Times New Roman"/>
                <w:sz w:val="20"/>
                <w:szCs w:val="20"/>
                <w:color w:val="auto"/>
              </w:rPr>
              <w:t>227</w:t>
            </w:r>
          </w:p>
        </w:tc>
      </w:tr>
      <w:tr>
        <w:trPr>
          <w:trHeight w:val="323"/>
        </w:trPr>
        <w:tc>
          <w:tcPr>
            <w:tcW w:w="40" w:type="dxa"/>
            <w:vAlign w:val="bottom"/>
            <w:shd w:val="clear" w:color="auto" w:fill="DDDDDD"/>
          </w:tcPr>
          <w:p>
            <w:pPr>
              <w:spacing w:after="0"/>
              <w:rPr>
                <w:sz w:val="24"/>
                <w:szCs w:val="24"/>
                <w:color w:val="auto"/>
              </w:rPr>
            </w:pPr>
          </w:p>
        </w:tc>
        <w:tc>
          <w:tcPr>
            <w:tcW w:w="4360" w:type="dxa"/>
            <w:vAlign w:val="bottom"/>
            <w:gridSpan w:val="2"/>
            <w:shd w:val="clear" w:color="auto" w:fill="DDDDDD"/>
          </w:tcPr>
          <w:p>
            <w:pPr>
              <w:spacing w:after="0"/>
              <w:rPr>
                <w:sz w:val="20"/>
                <w:szCs w:val="20"/>
                <w:color w:val="auto"/>
              </w:rPr>
            </w:pPr>
            <w:r>
              <w:rPr>
                <w:rFonts w:ascii="Times New Roman" w:cs="Times New Roman" w:eastAsia="Times New Roman" w:hAnsi="Times New Roman"/>
                <w:sz w:val="20"/>
                <w:szCs w:val="20"/>
                <w:color w:val="auto"/>
              </w:rPr>
              <w:t>Change in fair value of warrant liability</w:t>
            </w:r>
          </w:p>
        </w:tc>
        <w:tc>
          <w:tcPr>
            <w:tcW w:w="440" w:type="dxa"/>
            <w:vAlign w:val="bottom"/>
            <w:shd w:val="clear" w:color="auto" w:fill="DDDDDD"/>
          </w:tcPr>
          <w:p>
            <w:pPr>
              <w:spacing w:after="0"/>
              <w:rPr>
                <w:sz w:val="24"/>
                <w:szCs w:val="24"/>
                <w:color w:val="auto"/>
              </w:rPr>
            </w:pPr>
          </w:p>
        </w:tc>
        <w:tc>
          <w:tcPr>
            <w:tcW w:w="1460" w:type="dxa"/>
            <w:vAlign w:val="bottom"/>
            <w:shd w:val="clear" w:color="auto" w:fill="DDDDDD"/>
          </w:tcPr>
          <w:p>
            <w:pPr>
              <w:jc w:val="right"/>
              <w:ind w:right="99"/>
              <w:spacing w:after="0"/>
              <w:rPr>
                <w:sz w:val="20"/>
                <w:szCs w:val="20"/>
                <w:color w:val="auto"/>
              </w:rPr>
            </w:pPr>
            <w:r>
              <w:rPr>
                <w:rFonts w:ascii="Times New Roman" w:cs="Times New Roman" w:eastAsia="Times New Roman" w:hAnsi="Times New Roman"/>
                <w:sz w:val="20"/>
                <w:szCs w:val="20"/>
                <w:color w:val="auto"/>
              </w:rPr>
              <w:t>(246)</w:t>
            </w:r>
          </w:p>
        </w:tc>
        <w:tc>
          <w:tcPr>
            <w:tcW w:w="60" w:type="dxa"/>
            <w:vAlign w:val="bottom"/>
            <w:shd w:val="clear" w:color="auto" w:fill="DDDDDD"/>
          </w:tcPr>
          <w:p>
            <w:pPr>
              <w:spacing w:after="0"/>
              <w:rPr>
                <w:sz w:val="24"/>
                <w:szCs w:val="24"/>
                <w:color w:val="auto"/>
              </w:rPr>
            </w:pPr>
          </w:p>
        </w:tc>
        <w:tc>
          <w:tcPr>
            <w:tcW w:w="20" w:type="dxa"/>
            <w:vAlign w:val="bottom"/>
            <w:shd w:val="clear" w:color="auto" w:fill="DDDDDD"/>
          </w:tcPr>
          <w:p>
            <w:pPr>
              <w:spacing w:after="0"/>
              <w:rPr>
                <w:sz w:val="24"/>
                <w:szCs w:val="24"/>
                <w:color w:val="auto"/>
              </w:rPr>
            </w:pPr>
          </w:p>
        </w:tc>
        <w:tc>
          <w:tcPr>
            <w:tcW w:w="460" w:type="dxa"/>
            <w:vAlign w:val="bottom"/>
            <w:shd w:val="clear" w:color="auto" w:fill="DDDDDD"/>
          </w:tcPr>
          <w:p>
            <w:pPr>
              <w:spacing w:after="0"/>
              <w:rPr>
                <w:sz w:val="24"/>
                <w:szCs w:val="24"/>
                <w:color w:val="auto"/>
              </w:rPr>
            </w:pPr>
          </w:p>
        </w:tc>
        <w:tc>
          <w:tcPr>
            <w:tcW w:w="1440" w:type="dxa"/>
            <w:vAlign w:val="bottom"/>
            <w:shd w:val="clear" w:color="auto" w:fill="DDDDDD"/>
          </w:tcPr>
          <w:p>
            <w:pPr>
              <w:jc w:val="right"/>
              <w:ind w:right="99"/>
              <w:spacing w:after="0"/>
              <w:rPr>
                <w:sz w:val="20"/>
                <w:szCs w:val="20"/>
                <w:color w:val="auto"/>
              </w:rPr>
            </w:pPr>
            <w:r>
              <w:rPr>
                <w:rFonts w:ascii="Times New Roman" w:cs="Times New Roman" w:eastAsia="Times New Roman" w:hAnsi="Times New Roman"/>
                <w:sz w:val="20"/>
                <w:szCs w:val="20"/>
                <w:color w:val="auto"/>
              </w:rPr>
              <w:t>(3,718)</w:t>
            </w:r>
          </w:p>
        </w:tc>
        <w:tc>
          <w:tcPr>
            <w:tcW w:w="60" w:type="dxa"/>
            <w:vAlign w:val="bottom"/>
            <w:shd w:val="clear" w:color="auto" w:fill="DDDDDD"/>
          </w:tcPr>
          <w:p>
            <w:pPr>
              <w:spacing w:after="0"/>
              <w:rPr>
                <w:sz w:val="24"/>
                <w:szCs w:val="24"/>
                <w:color w:val="auto"/>
              </w:rPr>
            </w:pPr>
          </w:p>
        </w:tc>
        <w:tc>
          <w:tcPr>
            <w:tcW w:w="20" w:type="dxa"/>
            <w:vAlign w:val="bottom"/>
            <w:shd w:val="clear" w:color="auto" w:fill="DDDDDD"/>
          </w:tcPr>
          <w:p>
            <w:pPr>
              <w:spacing w:after="0"/>
              <w:rPr>
                <w:sz w:val="24"/>
                <w:szCs w:val="24"/>
                <w:color w:val="auto"/>
              </w:rPr>
            </w:pPr>
          </w:p>
        </w:tc>
        <w:tc>
          <w:tcPr>
            <w:tcW w:w="440" w:type="dxa"/>
            <w:vAlign w:val="bottom"/>
            <w:shd w:val="clear" w:color="auto" w:fill="DDDDDD"/>
          </w:tcPr>
          <w:p>
            <w:pPr>
              <w:spacing w:after="0"/>
              <w:rPr>
                <w:sz w:val="24"/>
                <w:szCs w:val="24"/>
                <w:color w:val="auto"/>
              </w:rPr>
            </w:pPr>
          </w:p>
        </w:tc>
        <w:tc>
          <w:tcPr>
            <w:tcW w:w="1460" w:type="dxa"/>
            <w:vAlign w:val="bottom"/>
            <w:shd w:val="clear" w:color="auto" w:fill="DDDDDD"/>
          </w:tcPr>
          <w:p>
            <w:pPr>
              <w:jc w:val="right"/>
              <w:ind w:right="99"/>
              <w:spacing w:after="0"/>
              <w:rPr>
                <w:sz w:val="20"/>
                <w:szCs w:val="20"/>
                <w:color w:val="auto"/>
              </w:rPr>
            </w:pPr>
            <w:r>
              <w:rPr>
                <w:rFonts w:ascii="Times New Roman" w:cs="Times New Roman" w:eastAsia="Times New Roman" w:hAnsi="Times New Roman"/>
                <w:sz w:val="20"/>
                <w:szCs w:val="20"/>
                <w:color w:val="auto"/>
              </w:rPr>
              <w:t>(19,669)</w:t>
            </w:r>
          </w:p>
        </w:tc>
      </w:tr>
      <w:tr>
        <w:trPr>
          <w:trHeight w:val="307"/>
        </w:trPr>
        <w:tc>
          <w:tcPr>
            <w:tcW w:w="40" w:type="dxa"/>
            <w:vAlign w:val="bottom"/>
          </w:tcPr>
          <w:p>
            <w:pPr>
              <w:spacing w:after="0"/>
              <w:rPr>
                <w:sz w:val="24"/>
                <w:szCs w:val="24"/>
                <w:color w:val="auto"/>
              </w:rPr>
            </w:pPr>
          </w:p>
        </w:tc>
        <w:tc>
          <w:tcPr>
            <w:tcW w:w="4360" w:type="dxa"/>
            <w:vAlign w:val="bottom"/>
            <w:gridSpan w:val="2"/>
          </w:tcPr>
          <w:p>
            <w:pPr>
              <w:spacing w:after="0"/>
              <w:rPr>
                <w:sz w:val="20"/>
                <w:szCs w:val="20"/>
                <w:color w:val="auto"/>
              </w:rPr>
            </w:pPr>
            <w:r>
              <w:rPr>
                <w:rFonts w:ascii="Times New Roman" w:cs="Times New Roman" w:eastAsia="Times New Roman" w:hAnsi="Times New Roman"/>
                <w:sz w:val="20"/>
                <w:szCs w:val="20"/>
                <w:color w:val="auto"/>
              </w:rPr>
              <w:t>Stock based compensation</w:t>
            </w:r>
          </w:p>
        </w:tc>
        <w:tc>
          <w:tcPr>
            <w:tcW w:w="440" w:type="dxa"/>
            <w:vAlign w:val="bottom"/>
          </w:tcPr>
          <w:p>
            <w:pPr>
              <w:spacing w:after="0"/>
              <w:rPr>
                <w:sz w:val="24"/>
                <w:szCs w:val="24"/>
                <w:color w:val="auto"/>
              </w:rPr>
            </w:pPr>
          </w:p>
        </w:tc>
        <w:tc>
          <w:tcPr>
            <w:tcW w:w="1460" w:type="dxa"/>
            <w:vAlign w:val="bottom"/>
          </w:tcPr>
          <w:p>
            <w:pPr>
              <w:jc w:val="right"/>
              <w:ind w:right="139"/>
              <w:spacing w:after="0"/>
              <w:rPr>
                <w:sz w:val="20"/>
                <w:szCs w:val="20"/>
                <w:color w:val="auto"/>
              </w:rPr>
            </w:pPr>
            <w:r>
              <w:rPr>
                <w:rFonts w:ascii="Times New Roman" w:cs="Times New Roman" w:eastAsia="Times New Roman" w:hAnsi="Times New Roman"/>
                <w:sz w:val="20"/>
                <w:szCs w:val="20"/>
                <w:color w:val="auto"/>
              </w:rPr>
              <w:t>2,154</w:t>
            </w: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440" w:type="dxa"/>
            <w:vAlign w:val="bottom"/>
          </w:tcPr>
          <w:p>
            <w:pPr>
              <w:jc w:val="right"/>
              <w:ind w:right="139"/>
              <w:spacing w:after="0"/>
              <w:rPr>
                <w:sz w:val="20"/>
                <w:szCs w:val="20"/>
                <w:color w:val="auto"/>
              </w:rPr>
            </w:pPr>
            <w:r>
              <w:rPr>
                <w:rFonts w:ascii="Times New Roman" w:cs="Times New Roman" w:eastAsia="Times New Roman" w:hAnsi="Times New Roman"/>
                <w:sz w:val="20"/>
                <w:szCs w:val="20"/>
                <w:color w:val="auto"/>
              </w:rPr>
              <w:t>2,868</w:t>
            </w: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460" w:type="dxa"/>
            <w:vAlign w:val="bottom"/>
          </w:tcPr>
          <w:p>
            <w:pPr>
              <w:jc w:val="right"/>
              <w:ind w:right="159"/>
              <w:spacing w:after="0"/>
              <w:rPr>
                <w:sz w:val="20"/>
                <w:szCs w:val="20"/>
                <w:color w:val="auto"/>
              </w:rPr>
            </w:pPr>
            <w:r>
              <w:rPr>
                <w:rFonts w:ascii="Times New Roman" w:cs="Times New Roman" w:eastAsia="Times New Roman" w:hAnsi="Times New Roman"/>
                <w:sz w:val="20"/>
                <w:szCs w:val="20"/>
                <w:color w:val="auto"/>
              </w:rPr>
              <w:t>—</w:t>
            </w:r>
          </w:p>
        </w:tc>
      </w:tr>
      <w:tr>
        <w:trPr>
          <w:trHeight w:val="319"/>
        </w:trPr>
        <w:tc>
          <w:tcPr>
            <w:tcW w:w="40" w:type="dxa"/>
            <w:vAlign w:val="bottom"/>
            <w:shd w:val="clear" w:color="auto" w:fill="DDDDDD"/>
          </w:tcPr>
          <w:p>
            <w:pPr>
              <w:spacing w:after="0"/>
              <w:rPr>
                <w:sz w:val="24"/>
                <w:szCs w:val="24"/>
                <w:color w:val="auto"/>
              </w:rPr>
            </w:pPr>
          </w:p>
        </w:tc>
        <w:tc>
          <w:tcPr>
            <w:tcW w:w="4360" w:type="dxa"/>
            <w:vAlign w:val="bottom"/>
            <w:gridSpan w:val="2"/>
            <w:shd w:val="clear" w:color="auto" w:fill="DDDDDD"/>
          </w:tcPr>
          <w:p>
            <w:pPr>
              <w:spacing w:after="0"/>
              <w:rPr>
                <w:sz w:val="20"/>
                <w:szCs w:val="20"/>
                <w:color w:val="auto"/>
              </w:rPr>
            </w:pPr>
            <w:r>
              <w:rPr>
                <w:rFonts w:ascii="Times New Roman" w:cs="Times New Roman" w:eastAsia="Times New Roman" w:hAnsi="Times New Roman"/>
                <w:sz w:val="20"/>
                <w:szCs w:val="20"/>
                <w:color w:val="auto"/>
              </w:rPr>
              <w:t>Other permanent items</w:t>
            </w:r>
          </w:p>
        </w:tc>
        <w:tc>
          <w:tcPr>
            <w:tcW w:w="440" w:type="dxa"/>
            <w:vAlign w:val="bottom"/>
            <w:shd w:val="clear" w:color="auto" w:fill="DDDDDD"/>
          </w:tcPr>
          <w:p>
            <w:pPr>
              <w:spacing w:after="0"/>
              <w:rPr>
                <w:sz w:val="24"/>
                <w:szCs w:val="24"/>
                <w:color w:val="auto"/>
              </w:rPr>
            </w:pPr>
          </w:p>
        </w:tc>
        <w:tc>
          <w:tcPr>
            <w:tcW w:w="1460" w:type="dxa"/>
            <w:vAlign w:val="bottom"/>
            <w:shd w:val="clear" w:color="auto" w:fill="DDDDDD"/>
          </w:tcPr>
          <w:p>
            <w:pPr>
              <w:jc w:val="right"/>
              <w:ind w:right="139"/>
              <w:spacing w:after="0"/>
              <w:rPr>
                <w:sz w:val="20"/>
                <w:szCs w:val="20"/>
                <w:color w:val="auto"/>
              </w:rPr>
            </w:pPr>
            <w:r>
              <w:rPr>
                <w:rFonts w:ascii="Times New Roman" w:cs="Times New Roman" w:eastAsia="Times New Roman" w:hAnsi="Times New Roman"/>
                <w:sz w:val="20"/>
                <w:szCs w:val="20"/>
                <w:color w:val="auto"/>
              </w:rPr>
              <w:t>433</w:t>
            </w:r>
          </w:p>
        </w:tc>
        <w:tc>
          <w:tcPr>
            <w:tcW w:w="60" w:type="dxa"/>
            <w:vAlign w:val="bottom"/>
            <w:shd w:val="clear" w:color="auto" w:fill="DDDDDD"/>
          </w:tcPr>
          <w:p>
            <w:pPr>
              <w:spacing w:after="0"/>
              <w:rPr>
                <w:sz w:val="24"/>
                <w:szCs w:val="24"/>
                <w:color w:val="auto"/>
              </w:rPr>
            </w:pPr>
          </w:p>
        </w:tc>
        <w:tc>
          <w:tcPr>
            <w:tcW w:w="20" w:type="dxa"/>
            <w:vAlign w:val="bottom"/>
            <w:shd w:val="clear" w:color="auto" w:fill="DDDDDD"/>
          </w:tcPr>
          <w:p>
            <w:pPr>
              <w:spacing w:after="0"/>
              <w:rPr>
                <w:sz w:val="24"/>
                <w:szCs w:val="24"/>
                <w:color w:val="auto"/>
              </w:rPr>
            </w:pPr>
          </w:p>
        </w:tc>
        <w:tc>
          <w:tcPr>
            <w:tcW w:w="460" w:type="dxa"/>
            <w:vAlign w:val="bottom"/>
            <w:shd w:val="clear" w:color="auto" w:fill="DDDDDD"/>
          </w:tcPr>
          <w:p>
            <w:pPr>
              <w:spacing w:after="0"/>
              <w:rPr>
                <w:sz w:val="24"/>
                <w:szCs w:val="24"/>
                <w:color w:val="auto"/>
              </w:rPr>
            </w:pPr>
          </w:p>
        </w:tc>
        <w:tc>
          <w:tcPr>
            <w:tcW w:w="1440" w:type="dxa"/>
            <w:vAlign w:val="bottom"/>
            <w:shd w:val="clear" w:color="auto" w:fill="DDDDDD"/>
          </w:tcPr>
          <w:p>
            <w:pPr>
              <w:jc w:val="right"/>
              <w:ind w:right="139"/>
              <w:spacing w:after="0"/>
              <w:rPr>
                <w:sz w:val="20"/>
                <w:szCs w:val="20"/>
                <w:color w:val="auto"/>
              </w:rPr>
            </w:pPr>
            <w:r>
              <w:rPr>
                <w:rFonts w:ascii="Times New Roman" w:cs="Times New Roman" w:eastAsia="Times New Roman" w:hAnsi="Times New Roman"/>
                <w:sz w:val="20"/>
                <w:szCs w:val="20"/>
                <w:color w:val="auto"/>
              </w:rPr>
              <w:t>548</w:t>
            </w:r>
          </w:p>
        </w:tc>
        <w:tc>
          <w:tcPr>
            <w:tcW w:w="60" w:type="dxa"/>
            <w:vAlign w:val="bottom"/>
            <w:shd w:val="clear" w:color="auto" w:fill="DDDDDD"/>
          </w:tcPr>
          <w:p>
            <w:pPr>
              <w:spacing w:after="0"/>
              <w:rPr>
                <w:sz w:val="24"/>
                <w:szCs w:val="24"/>
                <w:color w:val="auto"/>
              </w:rPr>
            </w:pPr>
          </w:p>
        </w:tc>
        <w:tc>
          <w:tcPr>
            <w:tcW w:w="20" w:type="dxa"/>
            <w:vAlign w:val="bottom"/>
            <w:shd w:val="clear" w:color="auto" w:fill="DDDDDD"/>
          </w:tcPr>
          <w:p>
            <w:pPr>
              <w:spacing w:after="0"/>
              <w:rPr>
                <w:sz w:val="24"/>
                <w:szCs w:val="24"/>
                <w:color w:val="auto"/>
              </w:rPr>
            </w:pPr>
          </w:p>
        </w:tc>
        <w:tc>
          <w:tcPr>
            <w:tcW w:w="440" w:type="dxa"/>
            <w:vAlign w:val="bottom"/>
            <w:shd w:val="clear" w:color="auto" w:fill="DDDDDD"/>
          </w:tcPr>
          <w:p>
            <w:pPr>
              <w:spacing w:after="0"/>
              <w:rPr>
                <w:sz w:val="24"/>
                <w:szCs w:val="24"/>
                <w:color w:val="auto"/>
              </w:rPr>
            </w:pPr>
          </w:p>
        </w:tc>
        <w:tc>
          <w:tcPr>
            <w:tcW w:w="1460" w:type="dxa"/>
            <w:vAlign w:val="bottom"/>
            <w:shd w:val="clear" w:color="auto" w:fill="DDDDDD"/>
          </w:tcPr>
          <w:p>
            <w:pPr>
              <w:jc w:val="right"/>
              <w:ind w:right="159"/>
              <w:spacing w:after="0"/>
              <w:rPr>
                <w:sz w:val="20"/>
                <w:szCs w:val="20"/>
                <w:color w:val="auto"/>
              </w:rPr>
            </w:pPr>
            <w:r>
              <w:rPr>
                <w:rFonts w:ascii="Times New Roman" w:cs="Times New Roman" w:eastAsia="Times New Roman" w:hAnsi="Times New Roman"/>
                <w:sz w:val="20"/>
                <w:szCs w:val="20"/>
                <w:color w:val="auto"/>
              </w:rPr>
              <w:t>901</w:t>
            </w:r>
          </w:p>
        </w:tc>
      </w:tr>
      <w:tr>
        <w:trPr>
          <w:trHeight w:val="311"/>
        </w:trPr>
        <w:tc>
          <w:tcPr>
            <w:tcW w:w="40" w:type="dxa"/>
            <w:vAlign w:val="bottom"/>
          </w:tcPr>
          <w:p>
            <w:pPr>
              <w:spacing w:after="0"/>
              <w:rPr>
                <w:sz w:val="24"/>
                <w:szCs w:val="24"/>
                <w:color w:val="auto"/>
              </w:rPr>
            </w:pPr>
          </w:p>
        </w:tc>
        <w:tc>
          <w:tcPr>
            <w:tcW w:w="4360" w:type="dxa"/>
            <w:vAlign w:val="bottom"/>
            <w:gridSpan w:val="2"/>
          </w:tcPr>
          <w:p>
            <w:pPr>
              <w:spacing w:after="0"/>
              <w:rPr>
                <w:sz w:val="20"/>
                <w:szCs w:val="20"/>
                <w:color w:val="auto"/>
              </w:rPr>
            </w:pPr>
            <w:r>
              <w:rPr>
                <w:rFonts w:ascii="Times New Roman" w:cs="Times New Roman" w:eastAsia="Times New Roman" w:hAnsi="Times New Roman"/>
                <w:sz w:val="20"/>
                <w:szCs w:val="20"/>
                <w:color w:val="auto"/>
              </w:rPr>
              <w:t>Research and development credits</w:t>
            </w:r>
          </w:p>
        </w:tc>
        <w:tc>
          <w:tcPr>
            <w:tcW w:w="440" w:type="dxa"/>
            <w:vAlign w:val="bottom"/>
          </w:tcPr>
          <w:p>
            <w:pPr>
              <w:spacing w:after="0"/>
              <w:rPr>
                <w:sz w:val="24"/>
                <w:szCs w:val="24"/>
                <w:color w:val="auto"/>
              </w:rPr>
            </w:pPr>
          </w:p>
        </w:tc>
        <w:tc>
          <w:tcPr>
            <w:tcW w:w="1460" w:type="dxa"/>
            <w:vAlign w:val="bottom"/>
          </w:tcPr>
          <w:p>
            <w:pPr>
              <w:jc w:val="right"/>
              <w:ind w:right="99"/>
              <w:spacing w:after="0"/>
              <w:rPr>
                <w:sz w:val="20"/>
                <w:szCs w:val="20"/>
                <w:color w:val="auto"/>
              </w:rPr>
            </w:pPr>
            <w:r>
              <w:rPr>
                <w:rFonts w:ascii="Times New Roman" w:cs="Times New Roman" w:eastAsia="Times New Roman" w:hAnsi="Times New Roman"/>
                <w:sz w:val="20"/>
                <w:szCs w:val="20"/>
                <w:color w:val="auto"/>
              </w:rPr>
              <w:t>(502)</w:t>
            </w: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440" w:type="dxa"/>
            <w:vAlign w:val="bottom"/>
          </w:tcPr>
          <w:p>
            <w:pPr>
              <w:jc w:val="right"/>
              <w:ind w:right="99"/>
              <w:spacing w:after="0"/>
              <w:rPr>
                <w:sz w:val="20"/>
                <w:szCs w:val="20"/>
                <w:color w:val="auto"/>
              </w:rPr>
            </w:pPr>
            <w:r>
              <w:rPr>
                <w:rFonts w:ascii="Times New Roman" w:cs="Times New Roman" w:eastAsia="Times New Roman" w:hAnsi="Times New Roman"/>
                <w:sz w:val="20"/>
                <w:szCs w:val="20"/>
                <w:color w:val="auto"/>
              </w:rPr>
              <w:t>(2,514)</w:t>
            </w: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460" w:type="dxa"/>
            <w:vAlign w:val="bottom"/>
          </w:tcPr>
          <w:p>
            <w:pPr>
              <w:jc w:val="right"/>
              <w:ind w:right="99"/>
              <w:spacing w:after="0"/>
              <w:rPr>
                <w:sz w:val="20"/>
                <w:szCs w:val="20"/>
                <w:color w:val="auto"/>
              </w:rPr>
            </w:pPr>
            <w:r>
              <w:rPr>
                <w:rFonts w:ascii="Times New Roman" w:cs="Times New Roman" w:eastAsia="Times New Roman" w:hAnsi="Times New Roman"/>
                <w:sz w:val="20"/>
                <w:szCs w:val="20"/>
                <w:color w:val="auto"/>
              </w:rPr>
              <w:t>(751)</w:t>
            </w:r>
          </w:p>
        </w:tc>
      </w:tr>
      <w:tr>
        <w:trPr>
          <w:trHeight w:val="323"/>
        </w:trPr>
        <w:tc>
          <w:tcPr>
            <w:tcW w:w="40" w:type="dxa"/>
            <w:vAlign w:val="bottom"/>
            <w:shd w:val="clear" w:color="auto" w:fill="DDDDDD"/>
          </w:tcPr>
          <w:p>
            <w:pPr>
              <w:spacing w:after="0"/>
              <w:rPr>
                <w:sz w:val="24"/>
                <w:szCs w:val="24"/>
                <w:color w:val="auto"/>
              </w:rPr>
            </w:pPr>
          </w:p>
        </w:tc>
        <w:tc>
          <w:tcPr>
            <w:tcW w:w="4360" w:type="dxa"/>
            <w:vAlign w:val="bottom"/>
            <w:gridSpan w:val="2"/>
            <w:shd w:val="clear" w:color="auto" w:fill="DDDDDD"/>
          </w:tcPr>
          <w:p>
            <w:pPr>
              <w:spacing w:after="0"/>
              <w:rPr>
                <w:sz w:val="20"/>
                <w:szCs w:val="20"/>
                <w:color w:val="auto"/>
              </w:rPr>
            </w:pPr>
            <w:r>
              <w:rPr>
                <w:rFonts w:ascii="Times New Roman" w:cs="Times New Roman" w:eastAsia="Times New Roman" w:hAnsi="Times New Roman"/>
                <w:sz w:val="20"/>
                <w:szCs w:val="20"/>
                <w:color w:val="auto"/>
              </w:rPr>
              <w:t>Return to Provision</w:t>
            </w:r>
          </w:p>
        </w:tc>
        <w:tc>
          <w:tcPr>
            <w:tcW w:w="440" w:type="dxa"/>
            <w:vAlign w:val="bottom"/>
            <w:shd w:val="clear" w:color="auto" w:fill="DDDDDD"/>
          </w:tcPr>
          <w:p>
            <w:pPr>
              <w:spacing w:after="0"/>
              <w:rPr>
                <w:sz w:val="24"/>
                <w:szCs w:val="24"/>
                <w:color w:val="auto"/>
              </w:rPr>
            </w:pPr>
          </w:p>
        </w:tc>
        <w:tc>
          <w:tcPr>
            <w:tcW w:w="1460" w:type="dxa"/>
            <w:vAlign w:val="bottom"/>
            <w:shd w:val="clear" w:color="auto" w:fill="DDDDDD"/>
          </w:tcPr>
          <w:p>
            <w:pPr>
              <w:jc w:val="right"/>
              <w:ind w:right="139"/>
              <w:spacing w:after="0"/>
              <w:rPr>
                <w:sz w:val="20"/>
                <w:szCs w:val="20"/>
                <w:color w:val="auto"/>
              </w:rPr>
            </w:pPr>
            <w:r>
              <w:rPr>
                <w:rFonts w:ascii="Times New Roman" w:cs="Times New Roman" w:eastAsia="Times New Roman" w:hAnsi="Times New Roman"/>
                <w:sz w:val="20"/>
                <w:szCs w:val="20"/>
                <w:color w:val="auto"/>
              </w:rPr>
              <w:t>1,128</w:t>
            </w:r>
          </w:p>
        </w:tc>
        <w:tc>
          <w:tcPr>
            <w:tcW w:w="60" w:type="dxa"/>
            <w:vAlign w:val="bottom"/>
            <w:shd w:val="clear" w:color="auto" w:fill="DDDDDD"/>
          </w:tcPr>
          <w:p>
            <w:pPr>
              <w:spacing w:after="0"/>
              <w:rPr>
                <w:sz w:val="24"/>
                <w:szCs w:val="24"/>
                <w:color w:val="auto"/>
              </w:rPr>
            </w:pPr>
          </w:p>
        </w:tc>
        <w:tc>
          <w:tcPr>
            <w:tcW w:w="20" w:type="dxa"/>
            <w:vAlign w:val="bottom"/>
            <w:shd w:val="clear" w:color="auto" w:fill="DDDDDD"/>
          </w:tcPr>
          <w:p>
            <w:pPr>
              <w:spacing w:after="0"/>
              <w:rPr>
                <w:sz w:val="24"/>
                <w:szCs w:val="24"/>
                <w:color w:val="auto"/>
              </w:rPr>
            </w:pPr>
          </w:p>
        </w:tc>
        <w:tc>
          <w:tcPr>
            <w:tcW w:w="460" w:type="dxa"/>
            <w:vAlign w:val="bottom"/>
            <w:shd w:val="clear" w:color="auto" w:fill="DDDDDD"/>
          </w:tcPr>
          <w:p>
            <w:pPr>
              <w:spacing w:after="0"/>
              <w:rPr>
                <w:sz w:val="24"/>
                <w:szCs w:val="24"/>
                <w:color w:val="auto"/>
              </w:rPr>
            </w:pPr>
          </w:p>
        </w:tc>
        <w:tc>
          <w:tcPr>
            <w:tcW w:w="1520" w:type="dxa"/>
            <w:vAlign w:val="bottom"/>
            <w:gridSpan w:val="3"/>
            <w:shd w:val="clear" w:color="auto" w:fill="DDDDDD"/>
          </w:tcPr>
          <w:p>
            <w:pPr>
              <w:jc w:val="right"/>
              <w:ind w:right="320"/>
              <w:spacing w:after="0"/>
              <w:rPr>
                <w:sz w:val="20"/>
                <w:szCs w:val="20"/>
                <w:color w:val="auto"/>
              </w:rPr>
            </w:pPr>
            <w:r>
              <w:rPr>
                <w:rFonts w:ascii="Times New Roman" w:cs="Times New Roman" w:eastAsia="Times New Roman" w:hAnsi="Times New Roman"/>
                <w:sz w:val="20"/>
                <w:szCs w:val="20"/>
                <w:color w:val="auto"/>
              </w:rPr>
              <w:t>—</w:t>
            </w:r>
          </w:p>
        </w:tc>
        <w:tc>
          <w:tcPr>
            <w:tcW w:w="440" w:type="dxa"/>
            <w:vAlign w:val="bottom"/>
            <w:shd w:val="clear" w:color="auto" w:fill="DDDDDD"/>
          </w:tcPr>
          <w:p>
            <w:pPr>
              <w:spacing w:after="0"/>
              <w:rPr>
                <w:sz w:val="24"/>
                <w:szCs w:val="24"/>
                <w:color w:val="auto"/>
              </w:rPr>
            </w:pPr>
          </w:p>
        </w:tc>
        <w:tc>
          <w:tcPr>
            <w:tcW w:w="1460" w:type="dxa"/>
            <w:vAlign w:val="bottom"/>
            <w:shd w:val="clear" w:color="auto" w:fill="DDDDDD"/>
          </w:tcPr>
          <w:p>
            <w:pPr>
              <w:jc w:val="right"/>
              <w:ind w:right="159"/>
              <w:spacing w:after="0"/>
              <w:rPr>
                <w:sz w:val="20"/>
                <w:szCs w:val="20"/>
                <w:color w:val="auto"/>
              </w:rPr>
            </w:pPr>
            <w:r>
              <w:rPr>
                <w:rFonts w:ascii="Times New Roman" w:cs="Times New Roman" w:eastAsia="Times New Roman" w:hAnsi="Times New Roman"/>
                <w:sz w:val="20"/>
                <w:szCs w:val="20"/>
                <w:color w:val="auto"/>
              </w:rPr>
              <w:t>—</w:t>
            </w:r>
          </w:p>
        </w:tc>
      </w:tr>
      <w:tr>
        <w:trPr>
          <w:trHeight w:val="310"/>
        </w:trPr>
        <w:tc>
          <w:tcPr>
            <w:tcW w:w="40" w:type="dxa"/>
            <w:vAlign w:val="bottom"/>
          </w:tcPr>
          <w:p>
            <w:pPr>
              <w:spacing w:after="0"/>
              <w:rPr>
                <w:sz w:val="24"/>
                <w:szCs w:val="24"/>
                <w:color w:val="auto"/>
              </w:rPr>
            </w:pPr>
          </w:p>
        </w:tc>
        <w:tc>
          <w:tcPr>
            <w:tcW w:w="4360" w:type="dxa"/>
            <w:vAlign w:val="bottom"/>
            <w:gridSpan w:val="2"/>
          </w:tcPr>
          <w:p>
            <w:pPr>
              <w:spacing w:after="0"/>
              <w:rPr>
                <w:sz w:val="20"/>
                <w:szCs w:val="20"/>
                <w:color w:val="auto"/>
              </w:rPr>
            </w:pPr>
            <w:r>
              <w:rPr>
                <w:rFonts w:ascii="Times New Roman" w:cs="Times New Roman" w:eastAsia="Times New Roman" w:hAnsi="Times New Roman"/>
                <w:sz w:val="20"/>
                <w:szCs w:val="20"/>
                <w:color w:val="auto"/>
              </w:rPr>
              <w:t>Acquisition Holdback Share Release</w:t>
            </w:r>
          </w:p>
        </w:tc>
        <w:tc>
          <w:tcPr>
            <w:tcW w:w="440" w:type="dxa"/>
            <w:vAlign w:val="bottom"/>
          </w:tcPr>
          <w:p>
            <w:pPr>
              <w:spacing w:after="0"/>
              <w:rPr>
                <w:sz w:val="24"/>
                <w:szCs w:val="24"/>
                <w:color w:val="auto"/>
              </w:rPr>
            </w:pPr>
          </w:p>
        </w:tc>
        <w:tc>
          <w:tcPr>
            <w:tcW w:w="1460" w:type="dxa"/>
            <w:vAlign w:val="bottom"/>
          </w:tcPr>
          <w:p>
            <w:pPr>
              <w:jc w:val="right"/>
              <w:ind w:right="99"/>
              <w:spacing w:after="0"/>
              <w:rPr>
                <w:sz w:val="20"/>
                <w:szCs w:val="20"/>
                <w:color w:val="auto"/>
              </w:rPr>
            </w:pPr>
            <w:r>
              <w:rPr>
                <w:rFonts w:ascii="Times New Roman" w:cs="Times New Roman" w:eastAsia="Times New Roman" w:hAnsi="Times New Roman"/>
                <w:sz w:val="20"/>
                <w:szCs w:val="20"/>
                <w:color w:val="auto"/>
              </w:rPr>
              <w:t>(605)</w:t>
            </w: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520" w:type="dxa"/>
            <w:vAlign w:val="bottom"/>
            <w:gridSpan w:val="3"/>
          </w:tcPr>
          <w:p>
            <w:pPr>
              <w:jc w:val="right"/>
              <w:ind w:right="320"/>
              <w:spacing w:after="0"/>
              <w:rPr>
                <w:sz w:val="20"/>
                <w:szCs w:val="20"/>
                <w:color w:val="auto"/>
              </w:rPr>
            </w:pPr>
            <w:r>
              <w:rPr>
                <w:rFonts w:ascii="Times New Roman" w:cs="Times New Roman" w:eastAsia="Times New Roman" w:hAnsi="Times New Roman"/>
                <w:sz w:val="20"/>
                <w:szCs w:val="20"/>
                <w:b w:val="1"/>
                <w:bCs w:val="1"/>
                <w:color w:val="auto"/>
              </w:rPr>
              <w:t>—</w:t>
            </w:r>
          </w:p>
        </w:tc>
        <w:tc>
          <w:tcPr>
            <w:tcW w:w="440" w:type="dxa"/>
            <w:vAlign w:val="bottom"/>
          </w:tcPr>
          <w:p>
            <w:pPr>
              <w:spacing w:after="0"/>
              <w:rPr>
                <w:sz w:val="24"/>
                <w:szCs w:val="24"/>
                <w:color w:val="auto"/>
              </w:rPr>
            </w:pPr>
          </w:p>
        </w:tc>
        <w:tc>
          <w:tcPr>
            <w:tcW w:w="1460" w:type="dxa"/>
            <w:vAlign w:val="bottom"/>
          </w:tcPr>
          <w:p>
            <w:pPr>
              <w:jc w:val="right"/>
              <w:ind w:right="159"/>
              <w:spacing w:after="0"/>
              <w:rPr>
                <w:sz w:val="20"/>
                <w:szCs w:val="20"/>
                <w:color w:val="auto"/>
              </w:rPr>
            </w:pPr>
            <w:r>
              <w:rPr>
                <w:rFonts w:ascii="Times New Roman" w:cs="Times New Roman" w:eastAsia="Times New Roman" w:hAnsi="Times New Roman"/>
                <w:sz w:val="20"/>
                <w:szCs w:val="20"/>
                <w:b w:val="1"/>
                <w:bCs w:val="1"/>
                <w:color w:val="auto"/>
              </w:rPr>
              <w:t>—</w:t>
            </w:r>
          </w:p>
        </w:tc>
      </w:tr>
      <w:tr>
        <w:trPr>
          <w:trHeight w:val="316"/>
        </w:trPr>
        <w:tc>
          <w:tcPr>
            <w:tcW w:w="40" w:type="dxa"/>
            <w:vAlign w:val="bottom"/>
            <w:shd w:val="clear" w:color="auto" w:fill="DDDDDD"/>
          </w:tcPr>
          <w:p>
            <w:pPr>
              <w:spacing w:after="0"/>
              <w:rPr>
                <w:sz w:val="24"/>
                <w:szCs w:val="24"/>
                <w:color w:val="auto"/>
              </w:rPr>
            </w:pPr>
          </w:p>
        </w:tc>
        <w:tc>
          <w:tcPr>
            <w:tcW w:w="4360" w:type="dxa"/>
            <w:vAlign w:val="bottom"/>
            <w:gridSpan w:val="2"/>
            <w:shd w:val="clear" w:color="auto" w:fill="DDDDDD"/>
          </w:tcPr>
          <w:p>
            <w:pPr>
              <w:spacing w:after="0"/>
              <w:rPr>
                <w:sz w:val="20"/>
                <w:szCs w:val="20"/>
                <w:color w:val="auto"/>
              </w:rPr>
            </w:pPr>
            <w:r>
              <w:rPr>
                <w:rFonts w:ascii="Times New Roman" w:cs="Times New Roman" w:eastAsia="Times New Roman" w:hAnsi="Times New Roman"/>
                <w:sz w:val="20"/>
                <w:szCs w:val="20"/>
                <w:color w:val="auto"/>
              </w:rPr>
              <w:t>Change in valuation allowance</w:t>
            </w:r>
          </w:p>
        </w:tc>
        <w:tc>
          <w:tcPr>
            <w:tcW w:w="440" w:type="dxa"/>
            <w:vAlign w:val="bottom"/>
            <w:shd w:val="clear" w:color="auto" w:fill="DDDDDD"/>
          </w:tcPr>
          <w:p>
            <w:pPr>
              <w:spacing w:after="0"/>
              <w:rPr>
                <w:sz w:val="24"/>
                <w:szCs w:val="24"/>
                <w:color w:val="auto"/>
              </w:rPr>
            </w:pPr>
          </w:p>
        </w:tc>
        <w:tc>
          <w:tcPr>
            <w:tcW w:w="1460" w:type="dxa"/>
            <w:vAlign w:val="bottom"/>
            <w:shd w:val="clear" w:color="auto" w:fill="DDDDDD"/>
          </w:tcPr>
          <w:p>
            <w:pPr>
              <w:jc w:val="right"/>
              <w:ind w:right="99"/>
              <w:spacing w:after="0"/>
              <w:rPr>
                <w:sz w:val="20"/>
                <w:szCs w:val="20"/>
                <w:color w:val="auto"/>
              </w:rPr>
            </w:pPr>
            <w:r>
              <w:rPr>
                <w:rFonts w:ascii="Times New Roman" w:cs="Times New Roman" w:eastAsia="Times New Roman" w:hAnsi="Times New Roman"/>
                <w:sz w:val="20"/>
                <w:szCs w:val="20"/>
                <w:color w:val="auto"/>
              </w:rPr>
              <w:t>(413)</w:t>
            </w:r>
          </w:p>
        </w:tc>
        <w:tc>
          <w:tcPr>
            <w:tcW w:w="60" w:type="dxa"/>
            <w:vAlign w:val="bottom"/>
            <w:shd w:val="clear" w:color="auto" w:fill="DDDDDD"/>
          </w:tcPr>
          <w:p>
            <w:pPr>
              <w:spacing w:after="0"/>
              <w:rPr>
                <w:sz w:val="24"/>
                <w:szCs w:val="24"/>
                <w:color w:val="auto"/>
              </w:rPr>
            </w:pPr>
          </w:p>
        </w:tc>
        <w:tc>
          <w:tcPr>
            <w:tcW w:w="20" w:type="dxa"/>
            <w:vAlign w:val="bottom"/>
            <w:shd w:val="clear" w:color="auto" w:fill="DDDDDD"/>
          </w:tcPr>
          <w:p>
            <w:pPr>
              <w:spacing w:after="0"/>
              <w:rPr>
                <w:sz w:val="24"/>
                <w:szCs w:val="24"/>
                <w:color w:val="auto"/>
              </w:rPr>
            </w:pPr>
          </w:p>
        </w:tc>
        <w:tc>
          <w:tcPr>
            <w:tcW w:w="460" w:type="dxa"/>
            <w:vAlign w:val="bottom"/>
            <w:shd w:val="clear" w:color="auto" w:fill="DDDDDD"/>
          </w:tcPr>
          <w:p>
            <w:pPr>
              <w:spacing w:after="0"/>
              <w:rPr>
                <w:sz w:val="24"/>
                <w:szCs w:val="24"/>
                <w:color w:val="auto"/>
              </w:rPr>
            </w:pPr>
          </w:p>
        </w:tc>
        <w:tc>
          <w:tcPr>
            <w:tcW w:w="1440" w:type="dxa"/>
            <w:vAlign w:val="bottom"/>
            <w:shd w:val="clear" w:color="auto" w:fill="DDDDDD"/>
          </w:tcPr>
          <w:p>
            <w:pPr>
              <w:jc w:val="right"/>
              <w:ind w:right="139"/>
              <w:spacing w:after="0"/>
              <w:rPr>
                <w:sz w:val="20"/>
                <w:szCs w:val="20"/>
                <w:color w:val="auto"/>
              </w:rPr>
            </w:pPr>
            <w:r>
              <w:rPr>
                <w:rFonts w:ascii="Times New Roman" w:cs="Times New Roman" w:eastAsia="Times New Roman" w:hAnsi="Times New Roman"/>
                <w:sz w:val="20"/>
                <w:szCs w:val="20"/>
                <w:color w:val="auto"/>
              </w:rPr>
              <w:t>186,954</w:t>
            </w:r>
          </w:p>
        </w:tc>
        <w:tc>
          <w:tcPr>
            <w:tcW w:w="60" w:type="dxa"/>
            <w:vAlign w:val="bottom"/>
            <w:shd w:val="clear" w:color="auto" w:fill="DDDDDD"/>
          </w:tcPr>
          <w:p>
            <w:pPr>
              <w:spacing w:after="0"/>
              <w:rPr>
                <w:sz w:val="24"/>
                <w:szCs w:val="24"/>
                <w:color w:val="auto"/>
              </w:rPr>
            </w:pPr>
          </w:p>
        </w:tc>
        <w:tc>
          <w:tcPr>
            <w:tcW w:w="20" w:type="dxa"/>
            <w:vAlign w:val="bottom"/>
            <w:shd w:val="clear" w:color="auto" w:fill="DDDDDD"/>
          </w:tcPr>
          <w:p>
            <w:pPr>
              <w:spacing w:after="0"/>
              <w:rPr>
                <w:sz w:val="24"/>
                <w:szCs w:val="24"/>
                <w:color w:val="auto"/>
              </w:rPr>
            </w:pPr>
          </w:p>
        </w:tc>
        <w:tc>
          <w:tcPr>
            <w:tcW w:w="440" w:type="dxa"/>
            <w:vAlign w:val="bottom"/>
            <w:shd w:val="clear" w:color="auto" w:fill="DDDDDD"/>
          </w:tcPr>
          <w:p>
            <w:pPr>
              <w:spacing w:after="0"/>
              <w:rPr>
                <w:sz w:val="24"/>
                <w:szCs w:val="24"/>
                <w:color w:val="auto"/>
              </w:rPr>
            </w:pPr>
          </w:p>
        </w:tc>
        <w:tc>
          <w:tcPr>
            <w:tcW w:w="1460" w:type="dxa"/>
            <w:vAlign w:val="bottom"/>
            <w:shd w:val="clear" w:color="auto" w:fill="DDDDDD"/>
          </w:tcPr>
          <w:p>
            <w:pPr>
              <w:jc w:val="right"/>
              <w:ind w:right="159"/>
              <w:spacing w:after="0"/>
              <w:rPr>
                <w:sz w:val="20"/>
                <w:szCs w:val="20"/>
                <w:color w:val="auto"/>
              </w:rPr>
            </w:pPr>
            <w:r>
              <w:rPr>
                <w:rFonts w:ascii="Times New Roman" w:cs="Times New Roman" w:eastAsia="Times New Roman" w:hAnsi="Times New Roman"/>
                <w:sz w:val="20"/>
                <w:szCs w:val="20"/>
                <w:color w:val="auto"/>
              </w:rPr>
              <w:t>112</w:t>
            </w:r>
          </w:p>
        </w:tc>
      </w:tr>
      <w:tr>
        <w:trPr>
          <w:trHeight w:val="311"/>
        </w:trPr>
        <w:tc>
          <w:tcPr>
            <w:tcW w:w="40" w:type="dxa"/>
            <w:vAlign w:val="bottom"/>
          </w:tcPr>
          <w:p>
            <w:pPr>
              <w:spacing w:after="0"/>
              <w:rPr>
                <w:sz w:val="24"/>
                <w:szCs w:val="24"/>
                <w:color w:val="auto"/>
              </w:rPr>
            </w:pPr>
          </w:p>
        </w:tc>
        <w:tc>
          <w:tcPr>
            <w:tcW w:w="4360" w:type="dxa"/>
            <w:vAlign w:val="bottom"/>
            <w:gridSpan w:val="2"/>
          </w:tcPr>
          <w:p>
            <w:pPr>
              <w:spacing w:after="0"/>
              <w:rPr>
                <w:sz w:val="20"/>
                <w:szCs w:val="20"/>
                <w:color w:val="auto"/>
              </w:rPr>
            </w:pPr>
            <w:r>
              <w:rPr>
                <w:rFonts w:ascii="Times New Roman" w:cs="Times New Roman" w:eastAsia="Times New Roman" w:hAnsi="Times New Roman"/>
                <w:sz w:val="20"/>
                <w:szCs w:val="20"/>
                <w:color w:val="auto"/>
              </w:rPr>
              <w:t>Tax receivable agreement revaluation</w:t>
            </w:r>
          </w:p>
        </w:tc>
        <w:tc>
          <w:tcPr>
            <w:tcW w:w="440" w:type="dxa"/>
            <w:vAlign w:val="bottom"/>
          </w:tcPr>
          <w:p>
            <w:pPr>
              <w:spacing w:after="0"/>
              <w:rPr>
                <w:sz w:val="24"/>
                <w:szCs w:val="24"/>
                <w:color w:val="auto"/>
              </w:rPr>
            </w:pPr>
          </w:p>
        </w:tc>
        <w:tc>
          <w:tcPr>
            <w:tcW w:w="1460" w:type="dxa"/>
            <w:vAlign w:val="bottom"/>
          </w:tcPr>
          <w:p>
            <w:pPr>
              <w:jc w:val="right"/>
              <w:ind w:right="139"/>
              <w:spacing w:after="0"/>
              <w:rPr>
                <w:sz w:val="20"/>
                <w:szCs w:val="20"/>
                <w:color w:val="auto"/>
              </w:rPr>
            </w:pPr>
            <w:r>
              <w:rPr>
                <w:rFonts w:ascii="Times New Roman" w:cs="Times New Roman" w:eastAsia="Times New Roman" w:hAnsi="Times New Roman"/>
                <w:sz w:val="20"/>
                <w:szCs w:val="20"/>
                <w:color w:val="auto"/>
              </w:rPr>
              <w:t>205</w:t>
            </w: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440" w:type="dxa"/>
            <w:vAlign w:val="bottom"/>
          </w:tcPr>
          <w:p>
            <w:pPr>
              <w:jc w:val="right"/>
              <w:ind w:right="99"/>
              <w:spacing w:after="0"/>
              <w:rPr>
                <w:sz w:val="20"/>
                <w:szCs w:val="20"/>
                <w:color w:val="auto"/>
              </w:rPr>
            </w:pPr>
            <w:r>
              <w:rPr>
                <w:rFonts w:ascii="Times New Roman" w:cs="Times New Roman" w:eastAsia="Times New Roman" w:hAnsi="Times New Roman"/>
                <w:sz w:val="20"/>
                <w:szCs w:val="20"/>
                <w:color w:val="auto"/>
              </w:rPr>
              <w:t>(20,462)</w:t>
            </w: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460" w:type="dxa"/>
            <w:vAlign w:val="bottom"/>
          </w:tcPr>
          <w:p>
            <w:pPr>
              <w:jc w:val="right"/>
              <w:ind w:right="159"/>
              <w:spacing w:after="0"/>
              <w:rPr>
                <w:sz w:val="20"/>
                <w:szCs w:val="20"/>
                <w:color w:val="auto"/>
              </w:rPr>
            </w:pPr>
            <w:r>
              <w:rPr>
                <w:rFonts w:ascii="Times New Roman" w:cs="Times New Roman" w:eastAsia="Times New Roman" w:hAnsi="Times New Roman"/>
                <w:sz w:val="20"/>
                <w:szCs w:val="20"/>
                <w:color w:val="auto"/>
              </w:rPr>
              <w:t>—</w:t>
            </w:r>
          </w:p>
        </w:tc>
      </w:tr>
      <w:tr>
        <w:trPr>
          <w:trHeight w:val="317"/>
        </w:trPr>
        <w:tc>
          <w:tcPr>
            <w:tcW w:w="40" w:type="dxa"/>
            <w:vAlign w:val="bottom"/>
            <w:shd w:val="clear" w:color="auto" w:fill="DDDDDD"/>
          </w:tcPr>
          <w:p>
            <w:pPr>
              <w:spacing w:after="0"/>
              <w:rPr>
                <w:sz w:val="24"/>
                <w:szCs w:val="24"/>
                <w:color w:val="auto"/>
              </w:rPr>
            </w:pPr>
          </w:p>
        </w:tc>
        <w:tc>
          <w:tcPr>
            <w:tcW w:w="4360" w:type="dxa"/>
            <w:vAlign w:val="bottom"/>
            <w:gridSpan w:val="2"/>
            <w:shd w:val="clear" w:color="auto" w:fill="DDDDDD"/>
          </w:tcPr>
          <w:p>
            <w:pPr>
              <w:spacing w:after="0"/>
              <w:rPr>
                <w:sz w:val="20"/>
                <w:szCs w:val="20"/>
                <w:color w:val="auto"/>
              </w:rPr>
            </w:pPr>
            <w:r>
              <w:rPr>
                <w:rFonts w:ascii="Times New Roman" w:cs="Times New Roman" w:eastAsia="Times New Roman" w:hAnsi="Times New Roman"/>
                <w:sz w:val="20"/>
                <w:szCs w:val="20"/>
                <w:color w:val="auto"/>
              </w:rPr>
              <w:t>Change in State Tax Rate</w:t>
            </w:r>
          </w:p>
        </w:tc>
        <w:tc>
          <w:tcPr>
            <w:tcW w:w="440" w:type="dxa"/>
            <w:vAlign w:val="bottom"/>
            <w:tcBorders>
              <w:bottom w:val="single" w:sz="8" w:color="auto"/>
            </w:tcBorders>
            <w:shd w:val="clear" w:color="auto" w:fill="DDDDDD"/>
          </w:tcPr>
          <w:p>
            <w:pPr>
              <w:spacing w:after="0"/>
              <w:rPr>
                <w:sz w:val="24"/>
                <w:szCs w:val="24"/>
                <w:color w:val="auto"/>
              </w:rPr>
            </w:pPr>
          </w:p>
        </w:tc>
        <w:tc>
          <w:tcPr>
            <w:tcW w:w="1460" w:type="dxa"/>
            <w:vAlign w:val="bottom"/>
            <w:tcBorders>
              <w:bottom w:val="single" w:sz="8" w:color="auto"/>
            </w:tcBorders>
            <w:shd w:val="clear" w:color="auto" w:fill="DDDDDD"/>
          </w:tcPr>
          <w:p>
            <w:pPr>
              <w:jc w:val="right"/>
              <w:ind w:right="139"/>
              <w:spacing w:after="0"/>
              <w:rPr>
                <w:sz w:val="20"/>
                <w:szCs w:val="20"/>
                <w:color w:val="auto"/>
              </w:rPr>
            </w:pPr>
            <w:r>
              <w:rPr>
                <w:rFonts w:ascii="Times New Roman" w:cs="Times New Roman" w:eastAsia="Times New Roman" w:hAnsi="Times New Roman"/>
                <w:sz w:val="20"/>
                <w:szCs w:val="20"/>
                <w:color w:val="auto"/>
              </w:rPr>
              <w:t>491</w:t>
            </w:r>
          </w:p>
        </w:tc>
        <w:tc>
          <w:tcPr>
            <w:tcW w:w="60" w:type="dxa"/>
            <w:vAlign w:val="bottom"/>
            <w:shd w:val="clear" w:color="auto" w:fill="DDDDDD"/>
          </w:tcPr>
          <w:p>
            <w:pPr>
              <w:spacing w:after="0"/>
              <w:rPr>
                <w:sz w:val="24"/>
                <w:szCs w:val="24"/>
                <w:color w:val="auto"/>
              </w:rPr>
            </w:pPr>
          </w:p>
        </w:tc>
        <w:tc>
          <w:tcPr>
            <w:tcW w:w="20" w:type="dxa"/>
            <w:vAlign w:val="bottom"/>
            <w:shd w:val="clear" w:color="auto" w:fill="DDDDDD"/>
          </w:tcPr>
          <w:p>
            <w:pPr>
              <w:spacing w:after="0"/>
              <w:rPr>
                <w:sz w:val="24"/>
                <w:szCs w:val="24"/>
                <w:color w:val="auto"/>
              </w:rPr>
            </w:pPr>
          </w:p>
        </w:tc>
        <w:tc>
          <w:tcPr>
            <w:tcW w:w="460" w:type="dxa"/>
            <w:vAlign w:val="bottom"/>
            <w:tcBorders>
              <w:bottom w:val="single" w:sz="8" w:color="auto"/>
            </w:tcBorders>
            <w:shd w:val="clear" w:color="auto" w:fill="DDDDDD"/>
          </w:tcPr>
          <w:p>
            <w:pPr>
              <w:spacing w:after="0"/>
              <w:rPr>
                <w:sz w:val="24"/>
                <w:szCs w:val="24"/>
                <w:color w:val="auto"/>
              </w:rPr>
            </w:pPr>
          </w:p>
        </w:tc>
        <w:tc>
          <w:tcPr>
            <w:tcW w:w="1440" w:type="dxa"/>
            <w:vAlign w:val="bottom"/>
            <w:tcBorders>
              <w:bottom w:val="single" w:sz="8" w:color="auto"/>
            </w:tcBorders>
            <w:shd w:val="clear" w:color="auto" w:fill="DDDDDD"/>
          </w:tcPr>
          <w:p>
            <w:pPr>
              <w:jc w:val="right"/>
              <w:ind w:right="139"/>
              <w:spacing w:after="0"/>
              <w:rPr>
                <w:sz w:val="20"/>
                <w:szCs w:val="20"/>
                <w:color w:val="auto"/>
              </w:rPr>
            </w:pPr>
            <w:r>
              <w:rPr>
                <w:rFonts w:ascii="Times New Roman" w:cs="Times New Roman" w:eastAsia="Times New Roman" w:hAnsi="Times New Roman"/>
                <w:sz w:val="20"/>
                <w:szCs w:val="20"/>
                <w:color w:val="auto"/>
              </w:rPr>
              <w:t>1,349</w:t>
            </w:r>
          </w:p>
        </w:tc>
        <w:tc>
          <w:tcPr>
            <w:tcW w:w="60" w:type="dxa"/>
            <w:vAlign w:val="bottom"/>
            <w:shd w:val="clear" w:color="auto" w:fill="DDDDDD"/>
          </w:tcPr>
          <w:p>
            <w:pPr>
              <w:spacing w:after="0"/>
              <w:rPr>
                <w:sz w:val="24"/>
                <w:szCs w:val="24"/>
                <w:color w:val="auto"/>
              </w:rPr>
            </w:pPr>
          </w:p>
        </w:tc>
        <w:tc>
          <w:tcPr>
            <w:tcW w:w="20" w:type="dxa"/>
            <w:vAlign w:val="bottom"/>
            <w:shd w:val="clear" w:color="auto" w:fill="DDDDDD"/>
          </w:tcPr>
          <w:p>
            <w:pPr>
              <w:spacing w:after="0"/>
              <w:rPr>
                <w:sz w:val="24"/>
                <w:szCs w:val="24"/>
                <w:color w:val="auto"/>
              </w:rPr>
            </w:pPr>
          </w:p>
        </w:tc>
        <w:tc>
          <w:tcPr>
            <w:tcW w:w="440" w:type="dxa"/>
            <w:vAlign w:val="bottom"/>
            <w:tcBorders>
              <w:bottom w:val="single" w:sz="8" w:color="auto"/>
            </w:tcBorders>
            <w:shd w:val="clear" w:color="auto" w:fill="DDDDDD"/>
          </w:tcPr>
          <w:p>
            <w:pPr>
              <w:spacing w:after="0"/>
              <w:rPr>
                <w:sz w:val="24"/>
                <w:szCs w:val="24"/>
                <w:color w:val="auto"/>
              </w:rPr>
            </w:pPr>
          </w:p>
        </w:tc>
        <w:tc>
          <w:tcPr>
            <w:tcW w:w="1460" w:type="dxa"/>
            <w:vAlign w:val="bottom"/>
            <w:tcBorders>
              <w:bottom w:val="single" w:sz="8" w:color="auto"/>
            </w:tcBorders>
            <w:shd w:val="clear" w:color="auto" w:fill="DDDDDD"/>
          </w:tcPr>
          <w:p>
            <w:pPr>
              <w:jc w:val="right"/>
              <w:ind w:right="159"/>
              <w:spacing w:after="0"/>
              <w:rPr>
                <w:sz w:val="20"/>
                <w:szCs w:val="20"/>
                <w:color w:val="auto"/>
              </w:rPr>
            </w:pPr>
            <w:r>
              <w:rPr>
                <w:rFonts w:ascii="Times New Roman" w:cs="Times New Roman" w:eastAsia="Times New Roman" w:hAnsi="Times New Roman"/>
                <w:sz w:val="20"/>
                <w:szCs w:val="20"/>
                <w:color w:val="auto"/>
              </w:rPr>
              <w:t>—</w:t>
            </w:r>
          </w:p>
        </w:tc>
      </w:tr>
      <w:tr>
        <w:trPr>
          <w:trHeight w:val="297"/>
        </w:trPr>
        <w:tc>
          <w:tcPr>
            <w:tcW w:w="40" w:type="dxa"/>
            <w:vAlign w:val="bottom"/>
          </w:tcPr>
          <w:p>
            <w:pPr>
              <w:spacing w:after="0"/>
              <w:rPr>
                <w:sz w:val="24"/>
                <w:szCs w:val="24"/>
                <w:color w:val="auto"/>
              </w:rPr>
            </w:pPr>
          </w:p>
        </w:tc>
        <w:tc>
          <w:tcPr>
            <w:tcW w:w="4360" w:type="dxa"/>
            <w:vAlign w:val="bottom"/>
            <w:gridSpan w:val="2"/>
          </w:tcPr>
          <w:p>
            <w:pPr>
              <w:spacing w:after="0"/>
              <w:rPr>
                <w:sz w:val="20"/>
                <w:szCs w:val="20"/>
                <w:color w:val="auto"/>
              </w:rPr>
            </w:pPr>
            <w:r>
              <w:rPr>
                <w:rFonts w:ascii="Times New Roman" w:cs="Times New Roman" w:eastAsia="Times New Roman" w:hAnsi="Times New Roman"/>
                <w:sz w:val="20"/>
                <w:szCs w:val="20"/>
                <w:color w:val="auto"/>
              </w:rPr>
              <w:t>Provision for (benefit from) income taxes</w:t>
            </w:r>
          </w:p>
        </w:tc>
        <w:tc>
          <w:tcPr>
            <w:tcW w:w="440" w:type="dxa"/>
            <w:vAlign w:val="bottom"/>
          </w:tcPr>
          <w:p>
            <w:pPr>
              <w:jc w:val="right"/>
              <w:ind w:right="179"/>
              <w:spacing w:after="0"/>
              <w:rPr>
                <w:sz w:val="20"/>
                <w:szCs w:val="20"/>
                <w:color w:val="auto"/>
              </w:rPr>
            </w:pPr>
            <w:r>
              <w:rPr>
                <w:rFonts w:ascii="Times New Roman" w:cs="Times New Roman" w:eastAsia="Times New Roman" w:hAnsi="Times New Roman"/>
                <w:sz w:val="20"/>
                <w:szCs w:val="20"/>
                <w:color w:val="auto"/>
              </w:rPr>
              <w:t>$</w:t>
            </w:r>
          </w:p>
        </w:tc>
        <w:tc>
          <w:tcPr>
            <w:tcW w:w="1460" w:type="dxa"/>
            <w:vAlign w:val="bottom"/>
          </w:tcPr>
          <w:p>
            <w:pPr>
              <w:jc w:val="right"/>
              <w:ind w:right="139"/>
              <w:spacing w:after="0"/>
              <w:rPr>
                <w:sz w:val="20"/>
                <w:szCs w:val="20"/>
                <w:color w:val="auto"/>
              </w:rPr>
            </w:pPr>
            <w:r>
              <w:rPr>
                <w:rFonts w:ascii="Times New Roman" w:cs="Times New Roman" w:eastAsia="Times New Roman" w:hAnsi="Times New Roman"/>
                <w:sz w:val="20"/>
                <w:szCs w:val="20"/>
                <w:color w:val="auto"/>
              </w:rPr>
              <w:t>93</w:t>
            </w:r>
          </w:p>
        </w:tc>
        <w:tc>
          <w:tcPr>
            <w:tcW w:w="540" w:type="dxa"/>
            <w:vAlign w:val="bottom"/>
            <w:gridSpan w:val="3"/>
          </w:tcPr>
          <w:p>
            <w:pPr>
              <w:jc w:val="right"/>
              <w:ind w:right="199"/>
              <w:spacing w:after="0"/>
              <w:rPr>
                <w:sz w:val="20"/>
                <w:szCs w:val="20"/>
                <w:color w:val="auto"/>
              </w:rPr>
            </w:pPr>
            <w:r>
              <w:rPr>
                <w:rFonts w:ascii="Times New Roman" w:cs="Times New Roman" w:eastAsia="Times New Roman" w:hAnsi="Times New Roman"/>
                <w:sz w:val="20"/>
                <w:szCs w:val="20"/>
                <w:color w:val="auto"/>
              </w:rPr>
              <w:t>$</w:t>
            </w:r>
          </w:p>
        </w:tc>
        <w:tc>
          <w:tcPr>
            <w:tcW w:w="1440" w:type="dxa"/>
            <w:vAlign w:val="bottom"/>
          </w:tcPr>
          <w:p>
            <w:pPr>
              <w:jc w:val="right"/>
              <w:ind w:right="139"/>
              <w:spacing w:after="0"/>
              <w:rPr>
                <w:sz w:val="20"/>
                <w:szCs w:val="20"/>
                <w:color w:val="auto"/>
              </w:rPr>
            </w:pPr>
            <w:r>
              <w:rPr>
                <w:rFonts w:ascii="Times New Roman" w:cs="Times New Roman" w:eastAsia="Times New Roman" w:hAnsi="Times New Roman"/>
                <w:sz w:val="20"/>
                <w:szCs w:val="20"/>
                <w:color w:val="auto"/>
              </w:rPr>
              <w:t>179,077</w:t>
            </w: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40" w:type="dxa"/>
            <w:vAlign w:val="bottom"/>
          </w:tcPr>
          <w:p>
            <w:pPr>
              <w:jc w:val="right"/>
              <w:ind w:right="199"/>
              <w:spacing w:after="0"/>
              <w:rPr>
                <w:sz w:val="20"/>
                <w:szCs w:val="20"/>
                <w:color w:val="auto"/>
              </w:rPr>
            </w:pPr>
            <w:r>
              <w:rPr>
                <w:rFonts w:ascii="Times New Roman" w:cs="Times New Roman" w:eastAsia="Times New Roman" w:hAnsi="Times New Roman"/>
                <w:sz w:val="20"/>
                <w:szCs w:val="20"/>
                <w:color w:val="auto"/>
              </w:rPr>
              <w:t>$</w:t>
            </w:r>
          </w:p>
        </w:tc>
        <w:tc>
          <w:tcPr>
            <w:tcW w:w="1460" w:type="dxa"/>
            <w:vAlign w:val="bottom"/>
          </w:tcPr>
          <w:p>
            <w:pPr>
              <w:jc w:val="right"/>
              <w:ind w:right="99"/>
              <w:spacing w:after="0"/>
              <w:rPr>
                <w:sz w:val="20"/>
                <w:szCs w:val="20"/>
                <w:color w:val="auto"/>
              </w:rPr>
            </w:pPr>
            <w:r>
              <w:rPr>
                <w:rFonts w:ascii="Times New Roman" w:cs="Times New Roman" w:eastAsia="Times New Roman" w:hAnsi="Times New Roman"/>
                <w:sz w:val="20"/>
                <w:szCs w:val="20"/>
                <w:color w:val="auto"/>
              </w:rPr>
              <w:t>(601)</w:t>
            </w:r>
          </w:p>
        </w:tc>
      </w:tr>
      <w:tr>
        <w:trPr>
          <w:trHeight w:val="295"/>
        </w:trPr>
        <w:tc>
          <w:tcPr>
            <w:tcW w:w="40" w:type="dxa"/>
            <w:vAlign w:val="bottom"/>
            <w:tcBorders>
              <w:top w:val="single" w:sz="8" w:color="DDDDDD"/>
            </w:tcBorders>
            <w:shd w:val="clear" w:color="auto" w:fill="DDDDDD"/>
          </w:tcPr>
          <w:p>
            <w:pPr>
              <w:spacing w:after="0"/>
              <w:rPr>
                <w:sz w:val="24"/>
                <w:szCs w:val="24"/>
                <w:color w:val="auto"/>
              </w:rPr>
            </w:pPr>
          </w:p>
        </w:tc>
        <w:tc>
          <w:tcPr>
            <w:tcW w:w="4340" w:type="dxa"/>
            <w:vAlign w:val="bottom"/>
            <w:tcBorders>
              <w:top w:val="single" w:sz="8" w:color="DDDDDD"/>
            </w:tcBorders>
            <w:shd w:val="clear" w:color="auto" w:fill="DDDDDD"/>
          </w:tcPr>
          <w:p>
            <w:pPr>
              <w:spacing w:after="0"/>
              <w:rPr>
                <w:sz w:val="20"/>
                <w:szCs w:val="20"/>
                <w:color w:val="auto"/>
              </w:rPr>
            </w:pPr>
            <w:r>
              <w:rPr>
                <w:rFonts w:ascii="Times New Roman" w:cs="Times New Roman" w:eastAsia="Times New Roman" w:hAnsi="Times New Roman"/>
                <w:sz w:val="20"/>
                <w:szCs w:val="20"/>
                <w:color w:val="auto"/>
              </w:rPr>
              <w:t>Effective tax rate</w:t>
            </w:r>
          </w:p>
        </w:tc>
        <w:tc>
          <w:tcPr>
            <w:tcW w:w="20" w:type="dxa"/>
            <w:vAlign w:val="bottom"/>
            <w:tcBorders>
              <w:top w:val="single" w:sz="8" w:color="DDDDDD"/>
            </w:tcBorders>
            <w:shd w:val="clear" w:color="auto" w:fill="DDDDDD"/>
          </w:tcPr>
          <w:p>
            <w:pPr>
              <w:spacing w:after="0"/>
              <w:rPr>
                <w:sz w:val="24"/>
                <w:szCs w:val="24"/>
                <w:color w:val="auto"/>
              </w:rPr>
            </w:pPr>
          </w:p>
        </w:tc>
        <w:tc>
          <w:tcPr>
            <w:tcW w:w="440" w:type="dxa"/>
            <w:vAlign w:val="bottom"/>
            <w:tcBorders>
              <w:top w:val="single" w:sz="8" w:color="auto"/>
            </w:tcBorders>
            <w:shd w:val="clear" w:color="auto" w:fill="DDDDDD"/>
          </w:tcPr>
          <w:p>
            <w:pPr>
              <w:spacing w:after="0"/>
              <w:rPr>
                <w:sz w:val="24"/>
                <w:szCs w:val="24"/>
                <w:color w:val="auto"/>
              </w:rPr>
            </w:pPr>
          </w:p>
        </w:tc>
        <w:tc>
          <w:tcPr>
            <w:tcW w:w="1460" w:type="dxa"/>
            <w:vAlign w:val="bottom"/>
            <w:tcBorders>
              <w:top w:val="single" w:sz="8" w:color="auto"/>
            </w:tcBorders>
            <w:shd w:val="clear" w:color="auto" w:fill="DDDDDD"/>
          </w:tcPr>
          <w:p>
            <w:pPr>
              <w:jc w:val="right"/>
              <w:spacing w:after="0"/>
              <w:rPr>
                <w:sz w:val="20"/>
                <w:szCs w:val="20"/>
                <w:color w:val="auto"/>
              </w:rPr>
            </w:pPr>
            <w:r>
              <w:rPr>
                <w:rFonts w:ascii="Times New Roman" w:cs="Times New Roman" w:eastAsia="Times New Roman" w:hAnsi="Times New Roman"/>
                <w:sz w:val="20"/>
                <w:szCs w:val="20"/>
                <w:color w:val="auto"/>
              </w:rPr>
              <w:t>(0.6)%</w:t>
            </w:r>
          </w:p>
        </w:tc>
        <w:tc>
          <w:tcPr>
            <w:tcW w:w="60" w:type="dxa"/>
            <w:vAlign w:val="bottom"/>
            <w:tcBorders>
              <w:top w:val="single" w:sz="8" w:color="DDDDDD"/>
            </w:tcBorders>
            <w:shd w:val="clear" w:color="auto" w:fill="DDDDDD"/>
          </w:tcPr>
          <w:p>
            <w:pPr>
              <w:spacing w:after="0"/>
              <w:rPr>
                <w:sz w:val="24"/>
                <w:szCs w:val="24"/>
                <w:color w:val="auto"/>
              </w:rPr>
            </w:pPr>
          </w:p>
        </w:tc>
        <w:tc>
          <w:tcPr>
            <w:tcW w:w="20" w:type="dxa"/>
            <w:vAlign w:val="bottom"/>
            <w:tcBorders>
              <w:top w:val="single" w:sz="8" w:color="DDDDDD"/>
            </w:tcBorders>
            <w:shd w:val="clear" w:color="auto" w:fill="DDDDDD"/>
          </w:tcPr>
          <w:p>
            <w:pPr>
              <w:spacing w:after="0"/>
              <w:rPr>
                <w:sz w:val="24"/>
                <w:szCs w:val="24"/>
                <w:color w:val="auto"/>
              </w:rPr>
            </w:pPr>
          </w:p>
        </w:tc>
        <w:tc>
          <w:tcPr>
            <w:tcW w:w="460" w:type="dxa"/>
            <w:vAlign w:val="bottom"/>
            <w:tcBorders>
              <w:top w:val="single" w:sz="8" w:color="auto"/>
            </w:tcBorders>
            <w:shd w:val="clear" w:color="auto" w:fill="DDDDDD"/>
          </w:tcPr>
          <w:p>
            <w:pPr>
              <w:spacing w:after="0"/>
              <w:rPr>
                <w:sz w:val="24"/>
                <w:szCs w:val="24"/>
                <w:color w:val="auto"/>
              </w:rPr>
            </w:pPr>
          </w:p>
        </w:tc>
        <w:tc>
          <w:tcPr>
            <w:tcW w:w="1440" w:type="dxa"/>
            <w:vAlign w:val="bottom"/>
            <w:tcBorders>
              <w:top w:val="single" w:sz="8" w:color="auto"/>
            </w:tcBorders>
            <w:shd w:val="clear" w:color="auto" w:fill="DDDDDD"/>
          </w:tcPr>
          <w:p>
            <w:pPr>
              <w:jc w:val="right"/>
              <w:spacing w:after="0"/>
              <w:rPr>
                <w:sz w:val="20"/>
                <w:szCs w:val="20"/>
                <w:color w:val="auto"/>
              </w:rPr>
            </w:pPr>
            <w:r>
              <w:rPr>
                <w:rFonts w:ascii="Times New Roman" w:cs="Times New Roman" w:eastAsia="Times New Roman" w:hAnsi="Times New Roman"/>
                <w:sz w:val="20"/>
                <w:szCs w:val="20"/>
                <w:color w:val="auto"/>
              </w:rPr>
              <w:t>185.7 %</w:t>
            </w:r>
          </w:p>
        </w:tc>
        <w:tc>
          <w:tcPr>
            <w:tcW w:w="60" w:type="dxa"/>
            <w:vAlign w:val="bottom"/>
            <w:tcBorders>
              <w:top w:val="single" w:sz="8" w:color="DDDDDD"/>
            </w:tcBorders>
            <w:shd w:val="clear" w:color="auto" w:fill="DDDDDD"/>
          </w:tcPr>
          <w:p>
            <w:pPr>
              <w:spacing w:after="0"/>
              <w:rPr>
                <w:sz w:val="24"/>
                <w:szCs w:val="24"/>
                <w:color w:val="auto"/>
              </w:rPr>
            </w:pPr>
          </w:p>
        </w:tc>
        <w:tc>
          <w:tcPr>
            <w:tcW w:w="20" w:type="dxa"/>
            <w:vAlign w:val="bottom"/>
            <w:tcBorders>
              <w:top w:val="single" w:sz="8" w:color="DDDDDD"/>
            </w:tcBorders>
            <w:shd w:val="clear" w:color="auto" w:fill="DDDDDD"/>
          </w:tcPr>
          <w:p>
            <w:pPr>
              <w:spacing w:after="0"/>
              <w:rPr>
                <w:sz w:val="24"/>
                <w:szCs w:val="24"/>
                <w:color w:val="auto"/>
              </w:rPr>
            </w:pPr>
          </w:p>
        </w:tc>
        <w:tc>
          <w:tcPr>
            <w:tcW w:w="440" w:type="dxa"/>
            <w:vAlign w:val="bottom"/>
            <w:tcBorders>
              <w:top w:val="single" w:sz="8" w:color="auto"/>
            </w:tcBorders>
            <w:shd w:val="clear" w:color="auto" w:fill="DDDDDD"/>
          </w:tcPr>
          <w:p>
            <w:pPr>
              <w:spacing w:after="0"/>
              <w:rPr>
                <w:sz w:val="24"/>
                <w:szCs w:val="24"/>
                <w:color w:val="auto"/>
              </w:rPr>
            </w:pPr>
          </w:p>
        </w:tc>
        <w:tc>
          <w:tcPr>
            <w:tcW w:w="1460" w:type="dxa"/>
            <w:vAlign w:val="bottom"/>
            <w:tcBorders>
              <w:top w:val="single" w:sz="8" w:color="auto"/>
            </w:tcBorders>
            <w:shd w:val="clear" w:color="auto" w:fill="DDDDDD"/>
          </w:tcPr>
          <w:p>
            <w:pPr>
              <w:jc w:val="right"/>
              <w:spacing w:after="0"/>
              <w:rPr>
                <w:sz w:val="20"/>
                <w:szCs w:val="20"/>
                <w:color w:val="auto"/>
              </w:rPr>
            </w:pPr>
            <w:r>
              <w:rPr>
                <w:rFonts w:ascii="Times New Roman" w:cs="Times New Roman" w:eastAsia="Times New Roman" w:hAnsi="Times New Roman"/>
                <w:sz w:val="20"/>
                <w:szCs w:val="20"/>
                <w:color w:val="auto"/>
              </w:rPr>
              <w:t>(0.4)%</w:t>
            </w:r>
          </w:p>
        </w:tc>
      </w:tr>
      <w:tr>
        <w:trPr>
          <w:trHeight w:val="22"/>
        </w:trPr>
        <w:tc>
          <w:tcPr>
            <w:tcW w:w="6300" w:type="dxa"/>
            <w:vAlign w:val="bottom"/>
            <w:gridSpan w:val="5"/>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4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460" w:type="dxa"/>
            <w:vAlign w:val="bottom"/>
          </w:tcPr>
          <w:p>
            <w:pPr>
              <w:spacing w:after="0" w:line="20" w:lineRule="exact"/>
              <w:rPr>
                <w:sz w:val="1"/>
                <w:szCs w:val="1"/>
                <w:color w:val="auto"/>
              </w:rPr>
            </w:pPr>
          </w:p>
        </w:tc>
      </w:tr>
      <w:tr>
        <w:trPr>
          <w:trHeight w:val="20"/>
        </w:trPr>
        <w:tc>
          <w:tcPr>
            <w:tcW w:w="40" w:type="dxa"/>
            <w:vAlign w:val="bottom"/>
          </w:tcPr>
          <w:p>
            <w:pPr>
              <w:spacing w:after="0" w:line="20" w:lineRule="exact"/>
              <w:rPr>
                <w:sz w:val="1"/>
                <w:szCs w:val="1"/>
                <w:color w:val="auto"/>
              </w:rPr>
            </w:pPr>
          </w:p>
        </w:tc>
        <w:tc>
          <w:tcPr>
            <w:tcW w:w="4340" w:type="dxa"/>
            <w:vAlign w:val="bottom"/>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146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144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1460" w:type="dxa"/>
            <w:vAlign w:val="bottom"/>
            <w:tcBorders>
              <w:top w:val="single" w:sz="8" w:color="auto"/>
              <w:bottom w:val="single" w:sz="8" w:color="auto"/>
            </w:tcBorders>
          </w:tcPr>
          <w:p>
            <w:pPr>
              <w:spacing w:after="0" w:line="20" w:lineRule="exact"/>
              <w:rPr>
                <w:sz w:val="1"/>
                <w:szCs w:val="1"/>
                <w:color w:val="auto"/>
              </w:rPr>
            </w:pPr>
          </w:p>
        </w:tc>
      </w:tr>
      <w:tr>
        <w:trPr>
          <w:trHeight w:val="364"/>
        </w:trPr>
        <w:tc>
          <w:tcPr>
            <w:tcW w:w="6300" w:type="dxa"/>
            <w:vAlign w:val="bottom"/>
            <w:gridSpan w:val="5"/>
          </w:tcPr>
          <w:p>
            <w:pPr>
              <w:jc w:val="right"/>
              <w:ind w:right="159"/>
              <w:spacing w:after="0"/>
              <w:rPr>
                <w:sz w:val="20"/>
                <w:szCs w:val="20"/>
                <w:color w:val="auto"/>
              </w:rPr>
            </w:pPr>
            <w:r>
              <w:rPr>
                <w:rFonts w:ascii="Times New Roman" w:cs="Times New Roman" w:eastAsia="Times New Roman" w:hAnsi="Times New Roman"/>
                <w:sz w:val="21"/>
                <w:szCs w:val="21"/>
                <w:color w:val="auto"/>
                <w:w w:val="99"/>
              </w:rPr>
              <w:t>The significant components of the net deferred tax assets are as follows:</w:t>
            </w: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4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460" w:type="dxa"/>
            <w:vAlign w:val="bottom"/>
          </w:tcPr>
          <w:p>
            <w:pPr>
              <w:spacing w:after="0"/>
              <w:rPr>
                <w:sz w:val="24"/>
                <w:szCs w:val="24"/>
                <w:color w:val="auto"/>
              </w:rPr>
            </w:pPr>
          </w:p>
        </w:tc>
      </w:tr>
      <w:tr>
        <w:trPr>
          <w:trHeight w:val="420"/>
        </w:trPr>
        <w:tc>
          <w:tcPr>
            <w:tcW w:w="40" w:type="dxa"/>
            <w:vAlign w:val="bottom"/>
          </w:tcPr>
          <w:p>
            <w:pPr>
              <w:spacing w:after="0"/>
              <w:rPr>
                <w:sz w:val="24"/>
                <w:szCs w:val="24"/>
                <w:color w:val="auto"/>
              </w:rPr>
            </w:pPr>
          </w:p>
        </w:tc>
        <w:tc>
          <w:tcPr>
            <w:tcW w:w="43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4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980" w:type="dxa"/>
            <w:vAlign w:val="bottom"/>
            <w:gridSpan w:val="4"/>
          </w:tcPr>
          <w:p>
            <w:pPr>
              <w:jc w:val="center"/>
              <w:ind w:right="60"/>
              <w:spacing w:after="0"/>
              <w:rPr>
                <w:sz w:val="20"/>
                <w:szCs w:val="20"/>
                <w:color w:val="auto"/>
              </w:rPr>
            </w:pPr>
            <w:r>
              <w:rPr>
                <w:rFonts w:ascii="Times New Roman" w:cs="Times New Roman" w:eastAsia="Times New Roman" w:hAnsi="Times New Roman"/>
                <w:sz w:val="20"/>
                <w:szCs w:val="20"/>
                <w:b w:val="1"/>
                <w:bCs w:val="1"/>
                <w:color w:val="auto"/>
                <w:w w:val="98"/>
              </w:rPr>
              <w:t>December 31, 2023</w:t>
            </w:r>
          </w:p>
        </w:tc>
        <w:tc>
          <w:tcPr>
            <w:tcW w:w="1900" w:type="dxa"/>
            <w:vAlign w:val="bottom"/>
            <w:gridSpan w:val="2"/>
          </w:tcPr>
          <w:p>
            <w:pPr>
              <w:jc w:val="right"/>
              <w:ind w:right="59"/>
              <w:spacing w:after="0"/>
              <w:rPr>
                <w:sz w:val="20"/>
                <w:szCs w:val="20"/>
                <w:color w:val="auto"/>
              </w:rPr>
            </w:pPr>
            <w:r>
              <w:rPr>
                <w:rFonts w:ascii="Times New Roman" w:cs="Times New Roman" w:eastAsia="Times New Roman" w:hAnsi="Times New Roman"/>
                <w:sz w:val="20"/>
                <w:szCs w:val="20"/>
                <w:b w:val="1"/>
                <w:bCs w:val="1"/>
                <w:color w:val="auto"/>
              </w:rPr>
              <w:t>December 31, 2022</w:t>
            </w:r>
          </w:p>
        </w:tc>
      </w:tr>
      <w:tr>
        <w:trPr>
          <w:trHeight w:val="295"/>
        </w:trPr>
        <w:tc>
          <w:tcPr>
            <w:tcW w:w="40" w:type="dxa"/>
            <w:vAlign w:val="bottom"/>
            <w:tcBorders>
              <w:top w:val="single" w:sz="8" w:color="DDDDDD"/>
            </w:tcBorders>
            <w:shd w:val="clear" w:color="auto" w:fill="DDDDDD"/>
          </w:tcPr>
          <w:p>
            <w:pPr>
              <w:spacing w:after="0"/>
              <w:rPr>
                <w:sz w:val="24"/>
                <w:szCs w:val="24"/>
                <w:color w:val="auto"/>
              </w:rPr>
            </w:pPr>
          </w:p>
        </w:tc>
        <w:tc>
          <w:tcPr>
            <w:tcW w:w="4360" w:type="dxa"/>
            <w:vAlign w:val="bottom"/>
            <w:tcBorders>
              <w:top w:val="single" w:sz="8" w:color="DDDDDD"/>
            </w:tcBorders>
            <w:gridSpan w:val="2"/>
            <w:shd w:val="clear" w:color="auto" w:fill="DDDDDD"/>
          </w:tcPr>
          <w:p>
            <w:pPr>
              <w:spacing w:after="0"/>
              <w:rPr>
                <w:sz w:val="20"/>
                <w:szCs w:val="20"/>
                <w:color w:val="auto"/>
              </w:rPr>
            </w:pPr>
            <w:r>
              <w:rPr>
                <w:rFonts w:ascii="Times New Roman" w:cs="Times New Roman" w:eastAsia="Times New Roman" w:hAnsi="Times New Roman"/>
                <w:sz w:val="20"/>
                <w:szCs w:val="20"/>
                <w:color w:val="auto"/>
              </w:rPr>
              <w:t>Deferred tax assets</w:t>
            </w:r>
          </w:p>
        </w:tc>
        <w:tc>
          <w:tcPr>
            <w:tcW w:w="440" w:type="dxa"/>
            <w:vAlign w:val="bottom"/>
            <w:tcBorders>
              <w:top w:val="single" w:sz="8" w:color="DDDDDD"/>
            </w:tcBorders>
            <w:shd w:val="clear" w:color="auto" w:fill="DDDDDD"/>
          </w:tcPr>
          <w:p>
            <w:pPr>
              <w:spacing w:after="0"/>
              <w:rPr>
                <w:sz w:val="24"/>
                <w:szCs w:val="24"/>
                <w:color w:val="auto"/>
              </w:rPr>
            </w:pPr>
          </w:p>
        </w:tc>
        <w:tc>
          <w:tcPr>
            <w:tcW w:w="1460" w:type="dxa"/>
            <w:vAlign w:val="bottom"/>
            <w:tcBorders>
              <w:top w:val="single" w:sz="8" w:color="DDDDDD"/>
            </w:tcBorders>
            <w:shd w:val="clear" w:color="auto" w:fill="DDDDDD"/>
          </w:tcPr>
          <w:p>
            <w:pPr>
              <w:spacing w:after="0"/>
              <w:rPr>
                <w:sz w:val="24"/>
                <w:szCs w:val="24"/>
                <w:color w:val="auto"/>
              </w:rPr>
            </w:pPr>
          </w:p>
        </w:tc>
        <w:tc>
          <w:tcPr>
            <w:tcW w:w="60" w:type="dxa"/>
            <w:vAlign w:val="bottom"/>
            <w:tcBorders>
              <w:top w:val="single" w:sz="8" w:color="DDDDDD"/>
            </w:tcBorders>
            <w:shd w:val="clear" w:color="auto" w:fill="DDDDDD"/>
          </w:tcPr>
          <w:p>
            <w:pPr>
              <w:spacing w:after="0"/>
              <w:rPr>
                <w:sz w:val="24"/>
                <w:szCs w:val="24"/>
                <w:color w:val="auto"/>
              </w:rPr>
            </w:pPr>
          </w:p>
        </w:tc>
        <w:tc>
          <w:tcPr>
            <w:tcW w:w="20" w:type="dxa"/>
            <w:vAlign w:val="bottom"/>
            <w:tcBorders>
              <w:top w:val="single" w:sz="8" w:color="DDDDDD"/>
            </w:tcBorders>
            <w:shd w:val="clear" w:color="auto" w:fill="DDDDDD"/>
          </w:tcPr>
          <w:p>
            <w:pPr>
              <w:spacing w:after="0"/>
              <w:rPr>
                <w:sz w:val="24"/>
                <w:szCs w:val="24"/>
                <w:color w:val="auto"/>
              </w:rPr>
            </w:pPr>
          </w:p>
        </w:tc>
        <w:tc>
          <w:tcPr>
            <w:tcW w:w="460" w:type="dxa"/>
            <w:vAlign w:val="bottom"/>
            <w:tcBorders>
              <w:top w:val="single" w:sz="8" w:color="auto"/>
            </w:tcBorders>
            <w:shd w:val="clear" w:color="auto" w:fill="DDDDDD"/>
          </w:tcPr>
          <w:p>
            <w:pPr>
              <w:spacing w:after="0"/>
              <w:rPr>
                <w:sz w:val="24"/>
                <w:szCs w:val="24"/>
                <w:color w:val="auto"/>
              </w:rPr>
            </w:pPr>
          </w:p>
        </w:tc>
        <w:tc>
          <w:tcPr>
            <w:tcW w:w="1440" w:type="dxa"/>
            <w:vAlign w:val="bottom"/>
            <w:tcBorders>
              <w:top w:val="single" w:sz="8" w:color="auto"/>
            </w:tcBorders>
            <w:shd w:val="clear" w:color="auto" w:fill="DDDDDD"/>
          </w:tcPr>
          <w:p>
            <w:pPr>
              <w:spacing w:after="0"/>
              <w:rPr>
                <w:sz w:val="24"/>
                <w:szCs w:val="24"/>
                <w:color w:val="auto"/>
              </w:rPr>
            </w:pPr>
          </w:p>
        </w:tc>
        <w:tc>
          <w:tcPr>
            <w:tcW w:w="60" w:type="dxa"/>
            <w:vAlign w:val="bottom"/>
            <w:shd w:val="clear" w:color="auto" w:fill="DDDDDD"/>
          </w:tcPr>
          <w:p>
            <w:pPr>
              <w:spacing w:after="0"/>
              <w:rPr>
                <w:sz w:val="24"/>
                <w:szCs w:val="24"/>
                <w:color w:val="auto"/>
              </w:rPr>
            </w:pPr>
          </w:p>
        </w:tc>
        <w:tc>
          <w:tcPr>
            <w:tcW w:w="20" w:type="dxa"/>
            <w:vAlign w:val="bottom"/>
            <w:tcBorders>
              <w:top w:val="single" w:sz="8" w:color="auto"/>
            </w:tcBorders>
            <w:shd w:val="clear" w:color="auto" w:fill="DDDDDD"/>
          </w:tcPr>
          <w:p>
            <w:pPr>
              <w:spacing w:after="0"/>
              <w:rPr>
                <w:sz w:val="24"/>
                <w:szCs w:val="24"/>
                <w:color w:val="auto"/>
              </w:rPr>
            </w:pPr>
          </w:p>
        </w:tc>
        <w:tc>
          <w:tcPr>
            <w:tcW w:w="440" w:type="dxa"/>
            <w:vAlign w:val="bottom"/>
            <w:tcBorders>
              <w:top w:val="single" w:sz="8" w:color="auto"/>
            </w:tcBorders>
            <w:shd w:val="clear" w:color="auto" w:fill="DDDDDD"/>
          </w:tcPr>
          <w:p>
            <w:pPr>
              <w:spacing w:after="0"/>
              <w:rPr>
                <w:sz w:val="24"/>
                <w:szCs w:val="24"/>
                <w:color w:val="auto"/>
              </w:rPr>
            </w:pPr>
          </w:p>
        </w:tc>
        <w:tc>
          <w:tcPr>
            <w:tcW w:w="1460" w:type="dxa"/>
            <w:vAlign w:val="bottom"/>
            <w:tcBorders>
              <w:top w:val="single" w:sz="8" w:color="auto"/>
            </w:tcBorders>
            <w:shd w:val="clear" w:color="auto" w:fill="DDDDDD"/>
          </w:tcPr>
          <w:p>
            <w:pPr>
              <w:spacing w:after="0"/>
              <w:rPr>
                <w:sz w:val="24"/>
                <w:szCs w:val="24"/>
                <w:color w:val="auto"/>
              </w:rPr>
            </w:pPr>
          </w:p>
        </w:tc>
      </w:tr>
      <w:tr>
        <w:trPr>
          <w:trHeight w:val="307"/>
        </w:trPr>
        <w:tc>
          <w:tcPr>
            <w:tcW w:w="40" w:type="dxa"/>
            <w:vAlign w:val="bottom"/>
          </w:tcPr>
          <w:p>
            <w:pPr>
              <w:spacing w:after="0"/>
              <w:rPr>
                <w:sz w:val="24"/>
                <w:szCs w:val="24"/>
                <w:color w:val="auto"/>
              </w:rPr>
            </w:pPr>
          </w:p>
        </w:tc>
        <w:tc>
          <w:tcPr>
            <w:tcW w:w="4360" w:type="dxa"/>
            <w:vAlign w:val="bottom"/>
            <w:gridSpan w:val="2"/>
          </w:tcPr>
          <w:p>
            <w:pPr>
              <w:ind w:left="120"/>
              <w:spacing w:after="0"/>
              <w:rPr>
                <w:sz w:val="20"/>
                <w:szCs w:val="20"/>
                <w:color w:val="auto"/>
              </w:rPr>
            </w:pPr>
            <w:r>
              <w:rPr>
                <w:rFonts w:ascii="Times New Roman" w:cs="Times New Roman" w:eastAsia="Times New Roman" w:hAnsi="Times New Roman"/>
                <w:sz w:val="20"/>
                <w:szCs w:val="20"/>
                <w:color w:val="auto"/>
              </w:rPr>
              <w:t>Investment in partnership</w:t>
            </w:r>
          </w:p>
        </w:tc>
        <w:tc>
          <w:tcPr>
            <w:tcW w:w="440" w:type="dxa"/>
            <w:vAlign w:val="bottom"/>
          </w:tcPr>
          <w:p>
            <w:pPr>
              <w:spacing w:after="0"/>
              <w:rPr>
                <w:sz w:val="24"/>
                <w:szCs w:val="24"/>
                <w:color w:val="auto"/>
              </w:rPr>
            </w:pPr>
          </w:p>
        </w:tc>
        <w:tc>
          <w:tcPr>
            <w:tcW w:w="1460" w:type="dxa"/>
            <w:vAlign w:val="bottom"/>
          </w:tcPr>
          <w:p>
            <w:pPr>
              <w:spacing w:after="0"/>
              <w:rPr>
                <w:sz w:val="24"/>
                <w:szCs w:val="24"/>
                <w:color w:val="auto"/>
              </w:rPr>
            </w:pPr>
          </w:p>
        </w:tc>
        <w:tc>
          <w:tcPr>
            <w:tcW w:w="540" w:type="dxa"/>
            <w:vAlign w:val="bottom"/>
            <w:gridSpan w:val="3"/>
          </w:tcPr>
          <w:p>
            <w:pPr>
              <w:jc w:val="right"/>
              <w:ind w:right="199"/>
              <w:spacing w:after="0"/>
              <w:rPr>
                <w:sz w:val="20"/>
                <w:szCs w:val="20"/>
                <w:color w:val="auto"/>
              </w:rPr>
            </w:pPr>
            <w:r>
              <w:rPr>
                <w:rFonts w:ascii="Times New Roman" w:cs="Times New Roman" w:eastAsia="Times New Roman" w:hAnsi="Times New Roman"/>
                <w:sz w:val="20"/>
                <w:szCs w:val="20"/>
                <w:color w:val="auto"/>
              </w:rPr>
              <w:t>$</w:t>
            </w:r>
          </w:p>
        </w:tc>
        <w:tc>
          <w:tcPr>
            <w:tcW w:w="14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129,297</w:t>
            </w: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40" w:type="dxa"/>
            <w:vAlign w:val="bottom"/>
          </w:tcPr>
          <w:p>
            <w:pPr>
              <w:jc w:val="right"/>
              <w:ind w:right="199"/>
              <w:spacing w:after="0"/>
              <w:rPr>
                <w:sz w:val="20"/>
                <w:szCs w:val="20"/>
                <w:color w:val="auto"/>
              </w:rPr>
            </w:pPr>
            <w:r>
              <w:rPr>
                <w:rFonts w:ascii="Times New Roman" w:cs="Times New Roman" w:eastAsia="Times New Roman" w:hAnsi="Times New Roman"/>
                <w:sz w:val="20"/>
                <w:szCs w:val="20"/>
                <w:color w:val="auto"/>
              </w:rPr>
              <w:t>$</w:t>
            </w:r>
          </w:p>
        </w:tc>
        <w:tc>
          <w:tcPr>
            <w:tcW w:w="14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133,569</w:t>
            </w:r>
          </w:p>
        </w:tc>
      </w:tr>
      <w:tr>
        <w:trPr>
          <w:trHeight w:val="326"/>
        </w:trPr>
        <w:tc>
          <w:tcPr>
            <w:tcW w:w="40" w:type="dxa"/>
            <w:vAlign w:val="bottom"/>
            <w:shd w:val="clear" w:color="auto" w:fill="DDDDDD"/>
          </w:tcPr>
          <w:p>
            <w:pPr>
              <w:spacing w:after="0"/>
              <w:rPr>
                <w:sz w:val="24"/>
                <w:szCs w:val="24"/>
                <w:color w:val="auto"/>
              </w:rPr>
            </w:pPr>
          </w:p>
        </w:tc>
        <w:tc>
          <w:tcPr>
            <w:tcW w:w="4360" w:type="dxa"/>
            <w:vAlign w:val="bottom"/>
            <w:gridSpan w:val="2"/>
            <w:shd w:val="clear" w:color="auto" w:fill="DDDDDD"/>
          </w:tcPr>
          <w:p>
            <w:pPr>
              <w:ind w:left="120"/>
              <w:spacing w:after="0"/>
              <w:rPr>
                <w:sz w:val="20"/>
                <w:szCs w:val="20"/>
                <w:color w:val="auto"/>
              </w:rPr>
            </w:pPr>
            <w:r>
              <w:rPr>
                <w:rFonts w:ascii="Times New Roman" w:cs="Times New Roman" w:eastAsia="Times New Roman" w:hAnsi="Times New Roman"/>
                <w:sz w:val="20"/>
                <w:szCs w:val="20"/>
                <w:color w:val="auto"/>
              </w:rPr>
              <w:t>Tax receivable agreement</w:t>
            </w:r>
          </w:p>
        </w:tc>
        <w:tc>
          <w:tcPr>
            <w:tcW w:w="440" w:type="dxa"/>
            <w:vAlign w:val="bottom"/>
            <w:shd w:val="clear" w:color="auto" w:fill="DDDDDD"/>
          </w:tcPr>
          <w:p>
            <w:pPr>
              <w:spacing w:after="0"/>
              <w:rPr>
                <w:sz w:val="24"/>
                <w:szCs w:val="24"/>
                <w:color w:val="auto"/>
              </w:rPr>
            </w:pPr>
          </w:p>
        </w:tc>
        <w:tc>
          <w:tcPr>
            <w:tcW w:w="1460" w:type="dxa"/>
            <w:vAlign w:val="bottom"/>
            <w:shd w:val="clear" w:color="auto" w:fill="DDDDDD"/>
          </w:tcPr>
          <w:p>
            <w:pPr>
              <w:spacing w:after="0"/>
              <w:rPr>
                <w:sz w:val="24"/>
                <w:szCs w:val="24"/>
                <w:color w:val="auto"/>
              </w:rPr>
            </w:pPr>
          </w:p>
        </w:tc>
        <w:tc>
          <w:tcPr>
            <w:tcW w:w="60" w:type="dxa"/>
            <w:vAlign w:val="bottom"/>
            <w:shd w:val="clear" w:color="auto" w:fill="DDDDDD"/>
          </w:tcPr>
          <w:p>
            <w:pPr>
              <w:spacing w:after="0"/>
              <w:rPr>
                <w:sz w:val="24"/>
                <w:szCs w:val="24"/>
                <w:color w:val="auto"/>
              </w:rPr>
            </w:pPr>
          </w:p>
        </w:tc>
        <w:tc>
          <w:tcPr>
            <w:tcW w:w="20" w:type="dxa"/>
            <w:vAlign w:val="bottom"/>
            <w:shd w:val="clear" w:color="auto" w:fill="DDDDDD"/>
          </w:tcPr>
          <w:p>
            <w:pPr>
              <w:spacing w:after="0"/>
              <w:rPr>
                <w:sz w:val="24"/>
                <w:szCs w:val="24"/>
                <w:color w:val="auto"/>
              </w:rPr>
            </w:pPr>
          </w:p>
        </w:tc>
        <w:tc>
          <w:tcPr>
            <w:tcW w:w="460" w:type="dxa"/>
            <w:vAlign w:val="bottom"/>
            <w:shd w:val="clear" w:color="auto" w:fill="DDDDDD"/>
          </w:tcPr>
          <w:p>
            <w:pPr>
              <w:spacing w:after="0"/>
              <w:rPr>
                <w:sz w:val="24"/>
                <w:szCs w:val="24"/>
                <w:color w:val="auto"/>
              </w:rPr>
            </w:pPr>
          </w:p>
        </w:tc>
        <w:tc>
          <w:tcPr>
            <w:tcW w:w="1440" w:type="dxa"/>
            <w:vAlign w:val="bottom"/>
            <w:shd w:val="clear" w:color="auto" w:fill="DDDDDD"/>
          </w:tcPr>
          <w:p>
            <w:pPr>
              <w:jc w:val="right"/>
              <w:spacing w:after="0"/>
              <w:rPr>
                <w:sz w:val="20"/>
                <w:szCs w:val="20"/>
                <w:color w:val="auto"/>
              </w:rPr>
            </w:pPr>
            <w:r>
              <w:rPr>
                <w:rFonts w:ascii="Times New Roman" w:cs="Times New Roman" w:eastAsia="Times New Roman" w:hAnsi="Times New Roman"/>
                <w:sz w:val="20"/>
                <w:szCs w:val="20"/>
                <w:color w:val="auto"/>
              </w:rPr>
              <w:t>37,021</w:t>
            </w:r>
          </w:p>
        </w:tc>
        <w:tc>
          <w:tcPr>
            <w:tcW w:w="60" w:type="dxa"/>
            <w:vAlign w:val="bottom"/>
            <w:shd w:val="clear" w:color="auto" w:fill="DDDDDD"/>
          </w:tcPr>
          <w:p>
            <w:pPr>
              <w:spacing w:after="0"/>
              <w:rPr>
                <w:sz w:val="24"/>
                <w:szCs w:val="24"/>
                <w:color w:val="auto"/>
              </w:rPr>
            </w:pPr>
          </w:p>
        </w:tc>
        <w:tc>
          <w:tcPr>
            <w:tcW w:w="20" w:type="dxa"/>
            <w:vAlign w:val="bottom"/>
            <w:shd w:val="clear" w:color="auto" w:fill="DDDDDD"/>
          </w:tcPr>
          <w:p>
            <w:pPr>
              <w:spacing w:after="0"/>
              <w:rPr>
                <w:sz w:val="24"/>
                <w:szCs w:val="24"/>
                <w:color w:val="auto"/>
              </w:rPr>
            </w:pPr>
          </w:p>
        </w:tc>
        <w:tc>
          <w:tcPr>
            <w:tcW w:w="440" w:type="dxa"/>
            <w:vAlign w:val="bottom"/>
            <w:shd w:val="clear" w:color="auto" w:fill="DDDDDD"/>
          </w:tcPr>
          <w:p>
            <w:pPr>
              <w:spacing w:after="0"/>
              <w:rPr>
                <w:sz w:val="24"/>
                <w:szCs w:val="24"/>
                <w:color w:val="auto"/>
              </w:rPr>
            </w:pPr>
          </w:p>
        </w:tc>
        <w:tc>
          <w:tcPr>
            <w:tcW w:w="1460" w:type="dxa"/>
            <w:vAlign w:val="bottom"/>
            <w:shd w:val="clear" w:color="auto" w:fill="DDDDDD"/>
          </w:tcPr>
          <w:p>
            <w:pPr>
              <w:jc w:val="right"/>
              <w:spacing w:after="0"/>
              <w:rPr>
                <w:sz w:val="20"/>
                <w:szCs w:val="20"/>
                <w:color w:val="auto"/>
              </w:rPr>
            </w:pPr>
            <w:r>
              <w:rPr>
                <w:rFonts w:ascii="Times New Roman" w:cs="Times New Roman" w:eastAsia="Times New Roman" w:hAnsi="Times New Roman"/>
                <w:sz w:val="20"/>
                <w:szCs w:val="20"/>
                <w:color w:val="auto"/>
              </w:rPr>
              <w:t>37,254</w:t>
            </w:r>
          </w:p>
        </w:tc>
      </w:tr>
      <w:tr>
        <w:trPr>
          <w:trHeight w:val="304"/>
        </w:trPr>
        <w:tc>
          <w:tcPr>
            <w:tcW w:w="40" w:type="dxa"/>
            <w:vAlign w:val="bottom"/>
          </w:tcPr>
          <w:p>
            <w:pPr>
              <w:spacing w:after="0"/>
              <w:rPr>
                <w:sz w:val="24"/>
                <w:szCs w:val="24"/>
                <w:color w:val="auto"/>
              </w:rPr>
            </w:pPr>
          </w:p>
        </w:tc>
        <w:tc>
          <w:tcPr>
            <w:tcW w:w="4360" w:type="dxa"/>
            <w:vAlign w:val="bottom"/>
            <w:gridSpan w:val="2"/>
          </w:tcPr>
          <w:p>
            <w:pPr>
              <w:ind w:left="120"/>
              <w:spacing w:after="0"/>
              <w:rPr>
                <w:sz w:val="20"/>
                <w:szCs w:val="20"/>
                <w:color w:val="auto"/>
              </w:rPr>
            </w:pPr>
            <w:r>
              <w:rPr>
                <w:rFonts w:ascii="Times New Roman" w:cs="Times New Roman" w:eastAsia="Times New Roman" w:hAnsi="Times New Roman"/>
                <w:sz w:val="20"/>
                <w:szCs w:val="20"/>
                <w:color w:val="auto"/>
              </w:rPr>
              <w:t>Net operating loss carryovers</w:t>
            </w:r>
          </w:p>
        </w:tc>
        <w:tc>
          <w:tcPr>
            <w:tcW w:w="440" w:type="dxa"/>
            <w:vAlign w:val="bottom"/>
          </w:tcPr>
          <w:p>
            <w:pPr>
              <w:spacing w:after="0"/>
              <w:rPr>
                <w:sz w:val="24"/>
                <w:szCs w:val="24"/>
                <w:color w:val="auto"/>
              </w:rPr>
            </w:pPr>
          </w:p>
        </w:tc>
        <w:tc>
          <w:tcPr>
            <w:tcW w:w="14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15,689</w:t>
            </w: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12,453</w:t>
            </w:r>
          </w:p>
        </w:tc>
      </w:tr>
      <w:tr>
        <w:trPr>
          <w:trHeight w:val="323"/>
        </w:trPr>
        <w:tc>
          <w:tcPr>
            <w:tcW w:w="40" w:type="dxa"/>
            <w:vAlign w:val="bottom"/>
            <w:shd w:val="clear" w:color="auto" w:fill="DDDDDD"/>
          </w:tcPr>
          <w:p>
            <w:pPr>
              <w:spacing w:after="0"/>
              <w:rPr>
                <w:sz w:val="24"/>
                <w:szCs w:val="24"/>
                <w:color w:val="auto"/>
              </w:rPr>
            </w:pPr>
          </w:p>
        </w:tc>
        <w:tc>
          <w:tcPr>
            <w:tcW w:w="4360" w:type="dxa"/>
            <w:vAlign w:val="bottom"/>
            <w:gridSpan w:val="2"/>
            <w:shd w:val="clear" w:color="auto" w:fill="DDDDDD"/>
          </w:tcPr>
          <w:p>
            <w:pPr>
              <w:ind w:left="120"/>
              <w:spacing w:after="0"/>
              <w:rPr>
                <w:sz w:val="20"/>
                <w:szCs w:val="20"/>
                <w:color w:val="auto"/>
              </w:rPr>
            </w:pPr>
            <w:r>
              <w:rPr>
                <w:rFonts w:ascii="Times New Roman" w:cs="Times New Roman" w:eastAsia="Times New Roman" w:hAnsi="Times New Roman"/>
                <w:sz w:val="20"/>
                <w:szCs w:val="20"/>
                <w:color w:val="auto"/>
              </w:rPr>
              <w:t>Tax credit carryovers</w:t>
            </w:r>
          </w:p>
        </w:tc>
        <w:tc>
          <w:tcPr>
            <w:tcW w:w="440" w:type="dxa"/>
            <w:vAlign w:val="bottom"/>
            <w:shd w:val="clear" w:color="auto" w:fill="DDDDDD"/>
          </w:tcPr>
          <w:p>
            <w:pPr>
              <w:spacing w:after="0"/>
              <w:rPr>
                <w:sz w:val="24"/>
                <w:szCs w:val="24"/>
                <w:color w:val="auto"/>
              </w:rPr>
            </w:pPr>
          </w:p>
        </w:tc>
        <w:tc>
          <w:tcPr>
            <w:tcW w:w="1460" w:type="dxa"/>
            <w:vAlign w:val="bottom"/>
            <w:shd w:val="clear" w:color="auto" w:fill="DDDDDD"/>
          </w:tcPr>
          <w:p>
            <w:pPr>
              <w:spacing w:after="0"/>
              <w:rPr>
                <w:sz w:val="24"/>
                <w:szCs w:val="24"/>
                <w:color w:val="auto"/>
              </w:rPr>
            </w:pPr>
          </w:p>
        </w:tc>
        <w:tc>
          <w:tcPr>
            <w:tcW w:w="60" w:type="dxa"/>
            <w:vAlign w:val="bottom"/>
            <w:shd w:val="clear" w:color="auto" w:fill="DDDDDD"/>
          </w:tcPr>
          <w:p>
            <w:pPr>
              <w:spacing w:after="0"/>
              <w:rPr>
                <w:sz w:val="24"/>
                <w:szCs w:val="24"/>
                <w:color w:val="auto"/>
              </w:rPr>
            </w:pPr>
          </w:p>
        </w:tc>
        <w:tc>
          <w:tcPr>
            <w:tcW w:w="20" w:type="dxa"/>
            <w:vAlign w:val="bottom"/>
            <w:shd w:val="clear" w:color="auto" w:fill="DDDDDD"/>
          </w:tcPr>
          <w:p>
            <w:pPr>
              <w:spacing w:after="0"/>
              <w:rPr>
                <w:sz w:val="24"/>
                <w:szCs w:val="24"/>
                <w:color w:val="auto"/>
              </w:rPr>
            </w:pPr>
          </w:p>
        </w:tc>
        <w:tc>
          <w:tcPr>
            <w:tcW w:w="460" w:type="dxa"/>
            <w:vAlign w:val="bottom"/>
            <w:shd w:val="clear" w:color="auto" w:fill="DDDDDD"/>
          </w:tcPr>
          <w:p>
            <w:pPr>
              <w:spacing w:after="0"/>
              <w:rPr>
                <w:sz w:val="24"/>
                <w:szCs w:val="24"/>
                <w:color w:val="auto"/>
              </w:rPr>
            </w:pPr>
          </w:p>
        </w:tc>
        <w:tc>
          <w:tcPr>
            <w:tcW w:w="1440" w:type="dxa"/>
            <w:vAlign w:val="bottom"/>
            <w:shd w:val="clear" w:color="auto" w:fill="DDDDDD"/>
          </w:tcPr>
          <w:p>
            <w:pPr>
              <w:jc w:val="right"/>
              <w:spacing w:after="0"/>
              <w:rPr>
                <w:sz w:val="20"/>
                <w:szCs w:val="20"/>
                <w:color w:val="auto"/>
              </w:rPr>
            </w:pPr>
            <w:r>
              <w:rPr>
                <w:rFonts w:ascii="Times New Roman" w:cs="Times New Roman" w:eastAsia="Times New Roman" w:hAnsi="Times New Roman"/>
                <w:sz w:val="20"/>
                <w:szCs w:val="20"/>
                <w:color w:val="auto"/>
              </w:rPr>
              <w:t>4,140</w:t>
            </w:r>
          </w:p>
        </w:tc>
        <w:tc>
          <w:tcPr>
            <w:tcW w:w="60" w:type="dxa"/>
            <w:vAlign w:val="bottom"/>
            <w:shd w:val="clear" w:color="auto" w:fill="DDDDDD"/>
          </w:tcPr>
          <w:p>
            <w:pPr>
              <w:spacing w:after="0"/>
              <w:rPr>
                <w:sz w:val="24"/>
                <w:szCs w:val="24"/>
                <w:color w:val="auto"/>
              </w:rPr>
            </w:pPr>
          </w:p>
        </w:tc>
        <w:tc>
          <w:tcPr>
            <w:tcW w:w="20" w:type="dxa"/>
            <w:vAlign w:val="bottom"/>
            <w:shd w:val="clear" w:color="auto" w:fill="DDDDDD"/>
          </w:tcPr>
          <w:p>
            <w:pPr>
              <w:spacing w:after="0"/>
              <w:rPr>
                <w:sz w:val="24"/>
                <w:szCs w:val="24"/>
                <w:color w:val="auto"/>
              </w:rPr>
            </w:pPr>
          </w:p>
        </w:tc>
        <w:tc>
          <w:tcPr>
            <w:tcW w:w="440" w:type="dxa"/>
            <w:vAlign w:val="bottom"/>
            <w:shd w:val="clear" w:color="auto" w:fill="DDDDDD"/>
          </w:tcPr>
          <w:p>
            <w:pPr>
              <w:spacing w:after="0"/>
              <w:rPr>
                <w:sz w:val="24"/>
                <w:szCs w:val="24"/>
                <w:color w:val="auto"/>
              </w:rPr>
            </w:pPr>
          </w:p>
        </w:tc>
        <w:tc>
          <w:tcPr>
            <w:tcW w:w="1460" w:type="dxa"/>
            <w:vAlign w:val="bottom"/>
            <w:shd w:val="clear" w:color="auto" w:fill="DDDDDD"/>
          </w:tcPr>
          <w:p>
            <w:pPr>
              <w:jc w:val="right"/>
              <w:spacing w:after="0"/>
              <w:rPr>
                <w:sz w:val="20"/>
                <w:szCs w:val="20"/>
                <w:color w:val="auto"/>
              </w:rPr>
            </w:pPr>
            <w:r>
              <w:rPr>
                <w:rFonts w:ascii="Times New Roman" w:cs="Times New Roman" w:eastAsia="Times New Roman" w:hAnsi="Times New Roman"/>
                <w:sz w:val="20"/>
                <w:szCs w:val="20"/>
                <w:color w:val="auto"/>
              </w:rPr>
              <w:t>3,679</w:t>
            </w:r>
          </w:p>
        </w:tc>
      </w:tr>
      <w:tr>
        <w:trPr>
          <w:trHeight w:val="311"/>
        </w:trPr>
        <w:tc>
          <w:tcPr>
            <w:tcW w:w="40" w:type="dxa"/>
            <w:vAlign w:val="bottom"/>
            <w:tcBorders>
              <w:bottom w:val="single" w:sz="8" w:color="DDDDDD"/>
            </w:tcBorders>
          </w:tcPr>
          <w:p>
            <w:pPr>
              <w:spacing w:after="0"/>
              <w:rPr>
                <w:sz w:val="24"/>
                <w:szCs w:val="24"/>
                <w:color w:val="auto"/>
              </w:rPr>
            </w:pPr>
          </w:p>
        </w:tc>
        <w:tc>
          <w:tcPr>
            <w:tcW w:w="4360" w:type="dxa"/>
            <w:vAlign w:val="bottom"/>
            <w:tcBorders>
              <w:bottom w:val="single" w:sz="8" w:color="DDDDDD"/>
            </w:tcBorders>
            <w:gridSpan w:val="2"/>
          </w:tcPr>
          <w:p>
            <w:pPr>
              <w:ind w:left="120"/>
              <w:spacing w:after="0"/>
              <w:rPr>
                <w:sz w:val="20"/>
                <w:szCs w:val="20"/>
                <w:color w:val="auto"/>
              </w:rPr>
            </w:pPr>
            <w:r>
              <w:rPr>
                <w:rFonts w:ascii="Times New Roman" w:cs="Times New Roman" w:eastAsia="Times New Roman" w:hAnsi="Times New Roman"/>
                <w:sz w:val="20"/>
                <w:szCs w:val="20"/>
                <w:color w:val="auto"/>
              </w:rPr>
              <w:t>Other</w:t>
            </w:r>
          </w:p>
        </w:tc>
        <w:tc>
          <w:tcPr>
            <w:tcW w:w="440" w:type="dxa"/>
            <w:vAlign w:val="bottom"/>
            <w:tcBorders>
              <w:bottom w:val="single" w:sz="8" w:color="DDDDDD"/>
            </w:tcBorders>
          </w:tcPr>
          <w:p>
            <w:pPr>
              <w:spacing w:after="0"/>
              <w:rPr>
                <w:sz w:val="24"/>
                <w:szCs w:val="24"/>
                <w:color w:val="auto"/>
              </w:rPr>
            </w:pPr>
          </w:p>
        </w:tc>
        <w:tc>
          <w:tcPr>
            <w:tcW w:w="1460" w:type="dxa"/>
            <w:vAlign w:val="bottom"/>
            <w:tcBorders>
              <w:bottom w:val="single" w:sz="8" w:color="DDDDDD"/>
            </w:tcBorders>
          </w:tcPr>
          <w:p>
            <w:pPr>
              <w:spacing w:after="0"/>
              <w:rPr>
                <w:sz w:val="24"/>
                <w:szCs w:val="24"/>
                <w:color w:val="auto"/>
              </w:rPr>
            </w:pPr>
          </w:p>
        </w:tc>
        <w:tc>
          <w:tcPr>
            <w:tcW w:w="60" w:type="dxa"/>
            <w:vAlign w:val="bottom"/>
            <w:tcBorders>
              <w:bottom w:val="single" w:sz="8" w:color="DDDDDD"/>
            </w:tcBorders>
          </w:tcPr>
          <w:p>
            <w:pPr>
              <w:spacing w:after="0"/>
              <w:rPr>
                <w:sz w:val="24"/>
                <w:szCs w:val="24"/>
                <w:color w:val="auto"/>
              </w:rPr>
            </w:pPr>
          </w:p>
        </w:tc>
        <w:tc>
          <w:tcPr>
            <w:tcW w:w="20" w:type="dxa"/>
            <w:vAlign w:val="bottom"/>
            <w:tcBorders>
              <w:bottom w:val="single" w:sz="8" w:color="DDDDDD"/>
            </w:tcBorders>
          </w:tcPr>
          <w:p>
            <w:pPr>
              <w:spacing w:after="0"/>
              <w:rPr>
                <w:sz w:val="24"/>
                <w:szCs w:val="24"/>
                <w:color w:val="auto"/>
              </w:rPr>
            </w:pPr>
          </w:p>
        </w:tc>
        <w:tc>
          <w:tcPr>
            <w:tcW w:w="460" w:type="dxa"/>
            <w:vAlign w:val="bottom"/>
            <w:tcBorders>
              <w:bottom w:val="single" w:sz="8" w:color="auto"/>
            </w:tcBorders>
          </w:tcPr>
          <w:p>
            <w:pPr>
              <w:spacing w:after="0"/>
              <w:rPr>
                <w:sz w:val="24"/>
                <w:szCs w:val="24"/>
                <w:color w:val="auto"/>
              </w:rPr>
            </w:pPr>
          </w:p>
        </w:tc>
        <w:tc>
          <w:tcPr>
            <w:tcW w:w="14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535</w:t>
            </w:r>
          </w:p>
        </w:tc>
        <w:tc>
          <w:tcPr>
            <w:tcW w:w="60" w:type="dxa"/>
            <w:vAlign w:val="bottom"/>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440" w:type="dxa"/>
            <w:vAlign w:val="bottom"/>
            <w:tcBorders>
              <w:bottom w:val="single" w:sz="8" w:color="auto"/>
            </w:tcBorders>
          </w:tcPr>
          <w:p>
            <w:pPr>
              <w:spacing w:after="0"/>
              <w:rPr>
                <w:sz w:val="24"/>
                <w:szCs w:val="24"/>
                <w:color w:val="auto"/>
              </w:rPr>
            </w:pPr>
          </w:p>
        </w:tc>
        <w:tc>
          <w:tcPr>
            <w:tcW w:w="14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111</w:t>
            </w:r>
          </w:p>
        </w:tc>
      </w:tr>
      <w:tr>
        <w:trPr>
          <w:trHeight w:val="302"/>
        </w:trPr>
        <w:tc>
          <w:tcPr>
            <w:tcW w:w="40" w:type="dxa"/>
            <w:vAlign w:val="bottom"/>
            <w:shd w:val="clear" w:color="auto" w:fill="DDDDDD"/>
          </w:tcPr>
          <w:p>
            <w:pPr>
              <w:spacing w:after="0"/>
              <w:rPr>
                <w:sz w:val="24"/>
                <w:szCs w:val="24"/>
                <w:color w:val="auto"/>
              </w:rPr>
            </w:pPr>
          </w:p>
        </w:tc>
        <w:tc>
          <w:tcPr>
            <w:tcW w:w="4360" w:type="dxa"/>
            <w:vAlign w:val="bottom"/>
            <w:gridSpan w:val="2"/>
            <w:shd w:val="clear" w:color="auto" w:fill="DDDDDD"/>
          </w:tcPr>
          <w:p>
            <w:pPr>
              <w:ind w:left="160"/>
              <w:spacing w:after="0"/>
              <w:rPr>
                <w:sz w:val="20"/>
                <w:szCs w:val="20"/>
                <w:color w:val="auto"/>
              </w:rPr>
            </w:pPr>
            <w:r>
              <w:rPr>
                <w:rFonts w:ascii="Times New Roman" w:cs="Times New Roman" w:eastAsia="Times New Roman" w:hAnsi="Times New Roman"/>
                <w:sz w:val="20"/>
                <w:szCs w:val="20"/>
                <w:color w:val="auto"/>
              </w:rPr>
              <w:t>Total deferred tax asset</w:t>
            </w:r>
          </w:p>
        </w:tc>
        <w:tc>
          <w:tcPr>
            <w:tcW w:w="440" w:type="dxa"/>
            <w:vAlign w:val="bottom"/>
            <w:shd w:val="clear" w:color="auto" w:fill="DDDDDD"/>
          </w:tcPr>
          <w:p>
            <w:pPr>
              <w:spacing w:after="0"/>
              <w:rPr>
                <w:sz w:val="24"/>
                <w:szCs w:val="24"/>
                <w:color w:val="auto"/>
              </w:rPr>
            </w:pPr>
          </w:p>
        </w:tc>
        <w:tc>
          <w:tcPr>
            <w:tcW w:w="1460" w:type="dxa"/>
            <w:vAlign w:val="bottom"/>
            <w:shd w:val="clear" w:color="auto" w:fill="DDDDDD"/>
          </w:tcPr>
          <w:p>
            <w:pPr>
              <w:spacing w:after="0"/>
              <w:rPr>
                <w:sz w:val="24"/>
                <w:szCs w:val="24"/>
                <w:color w:val="auto"/>
              </w:rPr>
            </w:pPr>
          </w:p>
        </w:tc>
        <w:tc>
          <w:tcPr>
            <w:tcW w:w="60" w:type="dxa"/>
            <w:vAlign w:val="bottom"/>
            <w:shd w:val="clear" w:color="auto" w:fill="DDDDDD"/>
          </w:tcPr>
          <w:p>
            <w:pPr>
              <w:spacing w:after="0"/>
              <w:rPr>
                <w:sz w:val="24"/>
                <w:szCs w:val="24"/>
                <w:color w:val="auto"/>
              </w:rPr>
            </w:pPr>
          </w:p>
        </w:tc>
        <w:tc>
          <w:tcPr>
            <w:tcW w:w="20" w:type="dxa"/>
            <w:vAlign w:val="bottom"/>
            <w:shd w:val="clear" w:color="auto" w:fill="DDDDDD"/>
          </w:tcPr>
          <w:p>
            <w:pPr>
              <w:spacing w:after="0"/>
              <w:rPr>
                <w:sz w:val="24"/>
                <w:szCs w:val="24"/>
                <w:color w:val="auto"/>
              </w:rPr>
            </w:pPr>
          </w:p>
        </w:tc>
        <w:tc>
          <w:tcPr>
            <w:tcW w:w="460" w:type="dxa"/>
            <w:vAlign w:val="bottom"/>
            <w:shd w:val="clear" w:color="auto" w:fill="DDDDDD"/>
          </w:tcPr>
          <w:p>
            <w:pPr>
              <w:spacing w:after="0"/>
              <w:rPr>
                <w:sz w:val="24"/>
                <w:szCs w:val="24"/>
                <w:color w:val="auto"/>
              </w:rPr>
            </w:pPr>
          </w:p>
        </w:tc>
        <w:tc>
          <w:tcPr>
            <w:tcW w:w="1440" w:type="dxa"/>
            <w:vAlign w:val="bottom"/>
            <w:shd w:val="clear" w:color="auto" w:fill="DDDDDD"/>
          </w:tcPr>
          <w:p>
            <w:pPr>
              <w:jc w:val="right"/>
              <w:spacing w:after="0"/>
              <w:rPr>
                <w:sz w:val="20"/>
                <w:szCs w:val="20"/>
                <w:color w:val="auto"/>
              </w:rPr>
            </w:pPr>
            <w:r>
              <w:rPr>
                <w:rFonts w:ascii="Times New Roman" w:cs="Times New Roman" w:eastAsia="Times New Roman" w:hAnsi="Times New Roman"/>
                <w:sz w:val="20"/>
                <w:szCs w:val="20"/>
                <w:color w:val="auto"/>
              </w:rPr>
              <w:t>186,682</w:t>
            </w:r>
          </w:p>
        </w:tc>
        <w:tc>
          <w:tcPr>
            <w:tcW w:w="60" w:type="dxa"/>
            <w:vAlign w:val="bottom"/>
            <w:shd w:val="clear" w:color="auto" w:fill="DDDDDD"/>
          </w:tcPr>
          <w:p>
            <w:pPr>
              <w:spacing w:after="0"/>
              <w:rPr>
                <w:sz w:val="24"/>
                <w:szCs w:val="24"/>
                <w:color w:val="auto"/>
              </w:rPr>
            </w:pPr>
          </w:p>
        </w:tc>
        <w:tc>
          <w:tcPr>
            <w:tcW w:w="20" w:type="dxa"/>
            <w:vAlign w:val="bottom"/>
            <w:shd w:val="clear" w:color="auto" w:fill="DDDDDD"/>
          </w:tcPr>
          <w:p>
            <w:pPr>
              <w:spacing w:after="0"/>
              <w:rPr>
                <w:sz w:val="24"/>
                <w:szCs w:val="24"/>
                <w:color w:val="auto"/>
              </w:rPr>
            </w:pPr>
          </w:p>
        </w:tc>
        <w:tc>
          <w:tcPr>
            <w:tcW w:w="440" w:type="dxa"/>
            <w:vAlign w:val="bottom"/>
            <w:shd w:val="clear" w:color="auto" w:fill="DDDDDD"/>
          </w:tcPr>
          <w:p>
            <w:pPr>
              <w:spacing w:after="0"/>
              <w:rPr>
                <w:sz w:val="24"/>
                <w:szCs w:val="24"/>
                <w:color w:val="auto"/>
              </w:rPr>
            </w:pPr>
          </w:p>
        </w:tc>
        <w:tc>
          <w:tcPr>
            <w:tcW w:w="1460" w:type="dxa"/>
            <w:vAlign w:val="bottom"/>
            <w:shd w:val="clear" w:color="auto" w:fill="DDDDDD"/>
          </w:tcPr>
          <w:p>
            <w:pPr>
              <w:jc w:val="right"/>
              <w:spacing w:after="0"/>
              <w:rPr>
                <w:sz w:val="20"/>
                <w:szCs w:val="20"/>
                <w:color w:val="auto"/>
              </w:rPr>
            </w:pPr>
            <w:r>
              <w:rPr>
                <w:rFonts w:ascii="Times New Roman" w:cs="Times New Roman" w:eastAsia="Times New Roman" w:hAnsi="Times New Roman"/>
                <w:sz w:val="20"/>
                <w:szCs w:val="20"/>
                <w:color w:val="auto"/>
              </w:rPr>
              <w:t>187,066</w:t>
            </w:r>
          </w:p>
        </w:tc>
      </w:tr>
      <w:tr>
        <w:trPr>
          <w:trHeight w:val="304"/>
        </w:trPr>
        <w:tc>
          <w:tcPr>
            <w:tcW w:w="40" w:type="dxa"/>
            <w:vAlign w:val="bottom"/>
            <w:tcBorders>
              <w:bottom w:val="single" w:sz="8" w:color="DDDDDD"/>
            </w:tcBorders>
          </w:tcPr>
          <w:p>
            <w:pPr>
              <w:spacing w:after="0"/>
              <w:rPr>
                <w:sz w:val="24"/>
                <w:szCs w:val="24"/>
                <w:color w:val="auto"/>
              </w:rPr>
            </w:pPr>
          </w:p>
        </w:tc>
        <w:tc>
          <w:tcPr>
            <w:tcW w:w="4360" w:type="dxa"/>
            <w:vAlign w:val="bottom"/>
            <w:tcBorders>
              <w:bottom w:val="single" w:sz="8" w:color="DDDDDD"/>
            </w:tcBorders>
            <w:gridSpan w:val="2"/>
          </w:tcPr>
          <w:p>
            <w:pPr>
              <w:ind w:left="120"/>
              <w:spacing w:after="0"/>
              <w:rPr>
                <w:sz w:val="20"/>
                <w:szCs w:val="20"/>
                <w:color w:val="auto"/>
              </w:rPr>
            </w:pPr>
            <w:r>
              <w:rPr>
                <w:rFonts w:ascii="Times New Roman" w:cs="Times New Roman" w:eastAsia="Times New Roman" w:hAnsi="Times New Roman"/>
                <w:sz w:val="20"/>
                <w:szCs w:val="20"/>
                <w:color w:val="auto"/>
              </w:rPr>
              <w:t>Less: valuation allowance</w:t>
            </w:r>
          </w:p>
        </w:tc>
        <w:tc>
          <w:tcPr>
            <w:tcW w:w="440" w:type="dxa"/>
            <w:vAlign w:val="bottom"/>
            <w:tcBorders>
              <w:bottom w:val="single" w:sz="8" w:color="DDDDDD"/>
            </w:tcBorders>
          </w:tcPr>
          <w:p>
            <w:pPr>
              <w:spacing w:after="0"/>
              <w:rPr>
                <w:sz w:val="24"/>
                <w:szCs w:val="24"/>
                <w:color w:val="auto"/>
              </w:rPr>
            </w:pPr>
          </w:p>
        </w:tc>
        <w:tc>
          <w:tcPr>
            <w:tcW w:w="1460" w:type="dxa"/>
            <w:vAlign w:val="bottom"/>
            <w:tcBorders>
              <w:bottom w:val="single" w:sz="8" w:color="DDDDDD"/>
            </w:tcBorders>
          </w:tcPr>
          <w:p>
            <w:pPr>
              <w:spacing w:after="0"/>
              <w:rPr>
                <w:sz w:val="24"/>
                <w:szCs w:val="24"/>
                <w:color w:val="auto"/>
              </w:rPr>
            </w:pPr>
          </w:p>
        </w:tc>
        <w:tc>
          <w:tcPr>
            <w:tcW w:w="60" w:type="dxa"/>
            <w:vAlign w:val="bottom"/>
            <w:tcBorders>
              <w:bottom w:val="single" w:sz="8" w:color="DDDDDD"/>
            </w:tcBorders>
          </w:tcPr>
          <w:p>
            <w:pPr>
              <w:spacing w:after="0"/>
              <w:rPr>
                <w:sz w:val="24"/>
                <w:szCs w:val="24"/>
                <w:color w:val="auto"/>
              </w:rPr>
            </w:pPr>
          </w:p>
        </w:tc>
        <w:tc>
          <w:tcPr>
            <w:tcW w:w="20" w:type="dxa"/>
            <w:vAlign w:val="bottom"/>
            <w:tcBorders>
              <w:bottom w:val="single" w:sz="8" w:color="DDDDDD"/>
            </w:tcBorders>
          </w:tcPr>
          <w:p>
            <w:pPr>
              <w:spacing w:after="0"/>
              <w:rPr>
                <w:sz w:val="24"/>
                <w:szCs w:val="24"/>
                <w:color w:val="auto"/>
              </w:rPr>
            </w:pPr>
          </w:p>
        </w:tc>
        <w:tc>
          <w:tcPr>
            <w:tcW w:w="460" w:type="dxa"/>
            <w:vAlign w:val="bottom"/>
            <w:tcBorders>
              <w:bottom w:val="single" w:sz="8" w:color="auto"/>
            </w:tcBorders>
          </w:tcPr>
          <w:p>
            <w:pPr>
              <w:spacing w:after="0"/>
              <w:rPr>
                <w:sz w:val="24"/>
                <w:szCs w:val="24"/>
                <w:color w:val="auto"/>
              </w:rPr>
            </w:pPr>
          </w:p>
        </w:tc>
        <w:tc>
          <w:tcPr>
            <w:tcW w:w="14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(186,682)</w:t>
            </w:r>
          </w:p>
        </w:tc>
        <w:tc>
          <w:tcPr>
            <w:tcW w:w="60" w:type="dxa"/>
            <w:vAlign w:val="bottom"/>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440" w:type="dxa"/>
            <w:vAlign w:val="bottom"/>
            <w:tcBorders>
              <w:bottom w:val="single" w:sz="8" w:color="auto"/>
            </w:tcBorders>
          </w:tcPr>
          <w:p>
            <w:pPr>
              <w:spacing w:after="0"/>
              <w:rPr>
                <w:sz w:val="24"/>
                <w:szCs w:val="24"/>
                <w:color w:val="auto"/>
              </w:rPr>
            </w:pPr>
          </w:p>
        </w:tc>
        <w:tc>
          <w:tcPr>
            <w:tcW w:w="14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(187,066)</w:t>
            </w:r>
          </w:p>
        </w:tc>
      </w:tr>
      <w:tr>
        <w:trPr>
          <w:trHeight w:val="302"/>
        </w:trPr>
        <w:tc>
          <w:tcPr>
            <w:tcW w:w="40" w:type="dxa"/>
            <w:vAlign w:val="bottom"/>
            <w:shd w:val="clear" w:color="auto" w:fill="DDDDDD"/>
          </w:tcPr>
          <w:p>
            <w:pPr>
              <w:spacing w:after="0"/>
              <w:rPr>
                <w:sz w:val="24"/>
                <w:szCs w:val="24"/>
                <w:color w:val="auto"/>
              </w:rPr>
            </w:pPr>
          </w:p>
        </w:tc>
        <w:tc>
          <w:tcPr>
            <w:tcW w:w="4360" w:type="dxa"/>
            <w:vAlign w:val="bottom"/>
            <w:gridSpan w:val="2"/>
            <w:shd w:val="clear" w:color="auto" w:fill="DDDDDD"/>
          </w:tcPr>
          <w:p>
            <w:pPr>
              <w:spacing w:after="0"/>
              <w:rPr>
                <w:sz w:val="20"/>
                <w:szCs w:val="20"/>
                <w:color w:val="auto"/>
              </w:rPr>
            </w:pPr>
            <w:r>
              <w:rPr>
                <w:rFonts w:ascii="Times New Roman" w:cs="Times New Roman" w:eastAsia="Times New Roman" w:hAnsi="Times New Roman"/>
                <w:sz w:val="20"/>
                <w:szCs w:val="20"/>
                <w:color w:val="auto"/>
              </w:rPr>
              <w:t>Net deferred tax asset</w:t>
            </w:r>
          </w:p>
        </w:tc>
        <w:tc>
          <w:tcPr>
            <w:tcW w:w="440" w:type="dxa"/>
            <w:vAlign w:val="bottom"/>
            <w:shd w:val="clear" w:color="auto" w:fill="DDDDDD"/>
          </w:tcPr>
          <w:p>
            <w:pPr>
              <w:spacing w:after="0"/>
              <w:rPr>
                <w:sz w:val="24"/>
                <w:szCs w:val="24"/>
                <w:color w:val="auto"/>
              </w:rPr>
            </w:pPr>
          </w:p>
        </w:tc>
        <w:tc>
          <w:tcPr>
            <w:tcW w:w="1460" w:type="dxa"/>
            <w:vAlign w:val="bottom"/>
            <w:shd w:val="clear" w:color="auto" w:fill="DDDDDD"/>
          </w:tcPr>
          <w:p>
            <w:pPr>
              <w:spacing w:after="0"/>
              <w:rPr>
                <w:sz w:val="24"/>
                <w:szCs w:val="24"/>
                <w:color w:val="auto"/>
              </w:rPr>
            </w:pPr>
          </w:p>
        </w:tc>
        <w:tc>
          <w:tcPr>
            <w:tcW w:w="80" w:type="dxa"/>
            <w:vAlign w:val="bottom"/>
            <w:gridSpan w:val="2"/>
            <w:shd w:val="clear" w:color="auto" w:fill="DDDDDD"/>
          </w:tcPr>
          <w:p>
            <w:pPr>
              <w:spacing w:after="0"/>
              <w:rPr>
                <w:sz w:val="24"/>
                <w:szCs w:val="24"/>
                <w:color w:val="auto"/>
              </w:rPr>
            </w:pPr>
          </w:p>
        </w:tc>
        <w:tc>
          <w:tcPr>
            <w:tcW w:w="460" w:type="dxa"/>
            <w:vAlign w:val="bottom"/>
            <w:shd w:val="clear" w:color="auto" w:fill="DDDDDD"/>
          </w:tcPr>
          <w:p>
            <w:pPr>
              <w:jc w:val="right"/>
              <w:ind w:right="199"/>
              <w:spacing w:after="0"/>
              <w:rPr>
                <w:sz w:val="20"/>
                <w:szCs w:val="20"/>
                <w:color w:val="auto"/>
              </w:rPr>
            </w:pPr>
            <w:r>
              <w:rPr>
                <w:rFonts w:ascii="Times New Roman" w:cs="Times New Roman" w:eastAsia="Times New Roman" w:hAnsi="Times New Roman"/>
                <w:sz w:val="20"/>
                <w:szCs w:val="20"/>
                <w:color w:val="auto"/>
              </w:rPr>
              <w:t>$</w:t>
            </w:r>
          </w:p>
        </w:tc>
        <w:tc>
          <w:tcPr>
            <w:tcW w:w="1440" w:type="dxa"/>
            <w:vAlign w:val="bottom"/>
            <w:shd w:val="clear" w:color="auto" w:fill="DDDDDD"/>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60" w:type="dxa"/>
            <w:vAlign w:val="bottom"/>
            <w:shd w:val="clear" w:color="auto" w:fill="DDDDDD"/>
          </w:tcPr>
          <w:p>
            <w:pPr>
              <w:spacing w:after="0"/>
              <w:rPr>
                <w:sz w:val="24"/>
                <w:szCs w:val="24"/>
                <w:color w:val="auto"/>
              </w:rPr>
            </w:pPr>
          </w:p>
        </w:tc>
        <w:tc>
          <w:tcPr>
            <w:tcW w:w="20" w:type="dxa"/>
            <w:vAlign w:val="bottom"/>
            <w:shd w:val="clear" w:color="auto" w:fill="DDDDDD"/>
          </w:tcPr>
          <w:p>
            <w:pPr>
              <w:spacing w:after="0"/>
              <w:rPr>
                <w:sz w:val="24"/>
                <w:szCs w:val="24"/>
                <w:color w:val="auto"/>
              </w:rPr>
            </w:pPr>
          </w:p>
        </w:tc>
        <w:tc>
          <w:tcPr>
            <w:tcW w:w="440" w:type="dxa"/>
            <w:vAlign w:val="bottom"/>
            <w:shd w:val="clear" w:color="auto" w:fill="DDDDDD"/>
          </w:tcPr>
          <w:p>
            <w:pPr>
              <w:jc w:val="right"/>
              <w:ind w:right="199"/>
              <w:spacing w:after="0"/>
              <w:rPr>
                <w:sz w:val="20"/>
                <w:szCs w:val="20"/>
                <w:color w:val="auto"/>
              </w:rPr>
            </w:pPr>
            <w:r>
              <w:rPr>
                <w:rFonts w:ascii="Times New Roman" w:cs="Times New Roman" w:eastAsia="Times New Roman" w:hAnsi="Times New Roman"/>
                <w:sz w:val="20"/>
                <w:szCs w:val="20"/>
                <w:color w:val="auto"/>
              </w:rPr>
              <w:t>$</w:t>
            </w:r>
          </w:p>
        </w:tc>
        <w:tc>
          <w:tcPr>
            <w:tcW w:w="1460" w:type="dxa"/>
            <w:vAlign w:val="bottom"/>
            <w:shd w:val="clear" w:color="auto" w:fill="DDDDDD"/>
          </w:tcPr>
          <w:p>
            <w:pPr>
              <w:jc w:val="right"/>
              <w:spacing w:after="0"/>
              <w:rPr>
                <w:sz w:val="20"/>
                <w:szCs w:val="20"/>
                <w:color w:val="auto"/>
              </w:rPr>
            </w:pPr>
            <w:r>
              <w:rPr>
                <w:rFonts w:ascii="Times New Roman" w:cs="Times New Roman" w:eastAsia="Times New Roman" w:hAnsi="Times New Roman"/>
                <w:sz w:val="20"/>
                <w:szCs w:val="20"/>
                <w:color w:val="auto"/>
              </w:rPr>
              <w:t>—</w:t>
            </w:r>
          </w:p>
        </w:tc>
      </w:tr>
      <w:tr>
        <w:trPr>
          <w:trHeight w:val="20"/>
        </w:trPr>
        <w:tc>
          <w:tcPr>
            <w:tcW w:w="40" w:type="dxa"/>
            <w:vAlign w:val="bottom"/>
          </w:tcPr>
          <w:p>
            <w:pPr>
              <w:spacing w:after="0" w:line="20" w:lineRule="exact"/>
              <w:rPr>
                <w:sz w:val="1"/>
                <w:szCs w:val="1"/>
                <w:color w:val="auto"/>
              </w:rPr>
            </w:pPr>
          </w:p>
        </w:tc>
        <w:tc>
          <w:tcPr>
            <w:tcW w:w="43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4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r>
      <w:tr>
        <w:trPr>
          <w:trHeight w:val="20"/>
        </w:trPr>
        <w:tc>
          <w:tcPr>
            <w:tcW w:w="40" w:type="dxa"/>
            <w:vAlign w:val="bottom"/>
          </w:tcPr>
          <w:p>
            <w:pPr>
              <w:spacing w:after="0" w:line="20" w:lineRule="exact"/>
              <w:rPr>
                <w:sz w:val="1"/>
                <w:szCs w:val="1"/>
                <w:color w:val="auto"/>
              </w:rPr>
            </w:pPr>
          </w:p>
        </w:tc>
        <w:tc>
          <w:tcPr>
            <w:tcW w:w="43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4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5262880</wp:posOffset>
                </wp:positionH>
                <wp:positionV relativeFrom="paragraph">
                  <wp:posOffset>-1837690</wp:posOffset>
                </wp:positionV>
                <wp:extent cx="36195" cy="13970"/>
                <wp:wrapNone/>
                <wp:docPr id="113" name="Shape 113"/>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36195" cy="13970"/>
                        </a:xfrm>
                        <a:prstGeom prst="rect">
                          <a:avLst/>
                        </a:prstGeom>
                        <a:solidFill>
                          <a:srgbClr val="DDDDDD"/>
                        </a:solidFill>
                      </wps:spPr>
                      <wps:bodyPr/>
                    </wps:wsp>
                  </a:graphicData>
                </a:graphic>
              </wp:anchor>
            </w:drawing>
          </mc:Choice>
          <mc:Fallback>
            <w:pict>
              <v:rect id="Shape 113" o:spid="_x0000_s1138" style="position:absolute;margin-left:414.4pt;margin-top:-144.6999pt;width:2.85pt;height:1.1pt;z-index:-251657728;visibility:visible;mso-wrap-style:square;mso-width-percent:0;mso-height-percent:0;mso-wrap-distance-left:0pt;mso-wrap-distance-top:0;mso-wrap-distance-right:0pt;mso-wrap-distance-bottom:0;mso-position-horizontal:absolute;mso-position-horizontal-relative:text;mso-position-vertical:absolute;mso-position-vertical-relative:text;mso-width-percent:0;mso-height-percent:0;mso-width-relative:page;mso-height-relative:page;v-text-anchor:top" o:allowincell="f" fillcolor="#DDDDDD" stroked="f"/>
            </w:pict>
          </mc:Fallback>
        </mc:AlternateContent>
        <mc:AlternateContent>
          <mc:Choice Requires="wps">
            <w:drawing>
              <wp:anchor simplePos="0" relativeHeight="251657728" behindDoc="1" locked="0" layoutInCell="0" allowOverlap="1">
                <wp:simplePos x="0" y="0"/>
                <wp:positionH relativeFrom="column">
                  <wp:posOffset>5262880</wp:posOffset>
                </wp:positionH>
                <wp:positionV relativeFrom="paragraph">
                  <wp:posOffset>-635000</wp:posOffset>
                </wp:positionV>
                <wp:extent cx="36195" cy="13335"/>
                <wp:wrapNone/>
                <wp:docPr id="114" name="Shape 114"/>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36195" cy="13335"/>
                        </a:xfrm>
                        <a:prstGeom prst="rect">
                          <a:avLst/>
                        </a:prstGeom>
                        <a:solidFill>
                          <a:srgbClr val="DDDDDD"/>
                        </a:solidFill>
                      </wps:spPr>
                      <wps:bodyPr/>
                    </wps:wsp>
                  </a:graphicData>
                </a:graphic>
              </wp:anchor>
            </w:drawing>
          </mc:Choice>
          <mc:Fallback>
            <w:pict>
              <v:rect id="Shape 114" o:spid="_x0000_s1139" style="position:absolute;margin-left:414.4pt;margin-top:-50pt;width:2.85pt;height:1.05pt;z-index:-251657728;visibility:visible;mso-wrap-style:square;mso-width-percent:0;mso-height-percent:0;mso-wrap-distance-left:0pt;mso-wrap-distance-top:0;mso-wrap-distance-right:0pt;mso-wrap-distance-bottom:0;mso-position-horizontal:absolute;mso-position-horizontal-relative:text;mso-position-vertical:absolute;mso-position-vertical-relative:text;mso-width-percent:0;mso-height-percent:0;mso-width-relative:page;mso-height-relative:page;v-text-anchor:top" o:allowincell="f" fillcolor="#DDDDDD" stroked="f"/>
            </w:pict>
          </mc:Fallback>
        </mc:AlternateContent>
        <mc:AlternateContent>
          <mc:Choice Requires="wps">
            <w:drawing>
              <wp:anchor simplePos="0" relativeHeight="251657728" behindDoc="1" locked="0" layoutInCell="0" allowOverlap="1">
                <wp:simplePos x="0" y="0"/>
                <wp:positionH relativeFrom="column">
                  <wp:posOffset>5262880</wp:posOffset>
                </wp:positionH>
                <wp:positionV relativeFrom="paragraph">
                  <wp:posOffset>-237490</wp:posOffset>
                </wp:positionV>
                <wp:extent cx="36195" cy="13970"/>
                <wp:wrapNone/>
                <wp:docPr id="115" name="Shape 115"/>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36195" cy="13970"/>
                        </a:xfrm>
                        <a:prstGeom prst="rect">
                          <a:avLst/>
                        </a:prstGeom>
                        <a:solidFill>
                          <a:srgbClr val="DDDDDD"/>
                        </a:solidFill>
                      </wps:spPr>
                      <wps:bodyPr/>
                    </wps:wsp>
                  </a:graphicData>
                </a:graphic>
              </wp:anchor>
            </w:drawing>
          </mc:Choice>
          <mc:Fallback>
            <w:pict>
              <v:rect id="Shape 115" o:spid="_x0000_s1140" style="position:absolute;margin-left:414.4pt;margin-top:-18.6999pt;width:2.85pt;height:1.1pt;z-index:-251657728;visibility:visible;mso-wrap-style:square;mso-width-percent:0;mso-height-percent:0;mso-wrap-distance-left:0pt;mso-wrap-distance-top:0;mso-wrap-distance-right:0pt;mso-wrap-distance-bottom:0;mso-position-horizontal:absolute;mso-position-horizontal-relative:text;mso-position-vertical:absolute;mso-position-vertical-relative:text;mso-width-percent:0;mso-height-percent:0;mso-width-relative:page;mso-height-relative:page;v-text-anchor:top" o:allowincell="f" fillcolor="#DDDDDD" stroked="f"/>
            </w:pict>
          </mc:Fallback>
        </mc:AlternateContent>
      </w:r>
    </w:p>
    <w:p>
      <w:pPr>
        <w:spacing w:after="0" w:line="80" w:lineRule="exact"/>
        <w:rPr>
          <w:sz w:val="20"/>
          <w:szCs w:val="20"/>
          <w:color w:val="auto"/>
        </w:rPr>
      </w:pPr>
    </w:p>
    <w:p>
      <w:pPr>
        <w:jc w:val="both"/>
        <w:spacing w:after="0" w:line="309" w:lineRule="auto"/>
        <w:rPr>
          <w:sz w:val="20"/>
          <w:szCs w:val="20"/>
          <w:color w:val="auto"/>
        </w:rPr>
      </w:pPr>
      <w:r>
        <w:rPr>
          <w:rFonts w:ascii="Times New Roman" w:cs="Times New Roman" w:eastAsia="Times New Roman" w:hAnsi="Times New Roman"/>
          <w:sz w:val="20"/>
          <w:szCs w:val="20"/>
          <w:color w:val="auto"/>
        </w:rPr>
        <w:t>The valuation allowance decreased $0.4 million for the year ended December 31, 2023 and increased $187.0 million for the year ended December 31, 2022. Realization of deferred tax assets is dependent on future earning, if any, the timing of which are uncertain. Accordingly, the net deferred tax assets have been fully offset by a valuation allowance.</w:t>
      </w:r>
    </w:p>
    <w:p>
      <w:pPr>
        <w:spacing w:after="0" w:line="62" w:lineRule="exact"/>
        <w:rPr>
          <w:sz w:val="20"/>
          <w:szCs w:val="20"/>
          <w:color w:val="auto"/>
        </w:rPr>
      </w:pPr>
    </w:p>
    <w:p>
      <w:pPr>
        <w:jc w:val="both"/>
        <w:spacing w:after="0" w:line="301" w:lineRule="auto"/>
        <w:rPr>
          <w:sz w:val="20"/>
          <w:szCs w:val="20"/>
          <w:color w:val="auto"/>
        </w:rPr>
      </w:pPr>
      <w:r>
        <w:rPr>
          <w:rFonts w:ascii="Times New Roman" w:cs="Times New Roman" w:eastAsia="Times New Roman" w:hAnsi="Times New Roman"/>
          <w:sz w:val="20"/>
          <w:szCs w:val="20"/>
          <w:color w:val="auto"/>
        </w:rPr>
        <w:t>As of December 31, 2023, the Company had federal and state net operating loss carry forwards of approximately $57.8 million and $51.1 million, respectively, available to reduce future taxable income, if any. The federal net operating loss carries forward indefinitely and most of the state net operating losses will expire beginning in 2041. The Company also has foreign net operating loss carry forwards of approximately $0.1 million.</w:t>
      </w:r>
    </w:p>
    <w:p>
      <w:pPr>
        <w:spacing w:after="0" w:line="70" w:lineRule="exact"/>
        <w:rPr>
          <w:sz w:val="20"/>
          <w:szCs w:val="20"/>
          <w:color w:val="auto"/>
        </w:rPr>
      </w:pPr>
    </w:p>
    <w:p>
      <w:pPr>
        <w:jc w:val="both"/>
        <w:spacing w:after="0" w:line="306" w:lineRule="auto"/>
        <w:rPr>
          <w:sz w:val="20"/>
          <w:szCs w:val="20"/>
          <w:color w:val="auto"/>
        </w:rPr>
      </w:pPr>
      <w:r>
        <w:rPr>
          <w:rFonts w:ascii="Times New Roman" w:cs="Times New Roman" w:eastAsia="Times New Roman" w:hAnsi="Times New Roman"/>
          <w:sz w:val="20"/>
          <w:szCs w:val="20"/>
          <w:color w:val="auto"/>
        </w:rPr>
        <w:t>As of December 31, 2023, the Company had federal and California research credit carryforwards of $3.9 million and $1.5 million, respectively, available to reduce future tax. Federal tax credits begin to expire in 2041 and California credits carry forward indefinitely.</w:t>
      </w:r>
    </w:p>
    <w:p>
      <w:pPr>
        <w:spacing w:after="0" w:line="31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F-36</w:t>
      </w:r>
    </w:p>
    <w:p>
      <w:pPr>
        <w:sectPr>
          <w:pgSz w:w="12240" w:h="15840" w:orient="portrait"/>
          <w:cols w:equalWidth="0" w:num="1">
            <w:col w:w="10260"/>
          </w:cols>
          <w:pgMar w:left="1000" w:top="731" w:right="980" w:bottom="222" w:gutter="0" w:footer="0" w:header="0"/>
        </w:sectPr>
      </w:pPr>
    </w:p>
    <w:bookmarkStart w:id="156" w:name="page157"/>
    <w:bookmarkEnd w:id="156"/>
    <w:p>
      <w:pPr>
        <w:jc w:val="center"/>
        <w:spacing w:after="0"/>
        <w:rPr>
          <w:sz w:val="20"/>
          <w:szCs w:val="20"/>
          <w:color w:val="auto"/>
        </w:rPr>
      </w:pPr>
      <w:r>
        <w:rPr>
          <w:rFonts w:ascii="Times New Roman" w:cs="Times New Roman" w:eastAsia="Times New Roman" w:hAnsi="Times New Roman"/>
          <w:sz w:val="20"/>
          <w:szCs w:val="20"/>
          <w:b w:val="1"/>
          <w:bCs w:val="1"/>
          <w:color w:val="auto"/>
        </w:rPr>
        <w:t>WM TECHNOLOGY, INC. AND SUBSIDIARIES</w:t>
      </w:r>
    </w:p>
    <w:p>
      <w:pPr>
        <w:spacing w:after="0" w:line="4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NOTES TO CONSOLIDATED FINANCIAL STATEMENTS</w:t>
      </w:r>
    </w:p>
    <w:p>
      <w:pPr>
        <w:spacing w:after="0" w:line="286" w:lineRule="exact"/>
        <w:rPr>
          <w:sz w:val="20"/>
          <w:szCs w:val="20"/>
          <w:color w:val="auto"/>
        </w:rPr>
      </w:pPr>
    </w:p>
    <w:p>
      <w:pPr>
        <w:jc w:val="both"/>
        <w:spacing w:after="0" w:line="296" w:lineRule="auto"/>
        <w:rPr>
          <w:sz w:val="20"/>
          <w:szCs w:val="20"/>
          <w:color w:val="auto"/>
        </w:rPr>
      </w:pPr>
      <w:r>
        <w:rPr>
          <w:rFonts w:ascii="Times New Roman" w:cs="Times New Roman" w:eastAsia="Times New Roman" w:hAnsi="Times New Roman"/>
          <w:sz w:val="20"/>
          <w:szCs w:val="20"/>
          <w:color w:val="auto"/>
        </w:rPr>
        <w:t>Utilization of the net operating loss and tax credit carryforwards may be subject to an annual limitation due to the ownership change limitations provided by the Internal Revenue Code of 1986, as amended and similar state provisions. An “ownership change” would occur for these purposes if one or more stockholders or groups of stockholders, who own at least 5% of the Company’s stock, increase their ownership by more than 50 percentage points over their lowest ownership percentage within a rolling three-year period. Utilization of federal net operating loss carryforwards is also limited to 80% of the Company’s taxable income in the year of deduction.</w:t>
      </w:r>
    </w:p>
    <w:p>
      <w:pPr>
        <w:spacing w:after="0" w:line="76" w:lineRule="exact"/>
        <w:rPr>
          <w:sz w:val="20"/>
          <w:szCs w:val="20"/>
          <w:color w:val="auto"/>
        </w:rPr>
      </w:pPr>
    </w:p>
    <w:p>
      <w:pPr>
        <w:jc w:val="both"/>
        <w:spacing w:after="0" w:line="297" w:lineRule="auto"/>
        <w:rPr>
          <w:sz w:val="20"/>
          <w:szCs w:val="20"/>
          <w:color w:val="auto"/>
        </w:rPr>
      </w:pPr>
      <w:r>
        <w:rPr>
          <w:rFonts w:ascii="Times New Roman" w:cs="Times New Roman" w:eastAsia="Times New Roman" w:hAnsi="Times New Roman"/>
          <w:sz w:val="20"/>
          <w:szCs w:val="20"/>
          <w:color w:val="auto"/>
        </w:rPr>
        <w:t>The Company’s deferred tax asset is primarily attributable to future tax amortization deductions of tax basis created from the Business Combination, subsequent redemptions and exchanges of WHM Units, and future TRA payments. These deferred tax assets generally amortize over 15 years beginning on the date the WHM Units are deemed to have been exchanged or redeemed, or TRA payments are made, as applicable. Tax amortization deductions in excess of taxable income from operations result in a net operating loss, which can be carried forward indefinitely for federal tax purposes.</w:t>
      </w:r>
    </w:p>
    <w:p>
      <w:pPr>
        <w:spacing w:after="0" w:line="74" w:lineRule="exact"/>
        <w:rPr>
          <w:sz w:val="20"/>
          <w:szCs w:val="20"/>
          <w:color w:val="auto"/>
        </w:rPr>
      </w:pPr>
    </w:p>
    <w:p>
      <w:pPr>
        <w:jc w:val="both"/>
        <w:spacing w:after="0" w:line="310" w:lineRule="auto"/>
        <w:rPr>
          <w:sz w:val="20"/>
          <w:szCs w:val="20"/>
          <w:color w:val="auto"/>
        </w:rPr>
      </w:pPr>
      <w:r>
        <w:rPr>
          <w:rFonts w:ascii="Times New Roman" w:cs="Times New Roman" w:eastAsia="Times New Roman" w:hAnsi="Times New Roman"/>
          <w:sz w:val="19"/>
          <w:szCs w:val="19"/>
          <w:color w:val="auto"/>
        </w:rPr>
        <w:t>The Company assesses whether it is “more-likely-than-not” that it will realize its deferred tax assets (“DTAs”). The Company establishes a valuation allowance when available evidence indicates that it is more-likely-than-not that the deferred tax asset will not be realized. In assessing the need for a valuation allowance, the Company considers the amounts and timing of expected future deductions or carryforwards and sources of taxable income that may enable utilization. This includes an analysis of the Company’s current financial position, results of operations for the current and prior years and all currently available information about future years. This assessment and estimates require significant management judgement. The Company maintains an existing valuation allowance until enough positive evidence exists to support its reversal. Change in the amount or timing of expected future deductions or taxable income may have a material impact on the level of income tax valuation allowances.</w:t>
      </w:r>
    </w:p>
    <w:p>
      <w:pPr>
        <w:spacing w:after="0" w:line="75" w:lineRule="exact"/>
        <w:rPr>
          <w:sz w:val="20"/>
          <w:szCs w:val="20"/>
          <w:color w:val="auto"/>
        </w:rPr>
      </w:pPr>
    </w:p>
    <w:p>
      <w:pPr>
        <w:jc w:val="both"/>
        <w:spacing w:after="0" w:line="293" w:lineRule="auto"/>
        <w:rPr>
          <w:sz w:val="20"/>
          <w:szCs w:val="20"/>
          <w:color w:val="auto"/>
        </w:rPr>
      </w:pPr>
      <w:r>
        <w:rPr>
          <w:rFonts w:ascii="Times New Roman" w:cs="Times New Roman" w:eastAsia="Times New Roman" w:hAnsi="Times New Roman"/>
          <w:sz w:val="20"/>
          <w:szCs w:val="20"/>
          <w:color w:val="auto"/>
        </w:rPr>
        <w:t>Based on the weight of all available evidence, both positive and negative, the Company determined during the fourth quarter of 2022 that a full valuation allowance was required against its net DTAs. Management assessed the available positive and negative evidence to estimate whether sufficient future taxable income will be generated to permit use of the existing deferred tax assets. Significant pieces of negative evidence evaluated were the book operating loss incurred during the year ended December 31, 2022 and lowered forecasts at that time. For the period ending December 31, 2023, management conducted a similar analysis, and determined that a full valuation allowance was still required. Payment under the TRA liability was not probable, resulting from the full valuation allowance and accordingly, substantially all of the TRA liability was reversed. As of December 31, 2023 and 2022, the TRA liability was $1.8 million and $0.5 million, respectively.</w:t>
      </w:r>
    </w:p>
    <w:p>
      <w:pPr>
        <w:spacing w:after="0" w:line="80" w:lineRule="exact"/>
        <w:rPr>
          <w:sz w:val="20"/>
          <w:szCs w:val="20"/>
          <w:color w:val="auto"/>
        </w:rPr>
      </w:pPr>
    </w:p>
    <w:p>
      <w:pPr>
        <w:jc w:val="both"/>
        <w:ind w:right="20"/>
        <w:spacing w:after="0" w:line="306" w:lineRule="auto"/>
        <w:rPr>
          <w:sz w:val="20"/>
          <w:szCs w:val="20"/>
          <w:color w:val="auto"/>
        </w:rPr>
      </w:pPr>
      <w:r>
        <w:rPr>
          <w:rFonts w:ascii="Times New Roman" w:cs="Times New Roman" w:eastAsia="Times New Roman" w:hAnsi="Times New Roman"/>
          <w:sz w:val="20"/>
          <w:szCs w:val="20"/>
          <w:color w:val="auto"/>
        </w:rPr>
        <w:t xml:space="preserve">The Company follows the provisions of FASB ASC 740-10, </w:t>
      </w:r>
      <w:r>
        <w:rPr>
          <w:rFonts w:ascii="Times New Roman" w:cs="Times New Roman" w:eastAsia="Times New Roman" w:hAnsi="Times New Roman"/>
          <w:sz w:val="20"/>
          <w:szCs w:val="20"/>
          <w:i w:val="1"/>
          <w:iCs w:val="1"/>
          <w:color w:val="auto"/>
        </w:rPr>
        <w:t>Accounting for Uncertainty in Income Taxes</w:t>
      </w:r>
      <w:r>
        <w:rPr>
          <w:rFonts w:ascii="Times New Roman" w:cs="Times New Roman" w:eastAsia="Times New Roman" w:hAnsi="Times New Roman"/>
          <w:sz w:val="20"/>
          <w:szCs w:val="20"/>
          <w:color w:val="auto"/>
        </w:rPr>
        <w:t>. ASC 740-10 prescribes a comprehensive model for the recognition, measurement, presentation and disclosure in financial statements of any uncertain tax positions that have been taken or expected to be taken on a tax return.</w:t>
      </w:r>
    </w:p>
    <w:p>
      <w:pPr>
        <w:spacing w:after="0" w:line="71"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The following table reflects changes in the unrecognized tax benefits (in thousands):</w:t>
      </w: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285"/>
        </w:trPr>
        <w:tc>
          <w:tcPr>
            <w:tcW w:w="6320" w:type="dxa"/>
            <w:vAlign w:val="bottom"/>
            <w:tcBorders>
              <w:bottom w:val="single" w:sz="8" w:color="DDDDDD"/>
            </w:tcBorders>
          </w:tcPr>
          <w:p>
            <w:pPr>
              <w:spacing w:after="0"/>
              <w:rPr>
                <w:sz w:val="24"/>
                <w:szCs w:val="24"/>
                <w:color w:val="auto"/>
              </w:rPr>
            </w:pPr>
          </w:p>
        </w:tc>
        <w:tc>
          <w:tcPr>
            <w:tcW w:w="60" w:type="dxa"/>
            <w:vAlign w:val="bottom"/>
            <w:tcBorders>
              <w:bottom w:val="single" w:sz="8" w:color="DDDDDD"/>
            </w:tcBorders>
          </w:tcPr>
          <w:p>
            <w:pPr>
              <w:spacing w:after="0"/>
              <w:rPr>
                <w:sz w:val="24"/>
                <w:szCs w:val="24"/>
                <w:color w:val="auto"/>
              </w:rPr>
            </w:pPr>
          </w:p>
        </w:tc>
        <w:tc>
          <w:tcPr>
            <w:tcW w:w="1900" w:type="dxa"/>
            <w:vAlign w:val="bottom"/>
            <w:tcBorders>
              <w:bottom w:val="single" w:sz="8" w:color="auto"/>
            </w:tcBorders>
            <w:gridSpan w:val="2"/>
          </w:tcPr>
          <w:p>
            <w:pPr>
              <w:jc w:val="right"/>
              <w:ind w:right="39"/>
              <w:spacing w:after="0"/>
              <w:rPr>
                <w:sz w:val="20"/>
                <w:szCs w:val="20"/>
                <w:color w:val="auto"/>
              </w:rPr>
            </w:pPr>
            <w:r>
              <w:rPr>
                <w:rFonts w:ascii="Times New Roman" w:cs="Times New Roman" w:eastAsia="Times New Roman" w:hAnsi="Times New Roman"/>
                <w:sz w:val="20"/>
                <w:szCs w:val="20"/>
                <w:b w:val="1"/>
                <w:bCs w:val="1"/>
                <w:color w:val="auto"/>
              </w:rPr>
              <w:t>December 31, 2023</w:t>
            </w:r>
          </w:p>
        </w:tc>
        <w:tc>
          <w:tcPr>
            <w:tcW w:w="60" w:type="dxa"/>
            <w:vAlign w:val="bottom"/>
          </w:tcPr>
          <w:p>
            <w:pPr>
              <w:spacing w:after="0"/>
              <w:rPr>
                <w:sz w:val="24"/>
                <w:szCs w:val="24"/>
                <w:color w:val="auto"/>
              </w:rPr>
            </w:pPr>
          </w:p>
        </w:tc>
        <w:tc>
          <w:tcPr>
            <w:tcW w:w="1920" w:type="dxa"/>
            <w:vAlign w:val="bottom"/>
            <w:tcBorders>
              <w:bottom w:val="single" w:sz="8" w:color="auto"/>
            </w:tcBorders>
            <w:gridSpan w:val="2"/>
          </w:tcPr>
          <w:p>
            <w:pPr>
              <w:jc w:val="right"/>
              <w:ind w:right="59"/>
              <w:spacing w:after="0"/>
              <w:rPr>
                <w:sz w:val="20"/>
                <w:szCs w:val="20"/>
                <w:color w:val="auto"/>
              </w:rPr>
            </w:pPr>
            <w:r>
              <w:rPr>
                <w:rFonts w:ascii="Times New Roman" w:cs="Times New Roman" w:eastAsia="Times New Roman" w:hAnsi="Times New Roman"/>
                <w:sz w:val="20"/>
                <w:szCs w:val="20"/>
                <w:b w:val="1"/>
                <w:bCs w:val="1"/>
                <w:color w:val="auto"/>
              </w:rPr>
              <w:t>December 31, 2022</w:t>
            </w:r>
          </w:p>
        </w:tc>
      </w:tr>
      <w:tr>
        <w:trPr>
          <w:trHeight w:val="295"/>
        </w:trPr>
        <w:tc>
          <w:tcPr>
            <w:tcW w:w="6320" w:type="dxa"/>
            <w:vAlign w:val="bottom"/>
            <w:shd w:val="clear" w:color="auto" w:fill="DDDDDD"/>
          </w:tcPr>
          <w:p>
            <w:pPr>
              <w:ind w:left="40"/>
              <w:spacing w:after="0"/>
              <w:rPr>
                <w:sz w:val="20"/>
                <w:szCs w:val="20"/>
                <w:color w:val="auto"/>
              </w:rPr>
            </w:pPr>
            <w:r>
              <w:rPr>
                <w:rFonts w:ascii="Times New Roman" w:cs="Times New Roman" w:eastAsia="Times New Roman" w:hAnsi="Times New Roman"/>
                <w:sz w:val="20"/>
                <w:szCs w:val="20"/>
                <w:color w:val="auto"/>
              </w:rPr>
              <w:t>Gross amount of unrecognized tax benefits as of the beginning of the period</w:t>
            </w:r>
          </w:p>
        </w:tc>
        <w:tc>
          <w:tcPr>
            <w:tcW w:w="60" w:type="dxa"/>
            <w:vAlign w:val="bottom"/>
            <w:shd w:val="clear" w:color="auto" w:fill="DDDDDD"/>
          </w:tcPr>
          <w:p>
            <w:pPr>
              <w:spacing w:after="0"/>
              <w:rPr>
                <w:sz w:val="24"/>
                <w:szCs w:val="24"/>
                <w:color w:val="auto"/>
              </w:rPr>
            </w:pPr>
          </w:p>
        </w:tc>
        <w:tc>
          <w:tcPr>
            <w:tcW w:w="780" w:type="dxa"/>
            <w:vAlign w:val="bottom"/>
            <w:shd w:val="clear" w:color="auto" w:fill="DDDDDD"/>
          </w:tcPr>
          <w:p>
            <w:pPr>
              <w:jc w:val="right"/>
              <w:ind w:right="519"/>
              <w:spacing w:after="0"/>
              <w:rPr>
                <w:sz w:val="20"/>
                <w:szCs w:val="20"/>
                <w:color w:val="auto"/>
              </w:rPr>
            </w:pPr>
            <w:r>
              <w:rPr>
                <w:rFonts w:ascii="Times New Roman" w:cs="Times New Roman" w:eastAsia="Times New Roman" w:hAnsi="Times New Roman"/>
                <w:sz w:val="20"/>
                <w:szCs w:val="20"/>
                <w:color w:val="auto"/>
              </w:rPr>
              <w:t>$</w:t>
            </w:r>
          </w:p>
        </w:tc>
        <w:tc>
          <w:tcPr>
            <w:tcW w:w="1120" w:type="dxa"/>
            <w:vAlign w:val="bottom"/>
            <w:shd w:val="clear" w:color="auto" w:fill="DDDDDD"/>
          </w:tcPr>
          <w:p>
            <w:pPr>
              <w:jc w:val="right"/>
              <w:spacing w:after="0"/>
              <w:rPr>
                <w:sz w:val="20"/>
                <w:szCs w:val="20"/>
                <w:color w:val="auto"/>
              </w:rPr>
            </w:pPr>
            <w:r>
              <w:rPr>
                <w:rFonts w:ascii="Times New Roman" w:cs="Times New Roman" w:eastAsia="Times New Roman" w:hAnsi="Times New Roman"/>
                <w:sz w:val="20"/>
                <w:szCs w:val="20"/>
                <w:color w:val="auto"/>
              </w:rPr>
              <w:t>920</w:t>
            </w:r>
          </w:p>
        </w:tc>
        <w:tc>
          <w:tcPr>
            <w:tcW w:w="60" w:type="dxa"/>
            <w:vAlign w:val="bottom"/>
            <w:shd w:val="clear" w:color="auto" w:fill="DDDDDD"/>
          </w:tcPr>
          <w:p>
            <w:pPr>
              <w:spacing w:after="0"/>
              <w:rPr>
                <w:sz w:val="24"/>
                <w:szCs w:val="24"/>
                <w:color w:val="auto"/>
              </w:rPr>
            </w:pPr>
          </w:p>
        </w:tc>
        <w:tc>
          <w:tcPr>
            <w:tcW w:w="840" w:type="dxa"/>
            <w:vAlign w:val="bottom"/>
            <w:shd w:val="clear" w:color="auto" w:fill="DDDDDD"/>
          </w:tcPr>
          <w:p>
            <w:pPr>
              <w:jc w:val="right"/>
              <w:ind w:right="579"/>
              <w:spacing w:after="0"/>
              <w:rPr>
                <w:sz w:val="20"/>
                <w:szCs w:val="20"/>
                <w:color w:val="auto"/>
              </w:rPr>
            </w:pPr>
            <w:r>
              <w:rPr>
                <w:rFonts w:ascii="Times New Roman" w:cs="Times New Roman" w:eastAsia="Times New Roman" w:hAnsi="Times New Roman"/>
                <w:sz w:val="20"/>
                <w:szCs w:val="20"/>
                <w:color w:val="auto"/>
              </w:rPr>
              <w:t>$</w:t>
            </w:r>
          </w:p>
        </w:tc>
        <w:tc>
          <w:tcPr>
            <w:tcW w:w="1080" w:type="dxa"/>
            <w:vAlign w:val="bottom"/>
            <w:shd w:val="clear" w:color="auto" w:fill="DDDDDD"/>
          </w:tcPr>
          <w:p>
            <w:pPr>
              <w:jc w:val="right"/>
              <w:spacing w:after="0"/>
              <w:rPr>
                <w:sz w:val="20"/>
                <w:szCs w:val="20"/>
                <w:color w:val="auto"/>
              </w:rPr>
            </w:pPr>
            <w:r>
              <w:rPr>
                <w:rFonts w:ascii="Times New Roman" w:cs="Times New Roman" w:eastAsia="Times New Roman" w:hAnsi="Times New Roman"/>
                <w:sz w:val="20"/>
                <w:szCs w:val="20"/>
                <w:color w:val="auto"/>
              </w:rPr>
              <w:t>188</w:t>
            </w:r>
          </w:p>
        </w:tc>
      </w:tr>
      <w:tr>
        <w:trPr>
          <w:trHeight w:val="307"/>
        </w:trPr>
        <w:tc>
          <w:tcPr>
            <w:tcW w:w="6320" w:type="dxa"/>
            <w:vAlign w:val="bottom"/>
          </w:tcPr>
          <w:p>
            <w:pPr>
              <w:ind w:left="160"/>
              <w:spacing w:after="0"/>
              <w:rPr>
                <w:sz w:val="20"/>
                <w:szCs w:val="20"/>
                <w:color w:val="auto"/>
              </w:rPr>
            </w:pPr>
            <w:r>
              <w:rPr>
                <w:rFonts w:ascii="Times New Roman" w:cs="Times New Roman" w:eastAsia="Times New Roman" w:hAnsi="Times New Roman"/>
                <w:sz w:val="20"/>
                <w:szCs w:val="20"/>
                <w:color w:val="auto"/>
              </w:rPr>
              <w:t>Decreases related to prior year tax provisions</w:t>
            </w:r>
          </w:p>
        </w:tc>
        <w:tc>
          <w:tcPr>
            <w:tcW w:w="6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6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w:t>
            </w:r>
          </w:p>
        </w:tc>
      </w:tr>
      <w:tr>
        <w:trPr>
          <w:trHeight w:val="314"/>
        </w:trPr>
        <w:tc>
          <w:tcPr>
            <w:tcW w:w="6320" w:type="dxa"/>
            <w:vAlign w:val="bottom"/>
            <w:tcBorders>
              <w:bottom w:val="single" w:sz="8" w:color="DDDDDD"/>
            </w:tcBorders>
            <w:shd w:val="clear" w:color="auto" w:fill="DDDDDD"/>
          </w:tcPr>
          <w:p>
            <w:pPr>
              <w:ind w:left="160"/>
              <w:spacing w:after="0"/>
              <w:rPr>
                <w:sz w:val="20"/>
                <w:szCs w:val="20"/>
                <w:color w:val="auto"/>
              </w:rPr>
            </w:pPr>
            <w:r>
              <w:rPr>
                <w:rFonts w:ascii="Times New Roman" w:cs="Times New Roman" w:eastAsia="Times New Roman" w:hAnsi="Times New Roman"/>
                <w:sz w:val="20"/>
                <w:szCs w:val="20"/>
                <w:color w:val="auto"/>
              </w:rPr>
              <w:t>Increases related to current year tax provisions</w:t>
            </w:r>
          </w:p>
        </w:tc>
        <w:tc>
          <w:tcPr>
            <w:tcW w:w="60" w:type="dxa"/>
            <w:vAlign w:val="bottom"/>
            <w:tcBorders>
              <w:bottom w:val="single" w:sz="8" w:color="DDDDDD"/>
            </w:tcBorders>
            <w:shd w:val="clear" w:color="auto" w:fill="DDDDDD"/>
          </w:tcPr>
          <w:p>
            <w:pPr>
              <w:spacing w:after="0"/>
              <w:rPr>
                <w:sz w:val="24"/>
                <w:szCs w:val="24"/>
                <w:color w:val="auto"/>
              </w:rPr>
            </w:pPr>
          </w:p>
        </w:tc>
        <w:tc>
          <w:tcPr>
            <w:tcW w:w="780" w:type="dxa"/>
            <w:vAlign w:val="bottom"/>
            <w:tcBorders>
              <w:bottom w:val="single" w:sz="8" w:color="auto"/>
            </w:tcBorders>
            <w:shd w:val="clear" w:color="auto" w:fill="DDDDDD"/>
          </w:tcPr>
          <w:p>
            <w:pPr>
              <w:spacing w:after="0"/>
              <w:rPr>
                <w:sz w:val="24"/>
                <w:szCs w:val="24"/>
                <w:color w:val="auto"/>
              </w:rPr>
            </w:pPr>
          </w:p>
        </w:tc>
        <w:tc>
          <w:tcPr>
            <w:tcW w:w="1120" w:type="dxa"/>
            <w:vAlign w:val="bottom"/>
            <w:tcBorders>
              <w:bottom w:val="single" w:sz="8" w:color="auto"/>
            </w:tcBorders>
            <w:shd w:val="clear" w:color="auto" w:fill="DDDDDD"/>
          </w:tcPr>
          <w:p>
            <w:pPr>
              <w:jc w:val="right"/>
              <w:spacing w:after="0"/>
              <w:rPr>
                <w:sz w:val="20"/>
                <w:szCs w:val="20"/>
                <w:color w:val="auto"/>
              </w:rPr>
            </w:pPr>
            <w:r>
              <w:rPr>
                <w:rFonts w:ascii="Times New Roman" w:cs="Times New Roman" w:eastAsia="Times New Roman" w:hAnsi="Times New Roman"/>
                <w:sz w:val="20"/>
                <w:szCs w:val="20"/>
                <w:color w:val="auto"/>
              </w:rPr>
              <w:t>104</w:t>
            </w:r>
          </w:p>
        </w:tc>
        <w:tc>
          <w:tcPr>
            <w:tcW w:w="60" w:type="dxa"/>
            <w:vAlign w:val="bottom"/>
            <w:tcBorders>
              <w:bottom w:val="single" w:sz="8" w:color="DDDDDD"/>
            </w:tcBorders>
            <w:shd w:val="clear" w:color="auto" w:fill="DDDDDD"/>
          </w:tcPr>
          <w:p>
            <w:pPr>
              <w:spacing w:after="0"/>
              <w:rPr>
                <w:sz w:val="24"/>
                <w:szCs w:val="24"/>
                <w:color w:val="auto"/>
              </w:rPr>
            </w:pPr>
          </w:p>
        </w:tc>
        <w:tc>
          <w:tcPr>
            <w:tcW w:w="840" w:type="dxa"/>
            <w:vAlign w:val="bottom"/>
            <w:tcBorders>
              <w:bottom w:val="single" w:sz="8" w:color="auto"/>
            </w:tcBorders>
            <w:shd w:val="clear" w:color="auto" w:fill="DDDDDD"/>
          </w:tcPr>
          <w:p>
            <w:pPr>
              <w:spacing w:after="0"/>
              <w:rPr>
                <w:sz w:val="24"/>
                <w:szCs w:val="24"/>
                <w:color w:val="auto"/>
              </w:rPr>
            </w:pPr>
          </w:p>
        </w:tc>
        <w:tc>
          <w:tcPr>
            <w:tcW w:w="1080" w:type="dxa"/>
            <w:vAlign w:val="bottom"/>
            <w:tcBorders>
              <w:bottom w:val="single" w:sz="8" w:color="auto"/>
            </w:tcBorders>
            <w:shd w:val="clear" w:color="auto" w:fill="DDDDDD"/>
          </w:tcPr>
          <w:p>
            <w:pPr>
              <w:jc w:val="right"/>
              <w:spacing w:after="0"/>
              <w:rPr>
                <w:sz w:val="20"/>
                <w:szCs w:val="20"/>
                <w:color w:val="auto"/>
              </w:rPr>
            </w:pPr>
            <w:r>
              <w:rPr>
                <w:rFonts w:ascii="Times New Roman" w:cs="Times New Roman" w:eastAsia="Times New Roman" w:hAnsi="Times New Roman"/>
                <w:sz w:val="20"/>
                <w:szCs w:val="20"/>
                <w:color w:val="auto"/>
              </w:rPr>
              <w:t>732</w:t>
            </w:r>
          </w:p>
        </w:tc>
      </w:tr>
      <w:tr>
        <w:trPr>
          <w:trHeight w:val="290"/>
        </w:trPr>
        <w:tc>
          <w:tcPr>
            <w:tcW w:w="6320" w:type="dxa"/>
            <w:vAlign w:val="bottom"/>
          </w:tcPr>
          <w:p>
            <w:pPr>
              <w:ind w:left="40"/>
              <w:spacing w:after="0"/>
              <w:rPr>
                <w:sz w:val="20"/>
                <w:szCs w:val="20"/>
                <w:color w:val="auto"/>
              </w:rPr>
            </w:pPr>
            <w:r>
              <w:rPr>
                <w:rFonts w:ascii="Times New Roman" w:cs="Times New Roman" w:eastAsia="Times New Roman" w:hAnsi="Times New Roman"/>
                <w:sz w:val="20"/>
                <w:szCs w:val="20"/>
                <w:color w:val="auto"/>
              </w:rPr>
              <w:t>Gross amount of unrecognized tax benefits as of the end of the period</w:t>
            </w:r>
          </w:p>
        </w:tc>
        <w:tc>
          <w:tcPr>
            <w:tcW w:w="840" w:type="dxa"/>
            <w:vAlign w:val="bottom"/>
            <w:gridSpan w:val="2"/>
          </w:tcPr>
          <w:p>
            <w:pPr>
              <w:jc w:val="right"/>
              <w:ind w:right="519"/>
              <w:spacing w:after="0"/>
              <w:rPr>
                <w:sz w:val="20"/>
                <w:szCs w:val="20"/>
                <w:color w:val="auto"/>
              </w:rPr>
            </w:pPr>
            <w:r>
              <w:rPr>
                <w:rFonts w:ascii="Times New Roman" w:cs="Times New Roman" w:eastAsia="Times New Roman" w:hAnsi="Times New Roman"/>
                <w:sz w:val="20"/>
                <w:szCs w:val="20"/>
                <w:color w:val="auto"/>
              </w:rPr>
              <w:t>$</w:t>
            </w:r>
          </w:p>
        </w:tc>
        <w:tc>
          <w:tcPr>
            <w:tcW w:w="11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1,024</w:t>
            </w:r>
          </w:p>
        </w:tc>
        <w:tc>
          <w:tcPr>
            <w:tcW w:w="900" w:type="dxa"/>
            <w:vAlign w:val="bottom"/>
            <w:gridSpan w:val="2"/>
          </w:tcPr>
          <w:p>
            <w:pPr>
              <w:jc w:val="right"/>
              <w:ind w:right="579"/>
              <w:spacing w:after="0"/>
              <w:rPr>
                <w:sz w:val="20"/>
                <w:szCs w:val="20"/>
                <w:color w:val="auto"/>
              </w:rPr>
            </w:pPr>
            <w:r>
              <w:rPr>
                <w:rFonts w:ascii="Times New Roman" w:cs="Times New Roman" w:eastAsia="Times New Roman" w:hAnsi="Times New Roman"/>
                <w:sz w:val="20"/>
                <w:szCs w:val="20"/>
                <w:color w:val="auto"/>
              </w:rPr>
              <w:t>$</w:t>
            </w:r>
          </w:p>
        </w:tc>
        <w:tc>
          <w:tcPr>
            <w:tcW w:w="10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920</w:t>
            </w:r>
          </w:p>
        </w:tc>
      </w:tr>
      <w:tr>
        <w:trPr>
          <w:trHeight w:val="26"/>
        </w:trPr>
        <w:tc>
          <w:tcPr>
            <w:tcW w:w="6320" w:type="dxa"/>
            <w:vAlign w:val="bottom"/>
          </w:tcPr>
          <w:p>
            <w:pPr>
              <w:spacing w:after="0"/>
              <w:rPr>
                <w:sz w:val="2"/>
                <w:szCs w:val="2"/>
                <w:color w:val="auto"/>
              </w:rPr>
            </w:pPr>
          </w:p>
        </w:tc>
        <w:tc>
          <w:tcPr>
            <w:tcW w:w="60" w:type="dxa"/>
            <w:vAlign w:val="bottom"/>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60" w:type="dxa"/>
            <w:vAlign w:val="bottom"/>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r>
      <w:tr>
        <w:trPr>
          <w:trHeight w:val="20"/>
        </w:trPr>
        <w:tc>
          <w:tcPr>
            <w:tcW w:w="63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5262880</wp:posOffset>
                </wp:positionH>
                <wp:positionV relativeFrom="paragraph">
                  <wp:posOffset>-831850</wp:posOffset>
                </wp:positionV>
                <wp:extent cx="36195" cy="13970"/>
                <wp:wrapNone/>
                <wp:docPr id="116" name="Shape 116"/>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36195" cy="13970"/>
                        </a:xfrm>
                        <a:prstGeom prst="rect">
                          <a:avLst/>
                        </a:prstGeom>
                        <a:solidFill>
                          <a:srgbClr val="DDDDDD"/>
                        </a:solidFill>
                      </wps:spPr>
                      <wps:bodyPr/>
                    </wps:wsp>
                  </a:graphicData>
                </a:graphic>
              </wp:anchor>
            </w:drawing>
          </mc:Choice>
          <mc:Fallback>
            <w:pict>
              <v:rect id="Shape 116" o:spid="_x0000_s1141" style="position:absolute;margin-left:414.4pt;margin-top:-65.4999pt;width:2.85pt;height:1.1pt;z-index:-251657728;visibility:visible;mso-wrap-style:square;mso-width-percent:0;mso-height-percent:0;mso-wrap-distance-left:0pt;mso-wrap-distance-top:0;mso-wrap-distance-right:0pt;mso-wrap-distance-bottom:0;mso-position-horizontal:absolute;mso-position-horizontal-relative:text;mso-position-vertical:absolute;mso-position-vertical-relative:text;mso-width-percent:0;mso-height-percent:0;mso-width-relative:page;mso-height-relative:page;v-text-anchor:top" o:allowincell="f" fillcolor="#DDDDDD" stroked="f"/>
            </w:pict>
          </mc:Fallback>
        </mc:AlternateContent>
      </w:r>
    </w:p>
    <w:p>
      <w:pPr>
        <w:spacing w:after="0" w:line="80" w:lineRule="exact"/>
        <w:rPr>
          <w:sz w:val="20"/>
          <w:szCs w:val="20"/>
          <w:color w:val="auto"/>
        </w:rPr>
      </w:pPr>
    </w:p>
    <w:p>
      <w:pPr>
        <w:jc w:val="both"/>
        <w:spacing w:after="0" w:line="301" w:lineRule="auto"/>
        <w:rPr>
          <w:sz w:val="20"/>
          <w:szCs w:val="20"/>
          <w:color w:val="auto"/>
        </w:rPr>
      </w:pPr>
      <w:r>
        <w:rPr>
          <w:rFonts w:ascii="Times New Roman" w:cs="Times New Roman" w:eastAsia="Times New Roman" w:hAnsi="Times New Roman"/>
          <w:sz w:val="20"/>
          <w:szCs w:val="20"/>
          <w:color w:val="auto"/>
        </w:rPr>
        <w:t>As of December 31, 2023, the Company has unrecognized tax benefits of approximately $1.0 million, which would affect its effective tax rate if recognized, and without consideration of valuation allowance. It is unlikely that the amount of liability for unrecognized tax benefits will significantly change over the next 12 months. It is the Company’s policy to include penalties and interest expense related to income taxes as a component of other expense and interest expense, respectively, as necessary.</w:t>
      </w:r>
    </w:p>
    <w:p>
      <w:pPr>
        <w:spacing w:after="0" w:line="70" w:lineRule="exact"/>
        <w:rPr>
          <w:sz w:val="20"/>
          <w:szCs w:val="20"/>
          <w:color w:val="auto"/>
        </w:rPr>
      </w:pPr>
    </w:p>
    <w:p>
      <w:pPr>
        <w:jc w:val="both"/>
        <w:ind w:right="20"/>
        <w:spacing w:after="0" w:line="306" w:lineRule="auto"/>
        <w:rPr>
          <w:sz w:val="20"/>
          <w:szCs w:val="20"/>
          <w:color w:val="auto"/>
        </w:rPr>
      </w:pPr>
      <w:r>
        <w:rPr>
          <w:rFonts w:ascii="Times New Roman" w:cs="Times New Roman" w:eastAsia="Times New Roman" w:hAnsi="Times New Roman"/>
          <w:sz w:val="20"/>
          <w:szCs w:val="20"/>
          <w:color w:val="auto"/>
        </w:rPr>
        <w:t>The Company and its subsidiaries file income tax returns with the U.S. federal government, various U.S. states and several foreign jurisdictions. The Company’s U.S. federal and state tax returns remain open to examination for 2019 through 2023. In addition, tax returns remain open to examination in non-U.S. subsidiaries, including Canada.</w:t>
      </w:r>
    </w:p>
    <w:p>
      <w:pPr>
        <w:spacing w:after="0" w:line="17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F-37</w:t>
      </w:r>
    </w:p>
    <w:p>
      <w:pPr>
        <w:sectPr>
          <w:pgSz w:w="12240" w:h="15840" w:orient="portrait"/>
          <w:cols w:equalWidth="0" w:num="1">
            <w:col w:w="10260"/>
          </w:cols>
          <w:pgMar w:left="1000" w:top="731" w:right="980" w:bottom="222" w:gutter="0" w:footer="0" w:header="0"/>
        </w:sectPr>
      </w:pPr>
    </w:p>
    <w:bookmarkStart w:id="157" w:name="page158"/>
    <w:bookmarkEnd w:id="157"/>
    <w:p>
      <w:pPr>
        <w:ind w:left="547" w:hanging="547"/>
        <w:spacing w:after="0"/>
        <w:tabs>
          <w:tab w:leader="none" w:pos="547" w:val="left"/>
        </w:tabs>
        <w:numPr>
          <w:ilvl w:val="0"/>
          <w:numId w:val="100"/>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b w:val="1"/>
          <w:bCs w:val="1"/>
          <w:color w:val="auto"/>
        </w:rPr>
        <w:t>Related Party Transactions</w:t>
      </w:r>
    </w:p>
    <w:p>
      <w:pPr>
        <w:spacing w:after="0" w:line="168" w:lineRule="exact"/>
        <w:rPr>
          <w:sz w:val="20"/>
          <w:szCs w:val="20"/>
          <w:color w:val="auto"/>
        </w:rPr>
      </w:pPr>
    </w:p>
    <w:p>
      <w:pPr>
        <w:jc w:val="both"/>
        <w:ind w:left="7" w:right="20"/>
        <w:spacing w:after="0" w:line="293" w:lineRule="auto"/>
        <w:rPr>
          <w:sz w:val="20"/>
          <w:szCs w:val="20"/>
          <w:color w:val="auto"/>
        </w:rPr>
      </w:pPr>
      <w:r>
        <w:rPr>
          <w:rFonts w:ascii="Times New Roman" w:cs="Times New Roman" w:eastAsia="Times New Roman" w:hAnsi="Times New Roman"/>
          <w:sz w:val="20"/>
          <w:szCs w:val="20"/>
          <w:color w:val="auto"/>
        </w:rPr>
        <w:t>During the second quarter of 2022, the Company entered into a sublease agreement with an affiliate of the Executive Chair. The sublease commenced on June 1, 2022, and the term is for the remainder of the original lease and will expire on February 28, 2025, or sooner in the event that the original lease is cancelled prior to the expiration date. The monthly base rent, after the rent abatement period for the first four months, is $69,000. Rent receivable of $0.7 million is included in prepaid expenses and other current assets on the accompanying consolidated balance sheets as of December 31, 2023, and was subsequently collected in April 2024. As of December 31, 2022, $0.1 million of rent receivable was included in accounts receivable, net on the accompanying consolidated balance sheets. For the years ended December 31, 2023 and 2022, income on the sublease from the related party transactions were $0.7 million and $0.4 million, respectively. The income on sublease is netted with rent expense and included in general and administrative expenses on the consolidated statements of operations.</w:t>
      </w:r>
    </w:p>
    <w:p>
      <w:pPr>
        <w:spacing w:after="0" w:line="80" w:lineRule="exact"/>
        <w:rPr>
          <w:sz w:val="20"/>
          <w:szCs w:val="20"/>
          <w:color w:val="auto"/>
        </w:rPr>
      </w:pPr>
    </w:p>
    <w:p>
      <w:pPr>
        <w:jc w:val="both"/>
        <w:ind w:left="7"/>
        <w:spacing w:after="0" w:line="291" w:lineRule="auto"/>
        <w:rPr>
          <w:sz w:val="20"/>
          <w:szCs w:val="20"/>
          <w:color w:val="auto"/>
        </w:rPr>
      </w:pPr>
      <w:r>
        <w:rPr>
          <w:rFonts w:ascii="Times New Roman" w:cs="Times New Roman" w:eastAsia="Times New Roman" w:hAnsi="Times New Roman"/>
          <w:sz w:val="20"/>
          <w:szCs w:val="20"/>
          <w:color w:val="auto"/>
        </w:rPr>
        <w:t>In connection with the Business Combination, the Company paid $1.1 million in certain transaction costs reimbursable by Silver Spike’s sponsor (“Silver Spike Sponsor”), an affiliate to a member of the board of directors. On March 16, 2023, Silver Spike Holdings, an affiliate of Silver Spike Sponsor, entered into a promissory note with the Company and agreed to pay the principal amount of $1.1 million in 12 equal quarterly installments commencing on March 31, 2023. The promissory note bears interest at a rate of 5% per annum commencing on March 31, 2023. In an event of default, the outstanding principal amount shall bear interest for the entire period during which the principal balance is unpaid at a rate which is equal to 10% per annum. As of December 31, 2023, the remaining balance of the promissory note receivable was $0.7 million of which, $0.4 million was included in prepaid expenses and other current assets and $0.3 million was included in other assets on the consolidated balance sheets. As of December 31, 2022, $1.1 million of related party note receivable was included in other assets on the accompanying consolidated balance sheets. For the year ended December 31, 2023, interest income on the promissory note was less than $0.1 million, which is included in other income (expense), net on the consolidated statement of operations.</w:t>
      </w:r>
    </w:p>
    <w:p>
      <w:pPr>
        <w:spacing w:after="0" w:line="86" w:lineRule="exact"/>
        <w:rPr>
          <w:sz w:val="20"/>
          <w:szCs w:val="20"/>
          <w:color w:val="auto"/>
        </w:rPr>
      </w:pPr>
    </w:p>
    <w:p>
      <w:pPr>
        <w:jc w:val="both"/>
        <w:ind w:left="7"/>
        <w:spacing w:after="0" w:line="301" w:lineRule="auto"/>
        <w:rPr>
          <w:sz w:val="20"/>
          <w:szCs w:val="20"/>
          <w:color w:val="auto"/>
        </w:rPr>
      </w:pPr>
      <w:r>
        <w:rPr>
          <w:rFonts w:ascii="Times New Roman" w:cs="Times New Roman" w:eastAsia="Times New Roman" w:hAnsi="Times New Roman"/>
          <w:sz w:val="20"/>
          <w:szCs w:val="20"/>
          <w:color w:val="auto"/>
        </w:rPr>
        <w:t>During the fourth quarter of 2023, the Company reimbursed $0.4 million in certain legal fee to Silver Spike Holdings, an affiliate to a member of the board of directors in connection with responding to the SEC investigation. See Part I. Item 3. “Legal Proceedings” for further discussion. The expense is included in general and administrative expenses on the consolidated statements of operations.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1" w:lineRule="exact"/>
        <w:rPr>
          <w:sz w:val="20"/>
          <w:szCs w:val="20"/>
          <w:color w:val="auto"/>
        </w:rPr>
      </w:pPr>
    </w:p>
    <w:p>
      <w:pPr>
        <w:jc w:val="center"/>
        <w:ind w:right="-6"/>
        <w:spacing w:after="0"/>
        <w:rPr>
          <w:sz w:val="20"/>
          <w:szCs w:val="20"/>
          <w:color w:val="auto"/>
        </w:rPr>
      </w:pPr>
      <w:r>
        <w:rPr>
          <w:rFonts w:ascii="Times New Roman" w:cs="Times New Roman" w:eastAsia="Times New Roman" w:hAnsi="Times New Roman"/>
          <w:sz w:val="20"/>
          <w:szCs w:val="20"/>
          <w:color w:val="auto"/>
        </w:rPr>
        <w:t>F-38</w:t>
      </w:r>
    </w:p>
    <w:p>
      <w:pPr>
        <w:sectPr>
          <w:pgSz w:w="12240" w:h="15840" w:orient="portrait"/>
          <w:cols w:equalWidth="0" w:num="1">
            <w:col w:w="10267"/>
          </w:cols>
          <w:pgMar w:left="993" w:top="1091" w:right="980" w:bottom="222" w:gutter="0" w:footer="0" w:header="0"/>
        </w:sectPr>
      </w:pPr>
    </w:p>
    <w:bookmarkStart w:id="158" w:name="page159"/>
    <w:bookmarkEnd w:id="158"/>
    <w:p>
      <w:pPr>
        <w:jc w:val="center"/>
        <w:spacing w:after="0"/>
        <w:rPr>
          <w:sz w:val="20"/>
          <w:szCs w:val="20"/>
          <w:color w:val="auto"/>
        </w:rPr>
      </w:pPr>
    </w:p>
    <w:p>
      <w:pPr>
        <w:sectPr>
          <w:pgSz w:w="12240" w:h="15840" w:orient="portrait"/>
          <w:cols w:equalWidth="1" w:num="1" w:space="0"/>
          <w:pgMar w:left="1440" w:top="1440" w:right="1440" w:bottom="875" w:gutter="0" w:footer="0" w:header="0"/>
        </w:sectPr>
      </w:pPr>
    </w:p>
    <w:bookmarkStart w:id="159" w:name="page160"/>
    <w:bookmarkEnd w:id="159"/>
    <w:sectPr>
      <w:pgSz w:w="12240" w:h="15840" w:orient="portrait"/>
      <w:cols w:equalWidth="1" w:num="1" w:space="0"/>
      <w:pgMar w:left="1440" w:top="1440" w:right="1440" w:bottom="875"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Segoe UI">
    <w:panose1 w:val="020B0502040204020203"/>
    <w:charset w:val="00"/>
    <w:family w:val="swiss"/>
    <w:pitch w:val="variable"/>
    <w:sig w:usb0="E4002EFF" w:usb1="C000E47F" w:usb2="00000009" w:usb3="00000000" w:csb0="200001FF" w:csb1="00000000"/>
  </w:font>
  <w:font w:name="Arial">
    <w:panose1 w:val="020B0604020202020204"/>
    <w:charset w:val="00"/>
    <w:family w:val="swiss"/>
    <w:pitch w:val="variable"/>
    <w:sig w:usb0="E0002EFF" w:usb1="C0007843" w:usb2="00000009" w:usb3="00000000" w:csb0="400001FF" w:csb1="FFFF0000"/>
  </w:font>
  <w:font w:name="PMingLiU">
    <w:panose1 w:val="02020500000000000000"/>
    <w:charset w:val="00"/>
    <w:family w:val="roman"/>
    <w:pitch w:val="variable"/>
    <w:sig w:usb0="A00002FF" w:usb1="28CFFCFA" w:usb2="00000016" w:usb3="00000000" w:csb0="00100001" w:csb1="00000000"/>
  </w:font>
</w:fonts>
</file>

<file path=word/numbering.xml><?xml version="1.0" encoding="utf-8"?>
<w:numbering xmlns:w="http://schemas.openxmlformats.org/wordprocessingml/2006/main">
  <w:abstractNum w:abstractNumId="0">
    <w:nsid w:val="3DC240FB"/>
    <w:multiLevelType w:val="hybridMultilevel"/>
    <w:lvl w:ilvl="0">
      <w:lvlJc w:val="left"/>
      <w:lvlText w:val="ց"/>
      <w:numFmt w:val="bullet"/>
      <w:start w:val="1"/>
    </w:lvl>
  </w:abstractNum>
  <w:abstractNum w:abstractNumId="1">
    <w:nsid w:val="1BA026FA"/>
    <w:multiLevelType w:val="hybridMultilevel"/>
    <w:lvl w:ilvl="0">
      <w:lvlJc w:val="left"/>
      <w:lvlText w:val=" "/>
      <w:numFmt w:val="bullet"/>
      <w:start w:val="1"/>
    </w:lvl>
  </w:abstractNum>
  <w:abstractNum w:abstractNumId="2">
    <w:nsid w:val="79A1DEAA"/>
    <w:multiLevelType w:val="hybridMultilevel"/>
    <w:lvl w:ilvl="0">
      <w:lvlJc w:val="left"/>
      <w:lvlText w:val="ց"/>
      <w:numFmt w:val="bullet"/>
      <w:start w:val="1"/>
    </w:lvl>
  </w:abstractNum>
  <w:abstractNum w:abstractNumId="3">
    <w:nsid w:val="75C6C33A"/>
    <w:multiLevelType w:val="hybridMultilevel"/>
    <w:lvl w:ilvl="0">
      <w:lvlJc w:val="left"/>
      <w:lvlText w:val="•"/>
      <w:numFmt w:val="bullet"/>
      <w:start w:val="1"/>
    </w:lvl>
  </w:abstractNum>
  <w:abstractNum w:abstractNumId="4">
    <w:nsid w:val="12E685FB"/>
    <w:multiLevelType w:val="hybridMultilevel"/>
    <w:lvl w:ilvl="0">
      <w:lvlJc w:val="left"/>
      <w:lvlText w:val="•"/>
      <w:numFmt w:val="bullet"/>
      <w:start w:val="1"/>
    </w:lvl>
  </w:abstractNum>
  <w:abstractNum w:abstractNumId="5">
    <w:nsid w:val="70C6A529"/>
    <w:multiLevelType w:val="hybridMultilevel"/>
    <w:lvl w:ilvl="0">
      <w:lvlJc w:val="left"/>
      <w:lvlText w:val="•"/>
      <w:numFmt w:val="bullet"/>
      <w:start w:val="1"/>
    </w:lvl>
  </w:abstractNum>
  <w:abstractNum w:abstractNumId="6">
    <w:nsid w:val="520EEDD1"/>
    <w:multiLevelType w:val="hybridMultilevel"/>
    <w:lvl w:ilvl="0">
      <w:lvlJc w:val="left"/>
      <w:lvlText w:val="•"/>
      <w:numFmt w:val="bullet"/>
      <w:start w:val="1"/>
    </w:lvl>
  </w:abstractNum>
  <w:abstractNum w:abstractNumId="7">
    <w:nsid w:val="374A3FE6"/>
    <w:multiLevelType w:val="hybridMultilevel"/>
    <w:lvl w:ilvl="0">
      <w:lvlJc w:val="left"/>
      <w:lvlText w:val="%1"/>
      <w:numFmt w:val="decimal"/>
      <w:start w:val="1"/>
    </w:lvl>
  </w:abstractNum>
  <w:abstractNum w:abstractNumId="8">
    <w:nsid w:val="4F4EF005"/>
    <w:multiLevelType w:val="hybridMultilevel"/>
    <w:lvl w:ilvl="0">
      <w:lvlJc w:val="left"/>
      <w:lvlText w:val="%1"/>
      <w:numFmt w:val="decimal"/>
      <w:start w:val="21"/>
    </w:lvl>
  </w:abstractNum>
  <w:abstractNum w:abstractNumId="9">
    <w:nsid w:val="23F9C13C"/>
    <w:multiLevelType w:val="hybridMultilevel"/>
    <w:lvl w:ilvl="0">
      <w:lvlJc w:val="left"/>
      <w:lvlText w:val="•"/>
      <w:numFmt w:val="bullet"/>
      <w:start w:val="1"/>
    </w:lvl>
  </w:abstractNum>
  <w:abstractNum w:abstractNumId="10">
    <w:nsid w:val="649BB77C"/>
    <w:multiLevelType w:val="hybridMultilevel"/>
    <w:lvl w:ilvl="0">
      <w:lvlJc w:val="left"/>
      <w:lvlText w:val="•"/>
      <w:numFmt w:val="bullet"/>
      <w:start w:val="1"/>
    </w:lvl>
  </w:abstractNum>
  <w:abstractNum w:abstractNumId="11">
    <w:nsid w:val="275AC794"/>
    <w:multiLevelType w:val="hybridMultilevel"/>
    <w:lvl w:ilvl="0">
      <w:lvlJc w:val="left"/>
      <w:lvlText w:val="•"/>
      <w:numFmt w:val="bullet"/>
      <w:start w:val="1"/>
    </w:lvl>
    <w:lvl w:ilvl="1">
      <w:lvlJc w:val="left"/>
      <w:lvlText w:val="ƕ"/>
      <w:numFmt w:val="bullet"/>
      <w:start w:val="1"/>
    </w:lvl>
  </w:abstractNum>
  <w:abstractNum w:abstractNumId="12">
    <w:nsid w:val="39386575"/>
    <w:multiLevelType w:val="hybridMultilevel"/>
    <w:lvl w:ilvl="0">
      <w:lvlJc w:val="left"/>
      <w:lvlText w:val="•"/>
      <w:numFmt w:val="bullet"/>
      <w:start w:val="1"/>
    </w:lvl>
  </w:abstractNum>
  <w:abstractNum w:abstractNumId="13">
    <w:nsid w:val="1CF10FD8"/>
    <w:multiLevelType w:val="hybridMultilevel"/>
    <w:lvl w:ilvl="0">
      <w:lvlJc w:val="left"/>
      <w:lvlText w:val="•"/>
      <w:numFmt w:val="bullet"/>
      <w:start w:val="1"/>
    </w:lvl>
  </w:abstractNum>
  <w:abstractNum w:abstractNumId="14">
    <w:nsid w:val="180115BE"/>
    <w:multiLevelType w:val="hybridMultilevel"/>
    <w:lvl w:ilvl="0">
      <w:lvlJc w:val="left"/>
      <w:lvlText w:val="%1"/>
      <w:numFmt w:val="decimal"/>
      <w:start w:val="3"/>
    </w:lvl>
  </w:abstractNum>
  <w:abstractNum w:abstractNumId="15">
    <w:nsid w:val="235BA861"/>
    <w:multiLevelType w:val="hybridMultilevel"/>
    <w:lvl w:ilvl="0">
      <w:lvlJc w:val="left"/>
      <w:lvlText w:val="•"/>
      <w:numFmt w:val="bullet"/>
      <w:start w:val="1"/>
    </w:lvl>
  </w:abstractNum>
  <w:abstractNum w:abstractNumId="16">
    <w:nsid w:val="47398C89"/>
    <w:multiLevelType w:val="hybridMultilevel"/>
    <w:lvl w:ilvl="0">
      <w:lvlJc w:val="left"/>
      <w:lvlText w:val="•"/>
      <w:numFmt w:val="bullet"/>
      <w:start w:val="1"/>
    </w:lvl>
  </w:abstractNum>
  <w:abstractNum w:abstractNumId="17">
    <w:nsid w:val="354FE9F9"/>
    <w:multiLevelType w:val="hybridMultilevel"/>
    <w:lvl w:ilvl="0">
      <w:lvlJc w:val="left"/>
      <w:lvlText w:val="•"/>
      <w:numFmt w:val="bullet"/>
      <w:start w:val="1"/>
    </w:lvl>
  </w:abstractNum>
  <w:abstractNum w:abstractNumId="18">
    <w:nsid w:val="15B5AF5C"/>
    <w:multiLevelType w:val="hybridMultilevel"/>
    <w:lvl w:ilvl="0">
      <w:lvlJc w:val="left"/>
      <w:lvlText w:val="•"/>
      <w:numFmt w:val="bullet"/>
      <w:start w:val="1"/>
    </w:lvl>
  </w:abstractNum>
  <w:abstractNum w:abstractNumId="19">
    <w:nsid w:val="741226BB"/>
    <w:multiLevelType w:val="hybridMultilevel"/>
    <w:lvl w:ilvl="0">
      <w:lvlJc w:val="left"/>
      <w:lvlText w:val="•"/>
      <w:numFmt w:val="bullet"/>
      <w:start w:val="1"/>
    </w:lvl>
  </w:abstractNum>
  <w:abstractNum w:abstractNumId="20">
    <w:nsid w:val="D34B6A8"/>
    <w:multiLevelType w:val="hybridMultilevel"/>
    <w:lvl w:ilvl="0">
      <w:lvlJc w:val="left"/>
      <w:lvlText w:val="%1"/>
      <w:numFmt w:val="decimal"/>
      <w:start w:val="5"/>
    </w:lvl>
  </w:abstractNum>
  <w:abstractNum w:abstractNumId="21">
    <w:nsid w:val="10233C99"/>
    <w:multiLevelType w:val="hybridMultilevel"/>
    <w:lvl w:ilvl="0">
      <w:lvlJc w:val="left"/>
      <w:lvlText w:val="•"/>
      <w:numFmt w:val="bullet"/>
      <w:start w:val="1"/>
    </w:lvl>
  </w:abstractNum>
  <w:abstractNum w:abstractNumId="22">
    <w:nsid w:val="3F6AB60F"/>
    <w:multiLevelType w:val="hybridMultilevel"/>
    <w:lvl w:ilvl="0">
      <w:lvlJc w:val="left"/>
      <w:lvlText w:val="•"/>
      <w:numFmt w:val="bullet"/>
      <w:start w:val="1"/>
    </w:lvl>
  </w:abstractNum>
  <w:abstractNum w:abstractNumId="23">
    <w:nsid w:val="61574095"/>
    <w:multiLevelType w:val="hybridMultilevel"/>
    <w:lvl w:ilvl="0">
      <w:lvlJc w:val="left"/>
      <w:lvlText w:val="•"/>
      <w:numFmt w:val="bullet"/>
      <w:start w:val="1"/>
    </w:lvl>
  </w:abstractNum>
  <w:abstractNum w:abstractNumId="24">
    <w:nsid w:val="7E0C57B1"/>
    <w:multiLevelType w:val="hybridMultilevel"/>
    <w:lvl w:ilvl="0">
      <w:lvlJc w:val="left"/>
      <w:lvlText w:val="•"/>
      <w:numFmt w:val="bullet"/>
      <w:start w:val="1"/>
    </w:lvl>
  </w:abstractNum>
  <w:abstractNum w:abstractNumId="25">
    <w:nsid w:val="77AE35EB"/>
    <w:multiLevelType w:val="hybridMultilevel"/>
    <w:lvl w:ilvl="0">
      <w:lvlJc w:val="left"/>
      <w:lvlText w:val="•"/>
      <w:numFmt w:val="bullet"/>
      <w:start w:val="1"/>
    </w:lvl>
  </w:abstractNum>
  <w:abstractNum w:abstractNumId="26">
    <w:nsid w:val="579BE4F1"/>
    <w:multiLevelType w:val="hybridMultilevel"/>
    <w:lvl w:ilvl="0">
      <w:lvlJc w:val="left"/>
      <w:lvlText w:val="•"/>
      <w:numFmt w:val="bullet"/>
      <w:start w:val="1"/>
    </w:lvl>
  </w:abstractNum>
  <w:abstractNum w:abstractNumId="27">
    <w:nsid w:val="310C50B3"/>
    <w:multiLevelType w:val="hybridMultilevel"/>
    <w:lvl w:ilvl="0">
      <w:lvlJc w:val="left"/>
      <w:lvlText w:val="•"/>
      <w:numFmt w:val="bullet"/>
      <w:start w:val="1"/>
    </w:lvl>
  </w:abstractNum>
  <w:abstractNum w:abstractNumId="28">
    <w:nsid w:val="5FF87E05"/>
    <w:multiLevelType w:val="hybridMultilevel"/>
    <w:lvl w:ilvl="0">
      <w:lvlJc w:val="left"/>
      <w:lvlText w:val="•"/>
      <w:numFmt w:val="bullet"/>
      <w:start w:val="1"/>
    </w:lvl>
  </w:abstractNum>
  <w:abstractNum w:abstractNumId="29">
    <w:nsid w:val="2F305DEF"/>
    <w:multiLevelType w:val="hybridMultilevel"/>
    <w:lvl w:ilvl="0">
      <w:lvlJc w:val="left"/>
      <w:lvlText w:val="(%1)"/>
      <w:numFmt w:val="decimal"/>
      <w:start w:val="2"/>
    </w:lvl>
  </w:abstractNum>
  <w:abstractNum w:abstractNumId="30">
    <w:nsid w:val="25A70BF7"/>
    <w:multiLevelType w:val="hybridMultilevel"/>
    <w:lvl w:ilvl="0">
      <w:lvlJc w:val="left"/>
      <w:lvlText w:val="•"/>
      <w:numFmt w:val="bullet"/>
      <w:start w:val="1"/>
    </w:lvl>
  </w:abstractNum>
  <w:abstractNum w:abstractNumId="31">
    <w:nsid w:val="1DBABF00"/>
    <w:multiLevelType w:val="hybridMultilevel"/>
    <w:lvl w:ilvl="0">
      <w:lvlJc w:val="left"/>
      <w:lvlText w:val="•"/>
      <w:numFmt w:val="bullet"/>
      <w:start w:val="1"/>
    </w:lvl>
  </w:abstractNum>
  <w:abstractNum w:abstractNumId="32">
    <w:nsid w:val="4AD084E9"/>
    <w:multiLevelType w:val="hybridMultilevel"/>
    <w:lvl w:ilvl="0">
      <w:lvlJc w:val="left"/>
      <w:lvlText w:val="•"/>
      <w:numFmt w:val="bullet"/>
      <w:start w:val="1"/>
    </w:lvl>
  </w:abstractNum>
  <w:abstractNum w:abstractNumId="33">
    <w:nsid w:val="1F48EAA1"/>
    <w:multiLevelType w:val="hybridMultilevel"/>
    <w:lvl w:ilvl="0">
      <w:lvlJc w:val="left"/>
      <w:lvlText w:val="(%1)"/>
      <w:numFmt w:val="decimal"/>
      <w:start w:val="1"/>
    </w:lvl>
  </w:abstractNum>
  <w:abstractNum w:abstractNumId="34">
    <w:nsid w:val="1381823A"/>
    <w:multiLevelType w:val="hybridMultilevel"/>
    <w:lvl w:ilvl="0">
      <w:lvlJc w:val="left"/>
      <w:lvlText w:val="•"/>
      <w:numFmt w:val="bullet"/>
      <w:start w:val="1"/>
    </w:lvl>
  </w:abstractNum>
  <w:abstractNum w:abstractNumId="35">
    <w:nsid w:val="5DB70AE5"/>
    <w:multiLevelType w:val="hybridMultilevel"/>
    <w:lvl w:ilvl="0">
      <w:lvlJc w:val="left"/>
      <w:lvlText w:val="•"/>
      <w:numFmt w:val="bullet"/>
      <w:start w:val="1"/>
    </w:lvl>
  </w:abstractNum>
  <w:abstractNum w:abstractNumId="36">
    <w:nsid w:val="100F8FCA"/>
    <w:multiLevelType w:val="hybridMultilevel"/>
    <w:lvl w:ilvl="0">
      <w:lvlJc w:val="left"/>
      <w:lvlText w:val="•"/>
      <w:numFmt w:val="bullet"/>
      <w:start w:val="1"/>
    </w:lvl>
  </w:abstractNum>
  <w:abstractNum w:abstractNumId="37">
    <w:nsid w:val="6590700B"/>
    <w:multiLevelType w:val="hybridMultilevel"/>
    <w:lvl w:ilvl="0">
      <w:lvlJc w:val="left"/>
      <w:lvlText w:val="•"/>
      <w:numFmt w:val="bullet"/>
      <w:start w:val="1"/>
    </w:lvl>
  </w:abstractNum>
  <w:abstractNum w:abstractNumId="38">
    <w:nsid w:val="15014ACB"/>
    <w:multiLevelType w:val="hybridMultilevel"/>
    <w:lvl w:ilvl="0">
      <w:lvlJc w:val="left"/>
      <w:lvlText w:val="•"/>
      <w:numFmt w:val="bullet"/>
      <w:start w:val="1"/>
    </w:lvl>
  </w:abstractNum>
  <w:abstractNum w:abstractNumId="39">
    <w:nsid w:val="5F5E7FD0"/>
    <w:multiLevelType w:val="hybridMultilevel"/>
    <w:lvl w:ilvl="0">
      <w:lvlJc w:val="left"/>
      <w:lvlText w:val="•"/>
      <w:numFmt w:val="bullet"/>
      <w:start w:val="1"/>
    </w:lvl>
  </w:abstractNum>
  <w:abstractNum w:abstractNumId="40">
    <w:nsid w:val="98A3148"/>
    <w:multiLevelType w:val="hybridMultilevel"/>
    <w:lvl w:ilvl="0">
      <w:lvlJc w:val="left"/>
      <w:lvlText w:val="•"/>
      <w:numFmt w:val="bullet"/>
      <w:start w:val="1"/>
    </w:lvl>
  </w:abstractNum>
  <w:abstractNum w:abstractNumId="41">
    <w:nsid w:val="799D0247"/>
    <w:multiLevelType w:val="hybridMultilevel"/>
    <w:lvl w:ilvl="0">
      <w:lvlJc w:val="left"/>
      <w:lvlText w:val="•"/>
      <w:numFmt w:val="bullet"/>
      <w:start w:val="1"/>
    </w:lvl>
  </w:abstractNum>
  <w:abstractNum w:abstractNumId="42">
    <w:nsid w:val="6B94764"/>
    <w:multiLevelType w:val="hybridMultilevel"/>
    <w:lvl w:ilvl="0">
      <w:lvlJc w:val="left"/>
      <w:lvlText w:val="•"/>
      <w:numFmt w:val="bullet"/>
      <w:start w:val="1"/>
    </w:lvl>
  </w:abstractNum>
  <w:abstractNum w:abstractNumId="43">
    <w:nsid w:val="42C296BD"/>
    <w:multiLevelType w:val="hybridMultilevel"/>
    <w:lvl w:ilvl="0">
      <w:lvlJc w:val="left"/>
      <w:lvlText w:val="•"/>
      <w:numFmt w:val="bullet"/>
      <w:start w:val="1"/>
    </w:lvl>
  </w:abstractNum>
  <w:abstractNum w:abstractNumId="44">
    <w:nsid w:val="168E121F"/>
    <w:multiLevelType w:val="hybridMultilevel"/>
    <w:lvl w:ilvl="0">
      <w:lvlJc w:val="left"/>
      <w:lvlText w:val="•"/>
      <w:numFmt w:val="bullet"/>
      <w:start w:val="1"/>
    </w:lvl>
  </w:abstractNum>
  <w:abstractNum w:abstractNumId="45">
    <w:nsid w:val="1EBA5D23"/>
    <w:multiLevelType w:val="hybridMultilevel"/>
    <w:lvl w:ilvl="0">
      <w:lvlJc w:val="left"/>
      <w:lvlText w:val="•"/>
      <w:numFmt w:val="bullet"/>
      <w:start w:val="1"/>
    </w:lvl>
  </w:abstractNum>
  <w:abstractNum w:abstractNumId="46">
    <w:nsid w:val="661E3F1E"/>
    <w:multiLevelType w:val="hybridMultilevel"/>
    <w:lvl w:ilvl="0">
      <w:lvlJc w:val="left"/>
      <w:lvlText w:val="•"/>
      <w:numFmt w:val="bullet"/>
      <w:start w:val="1"/>
    </w:lvl>
  </w:abstractNum>
  <w:abstractNum w:abstractNumId="47">
    <w:nsid w:val="5DC79EA8"/>
    <w:multiLevelType w:val="hybridMultilevel"/>
    <w:lvl w:ilvl="0">
      <w:lvlJc w:val="left"/>
      <w:lvlText w:val="•"/>
      <w:numFmt w:val="bullet"/>
      <w:start w:val="1"/>
    </w:lvl>
  </w:abstractNum>
  <w:abstractNum w:abstractNumId="48">
    <w:nsid w:val="540A471C"/>
    <w:multiLevelType w:val="hybridMultilevel"/>
    <w:lvl w:ilvl="0">
      <w:lvlJc w:val="left"/>
      <w:lvlText w:val="(%1)"/>
      <w:numFmt w:val="decimal"/>
      <w:start w:val="1"/>
    </w:lvl>
  </w:abstractNum>
  <w:abstractNum w:abstractNumId="49">
    <w:nsid w:val="7BD3EE7B"/>
    <w:multiLevelType w:val="hybridMultilevel"/>
    <w:lvl w:ilvl="0">
      <w:lvlJc w:val="left"/>
      <w:lvlText w:val="(%1)"/>
      <w:numFmt w:val="decimal"/>
      <w:start w:val="1"/>
    </w:lvl>
  </w:abstractNum>
  <w:abstractNum w:abstractNumId="50">
    <w:nsid w:val="51D9C564"/>
    <w:multiLevelType w:val="hybridMultilevel"/>
    <w:lvl w:ilvl="0">
      <w:lvlJc w:val="left"/>
      <w:lvlText w:val="(%1)"/>
      <w:numFmt w:val="decimal"/>
      <w:start w:val="1"/>
    </w:lvl>
  </w:abstractNum>
  <w:abstractNum w:abstractNumId="51">
    <w:nsid w:val="613EFDC5"/>
    <w:multiLevelType w:val="hybridMultilevel"/>
    <w:lvl w:ilvl="0">
      <w:lvlJc w:val="left"/>
      <w:lvlText w:val="•"/>
      <w:numFmt w:val="bullet"/>
      <w:start w:val="1"/>
    </w:lvl>
  </w:abstractNum>
  <w:abstractNum w:abstractNumId="52">
    <w:nsid w:val="BF72B14"/>
    <w:multiLevelType w:val="hybridMultilevel"/>
    <w:lvl w:ilvl="0">
      <w:lvlJc w:val="left"/>
      <w:lvlText w:val="%1."/>
      <w:numFmt w:val="decimal"/>
      <w:start w:val="1"/>
    </w:lvl>
  </w:abstractNum>
  <w:abstractNum w:abstractNumId="53">
    <w:nsid w:val="11447B73"/>
    <w:multiLevelType w:val="hybridMultilevel"/>
    <w:lvl w:ilvl="0">
      <w:lvlJc w:val="left"/>
      <w:lvlText w:val="%1."/>
      <w:numFmt w:val="decimal"/>
      <w:start w:val="4"/>
    </w:lvl>
  </w:abstractNum>
  <w:abstractNum w:abstractNumId="54">
    <w:nsid w:val="42963E5A"/>
    <w:multiLevelType w:val="hybridMultilevel"/>
    <w:lvl w:ilvl="0">
      <w:lvlJc w:val="left"/>
      <w:lvlText w:val="%1."/>
      <w:numFmt w:val="decimal"/>
      <w:start w:val="1"/>
    </w:lvl>
  </w:abstractNum>
  <w:abstractNum w:abstractNumId="55">
    <w:nsid w:val="A0382C5"/>
    <w:multiLevelType w:val="hybridMultilevel"/>
    <w:lvl w:ilvl="0">
      <w:lvlJc w:val="left"/>
      <w:lvlText w:val="(%1)"/>
      <w:numFmt w:val="lowerRoman"/>
      <w:start w:val="3"/>
    </w:lvl>
  </w:abstractNum>
  <w:abstractNum w:abstractNumId="56">
    <w:nsid w:val="8F2B15E"/>
    <w:multiLevelType w:val="hybridMultilevel"/>
    <w:lvl w:ilvl="0">
      <w:lvlJc w:val="left"/>
      <w:lvlText w:val="%1."/>
      <w:numFmt w:val="decimal"/>
      <w:start w:val="1"/>
    </w:lvl>
  </w:abstractNum>
  <w:abstractNum w:abstractNumId="57">
    <w:nsid w:val="1A32234B"/>
    <w:multiLevelType w:val="hybridMultilevel"/>
    <w:lvl w:ilvl="0">
      <w:lvlJc w:val="left"/>
      <w:lvlText w:val="%1."/>
      <w:numFmt w:val="decimal"/>
      <w:start w:val="1"/>
    </w:lvl>
  </w:abstractNum>
  <w:abstractNum w:abstractNumId="58">
    <w:nsid w:val="3B0FD379"/>
    <w:multiLevelType w:val="hybridMultilevel"/>
    <w:lvl w:ilvl="0">
      <w:lvlJc w:val="left"/>
      <w:lvlText w:val="%1."/>
      <w:numFmt w:val="decimal"/>
      <w:start w:val="5"/>
    </w:lvl>
  </w:abstractNum>
  <w:abstractNum w:abstractNumId="59">
    <w:nsid w:val="68EB2F63"/>
    <w:multiLevelType w:val="hybridMultilevel"/>
    <w:lvl w:ilvl="0">
      <w:lvlJc w:val="left"/>
      <w:lvlText w:val="%1."/>
      <w:numFmt w:val="decimal"/>
      <w:start w:val="1"/>
    </w:lvl>
  </w:abstractNum>
  <w:abstractNum w:abstractNumId="60">
    <w:nsid w:val="4962813B"/>
    <w:multiLevelType w:val="hybridMultilevel"/>
    <w:lvl w:ilvl="0">
      <w:lvlJc w:val="left"/>
      <w:lvlText w:val="%1."/>
      <w:numFmt w:val="decimal"/>
      <w:start w:val="1"/>
    </w:lvl>
  </w:abstractNum>
  <w:abstractNum w:abstractNumId="61">
    <w:nsid w:val="60B6DF70"/>
    <w:multiLevelType w:val="hybridMultilevel"/>
    <w:lvl w:ilvl="0">
      <w:lvlJc w:val="left"/>
      <w:lvlText w:val="•"/>
      <w:numFmt w:val="bullet"/>
      <w:start w:val="1"/>
    </w:lvl>
  </w:abstractNum>
  <w:abstractNum w:abstractNumId="62">
    <w:nsid w:val="6A5EE64"/>
    <w:multiLevelType w:val="hybridMultilevel"/>
    <w:lvl w:ilvl="0">
      <w:lvlJc w:val="left"/>
      <w:lvlText w:val="(%1)"/>
      <w:numFmt w:val="decimal"/>
      <w:start w:val="1"/>
    </w:lvl>
  </w:abstractNum>
  <w:abstractNum w:abstractNumId="63">
    <w:nsid w:val="14330624"/>
    <w:multiLevelType w:val="hybridMultilevel"/>
    <w:lvl w:ilvl="0">
      <w:lvlJc w:val="left"/>
      <w:lvlText w:val="%1"/>
      <w:numFmt w:val="decimal"/>
      <w:start w:val="1"/>
    </w:lvl>
  </w:abstractNum>
  <w:abstractNum w:abstractNumId="64">
    <w:nsid w:val="7FFFCA11"/>
    <w:multiLevelType w:val="hybridMultilevel"/>
    <w:lvl w:ilvl="0">
      <w:lvlJc w:val="left"/>
      <w:lvlText w:val="•"/>
      <w:numFmt w:val="bullet"/>
      <w:start w:val="1"/>
    </w:lvl>
  </w:abstractNum>
  <w:abstractNum w:abstractNumId="65">
    <w:nsid w:val="1A27709E"/>
    <w:multiLevelType w:val="hybridMultilevel"/>
    <w:lvl w:ilvl="0">
      <w:lvlJc w:val="left"/>
      <w:lvlText w:val="(%1)"/>
      <w:numFmt w:val="decimal"/>
      <w:start w:val="1"/>
    </w:lvl>
  </w:abstractNum>
  <w:abstractNum w:abstractNumId="66">
    <w:nsid w:val="71EA1109"/>
    <w:multiLevelType w:val="hybridMultilevel"/>
    <w:lvl w:ilvl="0">
      <w:lvlJc w:val="left"/>
      <w:lvlText w:val="(%1)"/>
      <w:numFmt w:val="lowerLetter"/>
      <w:start w:val="1"/>
    </w:lvl>
  </w:abstractNum>
  <w:abstractNum w:abstractNumId="67">
    <w:nsid w:val="100F59DC"/>
    <w:multiLevelType w:val="hybridMultilevel"/>
    <w:lvl w:ilvl="0">
      <w:lvlJc w:val="left"/>
      <w:lvlText w:val="*"/>
      <w:numFmt w:val="bullet"/>
      <w:start w:val="1"/>
    </w:lvl>
  </w:abstractNum>
  <w:abstractNum w:abstractNumId="68">
    <w:nsid w:val="7FB7E0AA"/>
    <w:multiLevelType w:val="hybridMultilevel"/>
    <w:lvl w:ilvl="0">
      <w:lvlJc w:val="left"/>
      <w:lvlText w:val="•"/>
      <w:numFmt w:val="bullet"/>
      <w:start w:val="1"/>
    </w:lvl>
  </w:abstractNum>
  <w:abstractNum w:abstractNumId="69">
    <w:nsid w:val="6EB5BD4"/>
    <w:multiLevelType w:val="hybridMultilevel"/>
    <w:lvl w:ilvl="0">
      <w:lvlJc w:val="left"/>
      <w:lvlText w:val="•"/>
      <w:numFmt w:val="bullet"/>
      <w:start w:val="1"/>
    </w:lvl>
  </w:abstractNum>
  <w:abstractNum w:abstractNumId="70">
    <w:nsid w:val="6F6DD9AC"/>
    <w:multiLevelType w:val="hybridMultilevel"/>
    <w:lvl w:ilvl="0">
      <w:lvlJc w:val="left"/>
      <w:lvlText w:val="•"/>
      <w:numFmt w:val="bullet"/>
      <w:start w:val="1"/>
    </w:lvl>
    <w:lvl w:ilvl="1">
      <w:lvlJc w:val="left"/>
      <w:lvlText w:val="ƕ"/>
      <w:numFmt w:val="bullet"/>
      <w:start w:val="1"/>
    </w:lvl>
  </w:abstractNum>
  <w:abstractNum w:abstractNumId="71">
    <w:nsid w:val="94211F2"/>
    <w:multiLevelType w:val="hybridMultilevel"/>
    <w:lvl w:ilvl="0">
      <w:lvlJc w:val="left"/>
      <w:lvlText w:val="•"/>
      <w:numFmt w:val="bullet"/>
      <w:start w:val="1"/>
    </w:lvl>
  </w:abstractNum>
  <w:abstractNum w:abstractNumId="72">
    <w:nsid w:val="885E1B"/>
    <w:multiLevelType w:val="hybridMultilevel"/>
    <w:lvl w:ilvl="0">
      <w:lvlJc w:val="left"/>
      <w:lvlText w:val="•"/>
      <w:numFmt w:val="bullet"/>
      <w:start w:val="1"/>
    </w:lvl>
  </w:abstractNum>
  <w:abstractNum w:abstractNumId="73">
    <w:nsid w:val="76272110"/>
    <w:multiLevelType w:val="hybridMultilevel"/>
    <w:lvl w:ilvl="0">
      <w:lvlJc w:val="left"/>
      <w:lvlText w:val="%1."/>
      <w:numFmt w:val="decimal"/>
      <w:start w:val="1"/>
    </w:lvl>
  </w:abstractNum>
  <w:abstractNum w:abstractNumId="74">
    <w:nsid w:val="4C04A8AF"/>
    <w:multiLevelType w:val="hybridMultilevel"/>
    <w:lvl w:ilvl="0">
      <w:lvlJc w:val="left"/>
      <w:lvlText w:val="%1."/>
      <w:numFmt w:val="decimal"/>
      <w:start w:val="2"/>
    </w:lvl>
  </w:abstractNum>
  <w:abstractNum w:abstractNumId="75">
    <w:nsid w:val="1716703B"/>
    <w:multiLevelType w:val="hybridMultilevel"/>
    <w:lvl w:ilvl="0">
      <w:lvlJc w:val="left"/>
      <w:lvlText w:val="%1."/>
      <w:numFmt w:val="decimal"/>
      <w:start w:val="3"/>
    </w:lvl>
  </w:abstractNum>
  <w:abstractNum w:abstractNumId="76">
    <w:nsid w:val="14E17E33"/>
    <w:multiLevelType w:val="hybridMultilevel"/>
    <w:lvl w:ilvl="0">
      <w:lvlJc w:val="left"/>
      <w:lvlText w:val="•"/>
      <w:numFmt w:val="bullet"/>
      <w:start w:val="1"/>
    </w:lvl>
  </w:abstractNum>
  <w:abstractNum w:abstractNumId="77">
    <w:nsid w:val="3222E7CD"/>
    <w:multiLevelType w:val="hybridMultilevel"/>
    <w:lvl w:ilvl="0">
      <w:lvlJc w:val="left"/>
      <w:lvlText w:val="•"/>
      <w:numFmt w:val="bullet"/>
      <w:start w:val="1"/>
    </w:lvl>
  </w:abstractNum>
  <w:abstractNum w:abstractNumId="78">
    <w:nsid w:val="74DE0EE3"/>
    <w:multiLevelType w:val="hybridMultilevel"/>
    <w:lvl w:ilvl="0">
      <w:lvlJc w:val="left"/>
      <w:lvlText w:val="•"/>
      <w:numFmt w:val="bullet"/>
      <w:start w:val="1"/>
    </w:lvl>
    <w:lvl w:ilvl="1">
      <w:lvlJc w:val="left"/>
      <w:lvlText w:val="ƕ"/>
      <w:numFmt w:val="bullet"/>
      <w:start w:val="1"/>
    </w:lvl>
  </w:abstractNum>
  <w:abstractNum w:abstractNumId="79">
    <w:nsid w:val="68EBC550"/>
    <w:multiLevelType w:val="hybridMultilevel"/>
    <w:lvl w:ilvl="0">
      <w:lvlJc w:val="left"/>
      <w:lvlText w:val="%1"/>
      <w:numFmt w:val="decimal"/>
      <w:start w:val="1"/>
    </w:lvl>
  </w:abstractNum>
  <w:abstractNum w:abstractNumId="80">
    <w:nsid w:val="2DF6D648"/>
    <w:multiLevelType w:val="hybridMultilevel"/>
    <w:lvl w:ilvl="0">
      <w:lvlJc w:val="left"/>
      <w:lvlText w:val="%1."/>
      <w:numFmt w:val="decimal"/>
      <w:start w:val="4"/>
    </w:lvl>
  </w:abstractNum>
  <w:abstractNum w:abstractNumId="81">
    <w:nsid w:val="46B7D447"/>
    <w:multiLevelType w:val="hybridMultilevel"/>
    <w:lvl w:ilvl="0">
      <w:lvlJc w:val="left"/>
      <w:lvlText w:val="%1."/>
      <w:numFmt w:val="decimal"/>
      <w:start w:val="5"/>
    </w:lvl>
  </w:abstractNum>
  <w:abstractNum w:abstractNumId="82">
    <w:nsid w:val="4A2AC315"/>
    <w:multiLevelType w:val="hybridMultilevel"/>
    <w:lvl w:ilvl="0">
      <w:lvlJc w:val="left"/>
      <w:lvlText w:val="%1."/>
      <w:numFmt w:val="decimal"/>
      <w:start w:val="6"/>
    </w:lvl>
  </w:abstractNum>
  <w:abstractNum w:abstractNumId="83">
    <w:nsid w:val="39EE015C"/>
    <w:multiLevelType w:val="hybridMultilevel"/>
    <w:lvl w:ilvl="0">
      <w:lvlJc w:val="left"/>
      <w:lvlText w:val="•"/>
      <w:numFmt w:val="bullet"/>
      <w:start w:val="1"/>
    </w:lvl>
  </w:abstractNum>
  <w:abstractNum w:abstractNumId="84">
    <w:nsid w:val="57FC4FBB"/>
    <w:multiLevelType w:val="hybridMultilevel"/>
    <w:lvl w:ilvl="0">
      <w:lvlJc w:val="left"/>
      <w:lvlText w:val="%1."/>
      <w:numFmt w:val="decimal"/>
      <w:start w:val="7"/>
    </w:lvl>
  </w:abstractNum>
  <w:abstractNum w:abstractNumId="85">
    <w:nsid w:val="CC1016F"/>
    <w:multiLevelType w:val="hybridMultilevel"/>
    <w:lvl w:ilvl="0">
      <w:lvlJc w:val="left"/>
      <w:lvlText w:val="•"/>
      <w:numFmt w:val="bullet"/>
      <w:start w:val="1"/>
    </w:lvl>
  </w:abstractNum>
  <w:abstractNum w:abstractNumId="86">
    <w:nsid w:val="43F18422"/>
    <w:multiLevelType w:val="hybridMultilevel"/>
    <w:lvl w:ilvl="0">
      <w:lvlJc w:val="left"/>
      <w:lvlText w:val="•"/>
      <w:numFmt w:val="bullet"/>
      <w:start w:val="1"/>
    </w:lvl>
  </w:abstractNum>
  <w:abstractNum w:abstractNumId="87">
    <w:nsid w:val="60EF0119"/>
    <w:multiLevelType w:val="hybridMultilevel"/>
    <w:lvl w:ilvl="0">
      <w:lvlJc w:val="left"/>
      <w:lvlText w:val="%1."/>
      <w:numFmt w:val="decimal"/>
      <w:start w:val="8"/>
    </w:lvl>
  </w:abstractNum>
  <w:abstractNum w:abstractNumId="88">
    <w:nsid w:val="26F324BA"/>
    <w:multiLevelType w:val="hybridMultilevel"/>
    <w:lvl w:ilvl="0">
      <w:lvlJc w:val="left"/>
      <w:lvlText w:val="(%1)"/>
      <w:numFmt w:val="decimal"/>
      <w:start w:val="1"/>
    </w:lvl>
  </w:abstractNum>
  <w:abstractNum w:abstractNumId="89">
    <w:nsid w:val="7F01579B"/>
    <w:multiLevelType w:val="hybridMultilevel"/>
    <w:lvl w:ilvl="0">
      <w:lvlJc w:val="left"/>
      <w:lvlText w:val="(%1)"/>
      <w:numFmt w:val="decimal"/>
      <w:start w:val="1"/>
    </w:lvl>
  </w:abstractNum>
  <w:abstractNum w:abstractNumId="90">
    <w:nsid w:val="49DA307D"/>
    <w:multiLevelType w:val="hybridMultilevel"/>
    <w:lvl w:ilvl="0">
      <w:lvlJc w:val="left"/>
      <w:lvlText w:val="(%1)"/>
      <w:numFmt w:val="decimal"/>
      <w:start w:val="1"/>
    </w:lvl>
  </w:abstractNum>
  <w:abstractNum w:abstractNumId="91">
    <w:nsid w:val="7055A5F5"/>
    <w:multiLevelType w:val="hybridMultilevel"/>
    <w:lvl w:ilvl="0">
      <w:lvlJc w:val="left"/>
      <w:lvlText w:val="%1."/>
      <w:numFmt w:val="decimal"/>
      <w:start w:val="9"/>
    </w:lvl>
  </w:abstractNum>
  <w:abstractNum w:abstractNumId="92">
    <w:nsid w:val="5FB8370B"/>
    <w:multiLevelType w:val="hybridMultilevel"/>
    <w:lvl w:ilvl="0">
      <w:lvlJc w:val="left"/>
      <w:lvlText w:val="%1."/>
      <w:numFmt w:val="decimal"/>
      <w:start w:val="10"/>
    </w:lvl>
  </w:abstractNum>
  <w:abstractNum w:abstractNumId="93">
    <w:nsid w:val="50801EE1"/>
    <w:multiLevelType w:val="hybridMultilevel"/>
    <w:lvl w:ilvl="0">
      <w:lvlJc w:val="left"/>
      <w:lvlText w:val="%1."/>
      <w:numFmt w:val="decimal"/>
      <w:start w:val="11"/>
    </w:lvl>
  </w:abstractNum>
  <w:abstractNum w:abstractNumId="94">
    <w:nsid w:val="488AC1A"/>
    <w:multiLevelType w:val="hybridMultilevel"/>
    <w:lvl w:ilvl="0">
      <w:lvlJc w:val="left"/>
      <w:lvlText w:val="%1."/>
      <w:numFmt w:val="decimal"/>
      <w:start w:val="12"/>
    </w:lvl>
  </w:abstractNum>
  <w:abstractNum w:abstractNumId="95">
    <w:nsid w:val="5FB8011C"/>
    <w:multiLevelType w:val="hybridMultilevel"/>
    <w:lvl w:ilvl="0">
      <w:lvlJc w:val="left"/>
      <w:lvlText w:val="%1."/>
      <w:numFmt w:val="decimal"/>
      <w:start w:val="13"/>
    </w:lvl>
  </w:abstractNum>
  <w:abstractNum w:abstractNumId="96">
    <w:nsid w:val="6AA78F7F"/>
    <w:multiLevelType w:val="hybridMultilevel"/>
    <w:lvl w:ilvl="0">
      <w:lvlJc w:val="left"/>
      <w:lvlText w:val="%1."/>
      <w:numFmt w:val="decimal"/>
      <w:start w:val="14"/>
    </w:lvl>
  </w:abstractNum>
  <w:abstractNum w:abstractNumId="97">
    <w:nsid w:val="7672BD23"/>
    <w:multiLevelType w:val="hybridMultilevel"/>
    <w:lvl w:ilvl="0">
      <w:lvlJc w:val="left"/>
      <w:lvlText w:val="%1."/>
      <w:numFmt w:val="decimal"/>
      <w:start w:val="15"/>
    </w:lvl>
  </w:abstractNum>
  <w:abstractNum w:abstractNumId="98">
    <w:nsid w:val="6FC75AF8"/>
    <w:multiLevelType w:val="hybridMultilevel"/>
    <w:lvl w:ilvl="0">
      <w:lvlJc w:val="left"/>
      <w:lvlText w:val="%1."/>
      <w:numFmt w:val="decimal"/>
      <w:start w:val="16"/>
    </w:lvl>
  </w:abstractNum>
  <w:abstractNum w:abstractNumId="99">
    <w:nsid w:val="6A5F7029"/>
    <w:multiLevelType w:val="hybridMultilevel"/>
    <w:lvl w:ilvl="0">
      <w:lvlJc w:val="left"/>
      <w:lvlText w:val="%1."/>
      <w:numFmt w:val="decimal"/>
      <w:start w:val="17"/>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 w:numId="82">
    <w:abstractNumId w:val="81"/>
  </w:num>
  <w:num w:numId="83">
    <w:abstractNumId w:val="82"/>
  </w:num>
  <w:num w:numId="84">
    <w:abstractNumId w:val="83"/>
  </w:num>
  <w:num w:numId="85">
    <w:abstractNumId w:val="84"/>
  </w:num>
  <w:num w:numId="86">
    <w:abstractNumId w:val="85"/>
  </w:num>
  <w:num w:numId="87">
    <w:abstractNumId w:val="86"/>
  </w:num>
  <w:num w:numId="88">
    <w:abstractNumId w:val="87"/>
  </w:num>
  <w:num w:numId="89">
    <w:abstractNumId w:val="88"/>
  </w:num>
  <w:num w:numId="90">
    <w:abstractNumId w:val="89"/>
  </w:num>
  <w:num w:numId="91">
    <w:abstractNumId w:val="90"/>
  </w:num>
  <w:num w:numId="92">
    <w:abstractNumId w:val="91"/>
  </w:num>
  <w:num w:numId="93">
    <w:abstractNumId w:val="92"/>
  </w:num>
  <w:num w:numId="94">
    <w:abstractNumId w:val="93"/>
  </w:num>
  <w:num w:numId="95">
    <w:abstractNumId w:val="94"/>
  </w:num>
  <w:num w:numId="96">
    <w:abstractNumId w:val="95"/>
  </w:num>
  <w:num w:numId="97">
    <w:abstractNumId w:val="96"/>
  </w:num>
  <w:num w:numId="98">
    <w:abstractNumId w:val="97"/>
  </w:num>
  <w:num w:numId="99">
    <w:abstractNumId w:val="98"/>
  </w:num>
  <w:num w:numId="100">
    <w:abstractNumId w:val="9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2024-06-10T15:15:54Z</dcterms:created>
  <dcterms:modified xsi:type="dcterms:W3CDTF">2024-06-10T15:15:54Z</dcterms:modified>
</cp:coreProperties>
</file>