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473075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3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80" w:lineRule="exact"/>
        <w:rPr>
          <w:sz w:val="24"/>
          <w:szCs w:val="24"/>
          <w:color w:val="auto"/>
        </w:rPr>
      </w:pPr>
    </w:p>
    <w:p>
      <w:pPr>
        <w:ind w:left="2080" w:hanging="354"/>
        <w:spacing w:after="0"/>
        <w:tabs>
          <w:tab w:leader="none" w:pos="2080" w:val="left"/>
        </w:tabs>
        <w:numPr>
          <w:ilvl w:val="0"/>
          <w:numId w:val="1"/>
        </w:numPr>
        <w:rPr>
          <w:rFonts w:ascii="MS PGothic" w:cs="MS PGothic" w:eastAsia="MS PGothic" w:hAnsi="MS PGothic"/>
          <w:sz w:val="34"/>
          <w:szCs w:val="34"/>
          <w:color w:val="auto"/>
          <w:highlight w:val="black"/>
          <w:vertAlign w:val="superscript"/>
        </w:rPr>
      </w:pPr>
      <w:r>
        <w:rPr>
          <w:rFonts w:ascii="Arial" w:cs="Arial" w:eastAsia="Arial" w:hAnsi="Arial"/>
          <w:sz w:val="15"/>
          <w:szCs w:val="15"/>
          <w:b w:val="1"/>
          <w:bCs w:val="1"/>
          <w:color w:val="auto"/>
        </w:rPr>
        <w:t>ANNUAL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7" w:lineRule="exact"/>
        <w:rPr>
          <w:sz w:val="24"/>
          <w:szCs w:val="24"/>
          <w:color w:val="auto"/>
        </w:rPr>
      </w:pPr>
    </w:p>
    <w:p>
      <w:pPr>
        <w:ind w:left="1920" w:hanging="323"/>
        <w:spacing w:after="0"/>
        <w:tabs>
          <w:tab w:leader="none" w:pos="192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7" w:lineRule="exact"/>
        <w:rPr>
          <w:rFonts w:ascii="MS PGothic" w:cs="MS PGothic" w:eastAsia="MS PGothic" w:hAnsi="MS PGothic"/>
          <w:sz w:val="17"/>
          <w:szCs w:val="17"/>
          <w:color w:val="auto"/>
        </w:rPr>
      </w:pPr>
    </w:p>
    <w:p>
      <w:pPr>
        <w:ind w:left="43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For the transition period from ____ to 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001-39021</w:t>
      </w:r>
    </w:p>
    <w:p>
      <w:pPr>
        <w:spacing w:after="0" w:line="10"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WM TECHNOLOGY,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91"/>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Arial" w:cs="Arial" w:eastAsia="Arial" w:hAnsi="Arial"/>
                <w:sz w:val="14"/>
                <w:szCs w:val="14"/>
                <w:b w:val="1"/>
                <w:bCs w:val="1"/>
                <w:color w:val="auto"/>
              </w:rPr>
              <w:t>98-1605615</w:t>
            </w:r>
          </w:p>
        </w:tc>
        <w:tc>
          <w:tcPr>
            <w:tcW w:w="0" w:type="dxa"/>
            <w:vAlign w:val="bottom"/>
          </w:tcPr>
          <w:p>
            <w:pPr>
              <w:spacing w:after="0"/>
              <w:rPr>
                <w:sz w:val="1"/>
                <w:szCs w:val="1"/>
                <w:color w:val="auto"/>
              </w:rPr>
            </w:pPr>
          </w:p>
        </w:tc>
      </w:tr>
      <w:tr>
        <w:trPr>
          <w:trHeight w:val="193"/>
        </w:trPr>
        <w:tc>
          <w:tcPr>
            <w:tcW w:w="5060" w:type="dxa"/>
            <w:vAlign w:val="bottom"/>
          </w:tcPr>
          <w:p>
            <w:pPr>
              <w:jc w:val="center"/>
              <w:ind w:left="111"/>
              <w:spacing w:after="0"/>
              <w:rPr>
                <w:sz w:val="20"/>
                <w:szCs w:val="20"/>
                <w:color w:val="auto"/>
              </w:rPr>
            </w:pPr>
            <w:r>
              <w:rPr>
                <w:rFonts w:ascii="Arial" w:cs="Arial" w:eastAsia="Arial" w:hAnsi="Arial"/>
                <w:sz w:val="14"/>
                <w:szCs w:val="14"/>
                <w:color w:val="auto"/>
                <w:w w:val="90"/>
              </w:rPr>
              <w:t>(State or other jurisdiction of incorporation or organization)</w:t>
            </w:r>
          </w:p>
        </w:tc>
        <w:tc>
          <w:tcPr>
            <w:tcW w:w="2420" w:type="dxa"/>
            <w:vAlign w:val="bottom"/>
          </w:tcPr>
          <w:p>
            <w:pPr>
              <w:spacing w:after="0"/>
              <w:rPr>
                <w:sz w:val="16"/>
                <w:szCs w:val="16"/>
                <w:color w:val="auto"/>
              </w:rPr>
            </w:pPr>
          </w:p>
        </w:tc>
        <w:tc>
          <w:tcPr>
            <w:tcW w:w="3760" w:type="dxa"/>
            <w:vAlign w:val="bottom"/>
          </w:tcPr>
          <w:p>
            <w:pPr>
              <w:jc w:val="center"/>
              <w:ind w:right="1331"/>
              <w:spacing w:after="0"/>
              <w:rPr>
                <w:sz w:val="20"/>
                <w:szCs w:val="20"/>
                <w:color w:val="auto"/>
              </w:rPr>
            </w:pPr>
            <w:r>
              <w:rPr>
                <w:rFonts w:ascii="Arial" w:cs="Arial" w:eastAsia="Arial" w:hAnsi="Arial"/>
                <w:sz w:val="14"/>
                <w:szCs w:val="14"/>
                <w:color w:val="auto"/>
                <w:w w:val="92"/>
              </w:rPr>
              <w:t>(I.R.S. Employer Identification No.)</w:t>
            </w:r>
          </w:p>
        </w:tc>
        <w:tc>
          <w:tcPr>
            <w:tcW w:w="0" w:type="dxa"/>
            <w:vAlign w:val="bottom"/>
          </w:tcPr>
          <w:p>
            <w:pPr>
              <w:spacing w:after="0"/>
              <w:rPr>
                <w:sz w:val="1"/>
                <w:szCs w:val="1"/>
                <w:color w:val="auto"/>
              </w:rPr>
            </w:pPr>
          </w:p>
        </w:tc>
      </w:tr>
      <w:tr>
        <w:trPr>
          <w:trHeight w:val="20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87"/>
              </w:rPr>
              <w:t>41 Discovery</w:t>
            </w:r>
          </w:p>
        </w:tc>
        <w:tc>
          <w:tcPr>
            <w:tcW w:w="2420" w:type="dxa"/>
            <w:vAlign w:val="bottom"/>
          </w:tcPr>
          <w:p>
            <w:pPr>
              <w:spacing w:after="0"/>
              <w:rPr>
                <w:sz w:val="18"/>
                <w:szCs w:val="18"/>
                <w:color w:val="auto"/>
              </w:rPr>
            </w:pPr>
          </w:p>
        </w:tc>
        <w:tc>
          <w:tcPr>
            <w:tcW w:w="3760" w:type="dxa"/>
            <w:vAlign w:val="bottom"/>
            <w:vMerge w:val="restart"/>
          </w:tcPr>
          <w:p>
            <w:pPr>
              <w:jc w:val="center"/>
              <w:ind w:right="1331"/>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7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94"/>
              </w:rPr>
              <w:t>Irvine, California</w:t>
            </w:r>
          </w:p>
        </w:tc>
        <w:tc>
          <w:tcPr>
            <w:tcW w:w="24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60" w:type="dxa"/>
            <w:vAlign w:val="bottom"/>
          </w:tcPr>
          <w:p>
            <w:pPr>
              <w:jc w:val="center"/>
              <w:ind w:left="111"/>
              <w:spacing w:after="0"/>
              <w:rPr>
                <w:sz w:val="20"/>
                <w:szCs w:val="20"/>
                <w:color w:val="auto"/>
              </w:rPr>
            </w:pPr>
            <w:r>
              <w:rPr>
                <w:rFonts w:ascii="Arial" w:cs="Arial" w:eastAsia="Arial" w:hAnsi="Arial"/>
                <w:sz w:val="14"/>
                <w:szCs w:val="14"/>
                <w:color w:val="auto"/>
                <w:w w:val="91"/>
              </w:rPr>
              <w:t>(Address of Principal Executive Offices)</w:t>
            </w:r>
          </w:p>
        </w:tc>
        <w:tc>
          <w:tcPr>
            <w:tcW w:w="2420" w:type="dxa"/>
            <w:vAlign w:val="bottom"/>
          </w:tcPr>
          <w:p>
            <w:pPr>
              <w:spacing w:after="0"/>
              <w:rPr>
                <w:sz w:val="16"/>
                <w:szCs w:val="16"/>
                <w:color w:val="auto"/>
              </w:rPr>
            </w:pPr>
          </w:p>
        </w:tc>
        <w:tc>
          <w:tcPr>
            <w:tcW w:w="3760" w:type="dxa"/>
            <w:vAlign w:val="bottom"/>
          </w:tcPr>
          <w:p>
            <w:pPr>
              <w:jc w:val="center"/>
              <w:ind w:right="1331"/>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341"/>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Arial" w:cs="Arial" w:eastAsia="Arial" w:hAnsi="Arial"/>
                <w:sz w:val="14"/>
                <w:szCs w:val="14"/>
                <w:b w:val="1"/>
                <w:bCs w:val="1"/>
                <w:color w:val="auto"/>
                <w:w w:val="89"/>
              </w:rPr>
              <w:t>(844) 933-3627</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80" w:type="dxa"/>
            <w:vAlign w:val="bottom"/>
            <w:gridSpan w:val="2"/>
          </w:tcPr>
          <w:p>
            <w:pPr>
              <w:jc w:val="center"/>
              <w:ind w:left="3691"/>
              <w:spacing w:after="0"/>
              <w:rPr>
                <w:sz w:val="20"/>
                <w:szCs w:val="20"/>
                <w:color w:val="auto"/>
              </w:rPr>
            </w:pPr>
            <w:r>
              <w:rPr>
                <w:rFonts w:ascii="Arial" w:cs="Arial" w:eastAsia="Arial" w:hAnsi="Arial"/>
                <w:sz w:val="14"/>
                <w:szCs w:val="14"/>
                <w:color w:val="auto"/>
                <w:w w:val="88"/>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80" w:type="dxa"/>
            <w:vAlign w:val="bottom"/>
            <w:gridSpan w:val="2"/>
          </w:tcPr>
          <w:p>
            <w:pPr>
              <w:jc w:val="center"/>
              <w:ind w:left="3691"/>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20" w:type="dxa"/>
            <w:vAlign w:val="bottom"/>
            <w:tcBorders>
              <w:bottom w:val="single" w:sz="8" w:color="auto"/>
            </w:tcBorders>
          </w:tcPr>
          <w:p>
            <w:pPr>
              <w:jc w:val="center"/>
              <w:ind w:right="691"/>
              <w:spacing w:after="0"/>
              <w:rPr>
                <w:sz w:val="20"/>
                <w:szCs w:val="20"/>
                <w:color w:val="auto"/>
              </w:rPr>
            </w:pPr>
            <w:r>
              <w:rPr>
                <w:rFonts w:ascii="Arial" w:cs="Arial" w:eastAsia="Arial" w:hAnsi="Arial"/>
                <w:sz w:val="14"/>
                <w:szCs w:val="14"/>
                <w:b w:val="1"/>
                <w:bCs w:val="1"/>
                <w:color w:val="auto"/>
                <w:w w:val="87"/>
              </w:rPr>
              <w:t>Trading symbol(s)</w:t>
            </w:r>
          </w:p>
        </w:tc>
        <w:tc>
          <w:tcPr>
            <w:tcW w:w="3760" w:type="dxa"/>
            <w:vAlign w:val="bottom"/>
            <w:tcBorders>
              <w:bottom w:val="single" w:sz="8" w:color="auto"/>
            </w:tcBorders>
          </w:tcPr>
          <w:p>
            <w:pPr>
              <w:jc w:val="center"/>
              <w:ind w:right="651"/>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80"/>
        </w:trPr>
        <w:tc>
          <w:tcPr>
            <w:tcW w:w="5060" w:type="dxa"/>
            <w:vAlign w:val="bottom"/>
          </w:tcPr>
          <w:p>
            <w:pPr>
              <w:jc w:val="center"/>
              <w:spacing w:after="0"/>
              <w:rPr>
                <w:sz w:val="20"/>
                <w:szCs w:val="20"/>
                <w:color w:val="auto"/>
              </w:rPr>
            </w:pPr>
            <w:r>
              <w:rPr>
                <w:rFonts w:ascii="Arial" w:cs="Arial" w:eastAsia="Arial" w:hAnsi="Arial"/>
                <w:sz w:val="14"/>
                <w:szCs w:val="14"/>
                <w:color w:val="auto"/>
                <w:w w:val="87"/>
              </w:rPr>
              <w:t>Class A Common Stock, $0.0001 par value per share</w:t>
            </w:r>
          </w:p>
        </w:tc>
        <w:tc>
          <w:tcPr>
            <w:tcW w:w="2420" w:type="dxa"/>
            <w:vAlign w:val="bottom"/>
          </w:tcPr>
          <w:p>
            <w:pPr>
              <w:jc w:val="center"/>
              <w:ind w:right="691"/>
              <w:spacing w:after="0"/>
              <w:rPr>
                <w:sz w:val="20"/>
                <w:szCs w:val="20"/>
                <w:color w:val="auto"/>
              </w:rPr>
            </w:pPr>
            <w:r>
              <w:rPr>
                <w:rFonts w:ascii="Arial" w:cs="Arial" w:eastAsia="Arial" w:hAnsi="Arial"/>
                <w:sz w:val="14"/>
                <w:szCs w:val="14"/>
                <w:color w:val="auto"/>
                <w:w w:val="95"/>
              </w:rPr>
              <w:t>MAPS</w:t>
            </w:r>
          </w:p>
        </w:tc>
        <w:tc>
          <w:tcPr>
            <w:tcW w:w="3760" w:type="dxa"/>
            <w:vAlign w:val="bottom"/>
          </w:tcPr>
          <w:p>
            <w:pPr>
              <w:jc w:val="center"/>
              <w:ind w:right="651"/>
              <w:spacing w:after="0"/>
              <w:rPr>
                <w:sz w:val="20"/>
                <w:szCs w:val="20"/>
                <w:color w:val="auto"/>
              </w:rPr>
            </w:pPr>
            <w:r>
              <w:rPr>
                <w:rFonts w:ascii="Arial" w:cs="Arial" w:eastAsia="Arial" w:hAnsi="Arial"/>
                <w:sz w:val="14"/>
                <w:szCs w:val="14"/>
                <w:color w:val="auto"/>
                <w:w w:val="89"/>
              </w:rPr>
              <w:t>The Nasdaq Global Select Market</w:t>
            </w:r>
          </w:p>
        </w:tc>
        <w:tc>
          <w:tcPr>
            <w:tcW w:w="0" w:type="dxa"/>
            <w:vAlign w:val="bottom"/>
          </w:tcPr>
          <w:p>
            <w:pPr>
              <w:spacing w:after="0"/>
              <w:rPr>
                <w:sz w:val="1"/>
                <w:szCs w:val="1"/>
                <w:color w:val="auto"/>
              </w:rPr>
            </w:pPr>
          </w:p>
        </w:tc>
      </w:tr>
      <w:tr>
        <w:trPr>
          <w:trHeight w:val="161"/>
        </w:trPr>
        <w:tc>
          <w:tcPr>
            <w:tcW w:w="5060" w:type="dxa"/>
            <w:vAlign w:val="bottom"/>
          </w:tcPr>
          <w:p>
            <w:pPr>
              <w:jc w:val="center"/>
              <w:spacing w:after="0"/>
              <w:rPr>
                <w:sz w:val="20"/>
                <w:szCs w:val="20"/>
                <w:color w:val="auto"/>
              </w:rPr>
            </w:pPr>
            <w:r>
              <w:rPr>
                <w:rFonts w:ascii="Arial" w:cs="Arial" w:eastAsia="Arial" w:hAnsi="Arial"/>
                <w:sz w:val="14"/>
                <w:szCs w:val="14"/>
                <w:color w:val="auto"/>
                <w:w w:val="88"/>
              </w:rPr>
              <w:t>Warrants, each whole warrant exercisable for one share of Class A Common Stock at an</w:t>
            </w:r>
          </w:p>
        </w:tc>
        <w:tc>
          <w:tcPr>
            <w:tcW w:w="24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60" w:type="dxa"/>
            <w:vAlign w:val="bottom"/>
          </w:tcPr>
          <w:p>
            <w:pPr>
              <w:jc w:val="center"/>
              <w:spacing w:after="0"/>
              <w:rPr>
                <w:sz w:val="20"/>
                <w:szCs w:val="20"/>
                <w:color w:val="auto"/>
              </w:rPr>
            </w:pPr>
            <w:r>
              <w:rPr>
                <w:rFonts w:ascii="Arial" w:cs="Arial" w:eastAsia="Arial" w:hAnsi="Arial"/>
                <w:sz w:val="14"/>
                <w:szCs w:val="14"/>
                <w:color w:val="auto"/>
                <w:w w:val="87"/>
              </w:rPr>
              <w:t>exercise price of $11.50 per share</w:t>
            </w:r>
          </w:p>
        </w:tc>
        <w:tc>
          <w:tcPr>
            <w:tcW w:w="2420" w:type="dxa"/>
            <w:vAlign w:val="bottom"/>
          </w:tcPr>
          <w:p>
            <w:pPr>
              <w:jc w:val="center"/>
              <w:ind w:right="691"/>
              <w:spacing w:after="0"/>
              <w:rPr>
                <w:sz w:val="20"/>
                <w:szCs w:val="20"/>
                <w:color w:val="auto"/>
              </w:rPr>
            </w:pPr>
            <w:r>
              <w:rPr>
                <w:rFonts w:ascii="Arial" w:cs="Arial" w:eastAsia="Arial" w:hAnsi="Arial"/>
                <w:sz w:val="14"/>
                <w:szCs w:val="14"/>
                <w:color w:val="auto"/>
                <w:w w:val="94"/>
              </w:rPr>
              <w:t>MAPSW</w:t>
            </w:r>
          </w:p>
        </w:tc>
        <w:tc>
          <w:tcPr>
            <w:tcW w:w="3760" w:type="dxa"/>
            <w:vAlign w:val="bottom"/>
          </w:tcPr>
          <w:p>
            <w:pPr>
              <w:jc w:val="center"/>
              <w:ind w:right="651"/>
              <w:spacing w:after="0"/>
              <w:rPr>
                <w:sz w:val="20"/>
                <w:szCs w:val="20"/>
                <w:color w:val="auto"/>
              </w:rPr>
            </w:pPr>
            <w:r>
              <w:rPr>
                <w:rFonts w:ascii="Arial" w:cs="Arial" w:eastAsia="Arial" w:hAnsi="Arial"/>
                <w:sz w:val="14"/>
                <w:szCs w:val="14"/>
                <w:color w:val="auto"/>
                <w:w w:val="89"/>
              </w:rPr>
              <w:t>The Nasdaq Global Select Market</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spacing w:after="0" w:line="16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0" w:gutter="0" w:footer="0" w:header="0"/>
        </w:sectPr>
      </w:pPr>
    </w:p>
    <w:p>
      <w:pPr>
        <w:spacing w:after="0" w:line="116" w:lineRule="exact"/>
        <w:rPr>
          <w:sz w:val="24"/>
          <w:szCs w:val="24"/>
          <w:color w:val="auto"/>
        </w:rPr>
      </w:pPr>
    </w:p>
    <w:p>
      <w:pPr>
        <w:ind w:left="20"/>
        <w:spacing w:after="0"/>
        <w:rPr>
          <w:sz w:val="20"/>
          <w:szCs w:val="20"/>
          <w:color w:val="auto"/>
        </w:rPr>
      </w:pPr>
      <w:r>
        <w:rPr>
          <w:rFonts w:ascii="Arial" w:cs="Arial" w:eastAsia="Arial" w:hAnsi="Arial"/>
          <w:sz w:val="11"/>
          <w:szCs w:val="11"/>
          <w:color w:val="auto"/>
        </w:rPr>
        <w:t>Large accelerated filer</w:t>
      </w:r>
    </w:p>
    <w:p>
      <w:pPr>
        <w:spacing w:after="0" w:line="54"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19"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59" w:lineRule="exact"/>
        <w:rPr>
          <w:sz w:val="24"/>
          <w:szCs w:val="24"/>
          <w:color w:val="auto"/>
        </w:rPr>
      </w:pPr>
    </w:p>
    <w:p>
      <w:pPr>
        <w:sectPr>
          <w:pgSz w:w="11900" w:h="16838" w:orient="portrait"/>
          <w:cols w:equalWidth="0" w:num="6">
            <w:col w:w="2380" w:space="720"/>
            <w:col w:w="120" w:space="540"/>
            <w:col w:w="2380" w:space="720"/>
            <w:col w:w="120" w:space="540"/>
            <w:col w:w="2360" w:space="720"/>
            <w:col w:w="640"/>
          </w:cols>
          <w:pgMar w:left="320" w:top="230" w:right="339" w:bottom="0" w:gutter="0" w:footer="0" w:header="0"/>
          <w:type w:val="continuous"/>
        </w:sectPr>
      </w:pPr>
    </w:p>
    <w:p>
      <w:pPr>
        <w:jc w:val="both"/>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16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30" w:lineRule="exact"/>
        <w:rPr>
          <w:sz w:val="24"/>
          <w:szCs w:val="24"/>
          <w:color w:val="auto"/>
        </w:rPr>
      </w:pPr>
    </w:p>
    <w:p>
      <w:pPr>
        <w:spacing w:after="0" w:line="161" w:lineRule="exact"/>
        <w:tabs>
          <w:tab w:leader="none" w:pos="5820" w:val="left"/>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the last business day of the registrant’s most recently completed second fiscal quarter, was approximately $874,935,735 based upon the closing price reported for such date on the Nasdaq Global Select Market.</w:t>
      </w: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18, 2022, there were 70,399,067 shares of the registrant’s Class A common stock outstanding and 65,502,347 shares of Class V common stock outstanding.</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215" w:lineRule="exact"/>
        <w:rPr>
          <w:sz w:val="24"/>
          <w:szCs w:val="24"/>
          <w:color w:val="auto"/>
        </w:rPr>
      </w:pPr>
    </w:p>
    <w:p>
      <w:pPr>
        <w:jc w:val="both"/>
        <w:spacing w:after="0" w:line="301" w:lineRule="auto"/>
        <w:rPr>
          <w:sz w:val="20"/>
          <w:szCs w:val="20"/>
          <w:color w:val="auto"/>
        </w:rPr>
      </w:pPr>
      <w:r>
        <w:rPr>
          <w:rFonts w:ascii="Arial" w:cs="Arial" w:eastAsia="Arial" w:hAnsi="Arial"/>
          <w:sz w:val="14"/>
          <w:szCs w:val="14"/>
          <w:color w:val="auto"/>
        </w:rPr>
        <w:t>Portions of the registrant’s Proxy Statement for the 2022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2021.</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INTRODUCTORY NOTE</w:t>
      </w:r>
    </w:p>
    <w:p>
      <w:pPr>
        <w:spacing w:after="0" w:line="236" w:lineRule="exact"/>
        <w:rPr>
          <w:sz w:val="24"/>
          <w:szCs w:val="24"/>
          <w:color w:val="auto"/>
        </w:rPr>
      </w:pPr>
    </w:p>
    <w:p>
      <w:pPr>
        <w:jc w:val="both"/>
        <w:ind w:firstLine="344"/>
        <w:spacing w:after="0" w:line="239" w:lineRule="auto"/>
        <w:rPr>
          <w:sz w:val="20"/>
          <w:szCs w:val="20"/>
          <w:color w:val="auto"/>
        </w:rPr>
      </w:pPr>
      <w:r>
        <w:rPr>
          <w:rFonts w:ascii="Arial" w:cs="Arial" w:eastAsia="Arial" w:hAnsi="Arial"/>
          <w:sz w:val="16"/>
          <w:szCs w:val="16"/>
          <w:color w:val="auto"/>
        </w:rPr>
        <w:t>WM Technology, Inc., formerly known as Silver Spike Acquisition Corp. (“Silver Spike”), was originally registered under the Companies Law of the Cayman Islands on June 7, 2019, as a special purpose acquisition company formed for the purpose of effecting a merger, capital stock exchange, asset acquisition, stock purchase, reorganization, or other similar business combination with one or more target businesses. On June 16, 2021 (the “Closing Date”), Silver Spike, our predecessor company, consummated the Business Combination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(the “Merger Sub”), WM Holding Company, LLC, a Delaware limited liability company (“WMH” and when referred to in its pre-Business Combination capacity, “Legacy WMH”), and Ghost Media Group, LLC, a Nevada limited liability company, solely in its capacity as the initial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referred to herein as the Business Combination). On the Closing Date, and in connection with the closing of the Business Combination (the “Closing”), Silver Spike changed its name to WM Technology, Inc.</w:t>
      </w:r>
    </w:p>
    <w:p>
      <w:pPr>
        <w:sectPr>
          <w:pgSz w:w="11900" w:h="16838" w:orient="portrait"/>
          <w:cols w:equalWidth="0" w:num="1">
            <w:col w:w="11240"/>
          </w:cols>
          <w:pgMar w:left="320" w:top="230" w:right="339" w:bottom="0" w:gutter="0" w:footer="0" w:header="0"/>
          <w:type w:val="continuous"/>
        </w:sectPr>
      </w:pPr>
    </w:p>
    <w:bookmarkStart w:id="1" w:name="page2"/>
    <w:bookmarkEnd w:id="1"/>
    <w:p>
      <w:pPr>
        <w:jc w:val="both"/>
        <w:ind w:firstLine="344"/>
        <w:spacing w:after="0" w:line="236" w:lineRule="auto"/>
        <w:rPr>
          <w:sz w:val="20"/>
          <w:szCs w:val="20"/>
          <w:color w:val="auto"/>
        </w:rPr>
      </w:pPr>
      <w:r>
        <w:rPr>
          <w:rFonts w:ascii="Arial" w:cs="Arial" w:eastAsia="Arial" w:hAnsi="Arial"/>
          <w:sz w:val="17"/>
          <w:szCs w:val="17"/>
          <w:color w:val="auto"/>
        </w:rPr>
        <w:t>Unless the context indicates otherwise, references in this Annual Report on Form 10-K to the “Company,” “WMH,” “we,” “us,” “our” and similar terms refer to WM Technology, Inc. and its consolidated subsidiaries (including Legacy WMH). References to “Silver Spike” refer to the predecessor company prior to the consummation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537845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00" w:type="dxa"/>
            <w:vAlign w:val="bottom"/>
            <w:gridSpan w:val="9"/>
          </w:tcPr>
          <w:p>
            <w:pPr>
              <w:jc w:val="center"/>
              <w:ind w:right="3120"/>
              <w:spacing w:after="0"/>
              <w:rPr>
                <w:sz w:val="20"/>
                <w:szCs w:val="20"/>
                <w:color w:val="auto"/>
              </w:rPr>
            </w:pPr>
            <w:r>
              <w:rPr>
                <w:rFonts w:ascii="Arial" w:cs="Arial" w:eastAsia="Arial" w:hAnsi="Arial"/>
                <w:sz w:val="17"/>
                <w:szCs w:val="17"/>
                <w:b w:val="1"/>
                <w:bCs w:val="1"/>
                <w:color w:val="auto"/>
              </w:rPr>
              <w:t>WM TECHNOLOGY, INC.</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00" w:type="dxa"/>
            <w:vAlign w:val="bottom"/>
            <w:gridSpan w:val="9"/>
          </w:tcPr>
          <w:p>
            <w:pPr>
              <w:jc w:val="center"/>
              <w:ind w:right="3140"/>
              <w:spacing w:after="0"/>
              <w:rPr>
                <w:sz w:val="20"/>
                <w:szCs w:val="20"/>
                <w:color w:val="auto"/>
              </w:rPr>
            </w:pPr>
            <w:r>
              <w:rPr>
                <w:rFonts w:ascii="Arial" w:cs="Arial" w:eastAsia="Arial" w:hAnsi="Arial"/>
                <w:sz w:val="17"/>
                <w:szCs w:val="17"/>
                <w:b w:val="1"/>
                <w:bCs w:val="1"/>
                <w:color w:val="auto"/>
              </w:rPr>
              <w:t>TABLE OF CONTENTS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5"/>
          </w:tcPr>
          <w:p>
            <w:pPr>
              <w:ind w:left="260"/>
              <w:spacing w:after="0"/>
              <w:rPr>
                <w:sz w:val="20"/>
                <w:szCs w:val="20"/>
                <w:color w:val="auto"/>
              </w:rPr>
            </w:pPr>
            <w:r>
              <w:rPr>
                <w:rFonts w:ascii="Arial" w:cs="Arial" w:eastAsia="Arial" w:hAnsi="Arial"/>
                <w:sz w:val="17"/>
                <w:szCs w:val="17"/>
                <w:b w:val="1"/>
                <w:bCs w:val="1"/>
                <w:color w:val="auto"/>
              </w:rPr>
              <w:t>Page</w:t>
            </w:r>
          </w:p>
        </w:tc>
      </w:tr>
      <w:tr>
        <w:trPr>
          <w:trHeight w:val="42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Forward-Looking Statements</w:t>
              </w:r>
            </w:hyperlink>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Borders>
              <w:top w:val="single" w:sz="8" w:color="0000FF"/>
            </w:tcBorders>
            <w:gridSpan w:val="10"/>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Risk Factor Summary</w:t>
              </w:r>
            </w:hyperlink>
          </w:p>
        </w:tc>
        <w:tc>
          <w:tcPr>
            <w:tcW w:w="7240" w:type="dxa"/>
            <w:vAlign w:val="bottom"/>
            <w:gridSpan w:val="15"/>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44"/>
        </w:trPr>
        <w:tc>
          <w:tcPr>
            <w:tcW w:w="900" w:type="dxa"/>
            <w:vAlign w:val="bottom"/>
            <w:gridSpan w:val="7"/>
          </w:tcPr>
          <w:p>
            <w:pPr>
              <w:ind w:left="20"/>
              <w:spacing w:after="0"/>
              <w:rPr>
                <w:rFonts w:ascii="Arial" w:cs="Arial" w:eastAsia="Arial" w:hAnsi="Arial"/>
                <w:sz w:val="17"/>
                <w:szCs w:val="17"/>
                <w:color w:val="0000FF"/>
              </w:rPr>
            </w:pPr>
            <w:hyperlink w:anchor="page6">
              <w:r>
                <w:rPr>
                  <w:rFonts w:ascii="Arial" w:cs="Arial" w:eastAsia="Arial" w:hAnsi="Arial"/>
                  <w:sz w:val="17"/>
                  <w:szCs w:val="17"/>
                  <w:color w:val="0000FF"/>
                </w:rPr>
                <w:t>Part I</w:t>
              </w:r>
            </w:hyperlink>
          </w:p>
        </w:tc>
        <w:tc>
          <w:tcPr>
            <w:tcW w:w="1500" w:type="dxa"/>
            <w:vAlign w:val="bottom"/>
            <w:tcBorders>
              <w:top w:val="single" w:sz="8" w:color="0000FF"/>
            </w:tcBorders>
            <w:gridSpan w:val="5"/>
          </w:tcPr>
          <w:p>
            <w:pPr>
              <w:spacing w:after="0"/>
              <w:rPr>
                <w:sz w:val="24"/>
                <w:szCs w:val="24"/>
                <w:color w:val="auto"/>
              </w:rPr>
            </w:pPr>
          </w:p>
        </w:tc>
        <w:tc>
          <w:tcPr>
            <w:tcW w:w="7740" w:type="dxa"/>
            <w:vAlign w:val="bottom"/>
            <w:gridSpan w:val="19"/>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Item 1. Business</w:t>
              </w:r>
            </w:hyperlink>
          </w:p>
        </w:tc>
        <w:tc>
          <w:tcPr>
            <w:tcW w:w="88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4</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18">
              <w:r>
                <w:rPr>
                  <w:rFonts w:ascii="Arial" w:cs="Arial" w:eastAsia="Arial" w:hAnsi="Arial"/>
                  <w:sz w:val="17"/>
                  <w:szCs w:val="17"/>
                  <w:color w:val="0000FF"/>
                </w:rPr>
                <w:t>Item 1A. Risk Factors</w:t>
              </w:r>
            </w:hyperlink>
          </w:p>
        </w:tc>
        <w:tc>
          <w:tcPr>
            <w:tcW w:w="860" w:type="dxa"/>
            <w:vAlign w:val="bottom"/>
            <w:gridSpan w:val="3"/>
          </w:tcPr>
          <w:p>
            <w:pPr>
              <w:jc w:val="right"/>
              <w:spacing w:after="0"/>
              <w:rPr>
                <w:rFonts w:ascii="Arial" w:cs="Arial" w:eastAsia="Arial" w:hAnsi="Arial"/>
                <w:sz w:val="17"/>
                <w:szCs w:val="17"/>
                <w:color w:val="0000FF"/>
              </w:rPr>
            </w:pPr>
            <w:hyperlink w:anchor="page18">
              <w:r>
                <w:rPr>
                  <w:rFonts w:ascii="Arial" w:cs="Arial" w:eastAsia="Arial" w:hAnsi="Arial"/>
                  <w:sz w:val="17"/>
                  <w:szCs w:val="17"/>
                  <w:color w:val="0000FF"/>
                </w:rPr>
                <w:t>15</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Item 1B. Unresolved Staff Comments</w:t>
              </w:r>
            </w:hyperlink>
          </w:p>
        </w:tc>
        <w:tc>
          <w:tcPr>
            <w:tcW w:w="860" w:type="dxa"/>
            <w:vAlign w:val="bottom"/>
            <w:gridSpan w:val="3"/>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0"/>
              </w:rPr>
            </w:pPr>
            <w:hyperlink w:anchor="page46">
              <w:r>
                <w:rPr>
                  <w:rFonts w:ascii="Arial" w:cs="Arial" w:eastAsia="Arial" w:hAnsi="Arial"/>
                  <w:sz w:val="17"/>
                  <w:szCs w:val="17"/>
                  <w:color w:val="0000FF"/>
                  <w:w w:val="90"/>
                </w:rPr>
                <w:t>Item 2. Properties</w:t>
              </w:r>
            </w:hyperlink>
          </w:p>
        </w:tc>
        <w:tc>
          <w:tcPr>
            <w:tcW w:w="1360" w:type="dxa"/>
            <w:vAlign w:val="bottom"/>
            <w:tcBorders>
              <w:top w:val="single" w:sz="8" w:color="0000FF"/>
            </w:tcBorders>
            <w:gridSpan w:val="11"/>
          </w:tcPr>
          <w:p>
            <w:pPr>
              <w:spacing w:after="0"/>
              <w:rPr>
                <w:sz w:val="17"/>
                <w:szCs w:val="17"/>
                <w:color w:val="auto"/>
              </w:rPr>
            </w:pPr>
          </w:p>
        </w:tc>
        <w:tc>
          <w:tcPr>
            <w:tcW w:w="66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44</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Item 3. Legal Proceedings</w:t>
              </w:r>
            </w:hyperlink>
          </w:p>
        </w:tc>
        <w:tc>
          <w:tcPr>
            <w:tcW w:w="860" w:type="dxa"/>
            <w:vAlign w:val="bottom"/>
            <w:gridSpan w:val="3"/>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44</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Item 4. Mine Safety Disclosures</w:t>
              </w:r>
            </w:hyperlink>
          </w:p>
        </w:tc>
        <w:tc>
          <w:tcPr>
            <w:tcW w:w="860" w:type="dxa"/>
            <w:vAlign w:val="bottom"/>
            <w:gridSpan w:val="3"/>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44</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900" w:type="dxa"/>
            <w:vAlign w:val="bottom"/>
            <w:gridSpan w:val="7"/>
          </w:tcPr>
          <w:p>
            <w:pPr>
              <w:ind w:left="20"/>
              <w:spacing w:after="0"/>
              <w:rPr>
                <w:rFonts w:ascii="Arial" w:cs="Arial" w:eastAsia="Arial" w:hAnsi="Arial"/>
                <w:sz w:val="17"/>
                <w:szCs w:val="17"/>
                <w:color w:val="0000FF"/>
              </w:rPr>
            </w:pPr>
            <w:hyperlink w:anchor="page47">
              <w:r>
                <w:rPr>
                  <w:rFonts w:ascii="Arial" w:cs="Arial" w:eastAsia="Arial" w:hAnsi="Arial"/>
                  <w:sz w:val="17"/>
                  <w:szCs w:val="17"/>
                  <w:color w:val="0000FF"/>
                </w:rPr>
                <w:t>Part II</w:t>
              </w:r>
            </w:hyperlink>
          </w:p>
        </w:tc>
        <w:tc>
          <w:tcPr>
            <w:tcW w:w="2200" w:type="dxa"/>
            <w:vAlign w:val="bottom"/>
            <w:tcBorders>
              <w:top w:val="single" w:sz="8" w:color="0000FF"/>
            </w:tcBorders>
            <w:gridSpan w:val="11"/>
          </w:tcPr>
          <w:p>
            <w:pPr>
              <w:spacing w:after="0"/>
              <w:rPr>
                <w:sz w:val="17"/>
                <w:szCs w:val="17"/>
                <w:color w:val="auto"/>
              </w:rPr>
            </w:pPr>
          </w:p>
        </w:tc>
        <w:tc>
          <w:tcPr>
            <w:tcW w:w="704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FF"/>
            </w:tcBorders>
            <w:gridSpan w:val="25"/>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Item 5. Market for Registrant’s Common Equity, Related Stockholder Matters and Issuer Purchases of Equity Securities</w:t>
              </w:r>
            </w:hyperlink>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48">
              <w:r>
                <w:rPr>
                  <w:rFonts w:ascii="Arial" w:cs="Arial" w:eastAsia="Arial" w:hAnsi="Arial"/>
                  <w:sz w:val="17"/>
                  <w:szCs w:val="17"/>
                  <w:color w:val="0000FF"/>
                  <w:w w:val="84"/>
                </w:rPr>
                <w:t>45</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Item 6. [Reserved]</w:t>
              </w:r>
            </w:hyperlink>
          </w:p>
        </w:tc>
        <w:tc>
          <w:tcPr>
            <w:tcW w:w="86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46</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21"/>
          </w:tcPr>
          <w:p>
            <w:pPr>
              <w:spacing w:after="0"/>
              <w:rPr>
                <w:rFonts w:ascii="Arial" w:cs="Arial" w:eastAsia="Arial" w:hAnsi="Arial"/>
                <w:sz w:val="17"/>
                <w:szCs w:val="17"/>
                <w:color w:val="0000FF"/>
                <w:w w:val="92"/>
              </w:rPr>
            </w:pPr>
            <w:hyperlink w:anchor="page49">
              <w:r>
                <w:rPr>
                  <w:rFonts w:ascii="Arial" w:cs="Arial" w:eastAsia="Arial" w:hAnsi="Arial"/>
                  <w:sz w:val="17"/>
                  <w:szCs w:val="17"/>
                  <w:color w:val="0000FF"/>
                  <w:w w:val="92"/>
                </w:rPr>
                <w:t>Item 7. 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46</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8"/>
          </w:tcPr>
          <w:p>
            <w:pPr>
              <w:spacing w:after="0"/>
              <w:rPr>
                <w:rFonts w:ascii="Arial" w:cs="Arial" w:eastAsia="Arial" w:hAnsi="Arial"/>
                <w:sz w:val="17"/>
                <w:szCs w:val="17"/>
                <w:color w:val="0000FF"/>
                <w:w w:val="93"/>
              </w:rPr>
            </w:pPr>
            <w:hyperlink w:anchor="page66">
              <w:r>
                <w:rPr>
                  <w:rFonts w:ascii="Arial" w:cs="Arial" w:eastAsia="Arial" w:hAnsi="Arial"/>
                  <w:sz w:val="17"/>
                  <w:szCs w:val="17"/>
                  <w:color w:val="0000FF"/>
                  <w:w w:val="93"/>
                </w:rPr>
                <w:t>Item 7A. Quantitative and Qualitative Disclosures About Market Risk</w:t>
              </w:r>
            </w:hyperlink>
          </w:p>
        </w:tc>
        <w:tc>
          <w:tcPr>
            <w:tcW w:w="44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6">
              <w:r>
                <w:rPr>
                  <w:rFonts w:ascii="Arial" w:cs="Arial" w:eastAsia="Arial" w:hAnsi="Arial"/>
                  <w:sz w:val="17"/>
                  <w:szCs w:val="17"/>
                  <w:color w:val="0000FF"/>
                  <w:w w:val="84"/>
                </w:rPr>
                <w:t>63</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FF"/>
            </w:tcBorders>
            <w:gridSpan w:val="9"/>
          </w:tcPr>
          <w:p>
            <w:pPr>
              <w:spacing w:after="0"/>
              <w:rPr>
                <w:rFonts w:ascii="Arial" w:cs="Arial" w:eastAsia="Arial" w:hAnsi="Arial"/>
                <w:sz w:val="17"/>
                <w:szCs w:val="17"/>
                <w:color w:val="0000FF"/>
                <w:w w:val="90"/>
              </w:rPr>
            </w:pPr>
            <w:hyperlink w:anchor="page67">
              <w:r>
                <w:rPr>
                  <w:rFonts w:ascii="Arial" w:cs="Arial" w:eastAsia="Arial" w:hAnsi="Arial"/>
                  <w:sz w:val="17"/>
                  <w:szCs w:val="17"/>
                  <w:color w:val="0000FF"/>
                  <w:w w:val="90"/>
                </w:rPr>
                <w:t>Item 8. Financial Statements</w:t>
              </w:r>
            </w:hyperlink>
          </w:p>
        </w:tc>
        <w:tc>
          <w:tcPr>
            <w:tcW w:w="72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7">
              <w:r>
                <w:rPr>
                  <w:rFonts w:ascii="Arial" w:cs="Arial" w:eastAsia="Arial" w:hAnsi="Arial"/>
                  <w:sz w:val="17"/>
                  <w:szCs w:val="17"/>
                  <w:color w:val="0000FF"/>
                  <w:w w:val="84"/>
                </w:rPr>
                <w:t>65</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bottom w:val="single" w:sz="8" w:color="0000FF"/>
            </w:tcBorders>
            <w:gridSpan w:val="23"/>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Item 9. Changes in and Disagreements With Accountants on Accounting and Financial Disclosure</w:t>
              </w:r>
            </w:hyperlink>
          </w:p>
        </w:tc>
        <w:tc>
          <w:tcPr>
            <w:tcW w:w="16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8">
              <w:r>
                <w:rPr>
                  <w:rFonts w:ascii="Arial" w:cs="Arial" w:eastAsia="Arial" w:hAnsi="Arial"/>
                  <w:sz w:val="17"/>
                  <w:szCs w:val="17"/>
                  <w:color w:val="0000FF"/>
                  <w:w w:val="84"/>
                </w:rPr>
                <w:t>65</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FF"/>
            </w:tcBorders>
            <w:gridSpan w:val="14"/>
          </w:tcPr>
          <w:p>
            <w:pPr>
              <w:spacing w:after="0"/>
              <w:rPr>
                <w:rFonts w:ascii="Arial" w:cs="Arial" w:eastAsia="Arial" w:hAnsi="Arial"/>
                <w:sz w:val="17"/>
                <w:szCs w:val="17"/>
                <w:color w:val="0000FF"/>
                <w:w w:val="91"/>
              </w:rPr>
            </w:pPr>
            <w:hyperlink w:anchor="page68">
              <w:r>
                <w:rPr>
                  <w:rFonts w:ascii="Arial" w:cs="Arial" w:eastAsia="Arial" w:hAnsi="Arial"/>
                  <w:sz w:val="17"/>
                  <w:szCs w:val="17"/>
                  <w:color w:val="0000FF"/>
                  <w:w w:val="91"/>
                </w:rPr>
                <w:t>Item 9A. Controls and Procedures</w:t>
              </w:r>
            </w:hyperlink>
          </w:p>
        </w:tc>
        <w:tc>
          <w:tcPr>
            <w:tcW w:w="69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68">
              <w:r>
                <w:rPr>
                  <w:rFonts w:ascii="Arial" w:cs="Arial" w:eastAsia="Arial" w:hAnsi="Arial"/>
                  <w:sz w:val="17"/>
                  <w:szCs w:val="17"/>
                  <w:color w:val="0000FF"/>
                  <w:w w:val="84"/>
                </w:rPr>
                <w:t>65</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69">
              <w:r>
                <w:rPr>
                  <w:rFonts w:ascii="Arial" w:cs="Arial" w:eastAsia="Arial" w:hAnsi="Arial"/>
                  <w:sz w:val="17"/>
                  <w:szCs w:val="17"/>
                  <w:color w:val="0000FF"/>
                </w:rPr>
                <w:t>Item 9B. Other Information</w:t>
              </w:r>
            </w:hyperlink>
          </w:p>
        </w:tc>
        <w:tc>
          <w:tcPr>
            <w:tcW w:w="86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66</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69">
              <w:r>
                <w:rPr>
                  <w:rFonts w:ascii="Arial" w:cs="Arial" w:eastAsia="Arial" w:hAnsi="Arial"/>
                  <w:sz w:val="17"/>
                  <w:szCs w:val="17"/>
                  <w:color w:val="0000FF"/>
                </w:rPr>
                <w:t>Item 9C. Disclosure Regarding Foreign Jurisdictions that Prevent Inspections</w:t>
              </w:r>
            </w:hyperlink>
          </w:p>
        </w:tc>
        <w:tc>
          <w:tcPr>
            <w:tcW w:w="86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66</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900" w:type="dxa"/>
            <w:vAlign w:val="bottom"/>
            <w:gridSpan w:val="7"/>
          </w:tcPr>
          <w:p>
            <w:pPr>
              <w:ind w:left="20"/>
              <w:spacing w:after="0"/>
              <w:rPr>
                <w:rFonts w:ascii="Arial" w:cs="Arial" w:eastAsia="Arial" w:hAnsi="Arial"/>
                <w:sz w:val="17"/>
                <w:szCs w:val="17"/>
                <w:color w:val="0000FF"/>
              </w:rPr>
            </w:pPr>
            <w:hyperlink w:anchor="page69">
              <w:r>
                <w:rPr>
                  <w:rFonts w:ascii="Arial" w:cs="Arial" w:eastAsia="Arial" w:hAnsi="Arial"/>
                  <w:sz w:val="17"/>
                  <w:szCs w:val="17"/>
                  <w:color w:val="0000FF"/>
                </w:rPr>
                <w:t>Part III</w:t>
              </w:r>
            </w:hyperlink>
          </w:p>
        </w:tc>
        <w:tc>
          <w:tcPr>
            <w:tcW w:w="5300" w:type="dxa"/>
            <w:vAlign w:val="bottom"/>
            <w:tcBorders>
              <w:top w:val="single" w:sz="8" w:color="0000FF"/>
            </w:tcBorders>
            <w:gridSpan w:val="18"/>
          </w:tcPr>
          <w:p>
            <w:pPr>
              <w:spacing w:after="0"/>
              <w:rPr>
                <w:sz w:val="17"/>
                <w:szCs w:val="17"/>
                <w:color w:val="auto"/>
              </w:rPr>
            </w:pPr>
          </w:p>
        </w:tc>
        <w:tc>
          <w:tcPr>
            <w:tcW w:w="39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Item 10. Directors, Executive Officers and Corporate Governance</w:t>
              </w:r>
            </w:hyperlink>
          </w:p>
        </w:tc>
        <w:tc>
          <w:tcPr>
            <w:tcW w:w="860" w:type="dxa"/>
            <w:vAlign w:val="bottom"/>
            <w:gridSpan w:val="3"/>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67</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13"/>
          </w:tcPr>
          <w:p>
            <w:pPr>
              <w:spacing w:after="0"/>
              <w:rPr>
                <w:rFonts w:ascii="Arial" w:cs="Arial" w:eastAsia="Arial" w:hAnsi="Arial"/>
                <w:sz w:val="17"/>
                <w:szCs w:val="17"/>
                <w:color w:val="0000FF"/>
                <w:w w:val="91"/>
              </w:rPr>
            </w:pPr>
            <w:hyperlink w:anchor="page70">
              <w:r>
                <w:rPr>
                  <w:rFonts w:ascii="Arial" w:cs="Arial" w:eastAsia="Arial" w:hAnsi="Arial"/>
                  <w:sz w:val="17"/>
                  <w:szCs w:val="17"/>
                  <w:color w:val="0000FF"/>
                  <w:w w:val="91"/>
                </w:rPr>
                <w:t>Item 11. Executive Compensation</w:t>
              </w:r>
            </w:hyperlink>
          </w:p>
        </w:tc>
        <w:tc>
          <w:tcPr>
            <w:tcW w:w="2180" w:type="dxa"/>
            <w:vAlign w:val="bottom"/>
            <w:tcBorders>
              <w:top w:val="single" w:sz="8" w:color="0000FF"/>
            </w:tcBorders>
            <w:gridSpan w:val="4"/>
          </w:tcPr>
          <w:p>
            <w:pPr>
              <w:spacing w:after="0"/>
              <w:rPr>
                <w:sz w:val="17"/>
                <w:szCs w:val="17"/>
                <w:color w:val="auto"/>
              </w:rPr>
            </w:pPr>
          </w:p>
        </w:tc>
        <w:tc>
          <w:tcPr>
            <w:tcW w:w="47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84"/>
              </w:rPr>
            </w:pPr>
            <w:hyperlink w:anchor="page70">
              <w:r>
                <w:rPr>
                  <w:rFonts w:ascii="Arial" w:cs="Arial" w:eastAsia="Arial" w:hAnsi="Arial"/>
                  <w:sz w:val="17"/>
                  <w:szCs w:val="17"/>
                  <w:color w:val="0000FF"/>
                  <w:w w:val="84"/>
                </w:rPr>
                <w:t>67</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Item 12. Security Ownership of Certain Beneficial Owners and Management and Related Stockholder Matters</w:t>
              </w:r>
            </w:hyperlink>
          </w:p>
        </w:tc>
        <w:tc>
          <w:tcPr>
            <w:tcW w:w="860" w:type="dxa"/>
            <w:vAlign w:val="bottom"/>
            <w:gridSpan w:val="3"/>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67</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top w:val="single" w:sz="8" w:color="0000FF"/>
            </w:tcBorders>
            <w:gridSpan w:val="23"/>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Item 13. Certain Relationships and Related Transactions, and Director Independence</w:t>
              </w:r>
            </w:hyperlink>
          </w:p>
        </w:tc>
        <w:tc>
          <w:tcPr>
            <w:tcW w:w="16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70">
              <w:r>
                <w:rPr>
                  <w:rFonts w:ascii="Arial" w:cs="Arial" w:eastAsia="Arial" w:hAnsi="Arial"/>
                  <w:sz w:val="17"/>
                  <w:szCs w:val="17"/>
                  <w:color w:val="0000FF"/>
                  <w:w w:val="84"/>
                </w:rPr>
                <w:t>67</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20" w:type="dxa"/>
            <w:vAlign w:val="bottom"/>
            <w:tcBorders>
              <w:top w:val="single" w:sz="8" w:color="0000FF"/>
            </w:tcBorders>
            <w:gridSpan w:val="20"/>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Item 14. Principal Accounting Fees and Services</w:t>
              </w:r>
            </w:hyperlink>
          </w:p>
        </w:tc>
        <w:tc>
          <w:tcPr>
            <w:tcW w:w="34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70">
              <w:r>
                <w:rPr>
                  <w:rFonts w:ascii="Arial" w:cs="Arial" w:eastAsia="Arial" w:hAnsi="Arial"/>
                  <w:sz w:val="17"/>
                  <w:szCs w:val="17"/>
                  <w:color w:val="0000FF"/>
                  <w:w w:val="84"/>
                </w:rPr>
                <w:t>67</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900" w:type="dxa"/>
            <w:vAlign w:val="bottom"/>
            <w:gridSpan w:val="7"/>
          </w:tcPr>
          <w:p>
            <w:pPr>
              <w:ind w:left="20"/>
              <w:spacing w:after="0"/>
              <w:rPr>
                <w:rFonts w:ascii="Arial" w:cs="Arial" w:eastAsia="Arial" w:hAnsi="Arial"/>
                <w:sz w:val="17"/>
                <w:szCs w:val="17"/>
                <w:color w:val="0000FF"/>
              </w:rPr>
            </w:pPr>
            <w:hyperlink w:anchor="page70">
              <w:r>
                <w:rPr>
                  <w:rFonts w:ascii="Arial" w:cs="Arial" w:eastAsia="Arial" w:hAnsi="Arial"/>
                  <w:sz w:val="17"/>
                  <w:szCs w:val="17"/>
                  <w:color w:val="0000FF"/>
                </w:rPr>
                <w:t>Part IV</w:t>
              </w:r>
            </w:hyperlink>
          </w:p>
        </w:tc>
        <w:tc>
          <w:tcPr>
            <w:tcW w:w="3340" w:type="dxa"/>
            <w:vAlign w:val="bottom"/>
            <w:tcBorders>
              <w:top w:val="single" w:sz="8" w:color="0000FF"/>
            </w:tcBorders>
            <w:gridSpan w:val="15"/>
          </w:tcPr>
          <w:p>
            <w:pPr>
              <w:spacing w:after="0"/>
              <w:rPr>
                <w:sz w:val="17"/>
                <w:szCs w:val="17"/>
                <w:color w:val="auto"/>
              </w:rPr>
            </w:pPr>
          </w:p>
        </w:tc>
        <w:tc>
          <w:tcPr>
            <w:tcW w:w="59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0000FF"/>
            </w:tcBorders>
            <w:gridSpan w:val="3"/>
          </w:tcPr>
          <w:p>
            <w:pPr>
              <w:spacing w:after="0"/>
              <w:rPr>
                <w:rFonts w:ascii="Arial" w:cs="Arial" w:eastAsia="Arial" w:hAnsi="Arial"/>
                <w:sz w:val="17"/>
                <w:szCs w:val="17"/>
                <w:color w:val="0000FF"/>
                <w:w w:val="93"/>
              </w:rPr>
            </w:pPr>
            <w:hyperlink w:anchor="page71">
              <w:r>
                <w:rPr>
                  <w:rFonts w:ascii="Arial" w:cs="Arial" w:eastAsia="Arial" w:hAnsi="Arial"/>
                  <w:sz w:val="17"/>
                  <w:szCs w:val="17"/>
                  <w:color w:val="0000FF"/>
                  <w:w w:val="93"/>
                </w:rPr>
                <w:t>Item 15. Exhibits</w:t>
              </w:r>
            </w:hyperlink>
          </w:p>
        </w:tc>
        <w:tc>
          <w:tcPr>
            <w:tcW w:w="806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71">
              <w:r>
                <w:rPr>
                  <w:rFonts w:ascii="Arial" w:cs="Arial" w:eastAsia="Arial" w:hAnsi="Arial"/>
                  <w:sz w:val="17"/>
                  <w:szCs w:val="17"/>
                  <w:color w:val="0000FF"/>
                  <w:w w:val="84"/>
                </w:rPr>
                <w:t>68</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Item 16. Form 10–K Summary</w:t>
              </w:r>
            </w:hyperlink>
          </w:p>
        </w:tc>
        <w:tc>
          <w:tcPr>
            <w:tcW w:w="860" w:type="dxa"/>
            <w:vAlign w:val="bottom"/>
            <w:gridSpan w:val="3"/>
          </w:tcPr>
          <w:p>
            <w:pPr>
              <w:jc w:val="right"/>
              <w:spacing w:after="0"/>
              <w:rPr>
                <w:rFonts w:ascii="Arial" w:cs="Arial" w:eastAsia="Arial" w:hAnsi="Arial"/>
                <w:sz w:val="17"/>
                <w:szCs w:val="17"/>
                <w:color w:val="0000FF"/>
              </w:rPr>
            </w:pPr>
            <w:hyperlink w:anchor="page72">
              <w:r>
                <w:rPr>
                  <w:rFonts w:ascii="Arial" w:cs="Arial" w:eastAsia="Arial" w:hAnsi="Arial"/>
                  <w:sz w:val="17"/>
                  <w:szCs w:val="17"/>
                  <w:color w:val="0000FF"/>
                </w:rPr>
                <w:t>70</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900" w:type="dxa"/>
            <w:vAlign w:val="bottom"/>
            <w:gridSpan w:val="7"/>
          </w:tcPr>
          <w:p>
            <w:pPr>
              <w:ind w:left="20"/>
              <w:spacing w:after="0"/>
              <w:rPr>
                <w:rFonts w:ascii="Arial" w:cs="Arial" w:eastAsia="Arial" w:hAnsi="Arial"/>
                <w:sz w:val="17"/>
                <w:szCs w:val="17"/>
                <w:color w:val="0000FF"/>
              </w:rPr>
            </w:pPr>
            <w:hyperlink w:anchor="page73">
              <w:r>
                <w:rPr>
                  <w:rFonts w:ascii="Arial" w:cs="Arial" w:eastAsia="Arial" w:hAnsi="Arial"/>
                  <w:sz w:val="17"/>
                  <w:szCs w:val="17"/>
                  <w:color w:val="0000FF"/>
                </w:rPr>
                <w:t>Signatures</w:t>
              </w:r>
            </w:hyperlink>
          </w:p>
        </w:tc>
        <w:tc>
          <w:tcPr>
            <w:tcW w:w="2100" w:type="dxa"/>
            <w:vAlign w:val="bottom"/>
            <w:tcBorders>
              <w:top w:val="single" w:sz="8" w:color="0000FF"/>
            </w:tcBorders>
            <w:gridSpan w:val="10"/>
          </w:tcPr>
          <w:p>
            <w:pPr>
              <w:spacing w:after="0"/>
              <w:rPr>
                <w:sz w:val="17"/>
                <w:szCs w:val="17"/>
                <w:color w:val="auto"/>
              </w:rPr>
            </w:pPr>
          </w:p>
        </w:tc>
        <w:tc>
          <w:tcPr>
            <w:tcW w:w="714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7"/>
                <w:szCs w:val="17"/>
                <w:color w:val="0000FF"/>
                <w:w w:val="84"/>
              </w:rPr>
            </w:pPr>
            <w:hyperlink w:anchor="page73">
              <w:r>
                <w:rPr>
                  <w:rFonts w:ascii="Arial" w:cs="Arial" w:eastAsia="Arial" w:hAnsi="Arial"/>
                  <w:sz w:val="17"/>
                  <w:szCs w:val="17"/>
                  <w:color w:val="0000FF"/>
                  <w:w w:val="84"/>
                </w:rPr>
                <w:t>71</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991"/>
        </w:trPr>
        <w:tc>
          <w:tcPr>
            <w:tcW w:w="2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jc w:val="both"/>
        <w:ind w:firstLine="344"/>
        <w:spacing w:after="0" w:line="22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9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financial and business performance, including key business metrics and any underlying assumptions thereunder;</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market opportunity and our ability to acquire new customers and retain existing customers;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timing related to commercial product launches;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go-to-market strategy;</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our business and expand our offerings;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advantages and growth strategies;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capital requirements and sources and uses of cash;</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future operations;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known and unknown litigation and regulatory proceedings;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global, regional or local economic and market conditions affecting the cannabis industry;</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effects and enforcement of and changes to laws and regulations, including with respect to the cannabis industry;</w:t>
      </w:r>
    </w:p>
    <w:p>
      <w:pPr>
        <w:ind w:left="620" w:hanging="30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capitalize on new and existing cannabis markets, including our ability to successfully monetize our solutions in those markets;</w:t>
      </w:r>
    </w:p>
    <w:p>
      <w:pPr>
        <w:spacing w:after="0" w:line="8" w:lineRule="exact"/>
        <w:rPr>
          <w:rFonts w:ascii="Arial" w:cs="Arial" w:eastAsia="Arial" w:hAnsi="Arial"/>
          <w:sz w:val="15"/>
          <w:szCs w:val="15"/>
          <w:color w:val="auto"/>
        </w:rPr>
      </w:pP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future growth;</w:t>
      </w:r>
    </w:p>
    <w:p>
      <w:pPr>
        <w:ind w:left="620" w:hanging="307"/>
        <w:spacing w:after="0" w:line="22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on our future business;</w:t>
      </w:r>
    </w:p>
    <w:p>
      <w:pPr>
        <w:ind w:left="620" w:hanging="307"/>
        <w:spacing w:after="0" w:line="22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ind w:left="620" w:hanging="307"/>
        <w:spacing w:after="0" w:line="22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that we have identified a material weakness in our internal control over financial reporting which, if not corrected, could affect the reliability of our consolidated financial statements; and</w:t>
      </w: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03" w:lineRule="exact"/>
        <w:rPr>
          <w:sz w:val="20"/>
          <w:szCs w:val="20"/>
          <w:color w:val="auto"/>
        </w:rPr>
      </w:pPr>
    </w:p>
    <w:p>
      <w:pPr>
        <w:jc w:val="both"/>
        <w:ind w:firstLine="344"/>
        <w:spacing w:after="0" w:line="242"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Annual Report on Form 10-K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spacing w:after="0" w:line="197" w:lineRule="exact"/>
        <w:rPr>
          <w:sz w:val="20"/>
          <w:szCs w:val="20"/>
          <w:color w:val="auto"/>
        </w:rPr>
      </w:pPr>
    </w:p>
    <w:p>
      <w:pPr>
        <w:jc w:val="both"/>
        <w:ind w:firstLine="344"/>
        <w:spacing w:after="0" w:line="24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jc w:val="both"/>
        <w:ind w:firstLine="344"/>
        <w:spacing w:after="0" w:line="246" w:lineRule="auto"/>
        <w:rPr>
          <w:sz w:val="20"/>
          <w:szCs w:val="20"/>
          <w:color w:val="auto"/>
        </w:rPr>
      </w:pPr>
      <w:r>
        <w:rPr>
          <w:rFonts w:ascii="Arial" w:cs="Arial" w:eastAsia="Arial" w:hAnsi="Arial"/>
          <w:sz w:val="16"/>
          <w:szCs w:val="16"/>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534035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 SUMMARY</w:t>
      </w:r>
    </w:p>
    <w:p>
      <w:pPr>
        <w:spacing w:after="0" w:line="223" w:lineRule="exact"/>
        <w:rPr>
          <w:sz w:val="20"/>
          <w:szCs w:val="20"/>
          <w:color w:val="auto"/>
        </w:rPr>
      </w:pPr>
    </w:p>
    <w:p>
      <w:pPr>
        <w:jc w:val="both"/>
        <w:ind w:firstLine="344"/>
        <w:spacing w:after="0" w:line="266" w:lineRule="auto"/>
        <w:rPr>
          <w:sz w:val="20"/>
          <w:szCs w:val="20"/>
          <w:color w:val="auto"/>
        </w:rPr>
      </w:pPr>
      <w:r>
        <w:rPr>
          <w:rFonts w:ascii="Arial" w:cs="Arial" w:eastAsia="Arial" w:hAnsi="Arial"/>
          <w:sz w:val="15"/>
          <w:szCs w:val="15"/>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Annual Report and our other filings with the U.S. Securities and Exchange Commission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spacing w:after="0" w:line="192"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our costs increase, we may not be able to generate sufficient revenue to maintain profitability in the future.</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existing clients and consumers or to acquire new clients and consumers in a cost-effective manner, our revenue may decrease and our business may be harmed.</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fail to offer the optimal pricing of our products and solutions.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concentrated in California, and, as a result, our performance may be affected by factors unique to the California market.</w:t>
      </w:r>
    </w:p>
    <w:p>
      <w:pPr>
        <w:spacing w:after="0" w:line="24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200"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208"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208"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business is dependent on U.S. state laws and regulations and Canadian federal and provincial laws and regulations pertaining to the cannabis industry.</w:t>
      </w:r>
    </w:p>
    <w:p>
      <w:pPr>
        <w:spacing w:after="0" w:line="265" w:lineRule="exact"/>
        <w:rPr>
          <w:rFonts w:ascii="Arial" w:cs="Arial" w:eastAsia="Arial" w:hAnsi="Arial"/>
          <w:sz w:val="15"/>
          <w:szCs w:val="15"/>
          <w:color w:val="auto"/>
        </w:rPr>
      </w:pPr>
    </w:p>
    <w:p>
      <w:pPr>
        <w:ind w:left="620" w:hanging="307"/>
        <w:spacing w:after="0" w:line="25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1" w:lineRule="exact"/>
        <w:rPr>
          <w:rFonts w:ascii="Arial" w:cs="Arial" w:eastAsia="Arial" w:hAnsi="Arial"/>
          <w:sz w:val="17"/>
          <w:szCs w:val="17"/>
          <w:color w:val="auto"/>
        </w:rPr>
      </w:pPr>
    </w:p>
    <w:p>
      <w:pPr>
        <w:ind w:left="620" w:hanging="307"/>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our business is dependent, in part, upon continued market acceptance of cannabis by consumers, any negative trends could adversely affect our business operations.</w:t>
      </w:r>
    </w:p>
    <w:p>
      <w:pPr>
        <w:spacing w:after="0" w:line="20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Expansion of our business is dependent on the continued legalization of cannabis.</w:t>
      </w:r>
    </w:p>
    <w:p>
      <w:pPr>
        <w:spacing w:after="0" w:line="2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clients and consumers using our platform fail to provide high-quality content that attracts consumers, we may not be able to generate sufficient consumer traffic to remain competitive.</w:t>
      </w:r>
    </w:p>
    <w:p>
      <w:pPr>
        <w:ind w:left="620" w:hanging="307"/>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highly dependent upon our brand recognition and reputation, and the erosion or degradation of our brand recognition or reputation would likely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531495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face intense competition in the cannabis information market, and we expect competition to further intensify as the cannabis industry continues to evolve.</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recruit, train, retain and motivate key personnel, we may not achieve our business objectives.</w:t>
      </w:r>
    </w:p>
    <w:p>
      <w:pPr>
        <w:spacing w:after="0" w:line="21"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207"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our current marketing model is not effective in attracting new clients, we may need to employ higher-cost sales and marketing methods to attract and retain clients, which could adversely affect our profitability.</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payment system and the payment systems of our clients depend on third-party providers and are subject to evolving laws and regulations.</w:t>
      </w:r>
    </w:p>
    <w:p>
      <w:pPr>
        <w:spacing w:after="0" w:line="254"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trading price of our Class A Common Stock and Warrants have been, and may continue to be, volatile, and the value of our Class A Common Stock and Warrants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525145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2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165735</wp:posOffset>
            </wp:positionV>
            <wp:extent cx="5599430" cy="2922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9430"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20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6"/>
          <w:szCs w:val="16"/>
          <w:color w:val="auto"/>
        </w:rPr>
        <w:t>The state-legal cannabis industry in the United States has grown consistently in recent years and is expected to double between 2020 and 2025 (according to Arcview Market Research/BDS Analytics</w:t>
      </w:r>
      <w:r>
        <w:rPr>
          <w:rFonts w:ascii="Arial" w:cs="Arial" w:eastAsia="Arial" w:hAnsi="Arial"/>
          <w:sz w:val="21"/>
          <w:szCs w:val="21"/>
          <w:color w:val="auto"/>
          <w:vertAlign w:val="superscript"/>
        </w:rPr>
        <w:t>1</w:t>
      </w:r>
      <w:r>
        <w:rPr>
          <w:rFonts w:ascii="Arial" w:cs="Arial" w:eastAsia="Arial" w:hAnsi="Arial"/>
          <w:sz w:val="16"/>
          <w:szCs w:val="16"/>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204"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8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 (vi) analytics dashboards, (vii) a WM-owned point-of-sale system (where available) and (viii) access to our online 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18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WM Business solution is sold as a monthly subscription package. We also offer several upsell and add-on products that allow businesses to have more prominent placement on the Weedmaps marketplace either through featured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1637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99" w:lineRule="exact"/>
        <w:rPr>
          <w:sz w:val="20"/>
          <w:szCs w:val="20"/>
          <w:color w:val="auto"/>
        </w:rPr>
      </w:pPr>
    </w:p>
    <w:p>
      <w:pPr>
        <w:ind w:left="100" w:hanging="97"/>
        <w:spacing w:after="0"/>
        <w:tabs>
          <w:tab w:leader="none" w:pos="10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Arcview Market Research/BDS Analytics - The State of Legal Cannabis Markets, 8th Edition report.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91" w:lineRule="exact"/>
        <w:rPr>
          <w:rFonts w:ascii="Arial" w:cs="Arial" w:eastAsia="Arial" w:hAnsi="Arial"/>
          <w:sz w:val="22"/>
          <w:szCs w:val="22"/>
          <w:color w:val="auto"/>
          <w:vertAlign w:val="superscript"/>
        </w:rPr>
      </w:pPr>
    </w:p>
    <w:p>
      <w:pPr>
        <w:ind w:left="5580"/>
        <w:spacing w:after="0"/>
        <w:rPr>
          <w:rFonts w:ascii="Arial" w:cs="Arial" w:eastAsia="Arial" w:hAnsi="Arial"/>
          <w:sz w:val="22"/>
          <w:szCs w:val="22"/>
          <w:color w:val="auto"/>
          <w:vertAlign w:val="superscript"/>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listings, display ads or promoted deal offerings. Additionally, we have CRM, logistics and fulfillment 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Challenges in Our End-Markets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Despite cannabis being a large and growing sector in the U.S., we believe that cannabis is unlike many other consumer goods and retail categories for a number of reasons:</w:t>
      </w:r>
    </w:p>
    <w:p>
      <w:pPr>
        <w:spacing w:after="0" w:line="190"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Cannabis as a regulated industry is still in a nascent stage of development.</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Cannabis users are less than 13% of the U.S. adult population today without a “typical” user profile.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Regulations governing cannabis are complex and vary state-by-state and by city and county within states.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Cannabis has wide variance in characteristics that make it complex for consumers to make an informed purchase decision.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Cannabis is a perishable good with a lack of product homogeneity.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Brands are only in the early innings of establishing a consumer presence.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Competition with the illicit market is still an issue, particularly in states like California.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196" w:lineRule="exact"/>
        <w:rPr>
          <w:sz w:val="20"/>
          <w:szCs w:val="20"/>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WM Business subscription offering. </w:t>
      </w:r>
      <w:r>
        <w:rPr>
          <w:rFonts w:ascii="Arial" w:cs="Arial" w:eastAsia="Arial" w:hAnsi="Arial"/>
          <w:sz w:val="17"/>
          <w:szCs w:val="17"/>
          <w:color w:val="auto"/>
        </w:rPr>
        <w:t>Our WM Business monthly subscription package consists of the following solutions, the availability of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depends on the client’s market:</w:t>
      </w:r>
    </w:p>
    <w:p>
      <w:pPr>
        <w:spacing w:after="0" w:line="190" w:lineRule="exact"/>
        <w:rPr>
          <w:rFonts w:ascii="Arial" w:cs="Arial" w:eastAsia="Arial" w:hAnsi="Arial"/>
          <w:sz w:val="17"/>
          <w:szCs w:val="17"/>
          <w:color w:val="auto"/>
        </w:rPr>
      </w:pPr>
    </w:p>
    <w:p>
      <w:pPr>
        <w:ind w:left="1240" w:hanging="309"/>
        <w:spacing w:after="0" w:line="279" w:lineRule="auto"/>
        <w:tabs>
          <w:tab w:leader="none" w:pos="1236"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WM Pages</w:t>
      </w:r>
      <w:r>
        <w:rPr>
          <w:rFonts w:ascii="Arial" w:cs="Arial" w:eastAsia="Arial" w:hAnsi="Arial"/>
          <w:sz w:val="17"/>
          <w:szCs w:val="17"/>
          <w:color w:val="auto"/>
        </w:rPr>
        <w:t>. Listing page with product menu, which allows clients to disclose their license information, hours of operation, contact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policies, and other information that may be required under applicable state law.</w:t>
      </w:r>
    </w:p>
    <w:p>
      <w:pPr>
        <w:spacing w:after="0" w:line="190" w:lineRule="exact"/>
        <w:rPr>
          <w:rFonts w:ascii="Arial" w:cs="Arial" w:eastAsia="Arial" w:hAnsi="Arial"/>
          <w:sz w:val="17"/>
          <w:szCs w:val="17"/>
          <w:color w:val="auto"/>
        </w:rPr>
      </w:pPr>
    </w:p>
    <w:p>
      <w:pPr>
        <w:jc w:val="both"/>
        <w:ind w:left="1240" w:hanging="309"/>
        <w:spacing w:after="0" w:line="259" w:lineRule="auto"/>
        <w:tabs>
          <w:tab w:leader="none" w:pos="1262"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WM Orders. </w:t>
      </w:r>
      <w:r>
        <w:rPr>
          <w:rFonts w:ascii="Arial" w:cs="Arial" w:eastAsia="Arial" w:hAnsi="Arial"/>
          <w:sz w:val="17"/>
          <w:szCs w:val="17"/>
          <w:color w:val="auto"/>
        </w:rPr>
        <w:t>Transmission of requests for reservation of products for pick-up by consumers or delivery to consumers, allowing retailers to</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product availability (and to complete orders and process payments - both of which only occur outside the Weedmaps marketplace). Weedmaps serves only as 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left="1240" w:hanging="309"/>
        <w:spacing w:after="0" w:line="266" w:lineRule="auto"/>
        <w:tabs>
          <w:tab w:leader="none" w:pos="1249"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WM Dispatch. </w:t>
      </w:r>
      <w:r>
        <w:rPr>
          <w:rFonts w:ascii="Arial" w:cs="Arial" w:eastAsia="Arial" w:hAnsi="Arial"/>
          <w:sz w:val="17"/>
          <w:szCs w:val="17"/>
          <w:color w:val="auto"/>
        </w:rPr>
        <w:t>Together with Cannveya (described below), WM Dispatch provides logistics and fulfillment software and driver apps,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tools that can be used for legally compliant delivery and tracking of product reserved online through WM Orders and real-time routing and tracking of the state-licensed delivery fleet.</w:t>
      </w:r>
    </w:p>
    <w:p>
      <w:pPr>
        <w:spacing w:after="0" w:line="200" w:lineRule="exact"/>
        <w:rPr>
          <w:rFonts w:ascii="Arial" w:cs="Arial" w:eastAsia="Arial" w:hAnsi="Arial"/>
          <w:sz w:val="17"/>
          <w:szCs w:val="17"/>
          <w:color w:val="auto"/>
        </w:rPr>
      </w:pPr>
    </w:p>
    <w:p>
      <w:pPr>
        <w:ind w:left="1240" w:hanging="309"/>
        <w:spacing w:after="0"/>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WM Dashboard. </w:t>
      </w:r>
      <w:r>
        <w:rPr>
          <w:rFonts w:ascii="Arial" w:cs="Arial" w:eastAsia="Arial" w:hAnsi="Arial"/>
          <w:sz w:val="16"/>
          <w:szCs w:val="16"/>
          <w:color w:val="auto"/>
        </w:rPr>
        <w:t>Insights dashboard, which provides data and analytics on user engagement and traffic trends to a client’s listing page.</w:t>
      </w:r>
    </w:p>
    <w:p>
      <w:pPr>
        <w:spacing w:after="0" w:line="254" w:lineRule="exact"/>
        <w:rPr>
          <w:rFonts w:ascii="Arial" w:cs="Arial" w:eastAsia="Arial" w:hAnsi="Arial"/>
          <w:sz w:val="16"/>
          <w:szCs w:val="16"/>
          <w:color w:val="auto"/>
        </w:rPr>
      </w:pPr>
    </w:p>
    <w:p>
      <w:pPr>
        <w:jc w:val="both"/>
        <w:ind w:left="1240" w:hanging="309"/>
        <w:spacing w:after="0" w:line="259" w:lineRule="auto"/>
        <w:tabs>
          <w:tab w:leader="none" w:pos="1275"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WM Store. </w:t>
      </w:r>
      <w:r>
        <w:rPr>
          <w:rFonts w:ascii="Arial" w:cs="Arial" w:eastAsia="Arial" w:hAnsi="Arial"/>
          <w:sz w:val="17"/>
          <w:szCs w:val="17"/>
          <w:color w:val="auto"/>
        </w:rPr>
        <w:t>Orders and menu embed, which allows retailers and brands to import their Weedmaps listing menu or product reservation</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208" w:lineRule="exact"/>
        <w:rPr>
          <w:rFonts w:ascii="Arial" w:cs="Arial" w:eastAsia="Arial" w:hAnsi="Arial"/>
          <w:sz w:val="17"/>
          <w:szCs w:val="17"/>
          <w:color w:val="auto"/>
        </w:rPr>
      </w:pPr>
    </w:p>
    <w:p>
      <w:pPr>
        <w:jc w:val="both"/>
        <w:ind w:left="1240" w:hanging="309"/>
        <w:spacing w:after="0" w:line="266" w:lineRule="auto"/>
        <w:tabs>
          <w:tab w:leader="none" w:pos="1262"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Integrations and APIs. </w:t>
      </w:r>
      <w:r>
        <w:rPr>
          <w:rFonts w:ascii="Arial" w:cs="Arial" w:eastAsia="Arial" w:hAnsi="Arial"/>
          <w:sz w:val="17"/>
          <w:szCs w:val="17"/>
          <w:color w:val="auto"/>
        </w:rPr>
        <w:t>A platform of integrations and API tools or bespoke solutioning to integrate a business into the WM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ecosystem. This creates business efficiencies and improves the accuracy and timeliness of information across Weedmaps, creating a more positive experience for consumers and businesses.</w:t>
      </w:r>
    </w:p>
    <w:p>
      <w:pPr>
        <w:spacing w:after="0" w:line="200" w:lineRule="exact"/>
        <w:rPr>
          <w:rFonts w:ascii="Arial" w:cs="Arial" w:eastAsia="Arial" w:hAnsi="Arial"/>
          <w:sz w:val="17"/>
          <w:szCs w:val="17"/>
          <w:color w:val="auto"/>
        </w:rPr>
      </w:pPr>
    </w:p>
    <w:p>
      <w:pPr>
        <w:jc w:val="both"/>
        <w:ind w:left="1240" w:hanging="309"/>
        <w:spacing w:after="0" w:line="257" w:lineRule="auto"/>
        <w:tabs>
          <w:tab w:leader="none" w:pos="1249"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2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Additional offerings for subscription clients</w:t>
      </w:r>
      <w:r>
        <w:rPr>
          <w:rFonts w:ascii="Arial" w:cs="Arial" w:eastAsia="Arial" w:hAnsi="Arial"/>
          <w:sz w:val="17"/>
          <w:szCs w:val="17"/>
          <w:color w:val="auto"/>
        </w:rPr>
        <w:t>. We offer several add-on and upsell solutions only to paying subscription clients, including:</w:t>
      </w:r>
    </w:p>
    <w:p>
      <w:pPr>
        <w:spacing w:after="0" w:line="242" w:lineRule="exact"/>
        <w:rPr>
          <w:rFonts w:ascii="Arial" w:cs="Arial" w:eastAsia="Arial" w:hAnsi="Arial"/>
          <w:sz w:val="17"/>
          <w:szCs w:val="17"/>
          <w:color w:val="auto"/>
        </w:rPr>
      </w:pPr>
    </w:p>
    <w:p>
      <w:pPr>
        <w:ind w:left="1240" w:hanging="309"/>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Featured listings on our weedmaps.com marketplace; and</w:t>
      </w:r>
    </w:p>
    <w:p>
      <w:pPr>
        <w:spacing w:after="0" w:line="242" w:lineRule="exact"/>
        <w:rPr>
          <w:rFonts w:ascii="Arial" w:cs="Arial" w:eastAsia="Arial" w:hAnsi="Arial"/>
          <w:sz w:val="17"/>
          <w:szCs w:val="17"/>
          <w:color w:val="auto"/>
        </w:rPr>
      </w:pPr>
    </w:p>
    <w:p>
      <w:pPr>
        <w:ind w:left="1240" w:hanging="309"/>
        <w:spacing w:after="0" w:line="279" w:lineRule="auto"/>
        <w:tabs>
          <w:tab w:leader="none" w:pos="1236" w:val="left"/>
        </w:tabs>
        <w:numPr>
          <w:ilvl w:val="1"/>
          <w:numId w:val="9"/>
        </w:numPr>
        <w:rPr>
          <w:rFonts w:ascii="Arial" w:cs="Arial" w:eastAsia="Arial" w:hAnsi="Arial"/>
          <w:sz w:val="17"/>
          <w:szCs w:val="17"/>
          <w:color w:val="auto"/>
        </w:rPr>
      </w:pPr>
      <w:r>
        <w:rPr>
          <w:rFonts w:ascii="Arial" w:cs="Arial" w:eastAsia="Arial" w:hAnsi="Arial"/>
          <w:sz w:val="17"/>
          <w:szCs w:val="17"/>
          <w:color w:val="auto"/>
        </w:rPr>
        <w:t>Promoted deals, which allows retailers to showcase discounts (as is required by applicable law in some jurisdictions) and promotions on products to assist price-conscious consumers.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Additional a la carte products.</w:t>
      </w:r>
    </w:p>
    <w:p>
      <w:pPr>
        <w:spacing w:after="0" w:line="242" w:lineRule="exact"/>
        <w:rPr>
          <w:rFonts w:ascii="Arial" w:cs="Arial" w:eastAsia="Arial" w:hAnsi="Arial"/>
          <w:sz w:val="17"/>
          <w:szCs w:val="17"/>
          <w:color w:val="auto"/>
        </w:rPr>
      </w:pPr>
    </w:p>
    <w:p>
      <w:pPr>
        <w:jc w:val="both"/>
        <w:ind w:left="1240" w:hanging="309"/>
        <w:spacing w:after="0" w:line="262" w:lineRule="auto"/>
        <w:tabs>
          <w:tab w:leader="none" w:pos="1236"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Advertising solutions. </w:t>
      </w:r>
      <w:r>
        <w:rPr>
          <w:rFonts w:ascii="Arial" w:cs="Arial" w:eastAsia="Arial" w:hAnsi="Arial"/>
          <w:sz w:val="17"/>
          <w:szCs w:val="17"/>
          <w:color w:val="auto"/>
        </w:rPr>
        <w:t>We also provide several a la carte advertising solutions including banner ads and promotion tile cards on our Weedmaps</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203" w:lineRule="exact"/>
        <w:rPr>
          <w:rFonts w:ascii="Arial" w:cs="Arial" w:eastAsia="Arial" w:hAnsi="Arial"/>
          <w:sz w:val="17"/>
          <w:szCs w:val="17"/>
          <w:color w:val="auto"/>
        </w:rPr>
      </w:pPr>
    </w:p>
    <w:p>
      <w:pPr>
        <w:jc w:val="both"/>
        <w:ind w:left="1240" w:hanging="309"/>
        <w:spacing w:after="0" w:line="266" w:lineRule="auto"/>
        <w:tabs>
          <w:tab w:leader="none" w:pos="1262"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Sprout. </w:t>
      </w:r>
      <w:r>
        <w:rPr>
          <w:rFonts w:ascii="Arial" w:cs="Arial" w:eastAsia="Arial" w:hAnsi="Arial"/>
          <w:sz w:val="17"/>
          <w:szCs w:val="17"/>
          <w:color w:val="auto"/>
        </w:rPr>
        <w:t>In September 2021, we acquired certain assets of the Sprout business (“Sprout”). Sprout is a cloud-based customer relationship</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(“CRM”) and marketing platform with the ability to run text messaging, email, and loyalty campaigns to retarget and reengage cannabis consumers.</w:t>
      </w:r>
    </w:p>
    <w:p>
      <w:pPr>
        <w:spacing w:after="0" w:line="200" w:lineRule="exact"/>
        <w:rPr>
          <w:rFonts w:ascii="Arial" w:cs="Arial" w:eastAsia="Arial" w:hAnsi="Arial"/>
          <w:sz w:val="17"/>
          <w:szCs w:val="17"/>
          <w:color w:val="auto"/>
        </w:rPr>
      </w:pPr>
    </w:p>
    <w:p>
      <w:pPr>
        <w:jc w:val="both"/>
        <w:ind w:left="1240" w:hanging="309"/>
        <w:spacing w:after="0" w:line="262" w:lineRule="auto"/>
        <w:tabs>
          <w:tab w:leader="none" w:pos="1249"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Cannveya. </w:t>
      </w:r>
      <w:r>
        <w:rPr>
          <w:rFonts w:ascii="Arial" w:cs="Arial" w:eastAsia="Arial" w:hAnsi="Arial"/>
          <w:sz w:val="17"/>
          <w:szCs w:val="17"/>
          <w:color w:val="auto"/>
        </w:rPr>
        <w:t>In September 2021, we acquired Transport Logistics Holding Company, LLC, which is the parent company to Cannveya.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Since our founding in 2008, we have grown to become a leading provider of technology solutions to the cannabis industry by leveraging our competitive strengths, including:</w:t>
      </w:r>
    </w:p>
    <w:p>
      <w:pPr>
        <w:spacing w:after="0" w:line="190"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 history and established relationships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209" w:lineRule="exact"/>
        <w:rPr>
          <w:sz w:val="20"/>
          <w:szCs w:val="20"/>
          <w:color w:val="auto"/>
        </w:rPr>
      </w:pPr>
    </w:p>
    <w:p>
      <w:pPr>
        <w:jc w:val="both"/>
        <w:ind w:left="620"/>
        <w:spacing w:after="0" w:line="299" w:lineRule="auto"/>
        <w:rPr>
          <w:sz w:val="20"/>
          <w:szCs w:val="20"/>
          <w:color w:val="auto"/>
        </w:rPr>
      </w:pPr>
      <w:r>
        <w:rPr>
          <w:rFonts w:ascii="Arial" w:cs="Arial" w:eastAsia="Arial" w:hAnsi="Arial"/>
          <w:sz w:val="15"/>
          <w:szCs w:val="15"/>
          <w:b w:val="1"/>
          <w:bCs w:val="1"/>
          <w:i w:val="1"/>
          <w:iCs w:val="1"/>
          <w:color w:val="auto"/>
        </w:rPr>
        <w:t xml:space="preserve">Largest Two-Sided Platform for Cannabis Businesses and Consumers. </w:t>
      </w:r>
      <w:r>
        <w:rPr>
          <w:rFonts w:ascii="Arial" w:cs="Arial" w:eastAsia="Arial" w:hAnsi="Arial"/>
          <w:sz w:val="15"/>
          <w:szCs w:val="15"/>
          <w:color w:val="auto"/>
        </w:rPr>
        <w:t>We estimate that approximately 55% of all licensed cannabis retailers across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180" w:lineRule="exact"/>
        <w:rPr>
          <w:sz w:val="20"/>
          <w:szCs w:val="20"/>
          <w:color w:val="auto"/>
        </w:rPr>
      </w:pPr>
    </w:p>
    <w:p>
      <w:pPr>
        <w:jc w:val="both"/>
        <w:ind w:left="620"/>
        <w:spacing w:after="0" w:line="257" w:lineRule="auto"/>
        <w:rPr>
          <w:sz w:val="20"/>
          <w:szCs w:val="20"/>
          <w:color w:val="auto"/>
        </w:rPr>
      </w:pPr>
      <w:r>
        <w:rPr>
          <w:rFonts w:ascii="Arial" w:cs="Arial" w:eastAsia="Arial" w:hAnsi="Arial"/>
          <w:sz w:val="17"/>
          <w:szCs w:val="17"/>
          <w:b w:val="1"/>
          <w:bCs w:val="1"/>
          <w:i w:val="1"/>
          <w:iCs w:val="1"/>
          <w:color w:val="auto"/>
        </w:rPr>
        <w:t xml:space="preserve">The Only Fully-Integrated Business-in-a-Box SaaS Solution Specific to the Cannabis Industry. </w:t>
      </w:r>
      <w:r>
        <w:rPr>
          <w:rFonts w:ascii="Arial" w:cs="Arial" w:eastAsia="Arial" w:hAnsi="Arial"/>
          <w:sz w:val="17"/>
          <w:szCs w:val="17"/>
          <w:color w:val="auto"/>
        </w:rPr>
        <w:t>Our WM Business is the industry’s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208" w:lineRule="exact"/>
        <w:rPr>
          <w:sz w:val="20"/>
          <w:szCs w:val="20"/>
          <w:color w:val="auto"/>
        </w:rPr>
      </w:pPr>
    </w:p>
    <w:p>
      <w:pPr>
        <w:jc w:val="both"/>
        <w:ind w:left="620"/>
        <w:spacing w:after="0" w:line="279" w:lineRule="auto"/>
        <w:rPr>
          <w:sz w:val="20"/>
          <w:szCs w:val="20"/>
          <w:color w:val="auto"/>
        </w:rPr>
      </w:pPr>
      <w:r>
        <w:rPr>
          <w:rFonts w:ascii="Arial" w:cs="Arial" w:eastAsia="Arial" w:hAnsi="Arial"/>
          <w:sz w:val="16"/>
          <w:szCs w:val="16"/>
          <w:b w:val="1"/>
          <w:bCs w:val="1"/>
          <w:i w:val="1"/>
          <w:iCs w:val="1"/>
          <w:color w:val="auto"/>
        </w:rPr>
        <w:t xml:space="preserve">Unique and Growing Data Asset. </w:t>
      </w:r>
      <w:r>
        <w:rPr>
          <w:rFonts w:ascii="Arial" w:cs="Arial" w:eastAsia="Arial" w:hAnsi="Arial"/>
          <w:sz w:val="16"/>
          <w:szCs w:val="16"/>
          <w:color w:val="auto"/>
        </w:rPr>
        <w:t>Given our established presence, scale, and the breadth of product 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94"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b w:val="1"/>
          <w:bCs w:val="1"/>
          <w:i w:val="1"/>
          <w:iCs w:val="1"/>
          <w:color w:val="auto"/>
        </w:rPr>
        <w:t xml:space="preserve">Ability to Innovate Rapidly and Launch New Products Efficiently at Scale. </w:t>
      </w:r>
      <w:r>
        <w:rPr>
          <w:rFonts w:ascii="Arial" w:cs="Arial" w:eastAsia="Arial" w:hAnsi="Arial"/>
          <w:sz w:val="17"/>
          <w:szCs w:val="17"/>
          <w:color w:val="auto"/>
        </w:rPr>
        <w:t>We have an agile product innovation and deployment process. Our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212"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b w:val="1"/>
          <w:bCs w:val="1"/>
          <w:i w:val="1"/>
          <w:iCs w:val="1"/>
          <w:color w:val="auto"/>
        </w:rPr>
        <w:t xml:space="preserve">Capital-Efficient Business Model with Strong Cashflow Generation. </w:t>
      </w:r>
      <w:r>
        <w:rPr>
          <w:rFonts w:ascii="Arial" w:cs="Arial" w:eastAsia="Arial" w:hAnsi="Arial"/>
          <w:sz w:val="17"/>
          <w:szCs w:val="17"/>
          <w:color w:val="auto"/>
        </w:rPr>
        <w:t>We operate a cloud-based platform, and unlike other cannabis-related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left="620"/>
        <w:spacing w:after="0" w:line="279" w:lineRule="auto"/>
        <w:rPr>
          <w:sz w:val="20"/>
          <w:szCs w:val="20"/>
          <w:color w:val="auto"/>
        </w:rPr>
      </w:pPr>
      <w:r>
        <w:rPr>
          <w:rFonts w:ascii="Arial" w:cs="Arial" w:eastAsia="Arial" w:hAnsi="Arial"/>
          <w:sz w:val="16"/>
          <w:szCs w:val="16"/>
          <w:b w:val="1"/>
          <w:bCs w:val="1"/>
          <w:i w:val="1"/>
          <w:iCs w:val="1"/>
          <w:color w:val="auto"/>
        </w:rPr>
        <w:t xml:space="preserve">Operationally-Focused Management Team with Deep Experience. </w:t>
      </w:r>
      <w:r>
        <w:rPr>
          <w:rFonts w:ascii="Arial" w:cs="Arial" w:eastAsia="Arial" w:hAnsi="Arial"/>
          <w:sz w:val="16"/>
          <w:szCs w:val="16"/>
          <w:color w:val="auto"/>
        </w:rPr>
        <w:t>Our executive leadership team has over 100 years of cumulative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204" w:lineRule="exact"/>
        <w:rPr>
          <w:sz w:val="20"/>
          <w:szCs w:val="20"/>
          <w:color w:val="auto"/>
        </w:rPr>
      </w:pPr>
    </w:p>
    <w:p>
      <w:pPr>
        <w:jc w:val="both"/>
        <w:ind w:left="620" w:hanging="307"/>
        <w:spacing w:after="0" w:line="25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Two-Sided Marketplace. </w:t>
      </w:r>
      <w:r>
        <w:rPr>
          <w:rFonts w:ascii="Arial" w:cs="Arial" w:eastAsia="Arial" w:hAnsi="Arial"/>
          <w:sz w:val="17"/>
          <w:szCs w:val="17"/>
          <w:color w:val="auto"/>
        </w:rPr>
        <w:t>Our goal is to be the center of commerce for consumers seeking cannabis. To support this goal, we intend to continue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208" w:lineRule="exact"/>
        <w:rPr>
          <w:rFonts w:ascii="Arial" w:cs="Arial" w:eastAsia="Arial" w:hAnsi="Arial"/>
          <w:sz w:val="17"/>
          <w:szCs w:val="17"/>
          <w:color w:val="auto"/>
        </w:rPr>
      </w:pPr>
    </w:p>
    <w:p>
      <w:pPr>
        <w:jc w:val="both"/>
        <w:ind w:left="620" w:hanging="307"/>
        <w:spacing w:after="0" w:line="279"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 client base both within existing markets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19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19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b w:val="1"/>
          <w:bCs w:val="1"/>
          <w:i w:val="1"/>
          <w:iCs w:val="1"/>
          <w:color w:val="auto"/>
        </w:rPr>
        <w:t xml:space="preserve">Expand our WM Business SaaS solution and grow Gross Merchandise Value (“GMV”). </w:t>
      </w:r>
      <w:r>
        <w:rPr>
          <w:rFonts w:ascii="Arial" w:cs="Arial" w:eastAsia="Arial" w:hAnsi="Arial"/>
          <w:sz w:val="16"/>
          <w:szCs w:val="16"/>
          <w:color w:val="auto"/>
        </w:rPr>
        <w:t>We intend to continue expanding the functionality of our WM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19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 xml:space="preserve">Pursue Strategic Acquisitions. </w:t>
      </w:r>
      <w:r>
        <w:rPr>
          <w:rFonts w:ascii="Arial" w:cs="Arial" w:eastAsia="Arial" w:hAnsi="Arial"/>
          <w:sz w:val="17"/>
          <w:szCs w:val="17"/>
          <w:color w:val="auto"/>
        </w:rPr>
        <w:t>We take a measured approach to acquisition-related growth, preferring to selectively make strategic software acquisitions,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our recent transactions for Sprout, Cannveya and CannCurrent, that complement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our existing offerings. We intend to continue selectively pursuing opportunities to invest in and acquire technology offerings that allow us to accelerate our growth.</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182"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For additional information about the risks to our business related to competition, see the section entitled “Risk Factors-Risks Related to our Business and Industry—</w:t>
      </w:r>
      <w:r>
        <w:rPr>
          <w:rFonts w:ascii="Arial" w:cs="Arial" w:eastAsia="Arial" w:hAnsi="Arial"/>
          <w:sz w:val="15"/>
          <w:szCs w:val="15"/>
          <w:i w:val="1"/>
          <w:iCs w:val="1"/>
          <w:color w:val="auto"/>
        </w:rPr>
        <w:t>We currently face intense competition in the market, and we expect competition to further intensify as the cannabis industry continues to evolve</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19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16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Social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Circumstances outside our control could pose a threat to our intellectual property rights. For more information, see the section entitled “Risk Factors— Risks Related to our Business and Industry.”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People Operations and Human Capital Resources</w:t>
      </w:r>
    </w:p>
    <w:p>
      <w:pPr>
        <w:spacing w:after="0" w:line="24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1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being able to attract and retain top talent is both a strategic advantage for us and necessary to realize our mission of powering a transparent and inclusive global cannabis economy. Our position as a leading technology provider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 &amp; 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4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and Territories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204"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20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18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20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20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 of the World</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tab/>
        <w:t>RISK FACTORS</w:t>
      </w:r>
    </w:p>
    <w:p>
      <w:pPr>
        <w:spacing w:after="0" w:line="236"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 our costs increase, we may not be able to generate sufficient revenue to maintain profitability in the future.</w:t>
      </w:r>
    </w:p>
    <w:p>
      <w:pPr>
        <w:spacing w:after="0" w:line="2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188"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sales and marketing, including continued investment in our current marketing efforts and future marketing initiatives;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hiring of additional employees, including in our product and engineering teams;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expansion domestically and internationally in an effort to increase our consumer and client usage, client base, and our sales to our clients;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development of new products, and increased investment in the ongoing development of our existing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integrating our acquired companies into our operations; and</w:t>
      </w:r>
    </w:p>
    <w:p>
      <w:pPr>
        <w:spacing w:after="0" w:line="62"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20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9"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89"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19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fail to offer the optimal pricing of our products and solutions.</w:t>
      </w:r>
    </w:p>
    <w:p>
      <w:pPr>
        <w:spacing w:after="0" w:line="21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If we fail to expand effectively into new markets, our revenue and business will be adversely affected.</w:t>
      </w:r>
    </w:p>
    <w:p>
      <w:pPr>
        <w:spacing w:after="0" w:line="217"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business is concentrated in California, and, as a result, our performance may be affected by factors unique to the California market.</w:t>
      </w:r>
    </w:p>
    <w:p>
      <w:pPr>
        <w:spacing w:after="0" w:line="229"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20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9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18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97"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6"/>
          <w:szCs w:val="16"/>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2"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6"/>
          <w:szCs w:val="16"/>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205"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98"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9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88"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Our business is dependent on U.S. state laws and regulations and Canadian federal and provincial laws and regulations pertaining to the cannabis industry.</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197"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197"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198"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98"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18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197" w:lineRule="exact"/>
        <w:rPr>
          <w:sz w:val="20"/>
          <w:szCs w:val="20"/>
          <w:color w:val="auto"/>
        </w:rPr>
      </w:pPr>
    </w:p>
    <w:p>
      <w:pPr>
        <w:ind w:left="620" w:hanging="307"/>
        <w:spacing w:after="0" w:line="248"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adapting to rapidly evolving trends in the cannabis industry and the way consumers and cannabis industry businesses interact with technology;</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and increasing our base of clients and consumers;</w:t>
      </w:r>
    </w:p>
    <w:p>
      <w:pPr>
        <w:spacing w:after="0" w:line="36"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continuing to preserve and build our brand while upgrading our existing offerings;</w:t>
      </w:r>
    </w:p>
    <w:p>
      <w:pPr>
        <w:spacing w:after="0" w:line="36"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attracting, hiring, and retaining qualified personnel to manage operations;</w:t>
      </w:r>
    </w:p>
    <w:p>
      <w:pPr>
        <w:spacing w:after="0" w:line="36" w:lineRule="exact"/>
        <w:rPr>
          <w:rFonts w:ascii="Arial" w:cs="Arial" w:eastAsia="Arial" w:hAnsi="Arial"/>
          <w:sz w:val="17"/>
          <w:szCs w:val="17"/>
          <w:color w:val="auto"/>
        </w:rPr>
      </w:pPr>
    </w:p>
    <w:p>
      <w:pPr>
        <w:ind w:left="620" w:hanging="307"/>
        <w:spacing w:after="0" w:line="248"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adapting to changes in the cannabis industry if sales of cannabis expands significantly beyond a regulated model, and commodification of the cannabis industry;</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implementing and executing our business and marketing strategies; and</w:t>
      </w:r>
    </w:p>
    <w:p>
      <w:pPr>
        <w:spacing w:after="0" w:line="36"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expanding our business into new and existing cannabis markets.</w:t>
      </w:r>
    </w:p>
    <w:p>
      <w:pPr>
        <w:spacing w:after="0" w:line="269" w:lineRule="exact"/>
        <w:rPr>
          <w:sz w:val="20"/>
          <w:szCs w:val="20"/>
          <w:color w:val="auto"/>
        </w:rPr>
      </w:pPr>
    </w:p>
    <w:p>
      <w:pPr>
        <w:ind w:firstLine="619"/>
        <w:spacing w:after="0" w:line="278" w:lineRule="auto"/>
        <w:rPr>
          <w:sz w:val="20"/>
          <w:szCs w:val="20"/>
          <w:color w:val="auto"/>
        </w:rPr>
      </w:pPr>
      <w:r>
        <w:rPr>
          <w:rFonts w:ascii="Arial" w:cs="Arial" w:eastAsia="Arial" w:hAnsi="Arial"/>
          <w:sz w:val="16"/>
          <w:szCs w:val="16"/>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Because our business is dependent, in part, upon continued market acceptance of cannabis by consumers, any negative trends could adversely affect our business operations.</w:t>
      </w:r>
    </w:p>
    <w:p>
      <w:pPr>
        <w:spacing w:after="0" w:line="18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Expansion of our business is dependent on the continued legalization of cannabis.</w:t>
      </w:r>
    </w:p>
    <w:p>
      <w:pPr>
        <w:spacing w:after="0" w:line="217"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9"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18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197"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82"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89"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211"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efficacy of our marketing efforts;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maintain a high-quality, innovative, and error- and bug-free platform;</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maintain high satisfaction among clients and consumers;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quality and perceived value of our platform;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successfully implementing and developing new features, including alternative revenue streams;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obtain, maintain and enforce trademarks and other indicia of origin that are valuable to our brand;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successfully differentiate our platform from competitors’ products;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compliance with laws and regulations, including those applicable to any political action committees affiliated with us and to our registered lobbying activities;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provide client support;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actual or perceived data breach or data loss, or misuse or perceived misuse of our platform.</w:t>
      </w:r>
    </w:p>
    <w:p>
      <w:pPr>
        <w:spacing w:after="0" w:line="28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In addition, our brand recognition and reputation may be affected by factors that are outside our control, such as: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actions of competitors or other third parties;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quality and timeliness of our clients’ delivery businesses;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consumers’ experiences with clients or products identified through our platform;</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interruptions, delays or attacks on our platform;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 or regulatory developments.</w:t>
      </w:r>
    </w:p>
    <w:p>
      <w:pPr>
        <w:spacing w:after="0" w:line="28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currently face intense competition in the cannabis information market, and we expect competition to further intensify as the cannabis industry continues to evolve.</w:t>
      </w:r>
    </w:p>
    <w:p>
      <w:pPr>
        <w:spacing w:after="0" w:line="1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200" w:lineRule="exact"/>
        <w:rPr>
          <w:sz w:val="20"/>
          <w:szCs w:val="20"/>
          <w:color w:val="auto"/>
        </w:rPr>
      </w:pPr>
    </w:p>
    <w:p>
      <w:pPr>
        <w:spacing w:after="0" w:line="281"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If we fail to manage our growth effectively, our brand, business and operating results could be harmed.</w:t>
      </w:r>
    </w:p>
    <w:p>
      <w:pPr>
        <w:spacing w:after="0" w:line="217"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If we are unable to recruit, train, retain and motivate key personnel, we may not achieve our business objectives.</w:t>
      </w:r>
    </w:p>
    <w:p>
      <w:pPr>
        <w:spacing w:after="0" w:line="21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9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6"/>
          <w:szCs w:val="16"/>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82"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9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1"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8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179"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89"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202"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17"/>
          <w:szCs w:val="17"/>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To the extent we are not able to continue successfully improving and enhancing our platform, our business could be adversely affected.</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Our payment system and the payment systems of our clients depend on third-party providers and are subject to evolving laws and regulations.</w:t>
      </w:r>
    </w:p>
    <w:p>
      <w:pPr>
        <w:spacing w:after="0" w:line="240"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196"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9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9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1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6"/>
          <w:szCs w:val="16"/>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217"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Real or perceived errors, failures, or bugs in our platform could adversely affect our operating results and growth prospects.</w:t>
      </w:r>
    </w:p>
    <w:p>
      <w:pPr>
        <w:spacing w:after="0" w:line="217"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96"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5"/>
          <w:szCs w:val="15"/>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188"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99"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8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97"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1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175"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6"/>
          <w:szCs w:val="16"/>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198"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198"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9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166"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5"/>
          <w:szCs w:val="15"/>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14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198"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19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179"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190"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 (ii) 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182"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Fluctuations in our quarterly and annual operating results may adversely affect our business and prospects.</w:t>
      </w:r>
    </w:p>
    <w:p>
      <w:pPr>
        <w:spacing w:after="0" w:line="217"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211"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attract new clients and consumers and retain existing clients and consumers;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accurately forecast revenue and appropriately plan our expenses;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effects of changes in search engine placement and prominence;</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effects of increased competition on our business;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successfully expand in existing markets and successfully enter new markets;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global, regional or economic conditions;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protect our intellectual property;</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maintain and effectively manage an adequate rate of growth;</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maintain and increase traffic to our platform;</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associated with defending claims, including intellectual property infringement claims and related judgments or settlements;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governmental or other regulation affecting our business;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interruptions in platform availability and any related impact on our business, reputation or brand;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attraction and retention of qualified personnel;</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effects of natural or man-made catastrophic events;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improve our products and solutions in ways that forego short-term gains.</w:t>
      </w:r>
    </w:p>
    <w:p>
      <w:pPr>
        <w:spacing w:after="0" w:line="217"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98"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6"/>
          <w:szCs w:val="16"/>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16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208"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political, social, and economic instability;</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related to the legal and regulatory environment in foreign jurisdictions, including with respect to privacy and data protection, and unexpected changes in laws, regulatory requirements, and enforcement;</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higher levels of credit risk and payment fraud;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tax requirements of multiple jurisdictions;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enhanced difficulties of integrating any foreign acquisitions;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to present our content effectively in foreign languages;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some countries;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staffing and managing global operations and the increased travel, infrastructure, and compliance costs associated with multiple foreign locations;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the United States and otherwise preventing us from freely moving cash;</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import and export restrictions and changes in trade regulation;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statutory equity requirements;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9"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229"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8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197"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205"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6"/>
          <w:szCs w:val="16"/>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20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183"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182"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Governmental regulation of the internet continues to develop, and unfavorable changes could substantially harm our business and operating results.</w:t>
      </w:r>
    </w:p>
    <w:p>
      <w:pPr>
        <w:spacing w:after="0" w:line="25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be subject to claims brought against us as a result of content we provide.</w:t>
      </w:r>
    </w:p>
    <w:p>
      <w:pPr>
        <w:spacing w:after="0" w:line="21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be subject to legal claims based on the content published to our platform.</w:t>
      </w:r>
    </w:p>
    <w:p>
      <w:pPr>
        <w:spacing w:after="0" w:line="21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9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Future investments in alternative revenue streams or acquisitions could disrupt our business and adversely affect our operating results, financial condition and cash flows.</w:t>
      </w:r>
    </w:p>
    <w:p>
      <w:pPr>
        <w:spacing w:after="0" w:line="18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19"/>
        <w:spacing w:after="0" w:line="278" w:lineRule="auto"/>
        <w:rPr>
          <w:sz w:val="20"/>
          <w:szCs w:val="20"/>
          <w:color w:val="auto"/>
        </w:rPr>
      </w:pPr>
      <w:r>
        <w:rPr>
          <w:rFonts w:ascii="Arial" w:cs="Arial" w:eastAsia="Arial" w:hAnsi="Arial"/>
          <w:sz w:val="16"/>
          <w:szCs w:val="16"/>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180" w:lineRule="exact"/>
        <w:rPr>
          <w:sz w:val="20"/>
          <w:szCs w:val="20"/>
          <w:color w:val="auto"/>
        </w:rPr>
      </w:pPr>
    </w:p>
    <w:p>
      <w:pPr>
        <w:jc w:val="both"/>
        <w:ind w:left="620" w:hanging="307"/>
        <w:spacing w:after="0" w:line="26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3"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20"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acquisition may disrupt our ongoing business, divert resources, increase our expenses and distract our management;</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encounter difficulties in, or may be unable to, successfully sell any acquired products;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acquisition may involve the entry into geographic or business markets in which we have little or no prior experience or where competitors have stronger market positions;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strain on our financial and managerial controls and reporting systems and procedures;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known and unknown liabilities associated with an acquired company;</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incur debt to fund such acquisitions, such debt may subject us to material restrictions on our ability to conduct our business as well as financial maintenance covenants;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risk of impairment charges related to potential write-downs of acquired assets or goodwill in future acquisitions;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managing the varying intellectual property protection strategies and other activities of an acquired company.</w:t>
      </w:r>
    </w:p>
    <w:p>
      <w:pPr>
        <w:spacing w:after="0" w:line="28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89"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189"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6"/>
          <w:szCs w:val="16"/>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be subject to potential adverse tax consequences both domestically and in foreign jurisdictions.</w:t>
      </w:r>
    </w:p>
    <w:p>
      <w:pPr>
        <w:spacing w:after="0" w:line="217"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accounting standards or other factors could negatively impact our future effective tax rate.</w:t>
      </w:r>
    </w:p>
    <w:p>
      <w:pPr>
        <w:spacing w:after="0" w:line="217"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98"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89"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19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189"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19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9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19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18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19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8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Acquisitions by us of common units in the Business Combination and future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197"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6"/>
          <w:szCs w:val="16"/>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resulting from payments made under the tax receivable agreement. The payment obligations under the tax receivable agreement are our obligations and not obligations of WMH LLC.</w:t>
      </w:r>
    </w:p>
    <w:p>
      <w:pPr>
        <w:spacing w:after="0" w:line="189"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8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5"/>
          <w:szCs w:val="15"/>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190"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Risks Related to the Cannabis Industry</w:t>
      </w:r>
    </w:p>
    <w:p>
      <w:pPr>
        <w:spacing w:after="0" w:line="22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89"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 xml:space="preserve">Cannabis, other than hemp (defined by the U.S. government as </w:t>
      </w:r>
      <w:r>
        <w:rPr>
          <w:rFonts w:ascii="Arial" w:cs="Arial" w:eastAsia="Arial" w:hAnsi="Arial"/>
          <w:sz w:val="17"/>
          <w:szCs w:val="17"/>
          <w:i w:val="1"/>
          <w:iCs w:val="1"/>
          <w:color w:val="auto"/>
        </w:rPr>
        <w:t>Cannabis sativa</w:t>
      </w:r>
      <w:r>
        <w:rPr>
          <w:rFonts w:ascii="Arial" w:cs="Arial" w:eastAsia="Arial" w:hAnsi="Arial"/>
          <w:sz w:val="17"/>
          <w:szCs w:val="17"/>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66"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201"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6"/>
          <w:szCs w:val="16"/>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198"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199"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196"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19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While President Biden’s campaign position on cannabis falls short of full legalization, he has campaigned on a platform of relaxing enforcement of cannabis proscriptions, including decriminalization generally. According to the Biden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202"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190"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197"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8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198" w:lineRule="exact"/>
        <w:rPr>
          <w:sz w:val="20"/>
          <w:szCs w:val="20"/>
          <w:color w:val="auto"/>
        </w:rPr>
      </w:pPr>
    </w:p>
    <w:p>
      <w:pPr>
        <w:jc w:val="both"/>
        <w:ind w:firstLine="619"/>
        <w:spacing w:after="0"/>
        <w:rPr>
          <w:sz w:val="20"/>
          <w:szCs w:val="20"/>
          <w:color w:val="auto"/>
        </w:rPr>
      </w:pPr>
      <w:r>
        <w:rPr>
          <w:rFonts w:ascii="Arial" w:cs="Arial" w:eastAsia="Arial" w:hAnsi="Arial"/>
          <w:sz w:val="16"/>
          <w:szCs w:val="16"/>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89"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8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190"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197"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Participating in transactions involving proceeds derived from cannabis may constitute criminal money laundering.</w:t>
      </w:r>
    </w:p>
    <w:p>
      <w:pPr>
        <w:spacing w:after="0" w:line="21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196"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have difficulty using bankruptcy courts due to our involvement in the regulated cannabis industry.</w:t>
      </w:r>
    </w:p>
    <w:p>
      <w:pPr>
        <w:jc w:val="both"/>
        <w:ind w:firstLine="619"/>
        <w:spacing w:after="0" w:line="228"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conduct of third parties may jeopardize our business.</w:t>
      </w:r>
    </w:p>
    <w:p>
      <w:pPr>
        <w:spacing w:after="0" w:line="21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conduct of third parties may jeopardize our regulatory compliance.</w:t>
      </w:r>
    </w:p>
    <w:p>
      <w:pPr>
        <w:spacing w:after="0" w:line="217"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 &amp; 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8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198"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198"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9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believe that Section 230(c)(1) of the Communications Decency Act (“CDA”) provides immunity from civil and state criminal liability, but it is possible that it does not.</w:t>
      </w:r>
    </w:p>
    <w:p>
      <w:pPr>
        <w:spacing w:after="0" w:line="189"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6"/>
          <w:szCs w:val="16"/>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continue to be subject to constraints on marketing our products.</w:t>
      </w:r>
    </w:p>
    <w:p>
      <w:pPr>
        <w:spacing w:after="0" w:line="217"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Cannabis businesses are subject to unfavorable U.S. tax treatment.</w:t>
      </w:r>
    </w:p>
    <w:p>
      <w:pPr>
        <w:spacing w:after="0" w:line="217"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Service providers to cannabis businesses may also be subject to unfavorable U.S. tax treatment.</w:t>
      </w:r>
    </w:p>
    <w:p>
      <w:pPr>
        <w:spacing w:after="0" w:line="217"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197"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Cannabis businesses may be subject to civil asset forfeiture.</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92"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89"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6"/>
          <w:szCs w:val="16"/>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There may be difficulty enforcing certain of our commercial agreements and contracts.</w:t>
      </w:r>
    </w:p>
    <w:p>
      <w:pPr>
        <w:spacing w:after="0" w:line="217"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be subject to Telephone Consumer Protections Act (TCPA) risks for our communications with consumers.</w:t>
      </w:r>
    </w:p>
    <w:p>
      <w:pPr>
        <w:spacing w:after="0" w:line="217"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Certain of our directors, officers, employees and investors who are not U.S. citizens may face constraints on cross-border travel into the United States.</w:t>
      </w:r>
    </w:p>
    <w:p>
      <w:pPr>
        <w:spacing w:after="0" w:line="252"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202"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Securities</w:t>
      </w:r>
    </w:p>
    <w:p>
      <w:pPr>
        <w:spacing w:after="0" w:line="22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18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do not expect to declare any dividends in the foreseeable future.</w:t>
      </w:r>
    </w:p>
    <w:p>
      <w:pPr>
        <w:spacing w:after="0" w:line="217"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6"/>
          <w:szCs w:val="16"/>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6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1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provision could have the effect of discouraging claims or limiting investors’ ability to bring claims in a judicial forum that they find favorable.</w:t>
      </w:r>
    </w:p>
    <w:p>
      <w:pPr>
        <w:spacing w:after="0" w:line="217"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7"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5"/>
          <w:szCs w:val="15"/>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14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198"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9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89"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202"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may significantly dilute the equity interests of our investors;</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may subordinate the rights of holders of Class A Common Stock if preferred stock is issued with rights senior to those afforded our Class A Common Stock;</w:t>
      </w:r>
    </w:p>
    <w:p>
      <w:pPr>
        <w:spacing w:after="0" w:line="9" w:lineRule="exact"/>
        <w:rPr>
          <w:rFonts w:ascii="Arial" w:cs="Arial" w:eastAsia="Arial" w:hAnsi="Arial"/>
          <w:sz w:val="17"/>
          <w:szCs w:val="17"/>
          <w:color w:val="auto"/>
        </w:rPr>
      </w:pPr>
    </w:p>
    <w:p>
      <w:pPr>
        <w:ind w:left="620" w:hanging="307"/>
        <w:spacing w:after="0" w:line="302"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Class A Common Stock and/or Warrants.</w:t>
      </w:r>
    </w:p>
    <w:p>
      <w:pPr>
        <w:spacing w:after="0" w:line="333"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b w:val="1"/>
          <w:bCs w:val="1"/>
          <w:i w:val="1"/>
          <w:iCs w:val="1"/>
          <w:color w:val="auto"/>
        </w:rPr>
        <w:t>The trading price of our Class A Common Stock and Warrants have been, and may continue to be, volatile, and the value of our Class A Common Stock and Warrants may decline.</w:t>
      </w:r>
    </w:p>
    <w:p>
      <w:pPr>
        <w:spacing w:after="0" w:line="228"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The market price of our Class A Common Stock and Warrants have been and may continue to be subject to wide fluctuations in response to numerous factors, many of which are beyond our control, including:</w:t>
      </w:r>
    </w:p>
    <w:p>
      <w:pPr>
        <w:spacing w:after="0" w:line="202" w:lineRule="exact"/>
        <w:rPr>
          <w:sz w:val="20"/>
          <w:szCs w:val="20"/>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projected operational and financial results;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development, effects and enforcement of and changes to laws and regulations, including with respect to the cannabis industry;</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commencement or conclusion of legal proceedings that involve us;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of new products or services by us or our competitors;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joint ventures;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capital-raising activities or commitments;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540" w:hanging="227"/>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use by investors or analysts of third-party data regarding our business that may not reflect our financial performance;</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sales of our securities, including short selling of our securities;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and market conditions; and</w:t>
      </w:r>
    </w:p>
    <w:p>
      <w:pPr>
        <w:spacing w:after="0" w:line="62" w:lineRule="exact"/>
        <w:rPr>
          <w:rFonts w:ascii="Arial" w:cs="Arial" w:eastAsia="Arial" w:hAnsi="Arial"/>
          <w:sz w:val="17"/>
          <w:szCs w:val="17"/>
          <w:color w:val="auto"/>
        </w:rPr>
      </w:pPr>
    </w:p>
    <w:p>
      <w:pPr>
        <w:ind w:left="540" w:hanging="227"/>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civil unrest, war, foreign invasions, terrorism, or public health crises, or responses to such events.</w:t>
      </w:r>
    </w:p>
    <w:p>
      <w:pPr>
        <w:spacing w:after="0" w:line="293"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17"/>
          <w:szCs w:val="17"/>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The impact of global, regional or local economic and market conditions may adversely affect our business, operating results and financial condition.</w:t>
      </w:r>
    </w:p>
    <w:p>
      <w:pPr>
        <w:spacing w:after="0" w:line="240"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198"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19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6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89"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9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189"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89"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6"/>
          <w:szCs w:val="16"/>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202"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43"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not have sufficient funds to satisfy indemnification claims of our directors and executive officers.</w:t>
      </w:r>
    </w:p>
    <w:p>
      <w:pPr>
        <w:spacing w:after="0" w:line="217"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tab/>
        <w:t>PROPERTIES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currently maintain our executive offices at 41 Discovery, Irvine, California 92618, pursuant to an operating lease that expires in 2025. The cost for the space is included in the up to $20,000 monthly fee that we pay our sponsor for office space, administrative and support services. We have built out a second headquarter space in Los Angeles, California, pursuant to an operating lease that expires in 2031. We lease or license additional offices in Denver, Colorado and Ontario, Canada.</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consider our current office space adequate to meet our ongoing needs. However, from time to time we may evaluate additional or substitute office spaces. We believe that we will be able to obtain additional facilities, as needed, on commercially reasonable terms. Additionally, we recently adopted a work from anywhere policy.</w:t>
      </w:r>
    </w:p>
    <w:p>
      <w:pPr>
        <w:spacing w:after="0" w:line="19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tab/>
        <w:t>LEGAL PROCEEDINGS</w:t>
      </w:r>
    </w:p>
    <w:p>
      <w:pPr>
        <w:spacing w:after="0" w:line="236"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7"/>
          <w:szCs w:val="17"/>
          <w:color w:val="auto"/>
        </w:rPr>
        <w:t>The information set forth under "Commitment and Contingencies—Litigation" in Note 4 of the Notes to Consolidated Financial Statements included in Part II, Item 8 of this Annual Report on Form 10-K is incorporated by reference into this Item 3.</w:t>
      </w:r>
    </w:p>
    <w:p>
      <w:pPr>
        <w:jc w:val="both"/>
        <w:ind w:firstLine="619"/>
        <w:spacing w:after="0" w:line="275" w:lineRule="auto"/>
        <w:rPr>
          <w:sz w:val="20"/>
          <w:szCs w:val="20"/>
          <w:color w:val="auto"/>
        </w:rPr>
      </w:pPr>
      <w:r>
        <w:rPr>
          <w:rFonts w:ascii="Arial" w:cs="Arial" w:eastAsia="Arial" w:hAnsi="Arial"/>
          <w:sz w:val="16"/>
          <w:szCs w:val="16"/>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64"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Prior to the closing of the Business Combination, Silver Spike ordinary shares, units and warrants were traded on The Nasdaq Capital Market under the ticker symbols “SSPKU,” “SSPK” and “SSPKW,” respectively. Upon the Closing of the Business Combination, our Class A common stock and warrants began trading on Nasdaq under the symbols “MAPS” and “MAPSW,” respectively. We no longer have any outstanding units of Silver Spike.</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Our Class A Common Stock is currently listed on Nasdaq under the symbol “MAPS.” As of February 18, 2022, there were 70,399,067 shares of Class A Common Stock issued and outstanding and 65,502,347 shares of our Class V common stock (the “Class V Common Stock”) issued and outstanding. No market exists for the Class V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February 18, 2022, there were 117 holders of record of our Class A Common Stock, 23 holders of record of our Class V Common Stock and 2 holders of record of our Public Warrants.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Information about our equity compensation plans in Item 12 of Part III of this Annual Report on Form 10-K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Use of Proceeds from Registered Offerings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Since January 1, 2020, we have made sales of the following unregistered securities: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2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the related notes to those statements included herein.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herein.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Annual Report on Form 10-K, unless the context requires otherwise, references to the “Company,” “we,” “us,” and “our,” and similar references refer to WM Technology, Inc, and its subsidiaries following the Business Combination and to Legacy WMH prior to the Business Combination.</w:t>
      </w:r>
    </w:p>
    <w:p>
      <w:pPr>
        <w:spacing w:after="0" w:line="20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20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1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 solutions for each business, had purchased approximately 9,500 listing pages as of December 31, 2021 (of the over 18,600 listing pages on the marketplace).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and Public Company Costs</w:t>
      </w:r>
    </w:p>
    <w:p>
      <w:pPr>
        <w:spacing w:after="0" w:line="249"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18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19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Metrics</w:t>
      </w:r>
    </w:p>
    <w:p>
      <w:pPr>
        <w:spacing w:after="0" w:line="24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5"/>
          <w:szCs w:val="15"/>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3"/>
        </w:trPr>
        <w:tc>
          <w:tcPr>
            <w:tcW w:w="5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434"/>
              <w:spacing w:after="0"/>
              <w:rPr>
                <w:sz w:val="20"/>
                <w:szCs w:val="20"/>
                <w:color w:val="auto"/>
              </w:rPr>
            </w:pPr>
            <w:r>
              <w:rPr>
                <w:rFonts w:ascii="Arial" w:cs="Arial" w:eastAsia="Arial" w:hAnsi="Arial"/>
                <w:sz w:val="17"/>
                <w:szCs w:val="17"/>
                <w:b w:val="1"/>
                <w:bCs w:val="1"/>
                <w:color w:val="auto"/>
                <w:w w:val="89"/>
              </w:rPr>
              <w:t>2020</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2019</w:t>
            </w:r>
          </w:p>
        </w:tc>
      </w:tr>
      <w:tr>
        <w:trPr>
          <w:trHeight w:val="212"/>
        </w:trPr>
        <w:tc>
          <w:tcPr>
            <w:tcW w:w="5420" w:type="dxa"/>
            <w:vAlign w:val="bottom"/>
          </w:tcPr>
          <w:p>
            <w:pPr>
              <w:spacing w:after="0"/>
              <w:rPr>
                <w:sz w:val="18"/>
                <w:szCs w:val="18"/>
                <w:color w:val="auto"/>
              </w:rPr>
            </w:pPr>
          </w:p>
        </w:tc>
        <w:tc>
          <w:tcPr>
            <w:tcW w:w="5740" w:type="dxa"/>
            <w:vAlign w:val="bottom"/>
            <w:gridSpan w:val="6"/>
          </w:tcPr>
          <w:p>
            <w:pPr>
              <w:jc w:val="center"/>
              <w:spacing w:after="0"/>
              <w:rPr>
                <w:sz w:val="20"/>
                <w:szCs w:val="20"/>
                <w:color w:val="auto"/>
              </w:rPr>
            </w:pPr>
            <w:r>
              <w:rPr>
                <w:rFonts w:ascii="Arial" w:cs="Arial" w:eastAsia="Arial" w:hAnsi="Arial"/>
                <w:sz w:val="17"/>
                <w:szCs w:val="17"/>
                <w:b w:val="1"/>
                <w:bCs w:val="1"/>
                <w:color w:val="auto"/>
                <w:w w:val="89"/>
              </w:rPr>
              <w:t>(dollars in thousands, except for revenue per paying client)</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193,146</w:t>
            </w:r>
          </w:p>
        </w:tc>
        <w:tc>
          <w:tcPr>
            <w:tcW w:w="5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161,791</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144,232</w:t>
            </w: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152,218</w:t>
            </w:r>
          </w:p>
        </w:tc>
        <w:tc>
          <w:tcPr>
            <w:tcW w:w="54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54"/>
              <w:spacing w:after="0"/>
              <w:rPr>
                <w:sz w:val="20"/>
                <w:szCs w:val="20"/>
                <w:color w:val="auto"/>
              </w:rPr>
            </w:pPr>
            <w:r>
              <w:rPr>
                <w:rFonts w:ascii="Arial" w:cs="Arial" w:eastAsia="Arial" w:hAnsi="Arial"/>
                <w:sz w:val="17"/>
                <w:szCs w:val="17"/>
                <w:color w:val="auto"/>
              </w:rPr>
              <w:t>38,830</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3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156,042</w:t>
            </w:r>
          </w:p>
        </w:tc>
        <w:tc>
          <w:tcPr>
            <w:tcW w:w="5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42,808</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6,232</w:t>
            </w:r>
          </w:p>
        </w:tc>
      </w:tr>
      <w:tr>
        <w:trPr>
          <w:trHeight w:val="322"/>
        </w:trPr>
        <w:tc>
          <w:tcPr>
            <w:tcW w:w="542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31,698</w:t>
            </w:r>
          </w:p>
        </w:tc>
        <w:tc>
          <w:tcPr>
            <w:tcW w:w="54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54"/>
              <w:spacing w:after="0"/>
              <w:rPr>
                <w:sz w:val="20"/>
                <w:szCs w:val="20"/>
                <w:color w:val="auto"/>
              </w:rPr>
            </w:pPr>
            <w:r>
              <w:rPr>
                <w:rFonts w:ascii="Arial" w:cs="Arial" w:eastAsia="Arial" w:hAnsi="Arial"/>
                <w:sz w:val="17"/>
                <w:szCs w:val="17"/>
                <w:color w:val="auto"/>
              </w:rPr>
              <w:t>42,808</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13,828</w:t>
            </w:r>
          </w:p>
        </w:tc>
      </w:tr>
      <w:tr>
        <w:trPr>
          <w:trHeight w:val="32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(2)</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w:t>
            </w:r>
          </w:p>
        </w:tc>
        <w:tc>
          <w:tcPr>
            <w:tcW w:w="5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3,256</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r>
      <w:tr>
        <w:trPr>
          <w:trHeight w:val="322"/>
        </w:trPr>
        <w:tc>
          <w:tcPr>
            <w:tcW w:w="5420" w:type="dxa"/>
            <w:vAlign w:val="bottom"/>
          </w:tcPr>
          <w:p>
            <w:pPr>
              <w:ind w:left="20"/>
              <w:spacing w:after="0"/>
              <w:rPr>
                <w:sz w:val="20"/>
                <w:szCs w:val="20"/>
                <w:color w:val="auto"/>
              </w:rPr>
            </w:pPr>
            <w:r>
              <w:rPr>
                <w:rFonts w:ascii="Arial" w:cs="Arial" w:eastAsia="Arial" w:hAnsi="Arial"/>
                <w:sz w:val="17"/>
                <w:szCs w:val="17"/>
                <w:color w:val="auto"/>
              </w:rPr>
              <w:t>Average monthly paying clients</w:t>
            </w:r>
            <w:r>
              <w:rPr>
                <w:rFonts w:ascii="Arial" w:cs="Arial" w:eastAsia="Arial" w:hAnsi="Arial"/>
                <w:sz w:val="22"/>
                <w:szCs w:val="22"/>
                <w:color w:val="auto"/>
                <w:vertAlign w:val="superscript"/>
              </w:rPr>
              <w:t>(3)</w:t>
            </w:r>
          </w:p>
        </w:tc>
        <w:tc>
          <w:tcPr>
            <w:tcW w:w="1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4,337</w:t>
            </w:r>
          </w:p>
        </w:tc>
        <w:tc>
          <w:tcPr>
            <w:tcW w:w="540" w:type="dxa"/>
            <w:vAlign w:val="bottom"/>
          </w:tcPr>
          <w:p>
            <w:pPr>
              <w:spacing w:after="0"/>
              <w:rPr>
                <w:sz w:val="24"/>
                <w:szCs w:val="24"/>
                <w:color w:val="auto"/>
              </w:rPr>
            </w:pPr>
          </w:p>
        </w:tc>
        <w:tc>
          <w:tcPr>
            <w:tcW w:w="1500" w:type="dxa"/>
            <w:vAlign w:val="bottom"/>
          </w:tcPr>
          <w:p>
            <w:pPr>
              <w:jc w:val="right"/>
              <w:ind w:right="54"/>
              <w:spacing w:after="0"/>
              <w:rPr>
                <w:sz w:val="20"/>
                <w:szCs w:val="20"/>
                <w:color w:val="auto"/>
              </w:rPr>
            </w:pPr>
            <w:r>
              <w:rPr>
                <w:rFonts w:ascii="Arial" w:cs="Arial" w:eastAsia="Arial" w:hAnsi="Arial"/>
                <w:sz w:val="17"/>
                <w:szCs w:val="17"/>
                <w:color w:val="auto"/>
              </w:rPr>
              <w:t>4,140</w:t>
            </w: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4,699</w:t>
            </w:r>
          </w:p>
        </w:tc>
      </w:tr>
      <w:tr>
        <w:trPr>
          <w:trHeight w:val="32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r>
              <w:rPr>
                <w:rFonts w:ascii="Arial" w:cs="Arial" w:eastAsia="Arial" w:hAnsi="Arial"/>
                <w:sz w:val="22"/>
                <w:szCs w:val="22"/>
                <w:color w:val="auto"/>
                <w:vertAlign w:val="superscript"/>
              </w:rPr>
              <w:t>(4)</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15,734</w:t>
            </w:r>
          </w:p>
        </w:tc>
        <w:tc>
          <w:tcPr>
            <w:tcW w:w="5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10,000</w:t>
            </w: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8,009</w:t>
            </w:r>
          </w:p>
        </w:tc>
      </w:tr>
      <w:tr>
        <w:trPr>
          <w:trHeight w:val="288"/>
        </w:trPr>
        <w:tc>
          <w:tcPr>
            <w:tcW w:w="5420" w:type="dxa"/>
            <w:vAlign w:val="bottom"/>
          </w:tcPr>
          <w:p>
            <w:pPr>
              <w:spacing w:after="0"/>
              <w:rPr>
                <w:sz w:val="20"/>
                <w:szCs w:val="20"/>
                <w:color w:val="auto"/>
              </w:rPr>
            </w:pPr>
            <w:r>
              <w:rPr>
                <w:rFonts w:ascii="Arial" w:cs="Arial" w:eastAsia="Arial" w:hAnsi="Arial"/>
                <w:sz w:val="17"/>
                <w:szCs w:val="17"/>
                <w:color w:val="auto"/>
              </w:rPr>
              <w:t>___________________________</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320" w:hanging="317"/>
        <w:spacing w:after="0" w:line="233"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For further information about how we calculate EBITDA and Adjusted EBITDA as well as limitations of its use and a reconciliation of EBITDA and Adjusted EBITDA to net income, see “—EBITDA and Adjusted EBITDA” below.</w:t>
      </w:r>
    </w:p>
    <w:p>
      <w:pPr>
        <w:jc w:val="both"/>
        <w:ind w:left="320" w:hanging="317"/>
        <w:spacing w:after="0" w:line="233"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20" w:hanging="317"/>
        <w:spacing w:after="0" w:line="233"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jc w:val="both"/>
        <w:ind w:left="320" w:hanging="317"/>
        <w:spacing w:after="0" w:line="241"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204"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6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77" w:lineRule="exact"/>
        <w:rPr>
          <w:sz w:val="20"/>
          <w:szCs w:val="20"/>
          <w:color w:val="auto"/>
        </w:rPr>
      </w:pPr>
    </w:p>
    <w:p>
      <w:pPr>
        <w:jc w:val="both"/>
        <w:ind w:left="780" w:hanging="313"/>
        <w:spacing w:after="0" w:line="227" w:lineRule="auto"/>
        <w:tabs>
          <w:tab w:leader="none" w:pos="7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ind w:left="780" w:hanging="313"/>
        <w:spacing w:after="0" w:line="221"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EBITDA and Adjusted EBITDA do not reflect changes in, or cash requirements for, our working capital needs; and</w:t>
      </w:r>
    </w:p>
    <w:p>
      <w:pPr>
        <w:ind w:left="780" w:hanging="31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EBITDA and Adjusted EBITDA do not reflect tax payments that may represent a reduction in cash available to us.</w:t>
      </w:r>
    </w:p>
    <w:p>
      <w:pPr>
        <w:spacing w:after="0" w:line="216"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net income (loss) to non-GAAP EBITDA and Adjusted EBITDA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3"/>
        </w:trPr>
        <w:tc>
          <w:tcPr>
            <w:tcW w:w="55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89"/>
              </w:rPr>
              <w:t>2020</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212"/>
        </w:trPr>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(in thousands)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18"/>
        </w:trPr>
        <w:tc>
          <w:tcPr>
            <w:tcW w:w="5500" w:type="dxa"/>
            <w:vAlign w:val="bottom"/>
          </w:tcPr>
          <w:p>
            <w:pPr>
              <w:ind w:left="180"/>
              <w:spacing w:after="0"/>
              <w:rPr>
                <w:sz w:val="20"/>
                <w:szCs w:val="20"/>
                <w:color w:val="auto"/>
              </w:rPr>
            </w:pPr>
            <w:r>
              <w:rPr>
                <w:rFonts w:ascii="Arial" w:cs="Arial" w:eastAsia="Arial" w:hAnsi="Arial"/>
                <w:sz w:val="17"/>
                <w:szCs w:val="17"/>
                <w:color w:val="auto"/>
              </w:rPr>
              <w:t>(Benefit from) provision for income taxes</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1,321</w:t>
            </w:r>
          </w:p>
        </w:tc>
      </w:tr>
      <w:tr>
        <w:trPr>
          <w:trHeight w:val="22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5,162</w:t>
            </w:r>
          </w:p>
        </w:tc>
      </w:tr>
      <w:tr>
        <w:trPr>
          <w:trHeight w:val="218"/>
        </w:trPr>
        <w:tc>
          <w:tcPr>
            <w:tcW w:w="550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1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1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156,042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42,808</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6,232</w:t>
            </w:r>
          </w:p>
        </w:tc>
      </w:tr>
      <w:tr>
        <w:trPr>
          <w:trHeight w:val="218"/>
        </w:trPr>
        <w:tc>
          <w:tcPr>
            <w:tcW w:w="550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(166,518)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500" w:type="dxa"/>
            <w:vAlign w:val="bottom"/>
          </w:tcPr>
          <w:p>
            <w:pPr>
              <w:ind w:left="180"/>
              <w:spacing w:after="0"/>
              <w:rPr>
                <w:sz w:val="20"/>
                <w:szCs w:val="20"/>
                <w:color w:val="auto"/>
              </w:rPr>
            </w:pPr>
            <w:r>
              <w:rPr>
                <w:rFonts w:ascii="Arial" w:cs="Arial" w:eastAsia="Arial" w:hAnsi="Arial"/>
                <w:sz w:val="17"/>
                <w:szCs w:val="17"/>
                <w:color w:val="auto"/>
              </w:rPr>
              <w:t>Warrant transaction costs</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Impairment of right-of-use asset</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500" w:type="dxa"/>
            <w:vAlign w:val="bottom"/>
          </w:tcPr>
          <w:p>
            <w:pPr>
              <w:ind w:left="180"/>
              <w:spacing w:after="0"/>
              <w:rPr>
                <w:sz w:val="20"/>
                <w:szCs w:val="20"/>
                <w:color w:val="auto"/>
              </w:rPr>
            </w:pPr>
            <w:r>
              <w:rPr>
                <w:rFonts w:ascii="Arial" w:cs="Arial" w:eastAsia="Arial" w:hAnsi="Arial"/>
                <w:sz w:val="17"/>
                <w:szCs w:val="17"/>
                <w:color w:val="auto"/>
              </w:rPr>
              <w:t>Transaction related bonus expense</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Transaction costs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500" w:type="dxa"/>
            <w:vAlign w:val="bottom"/>
          </w:tcPr>
          <w:p>
            <w:pPr>
              <w:ind w:left="180"/>
              <w:spacing w:after="0"/>
              <w:rPr>
                <w:sz w:val="20"/>
                <w:szCs w:val="20"/>
                <w:color w:val="auto"/>
              </w:rPr>
            </w:pPr>
            <w:r>
              <w:rPr>
                <w:rFonts w:ascii="Arial" w:cs="Arial" w:eastAsia="Arial" w:hAnsi="Arial"/>
                <w:sz w:val="17"/>
                <w:szCs w:val="17"/>
                <w:color w:val="auto"/>
              </w:rPr>
              <w:t>Legal settlement</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fees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w:t>
            </w:r>
          </w:p>
        </w:tc>
      </w:tr>
      <w:tr>
        <w:trPr>
          <w:trHeight w:val="218"/>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Reduction in force</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4,202</w:t>
            </w:r>
          </w:p>
        </w:tc>
      </w:tr>
      <w:tr>
        <w:trPr>
          <w:trHeight w:val="233"/>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Revenue Per Paying Client</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20"/>
                <w:szCs w:val="20"/>
                <w:color w:val="auto"/>
              </w:rPr>
            </w:pPr>
            <w:r>
              <w:rPr>
                <w:rFonts w:ascii="Arial" w:cs="Arial" w:eastAsia="Arial" w:hAnsi="Arial"/>
                <w:sz w:val="17"/>
                <w:szCs w:val="17"/>
                <w:i w:val="1"/>
                <w:iCs w:val="1"/>
                <w:color w:val="auto"/>
              </w:rPr>
              <w:t>Current definition:</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6"/>
        </w:trPr>
        <w:tc>
          <w:tcPr>
            <w:tcW w:w="55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13"/>
        </w:trPr>
        <w:tc>
          <w:tcPr>
            <w:tcW w:w="5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54"/>
              <w:spacing w:after="0"/>
              <w:rPr>
                <w:sz w:val="20"/>
                <w:szCs w:val="20"/>
                <w:color w:val="auto"/>
              </w:rPr>
            </w:pPr>
            <w:r>
              <w:rPr>
                <w:rFonts w:ascii="Arial" w:cs="Arial" w:eastAsia="Arial" w:hAnsi="Arial"/>
                <w:sz w:val="17"/>
                <w:szCs w:val="17"/>
                <w:b w:val="1"/>
                <w:bCs w:val="1"/>
                <w:color w:val="auto"/>
                <w:w w:val="89"/>
              </w:rPr>
              <w:t>2020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r>
      <w:tr>
        <w:trPr>
          <w:trHeight w:val="514"/>
        </w:trPr>
        <w:tc>
          <w:tcPr>
            <w:tcW w:w="5500" w:type="dxa"/>
            <w:vAlign w:val="bottom"/>
          </w:tcPr>
          <w:p>
            <w:pPr>
              <w:spacing w:after="0"/>
              <w:rPr>
                <w:sz w:val="20"/>
                <w:szCs w:val="20"/>
                <w:color w:val="auto"/>
              </w:rPr>
            </w:pPr>
            <w:r>
              <w:rPr>
                <w:rFonts w:ascii="Arial" w:cs="Arial" w:eastAsia="Arial" w:hAnsi="Arial"/>
                <w:sz w:val="17"/>
                <w:szCs w:val="17"/>
                <w:i w:val="1"/>
                <w:iCs w:val="1"/>
                <w:color w:val="auto"/>
              </w:rPr>
              <w:t>Prior definition¹:</w:t>
            </w: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6"/>
        </w:trPr>
        <w:tc>
          <w:tcPr>
            <w:tcW w:w="55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13"/>
        </w:trPr>
        <w:tc>
          <w:tcPr>
            <w:tcW w:w="5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54"/>
              <w:spacing w:after="0"/>
              <w:rPr>
                <w:sz w:val="20"/>
                <w:szCs w:val="20"/>
                <w:color w:val="auto"/>
              </w:rPr>
            </w:pPr>
            <w:r>
              <w:rPr>
                <w:rFonts w:ascii="Arial" w:cs="Arial" w:eastAsia="Arial" w:hAnsi="Arial"/>
                <w:sz w:val="17"/>
                <w:szCs w:val="17"/>
                <w:b w:val="1"/>
                <w:bCs w:val="1"/>
                <w:color w:val="auto"/>
                <w:w w:val="89"/>
              </w:rPr>
              <w:t>2020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Monthly revenue per paying client</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20" w:lineRule="exact"/>
        <w:rPr>
          <w:sz w:val="20"/>
          <w:szCs w:val="20"/>
          <w:color w:val="auto"/>
        </w:rPr>
      </w:pPr>
    </w:p>
    <w:p>
      <w:pPr>
        <w:jc w:val="both"/>
        <w:ind w:firstLine="3"/>
        <w:spacing w:after="0" w:line="256" w:lineRule="auto"/>
        <w:tabs>
          <w:tab w:leader="none" w:pos="9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Paying Clients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276" w:lineRule="exact"/>
        <w:rPr>
          <w:sz w:val="20"/>
          <w:szCs w:val="20"/>
          <w:color w:val="auto"/>
        </w:rPr>
      </w:pPr>
    </w:p>
    <w:p>
      <w:pPr>
        <w:ind w:left="7380"/>
        <w:spacing w:after="0"/>
        <w:rPr>
          <w:sz w:val="20"/>
          <w:szCs w:val="20"/>
          <w:color w:val="auto"/>
        </w:rPr>
      </w:pPr>
      <w:r>
        <w:rPr>
          <w:rFonts w:ascii="Arial" w:cs="Arial" w:eastAsia="Arial" w:hAnsi="Arial"/>
          <w:sz w:val="17"/>
          <w:szCs w:val="17"/>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114"/>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gridSpan w:val="2"/>
          </w:tcPr>
          <w:p>
            <w:pPr>
              <w:jc w:val="right"/>
              <w:ind w:right="674"/>
              <w:spacing w:after="0"/>
              <w:rPr>
                <w:sz w:val="20"/>
                <w:szCs w:val="20"/>
                <w:color w:val="auto"/>
              </w:rPr>
            </w:pPr>
            <w:r>
              <w:rPr>
                <w:rFonts w:ascii="Arial" w:cs="Arial" w:eastAsia="Arial" w:hAnsi="Arial"/>
                <w:sz w:val="17"/>
                <w:szCs w:val="17"/>
                <w:b w:val="1"/>
                <w:bCs w:val="1"/>
                <w:color w:val="auto"/>
              </w:rPr>
              <w:t>2020</w:t>
            </w:r>
          </w:p>
        </w:tc>
        <w:tc>
          <w:tcPr>
            <w:tcW w:w="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212"/>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Average monthly paying clients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w:t>
            </w:r>
          </w:p>
        </w:tc>
        <w:tc>
          <w:tcPr>
            <w:tcW w:w="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4,699</w:t>
            </w:r>
          </w:p>
        </w:tc>
      </w:tr>
      <w:tr>
        <w:trPr>
          <w:trHeight w:val="527"/>
        </w:trPr>
        <w:tc>
          <w:tcPr>
            <w:tcW w:w="6800" w:type="dxa"/>
            <w:vAlign w:val="bottom"/>
            <w:gridSpan w:val="3"/>
          </w:tcPr>
          <w:p>
            <w:pPr>
              <w:spacing w:after="0"/>
              <w:rPr>
                <w:sz w:val="20"/>
                <w:szCs w:val="20"/>
                <w:color w:val="auto"/>
              </w:rPr>
            </w:pPr>
            <w:r>
              <w:rPr>
                <w:rFonts w:ascii="Arial" w:cs="Arial" w:eastAsia="Arial" w:hAnsi="Arial"/>
                <w:sz w:val="17"/>
                <w:szCs w:val="17"/>
                <w:i w:val="1"/>
                <w:iCs w:val="1"/>
                <w:color w:val="auto"/>
              </w:rPr>
              <w:t>Prior definition¹:</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1820" w:type="dxa"/>
            <w:vAlign w:val="bottom"/>
            <w:tcBorders>
              <w:bottom w:val="single" w:sz="8" w:color="auto"/>
            </w:tcBorders>
          </w:tcPr>
          <w:p>
            <w:pPr>
              <w:spacing w:after="0"/>
              <w:rPr>
                <w:sz w:val="24"/>
                <w:szCs w:val="24"/>
                <w:color w:val="auto"/>
              </w:rPr>
            </w:pPr>
          </w:p>
        </w:tc>
      </w:tr>
      <w:tr>
        <w:trPr>
          <w:trHeight w:val="213"/>
        </w:trPr>
        <w:tc>
          <w:tcPr>
            <w:tcW w:w="5620" w:type="dxa"/>
            <w:vAlign w:val="bottom"/>
            <w:tcBorders>
              <w:bottom w:val="single" w:sz="8" w:color="CCEEFF"/>
            </w:tcBorders>
            <w:gridSpan w:val="2"/>
          </w:tcPr>
          <w:p>
            <w:pPr>
              <w:spacing w:after="0"/>
              <w:rPr>
                <w:sz w:val="18"/>
                <w:szCs w:val="18"/>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7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2019</w:t>
            </w:r>
          </w:p>
        </w:tc>
      </w:tr>
      <w:tr>
        <w:trPr>
          <w:trHeight w:val="212"/>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Paying clients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4,870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3,786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r>
      <w:tr>
        <w:trPr>
          <w:trHeight w:val="275"/>
        </w:trPr>
        <w:tc>
          <w:tcPr>
            <w:tcW w:w="5500" w:type="dxa"/>
            <w:vAlign w:val="bottom"/>
          </w:tcPr>
          <w:p>
            <w:pPr>
              <w:spacing w:after="0"/>
              <w:rPr>
                <w:sz w:val="20"/>
                <w:szCs w:val="20"/>
                <w:color w:val="auto"/>
              </w:rPr>
            </w:pPr>
            <w:r>
              <w:rPr>
                <w:rFonts w:ascii="Arial" w:cs="Arial" w:eastAsia="Arial" w:hAnsi="Arial"/>
                <w:sz w:val="17"/>
                <w:szCs w:val="17"/>
                <w:color w:val="auto"/>
              </w:rPr>
              <w:t>___________________________</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tcPr>
          <w:p>
            <w:pPr>
              <w:spacing w:after="0"/>
              <w:rPr>
                <w:sz w:val="23"/>
                <w:szCs w:val="23"/>
                <w:color w:val="auto"/>
              </w:rPr>
            </w:pPr>
          </w:p>
        </w:tc>
      </w:tr>
    </w:tbl>
    <w:p>
      <w:pPr>
        <w:jc w:val="both"/>
        <w:ind w:firstLine="3"/>
        <w:spacing w:after="0" w:line="266" w:lineRule="auto"/>
        <w:tabs>
          <w:tab w:leader="none" w:pos="94"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Monthly Active Users</w:t>
      </w:r>
    </w:p>
    <w:p>
      <w:pPr>
        <w:spacing w:after="0" w:line="243"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178"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 As of December 31, 2021, we grew our MAUs by 57% year-over-year through increased organic traffic and more effective marketing campaigns.</w:t>
      </w:r>
    </w:p>
    <w:p>
      <w:pPr>
        <w:spacing w:after="0" w:line="198"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as we increase MAUs, we increase the value of our bundled SaaS solutions to business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392" w:lineRule="exact"/>
        <w:rPr>
          <w:sz w:val="20"/>
          <w:szCs w:val="20"/>
          <w:color w:val="auto"/>
        </w:rPr>
      </w:pPr>
    </w:p>
    <w:p>
      <w:pPr>
        <w:ind w:left="8640"/>
        <w:spacing w:after="0"/>
        <w:rPr>
          <w:sz w:val="20"/>
          <w:szCs w:val="20"/>
          <w:color w:val="auto"/>
        </w:rPr>
      </w:pPr>
      <w:r>
        <w:rPr>
          <w:rFonts w:ascii="Arial" w:cs="Arial" w:eastAsia="Arial" w:hAnsi="Arial"/>
          <w:sz w:val="17"/>
          <w:szCs w:val="17"/>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4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95"/>
              </w:rPr>
              <w:t>2020</w:t>
            </w:r>
          </w:p>
        </w:tc>
      </w:tr>
      <w:tr>
        <w:trPr>
          <w:trHeight w:val="212"/>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527"/>
        </w:trPr>
        <w:tc>
          <w:tcPr>
            <w:tcW w:w="8580" w:type="dxa"/>
            <w:vAlign w:val="bottom"/>
            <w:gridSpan w:val="2"/>
          </w:tcPr>
          <w:p>
            <w:pPr>
              <w:spacing w:after="0"/>
              <w:rPr>
                <w:sz w:val="20"/>
                <w:szCs w:val="20"/>
                <w:color w:val="auto"/>
              </w:rPr>
            </w:pPr>
            <w:r>
              <w:rPr>
                <w:rFonts w:ascii="Arial" w:cs="Arial" w:eastAsia="Arial" w:hAnsi="Arial"/>
                <w:sz w:val="17"/>
                <w:szCs w:val="17"/>
                <w:i w:val="1"/>
                <w:iCs w:val="1"/>
                <w:color w:val="auto"/>
              </w:rPr>
              <w:t>Prior definition¹:</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93"/>
        </w:trPr>
        <w:tc>
          <w:tcPr>
            <w:tcW w:w="7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b w:val="1"/>
                <w:bCs w:val="1"/>
                <w:color w:val="auto"/>
                <w:w w:val="91"/>
              </w:rPr>
              <w:t>As of December 31,</w:t>
            </w:r>
          </w:p>
        </w:tc>
        <w:tc>
          <w:tcPr>
            <w:tcW w:w="1140" w:type="dxa"/>
            <w:vAlign w:val="bottom"/>
          </w:tcPr>
          <w:p>
            <w:pPr>
              <w:spacing w:after="0"/>
              <w:rPr>
                <w:sz w:val="24"/>
                <w:szCs w:val="24"/>
                <w:color w:val="auto"/>
              </w:rPr>
            </w:pPr>
          </w:p>
        </w:tc>
      </w:tr>
      <w:tr>
        <w:trPr>
          <w:trHeight w:val="27"/>
        </w:trPr>
        <w:tc>
          <w:tcPr>
            <w:tcW w:w="85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4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95"/>
              </w:rPr>
              <w:t>2020</w:t>
            </w:r>
          </w:p>
        </w:tc>
      </w:tr>
      <w:tr>
        <w:trPr>
          <w:trHeight w:val="212"/>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7" w:lineRule="exact"/>
        <w:rPr>
          <w:sz w:val="20"/>
          <w:szCs w:val="20"/>
          <w:color w:val="auto"/>
        </w:rPr>
      </w:pPr>
    </w:p>
    <w:p>
      <w:pPr>
        <w:ind w:firstLine="3"/>
        <w:spacing w:after="0" w:line="283" w:lineRule="auto"/>
        <w:tabs>
          <w:tab w:leader="none" w:pos="89" w:val="left"/>
        </w:tabs>
        <w:numPr>
          <w:ilvl w:val="0"/>
          <w:numId w:val="25"/>
        </w:numPr>
        <w:rPr>
          <w:rFonts w:ascii="Arial" w:cs="Arial" w:eastAsia="Arial" w:hAnsi="Arial"/>
          <w:sz w:val="14"/>
          <w:szCs w:val="14"/>
          <w:color w:val="auto"/>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Key Operating Metrics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200" w:lineRule="exact"/>
        <w:rPr>
          <w:sz w:val="20"/>
          <w:szCs w:val="20"/>
          <w:color w:val="auto"/>
        </w:rPr>
      </w:pPr>
    </w:p>
    <w:p>
      <w:pPr>
        <w:spacing w:after="0" w:line="295" w:lineRule="exact"/>
        <w:rPr>
          <w:sz w:val="20"/>
          <w:szCs w:val="20"/>
          <w:color w:val="auto"/>
        </w:rPr>
      </w:pPr>
    </w:p>
    <w:p>
      <w:pPr>
        <w:jc w:val="center"/>
        <w:ind w:left="8820"/>
        <w:spacing w:after="0"/>
        <w:rPr>
          <w:sz w:val="20"/>
          <w:szCs w:val="20"/>
          <w:color w:val="auto"/>
        </w:rPr>
      </w:pPr>
      <w:r>
        <w:rPr>
          <w:rFonts w:ascii="Arial" w:cs="Arial" w:eastAsia="Arial" w:hAnsi="Arial"/>
          <w:sz w:val="15"/>
          <w:szCs w:val="15"/>
          <w:b w:val="1"/>
          <w:bCs w:val="1"/>
          <w:color w:val="auto"/>
        </w:rPr>
        <w:t>Three Months Ended December</w:t>
      </w:r>
    </w:p>
    <w:p>
      <w:pPr>
        <w:spacing w:after="0" w:line="51" w:lineRule="exact"/>
        <w:rPr>
          <w:sz w:val="20"/>
          <w:szCs w:val="20"/>
          <w:color w:val="auto"/>
        </w:rPr>
      </w:pPr>
    </w:p>
    <w:p>
      <w:pPr>
        <w:jc w:val="center"/>
        <w:ind w:left="8820"/>
        <w:spacing w:after="0"/>
        <w:rPr>
          <w:sz w:val="20"/>
          <w:szCs w:val="20"/>
          <w:color w:val="auto"/>
        </w:rPr>
      </w:pPr>
      <w:r>
        <w:rPr>
          <w:rFonts w:ascii="Arial" w:cs="Arial" w:eastAsia="Arial" w:hAnsi="Arial"/>
          <w:sz w:val="17"/>
          <w:szCs w:val="17"/>
          <w:b w:val="1"/>
          <w:bCs w:val="1"/>
          <w:color w:val="auto"/>
        </w:rPr>
        <w:t>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2020</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w:t>
            </w:r>
          </w:p>
        </w:tc>
      </w:tr>
      <w:tr>
        <w:trPr>
          <w:trHeight w:val="218"/>
        </w:trPr>
        <w:tc>
          <w:tcPr>
            <w:tcW w:w="8840" w:type="dxa"/>
            <w:vAlign w:val="bottom"/>
          </w:tcPr>
          <w:p>
            <w:pPr>
              <w:ind w:left="20"/>
              <w:spacing w:after="0"/>
              <w:rPr>
                <w:sz w:val="20"/>
                <w:szCs w:val="20"/>
                <w:color w:val="auto"/>
              </w:rPr>
            </w:pPr>
            <w:r>
              <w:rPr>
                <w:rFonts w:ascii="Arial" w:cs="Arial" w:eastAsia="Arial" w:hAnsi="Arial"/>
                <w:sz w:val="17"/>
                <w:szCs w:val="17"/>
                <w:color w:val="auto"/>
              </w:rPr>
              <w:t>Average monthly paying clients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3,863</w:t>
            </w:r>
          </w:p>
        </w:tc>
      </w:tr>
      <w:tr>
        <w:trPr>
          <w:trHeight w:val="632"/>
        </w:trPr>
        <w:tc>
          <w:tcPr>
            <w:tcW w:w="8840" w:type="dxa"/>
            <w:vAlign w:val="bottom"/>
          </w:tcPr>
          <w:p>
            <w:pPr>
              <w:spacing w:after="0"/>
              <w:rPr>
                <w:sz w:val="20"/>
                <w:szCs w:val="20"/>
                <w:color w:val="auto"/>
              </w:rPr>
            </w:pPr>
            <w:r>
              <w:rPr>
                <w:rFonts w:ascii="Arial" w:cs="Arial" w:eastAsia="Arial" w:hAnsi="Arial"/>
                <w:sz w:val="17"/>
                <w:szCs w:val="17"/>
                <w:i w:val="1"/>
                <w:iCs w:val="1"/>
                <w:color w:val="auto"/>
              </w:rPr>
              <w:t>Prior definition: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76"/>
        </w:trPr>
        <w:tc>
          <w:tcPr>
            <w:tcW w:w="8840" w:type="dxa"/>
            <w:vAlign w:val="bottom"/>
          </w:tcPr>
          <w:p>
            <w:pPr>
              <w:spacing w:after="0"/>
              <w:rPr>
                <w:sz w:val="24"/>
                <w:szCs w:val="24"/>
                <w:color w:val="auto"/>
              </w:rPr>
            </w:pPr>
          </w:p>
        </w:tc>
        <w:tc>
          <w:tcPr>
            <w:tcW w:w="2400" w:type="dxa"/>
            <w:vAlign w:val="bottom"/>
            <w:gridSpan w:val="5"/>
          </w:tcPr>
          <w:p>
            <w:pPr>
              <w:ind w:left="20"/>
              <w:spacing w:after="0"/>
              <w:rPr>
                <w:sz w:val="20"/>
                <w:szCs w:val="20"/>
                <w:color w:val="auto"/>
              </w:rPr>
            </w:pPr>
            <w:r>
              <w:rPr>
                <w:rFonts w:ascii="Arial" w:cs="Arial" w:eastAsia="Arial" w:hAnsi="Arial"/>
                <w:sz w:val="17"/>
                <w:szCs w:val="17"/>
                <w:b w:val="1"/>
                <w:bCs w:val="1"/>
                <w:color w:val="auto"/>
                <w:w w:val="92"/>
              </w:rPr>
              <w:t>Three Months Ended December</w:t>
            </w:r>
          </w:p>
        </w:tc>
      </w:tr>
      <w:tr>
        <w:trPr>
          <w:trHeight w:val="223"/>
        </w:trPr>
        <w:tc>
          <w:tcPr>
            <w:tcW w:w="8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14"/>
              <w:spacing w:after="0"/>
              <w:rPr>
                <w:sz w:val="20"/>
                <w:szCs w:val="20"/>
                <w:color w:val="auto"/>
              </w:rPr>
            </w:pPr>
            <w:r>
              <w:rPr>
                <w:rFonts w:ascii="Arial" w:cs="Arial" w:eastAsia="Arial" w:hAnsi="Arial"/>
                <w:sz w:val="17"/>
                <w:szCs w:val="17"/>
                <w:b w:val="1"/>
                <w:bCs w:val="1"/>
                <w:color w:val="auto"/>
              </w:rPr>
              <w:t>31,</w:t>
            </w:r>
          </w:p>
        </w:tc>
        <w:tc>
          <w:tcPr>
            <w:tcW w:w="900" w:type="dxa"/>
            <w:vAlign w:val="bottom"/>
          </w:tcPr>
          <w:p>
            <w:pPr>
              <w:spacing w:after="0"/>
              <w:rPr>
                <w:sz w:val="19"/>
                <w:szCs w:val="19"/>
                <w:color w:val="auto"/>
              </w:rPr>
            </w:pPr>
          </w:p>
        </w:tc>
      </w:tr>
      <w:tr>
        <w:trPr>
          <w:trHeight w:val="27"/>
        </w:trPr>
        <w:tc>
          <w:tcPr>
            <w:tcW w:w="8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8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2020</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Monthly revenue per paying client</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w:t>
            </w:r>
          </w:p>
        </w:tc>
      </w:tr>
      <w:tr>
        <w:trPr>
          <w:trHeight w:val="218"/>
        </w:trPr>
        <w:tc>
          <w:tcPr>
            <w:tcW w:w="8840" w:type="dxa"/>
            <w:vAlign w:val="bottom"/>
          </w:tcPr>
          <w:p>
            <w:pPr>
              <w:ind w:left="20"/>
              <w:spacing w:after="0"/>
              <w:rPr>
                <w:sz w:val="20"/>
                <w:szCs w:val="20"/>
                <w:color w:val="auto"/>
              </w:rPr>
            </w:pPr>
            <w:r>
              <w:rPr>
                <w:rFonts w:ascii="Arial" w:cs="Arial" w:eastAsia="Arial" w:hAnsi="Arial"/>
                <w:sz w:val="17"/>
                <w:szCs w:val="17"/>
                <w:color w:val="auto"/>
              </w:rPr>
              <w:t>Paying clients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3,786</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of Our Two-Sided Weedmaps Marketplace</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and Retention of Our Paying Clients</w:t>
      </w:r>
    </w:p>
    <w:p>
      <w:pPr>
        <w:spacing w:after="0" w:line="24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and Maturation of Cannabis Markets</w:t>
      </w:r>
    </w:p>
    <w:p>
      <w:pPr>
        <w:spacing w:after="0" w:line="24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20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20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20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Brand Recognition and Reputation</w:t>
      </w:r>
    </w:p>
    <w:p>
      <w:pPr>
        <w:spacing w:after="0" w:line="243"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1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20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Growth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third quarter of 2021, we completed two acquisitions.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operating expenses and capital expenditures fluctuate over time, we may accordingly experience short-term, negative impacts to our operating results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4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Expenses</w:t>
      </w:r>
    </w:p>
    <w:p>
      <w:pPr>
        <w:spacing w:after="0" w:line="243"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43"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Expenses</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3"/>
        </w:trPr>
        <w:tc>
          <w:tcPr>
            <w:tcW w:w="5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2019</w:t>
            </w:r>
          </w:p>
        </w:tc>
      </w:tr>
      <w:tr>
        <w:trPr>
          <w:trHeight w:val="212"/>
        </w:trPr>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(in thousands)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193,146</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144,232</w:t>
            </w:r>
          </w:p>
        </w:tc>
      </w:tr>
      <w:tr>
        <w:trPr>
          <w:trHeight w:val="245"/>
        </w:trPr>
        <w:tc>
          <w:tcPr>
            <w:tcW w:w="5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5680" w:type="dxa"/>
            <w:vAlign w:val="bottom"/>
          </w:tcPr>
          <w:p>
            <w:pPr>
              <w:ind w:left="180"/>
              <w:spacing w:after="0"/>
              <w:rPr>
                <w:sz w:val="20"/>
                <w:szCs w:val="20"/>
                <w:color w:val="auto"/>
              </w:rPr>
            </w:pPr>
            <w:r>
              <w:rPr>
                <w:rFonts w:ascii="Arial" w:cs="Arial" w:eastAsia="Arial" w:hAnsi="Arial"/>
                <w:sz w:val="17"/>
                <w:szCs w:val="17"/>
                <w:color w:val="auto"/>
              </w:rPr>
              <w:t>Cost of revenues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7,630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7,074</w:t>
            </w:r>
          </w:p>
        </w:tc>
      </w:tr>
      <w:tr>
        <w:trPr>
          <w:trHeight w:val="220"/>
        </w:trPr>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39,746</w:t>
            </w:r>
          </w:p>
        </w:tc>
      </w:tr>
      <w:tr>
        <w:trPr>
          <w:trHeight w:val="218"/>
        </w:trPr>
        <w:tc>
          <w:tcPr>
            <w:tcW w:w="568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35,395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27,142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29,497</w:t>
            </w:r>
          </w:p>
        </w:tc>
      </w:tr>
      <w:tr>
        <w:trPr>
          <w:trHeight w:val="220"/>
        </w:trPr>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56,466</w:t>
            </w:r>
          </w:p>
        </w:tc>
      </w:tr>
      <w:tr>
        <w:trPr>
          <w:trHeight w:val="218"/>
        </w:trPr>
        <w:tc>
          <w:tcPr>
            <w:tcW w:w="56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5,162</w:t>
            </w:r>
          </w:p>
        </w:tc>
      </w:tr>
      <w:tr>
        <w:trPr>
          <w:trHeight w:val="213"/>
        </w:trPr>
        <w:tc>
          <w:tcPr>
            <w:tcW w:w="5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201,324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137,945</w:t>
            </w:r>
          </w:p>
        </w:tc>
      </w:tr>
      <w:tr>
        <w:trPr>
          <w:trHeight w:val="211"/>
        </w:trPr>
        <w:tc>
          <w:tcPr>
            <w:tcW w:w="5680" w:type="dxa"/>
            <w:vAlign w:val="bottom"/>
          </w:tcPr>
          <w:p>
            <w:pPr>
              <w:ind w:left="220"/>
              <w:spacing w:after="0"/>
              <w:rPr>
                <w:sz w:val="20"/>
                <w:szCs w:val="20"/>
                <w:color w:val="auto"/>
              </w:rPr>
            </w:pPr>
            <w:r>
              <w:rPr>
                <w:rFonts w:ascii="Arial" w:cs="Arial" w:eastAsia="Arial" w:hAnsi="Arial"/>
                <w:sz w:val="17"/>
                <w:szCs w:val="17"/>
                <w:color w:val="auto"/>
              </w:rPr>
              <w:t>Operating (loss) income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41,198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6,287</w:t>
            </w: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568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166,518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(5,341)</w:t>
            </w:r>
          </w:p>
        </w:tc>
      </w:tr>
      <w:tr>
        <w:trPr>
          <w:trHeight w:val="211"/>
        </w:trPr>
        <w:tc>
          <w:tcPr>
            <w:tcW w:w="5680" w:type="dxa"/>
            <w:vAlign w:val="bottom"/>
          </w:tcPr>
          <w:p>
            <w:pPr>
              <w:ind w:left="220"/>
              <w:spacing w:after="0"/>
              <w:rPr>
                <w:sz w:val="20"/>
                <w:szCs w:val="20"/>
                <w:color w:val="auto"/>
              </w:rPr>
            </w:pPr>
            <w:r>
              <w:rPr>
                <w:rFonts w:ascii="Arial" w:cs="Arial" w:eastAsia="Arial" w:hAnsi="Arial"/>
                <w:sz w:val="17"/>
                <w:szCs w:val="17"/>
                <w:color w:val="auto"/>
              </w:rPr>
              <w:t>Income before income taxes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151,617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38,830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946</w:t>
            </w: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r>
      <w:tr>
        <w:trPr>
          <w:trHeight w:val="211"/>
        </w:trPr>
        <w:tc>
          <w:tcPr>
            <w:tcW w:w="5680" w:type="dxa"/>
            <w:vAlign w:val="bottom"/>
          </w:tcPr>
          <w:p>
            <w:pPr>
              <w:ind w:left="120"/>
              <w:spacing w:after="0"/>
              <w:rPr>
                <w:sz w:val="20"/>
                <w:szCs w:val="20"/>
                <w:color w:val="auto"/>
              </w:rPr>
            </w:pPr>
            <w:r>
              <w:rPr>
                <w:rFonts w:ascii="Arial" w:cs="Arial" w:eastAsia="Arial" w:hAnsi="Arial"/>
                <w:sz w:val="17"/>
                <w:szCs w:val="17"/>
                <w:color w:val="auto"/>
              </w:rPr>
              <w:t>Net income (loss)</w:t>
            </w: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152,218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38,830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w:t>
            </w:r>
          </w:p>
        </w:tc>
      </w:tr>
      <w:tr>
        <w:trPr>
          <w:trHeight w:val="219"/>
        </w:trPr>
        <w:tc>
          <w:tcPr>
            <w:tcW w:w="5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680" w:type="dxa"/>
            <w:vAlign w:val="bottom"/>
          </w:tcPr>
          <w:p>
            <w:pPr>
              <w:ind w:left="120"/>
              <w:spacing w:after="0"/>
              <w:rPr>
                <w:sz w:val="20"/>
                <w:szCs w:val="20"/>
                <w:color w:val="auto"/>
              </w:rPr>
            </w:pPr>
            <w:r>
              <w:rPr>
                <w:rFonts w:ascii="Arial" w:cs="Arial" w:eastAsia="Arial" w:hAnsi="Arial"/>
                <w:sz w:val="17"/>
                <w:szCs w:val="17"/>
                <w:color w:val="auto"/>
              </w:rPr>
              <w:t>Net income (loss) attributable to WM Technology, Inc.</w:t>
            </w:r>
          </w:p>
        </w:tc>
        <w:tc>
          <w:tcPr>
            <w:tcW w:w="1120" w:type="dxa"/>
            <w:vAlign w:val="bottom"/>
          </w:tcPr>
          <w:p>
            <w:pPr>
              <w:jc w:val="right"/>
              <w:ind w:right="91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60,383</w:t>
            </w: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38,830</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20"/>
        </w:trPr>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2019</w:t>
            </w:r>
          </w:p>
        </w:tc>
      </w:tr>
      <w:tr>
        <w:trPr>
          <w:trHeight w:val="212"/>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45"/>
        </w:trPr>
        <w:tc>
          <w:tcPr>
            <w:tcW w:w="5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9"/>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8"/>
        </w:trPr>
        <w:tc>
          <w:tcPr>
            <w:tcW w:w="6580" w:type="dxa"/>
            <w:vAlign w:val="bottom"/>
            <w:gridSpan w:val="2"/>
          </w:tcPr>
          <w:p>
            <w:pPr>
              <w:ind w:left="180"/>
              <w:spacing w:after="0"/>
              <w:rPr>
                <w:sz w:val="20"/>
                <w:szCs w:val="20"/>
                <w:color w:val="auto"/>
              </w:rPr>
            </w:pPr>
            <w:r>
              <w:rPr>
                <w:rFonts w:ascii="Arial" w:cs="Arial" w:eastAsia="Arial" w:hAnsi="Arial"/>
                <w:sz w:val="17"/>
                <w:szCs w:val="17"/>
                <w:color w:val="auto"/>
              </w:rPr>
              <w:t>Cost of revenues</w:t>
            </w:r>
          </w:p>
        </w:tc>
        <w:tc>
          <w:tcPr>
            <w:tcW w:w="62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220"/>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r>
      <w:tr>
        <w:trPr>
          <w:trHeight w:val="218"/>
        </w:trPr>
        <w:tc>
          <w:tcPr>
            <w:tcW w:w="6580" w:type="dxa"/>
            <w:vAlign w:val="bottom"/>
            <w:gridSpan w:val="2"/>
          </w:tcPr>
          <w:p>
            <w:pPr>
              <w:ind w:left="180"/>
              <w:spacing w:after="0"/>
              <w:rPr>
                <w:sz w:val="20"/>
                <w:szCs w:val="20"/>
                <w:color w:val="auto"/>
              </w:rPr>
            </w:pPr>
            <w:r>
              <w:rPr>
                <w:rFonts w:ascii="Arial" w:cs="Arial" w:eastAsia="Arial" w:hAnsi="Arial"/>
                <w:sz w:val="17"/>
                <w:szCs w:val="17"/>
                <w:color w:val="auto"/>
              </w:rPr>
              <w:t>Product development</w:t>
            </w:r>
          </w:p>
        </w:tc>
        <w:tc>
          <w:tcPr>
            <w:tcW w:w="6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20 %</w:t>
            </w:r>
          </w:p>
        </w:tc>
      </w:tr>
      <w:tr>
        <w:trPr>
          <w:trHeight w:val="220"/>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r>
      <w:tr>
        <w:trPr>
          <w:trHeight w:val="218"/>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w:t>
            </w: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r>
      <w:tr>
        <w:trPr>
          <w:trHeight w:val="212"/>
        </w:trPr>
        <w:tc>
          <w:tcPr>
            <w:tcW w:w="5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1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10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10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96 %</w:t>
            </w:r>
          </w:p>
        </w:tc>
      </w:tr>
      <w:tr>
        <w:trPr>
          <w:trHeight w:val="212"/>
        </w:trPr>
        <w:tc>
          <w:tcPr>
            <w:tcW w:w="6580" w:type="dxa"/>
            <w:vAlign w:val="bottom"/>
            <w:gridSpan w:val="2"/>
          </w:tcPr>
          <w:p>
            <w:pPr>
              <w:ind w:left="220"/>
              <w:spacing w:after="0"/>
              <w:rPr>
                <w:sz w:val="20"/>
                <w:szCs w:val="20"/>
                <w:color w:val="auto"/>
              </w:rPr>
            </w:pPr>
            <w:r>
              <w:rPr>
                <w:rFonts w:ascii="Arial" w:cs="Arial" w:eastAsia="Arial" w:hAnsi="Arial"/>
                <w:sz w:val="17"/>
                <w:szCs w:val="17"/>
                <w:color w:val="auto"/>
              </w:rPr>
              <w:t>Operating (loss)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4 %</w:t>
            </w:r>
          </w:p>
        </w:tc>
      </w:tr>
      <w:tr>
        <w:trPr>
          <w:trHeight w:val="220"/>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8"/>
        </w:trPr>
        <w:tc>
          <w:tcPr>
            <w:tcW w:w="658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620" w:type="dxa"/>
            <w:vAlign w:val="bottom"/>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0 %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0 %</w:t>
            </w:r>
          </w:p>
        </w:tc>
      </w:tr>
      <w:tr>
        <w:trPr>
          <w:trHeight w:val="219"/>
        </w:trPr>
        <w:tc>
          <w:tcPr>
            <w:tcW w:w="5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2"/>
        </w:trPr>
        <w:tc>
          <w:tcPr>
            <w:tcW w:w="658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620" w:type="dxa"/>
            <w:vAlign w:val="bottom"/>
          </w:tcPr>
          <w:p>
            <w:pPr>
              <w:jc w:val="right"/>
              <w:spacing w:after="0"/>
              <w:rPr>
                <w:sz w:val="20"/>
                <w:szCs w:val="20"/>
                <w:color w:val="auto"/>
              </w:rPr>
            </w:pPr>
            <w:r>
              <w:rPr>
                <w:rFonts w:ascii="Arial" w:cs="Arial" w:eastAsia="Arial" w:hAnsi="Arial"/>
                <w:sz w:val="17"/>
                <w:szCs w:val="17"/>
                <w:color w:val="auto"/>
              </w:rPr>
              <w:t>78 %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1 %</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12"/>
        </w:trPr>
        <w:tc>
          <w:tcPr>
            <w:tcW w:w="6580" w:type="dxa"/>
            <w:vAlign w:val="bottom"/>
            <w:gridSpan w:val="2"/>
          </w:tcPr>
          <w:p>
            <w:pPr>
              <w:ind w:left="120"/>
              <w:spacing w:after="0"/>
              <w:rPr>
                <w:sz w:val="20"/>
                <w:szCs w:val="20"/>
                <w:color w:val="auto"/>
              </w:rPr>
            </w:pPr>
            <w:r>
              <w:rPr>
                <w:rFonts w:ascii="Arial" w:cs="Arial" w:eastAsia="Arial" w:hAnsi="Arial"/>
                <w:sz w:val="17"/>
                <w:szCs w:val="17"/>
                <w:color w:val="auto"/>
              </w:rPr>
              <w:t>Net income (loss)</w:t>
            </w:r>
          </w:p>
        </w:tc>
        <w:tc>
          <w:tcPr>
            <w:tcW w:w="620" w:type="dxa"/>
            <w:vAlign w:val="bottom"/>
          </w:tcPr>
          <w:p>
            <w:pPr>
              <w:jc w:val="right"/>
              <w:spacing w:after="0"/>
              <w:rPr>
                <w:sz w:val="20"/>
                <w:szCs w:val="20"/>
                <w:color w:val="auto"/>
              </w:rPr>
            </w:pPr>
            <w:r>
              <w:rPr>
                <w:rFonts w:ascii="Arial" w:cs="Arial" w:eastAsia="Arial" w:hAnsi="Arial"/>
                <w:sz w:val="17"/>
                <w:szCs w:val="17"/>
                <w:color w:val="auto"/>
              </w:rPr>
              <w:t>79 %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0 %</w:t>
            </w:r>
          </w:p>
        </w:tc>
      </w:tr>
      <w:tr>
        <w:trPr>
          <w:trHeight w:val="219"/>
        </w:trPr>
        <w:tc>
          <w:tcPr>
            <w:tcW w:w="5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noncontrolling interests</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r>
      <w:tr>
        <w:trPr>
          <w:trHeight w:val="213"/>
        </w:trPr>
        <w:tc>
          <w:tcPr>
            <w:tcW w:w="6580" w:type="dxa"/>
            <w:vAlign w:val="bottom"/>
            <w:gridSpan w:val="2"/>
          </w:tcPr>
          <w:p>
            <w:pPr>
              <w:ind w:left="120"/>
              <w:spacing w:after="0"/>
              <w:rPr>
                <w:sz w:val="20"/>
                <w:szCs w:val="20"/>
                <w:color w:val="auto"/>
              </w:rPr>
            </w:pPr>
            <w:r>
              <w:rPr>
                <w:rFonts w:ascii="Arial" w:cs="Arial" w:eastAsia="Arial" w:hAnsi="Arial"/>
                <w:sz w:val="17"/>
                <w:szCs w:val="17"/>
                <w:color w:val="auto"/>
              </w:rPr>
              <w:t>Net income (loss) attributable to WM Technology, Inc.</w:t>
            </w:r>
          </w:p>
        </w:tc>
        <w:tc>
          <w:tcPr>
            <w:tcW w:w="62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0 %</w:t>
            </w:r>
          </w:p>
        </w:tc>
      </w:tr>
      <w:tr>
        <w:trPr>
          <w:trHeight w:val="20"/>
        </w:trPr>
        <w:tc>
          <w:tcPr>
            <w:tcW w:w="5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2021,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20"/>
                <w:szCs w:val="20"/>
                <w:color w:val="auto"/>
              </w:rPr>
            </w:pPr>
            <w:r>
              <w:rPr>
                <w:rFonts w:ascii="Arial" w:cs="Arial" w:eastAsia="Arial" w:hAnsi="Arial"/>
                <w:sz w:val="17"/>
                <w:szCs w:val="17"/>
                <w:b w:val="1"/>
                <w:bCs w:val="1"/>
                <w:i w:val="1"/>
                <w:iCs w:val="1"/>
                <w:color w:val="auto"/>
              </w:rPr>
              <w:t>Revenues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78"/>
        </w:trPr>
        <w:tc>
          <w:tcPr>
            <w:tcW w:w="3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7"/>
                <w:szCs w:val="17"/>
                <w:b w:val="1"/>
                <w:bCs w:val="1"/>
                <w:color w:val="auto"/>
                <w:w w:val="90"/>
              </w:rPr>
              <w:t>Years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left="294"/>
              <w:spacing w:after="0"/>
              <w:rPr>
                <w:sz w:val="20"/>
                <w:szCs w:val="20"/>
                <w:color w:val="auto"/>
              </w:rPr>
            </w:pPr>
            <w:r>
              <w:rPr>
                <w:rFonts w:ascii="Arial" w:cs="Arial" w:eastAsia="Arial" w:hAnsi="Arial"/>
                <w:sz w:val="17"/>
                <w:szCs w:val="17"/>
                <w:b w:val="1"/>
                <w:bCs w:val="1"/>
                <w:color w:val="auto"/>
                <w:w w:val="88"/>
              </w:rPr>
              <w:t>$ Change</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440" w:type="dxa"/>
            <w:vAlign w:val="bottom"/>
          </w:tcPr>
          <w:p>
            <w:pPr>
              <w:spacing w:after="0"/>
              <w:rPr>
                <w:sz w:val="18"/>
                <w:szCs w:val="18"/>
                <w:color w:val="auto"/>
              </w:rPr>
            </w:pPr>
          </w:p>
        </w:tc>
        <w:tc>
          <w:tcPr>
            <w:tcW w:w="720" w:type="dxa"/>
            <w:vAlign w:val="bottom"/>
          </w:tcPr>
          <w:p>
            <w:pPr>
              <w:jc w:val="right"/>
              <w:ind w:right="294"/>
              <w:spacing w:after="0"/>
              <w:rPr>
                <w:sz w:val="20"/>
                <w:szCs w:val="20"/>
                <w:color w:val="auto"/>
              </w:rPr>
            </w:pPr>
            <w:r>
              <w:rPr>
                <w:rFonts w:ascii="Arial" w:cs="Arial" w:eastAsia="Arial" w:hAnsi="Arial"/>
                <w:sz w:val="17"/>
                <w:szCs w:val="17"/>
                <w:b w:val="1"/>
                <w:bCs w:val="1"/>
                <w:color w:val="auto"/>
                <w:w w:val="84"/>
              </w:rPr>
              <w:t>2019</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2021 vs. 2020</w:t>
            </w:r>
          </w:p>
        </w:tc>
        <w:tc>
          <w:tcPr>
            <w:tcW w:w="1180" w:type="dxa"/>
            <w:vAlign w:val="bottom"/>
            <w:gridSpan w:val="3"/>
          </w:tcPr>
          <w:p>
            <w:pPr>
              <w:ind w:left="60"/>
              <w:spacing w:after="0"/>
              <w:rPr>
                <w:sz w:val="20"/>
                <w:szCs w:val="20"/>
                <w:color w:val="auto"/>
              </w:rPr>
            </w:pPr>
            <w:r>
              <w:rPr>
                <w:rFonts w:ascii="Arial" w:cs="Arial" w:eastAsia="Arial" w:hAnsi="Arial"/>
                <w:sz w:val="17"/>
                <w:szCs w:val="17"/>
                <w:b w:val="1"/>
                <w:bCs w:val="1"/>
                <w:color w:val="auto"/>
              </w:rPr>
              <w:t>2020 vs. 2019</w:t>
            </w:r>
          </w:p>
        </w:tc>
        <w:tc>
          <w:tcPr>
            <w:tcW w:w="1280" w:type="dxa"/>
            <w:vAlign w:val="bottom"/>
            <w:gridSpan w:val="2"/>
          </w:tcPr>
          <w:p>
            <w:pPr>
              <w:ind w:left="120"/>
              <w:spacing w:after="0"/>
              <w:rPr>
                <w:sz w:val="20"/>
                <w:szCs w:val="20"/>
                <w:color w:val="auto"/>
              </w:rPr>
            </w:pPr>
            <w:r>
              <w:rPr>
                <w:rFonts w:ascii="Arial" w:cs="Arial" w:eastAsia="Arial" w:hAnsi="Arial"/>
                <w:sz w:val="17"/>
                <w:szCs w:val="17"/>
                <w:b w:val="1"/>
                <w:bCs w:val="1"/>
                <w:color w:val="auto"/>
              </w:rPr>
              <w:t>2021 vs. 2020</w:t>
            </w:r>
          </w:p>
        </w:tc>
        <w:tc>
          <w:tcPr>
            <w:tcW w:w="1200" w:type="dxa"/>
            <w:vAlign w:val="bottom"/>
          </w:tcPr>
          <w:p>
            <w:pPr>
              <w:jc w:val="right"/>
              <w:ind w:right="34"/>
              <w:spacing w:after="0"/>
              <w:rPr>
                <w:sz w:val="20"/>
                <w:szCs w:val="20"/>
                <w:color w:val="auto"/>
              </w:rPr>
            </w:pPr>
            <w:r>
              <w:rPr>
                <w:rFonts w:ascii="Arial" w:cs="Arial" w:eastAsia="Arial" w:hAnsi="Arial"/>
                <w:sz w:val="17"/>
                <w:szCs w:val="17"/>
                <w:b w:val="1"/>
                <w:bCs w:val="1"/>
                <w:color w:val="auto"/>
                <w:w w:val="97"/>
              </w:rPr>
              <w:t>2020 vs. 2019</w:t>
            </w:r>
          </w:p>
        </w:tc>
      </w:tr>
      <w:tr>
        <w:trPr>
          <w:trHeight w:val="212"/>
        </w:trPr>
        <w:tc>
          <w:tcPr>
            <w:tcW w:w="3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jc w:val="right"/>
              <w:ind w:right="114"/>
              <w:spacing w:after="0"/>
              <w:rPr>
                <w:sz w:val="20"/>
                <w:szCs w:val="20"/>
                <w:color w:val="auto"/>
              </w:rPr>
            </w:pPr>
            <w:r>
              <w:rPr>
                <w:rFonts w:ascii="Arial" w:cs="Arial" w:eastAsia="Arial" w:hAnsi="Arial"/>
                <w:sz w:val="17"/>
                <w:szCs w:val="17"/>
                <w:b w:val="1"/>
                <w:bCs w:val="1"/>
                <w:color w:val="auto"/>
              </w:rPr>
              <w:t>(dollars in thousands)</w:t>
            </w: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193,146</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161,791</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31,355</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17,559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bl>
    <w:p>
      <w:pPr>
        <w:spacing w:after="0" w:line="3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Total revenues increased by $31.4 million, or 19% for the year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19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175" w:lineRule="exact"/>
        <w:rPr>
          <w:sz w:val="20"/>
          <w:szCs w:val="20"/>
          <w:color w:val="auto"/>
        </w:rPr>
      </w:pPr>
    </w:p>
    <w:p>
      <w:pPr>
        <w:jc w:val="both"/>
        <w:ind w:firstLine="464"/>
        <w:spacing w:after="0" w:line="239"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Total revenue increased by $17.6 million, or 12% for the year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78"/>
        </w:trPr>
        <w:tc>
          <w:tcPr>
            <w:tcW w:w="2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 Change</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420" w:type="dxa"/>
            <w:vAlign w:val="bottom"/>
          </w:tcPr>
          <w:p>
            <w:pPr>
              <w:spacing w:after="0"/>
              <w:rPr>
                <w:sz w:val="18"/>
                <w:szCs w:val="18"/>
                <w:color w:val="auto"/>
              </w:rPr>
            </w:pPr>
          </w:p>
        </w:tc>
        <w:tc>
          <w:tcPr>
            <w:tcW w:w="820" w:type="dxa"/>
            <w:vAlign w:val="bottom"/>
          </w:tcPr>
          <w:p>
            <w:pPr>
              <w:jc w:val="right"/>
              <w:ind w:right="354"/>
              <w:spacing w:after="0"/>
              <w:rPr>
                <w:sz w:val="20"/>
                <w:szCs w:val="20"/>
                <w:color w:val="auto"/>
              </w:rPr>
            </w:pPr>
            <w:r>
              <w:rPr>
                <w:rFonts w:ascii="Arial" w:cs="Arial" w:eastAsia="Arial" w:hAnsi="Arial"/>
                <w:sz w:val="17"/>
                <w:szCs w:val="17"/>
                <w:b w:val="1"/>
                <w:bCs w:val="1"/>
                <w:color w:val="auto"/>
                <w:w w:val="95"/>
              </w:rPr>
              <w:t>2019</w:t>
            </w:r>
          </w:p>
        </w:tc>
        <w:tc>
          <w:tcPr>
            <w:tcW w:w="80" w:type="dxa"/>
            <w:vAlign w:val="bottom"/>
          </w:tcPr>
          <w:p>
            <w:pPr>
              <w:spacing w:after="0"/>
              <w:rPr>
                <w:sz w:val="18"/>
                <w:szCs w:val="18"/>
                <w:color w:val="auto"/>
              </w:rPr>
            </w:pPr>
          </w:p>
        </w:tc>
        <w:tc>
          <w:tcPr>
            <w:tcW w:w="2120" w:type="dxa"/>
            <w:vAlign w:val="bottom"/>
            <w:gridSpan w:val="4"/>
          </w:tcPr>
          <w:p>
            <w:pPr>
              <w:ind w:left="20"/>
              <w:spacing w:after="0"/>
              <w:rPr>
                <w:sz w:val="20"/>
                <w:szCs w:val="20"/>
                <w:color w:val="auto"/>
              </w:rPr>
            </w:pPr>
            <w:r>
              <w:rPr>
                <w:rFonts w:ascii="Arial" w:cs="Arial" w:eastAsia="Arial" w:hAnsi="Arial"/>
                <w:sz w:val="17"/>
                <w:szCs w:val="17"/>
                <w:b w:val="1"/>
                <w:bCs w:val="1"/>
                <w:color w:val="auto"/>
                <w:w w:val="95"/>
              </w:rPr>
              <w:t>2021 vs. 2020 2020 vs 2019</w:t>
            </w:r>
          </w:p>
        </w:tc>
        <w:tc>
          <w:tcPr>
            <w:tcW w:w="1280" w:type="dxa"/>
            <w:vAlign w:val="bottom"/>
            <w:gridSpan w:val="2"/>
          </w:tcPr>
          <w:p>
            <w:pPr>
              <w:ind w:left="120"/>
              <w:spacing w:after="0"/>
              <w:rPr>
                <w:sz w:val="20"/>
                <w:szCs w:val="20"/>
                <w:color w:val="auto"/>
              </w:rPr>
            </w:pPr>
            <w:r>
              <w:rPr>
                <w:rFonts w:ascii="Arial" w:cs="Arial" w:eastAsia="Arial" w:hAnsi="Arial"/>
                <w:sz w:val="17"/>
                <w:szCs w:val="17"/>
                <w:b w:val="1"/>
                <w:bCs w:val="1"/>
                <w:color w:val="auto"/>
              </w:rPr>
              <w:t>2021 vs. 2020</w:t>
            </w:r>
          </w:p>
        </w:tc>
        <w:tc>
          <w:tcPr>
            <w:tcW w:w="1160" w:type="dxa"/>
            <w:vAlign w:val="bottom"/>
          </w:tcPr>
          <w:p>
            <w:pPr>
              <w:jc w:val="right"/>
              <w:ind w:right="14"/>
              <w:spacing w:after="0"/>
              <w:rPr>
                <w:sz w:val="20"/>
                <w:szCs w:val="20"/>
                <w:color w:val="auto"/>
              </w:rPr>
            </w:pPr>
            <w:r>
              <w:rPr>
                <w:rFonts w:ascii="Arial" w:cs="Arial" w:eastAsia="Arial" w:hAnsi="Arial"/>
                <w:sz w:val="17"/>
                <w:szCs w:val="17"/>
                <w:b w:val="1"/>
                <w:bCs w:val="1"/>
                <w:color w:val="auto"/>
                <w:w w:val="95"/>
              </w:rPr>
              <w:t>2020 vs. 2019</w:t>
            </w:r>
          </w:p>
        </w:tc>
      </w:tr>
      <w:tr>
        <w:trPr>
          <w:trHeight w:val="212"/>
        </w:trPr>
        <w:tc>
          <w:tcPr>
            <w:tcW w:w="2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ind w:left="600"/>
              <w:spacing w:after="0"/>
              <w:rPr>
                <w:sz w:val="20"/>
                <w:szCs w:val="20"/>
                <w:color w:val="auto"/>
              </w:rPr>
            </w:pPr>
            <w:r>
              <w:rPr>
                <w:rFonts w:ascii="Arial" w:cs="Arial" w:eastAsia="Arial" w:hAnsi="Arial"/>
                <w:sz w:val="17"/>
                <w:szCs w:val="17"/>
                <w:b w:val="1"/>
                <w:bCs w:val="1"/>
                <w:color w:val="auto"/>
                <w:w w:val="93"/>
              </w:rPr>
              <w:t>(dollars in thousands)</w:t>
            </w: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7,938</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7,630</w:t>
            </w:r>
          </w:p>
        </w:tc>
        <w:tc>
          <w:tcPr>
            <w:tcW w:w="4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308 $</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18"/>
        </w:trPr>
        <w:tc>
          <w:tcPr>
            <w:tcW w:w="288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93" w:lineRule="exact"/>
        <w:rPr>
          <w:sz w:val="20"/>
          <w:szCs w:val="20"/>
          <w:color w:val="auto"/>
        </w:rPr>
      </w:pPr>
    </w:p>
    <w:p>
      <w:pPr>
        <w:ind w:firstLine="619"/>
        <w:spacing w:after="0" w:line="287"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Cost of revenue was $7.9 million for the year ended December 31, 2021</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$7.6 million for the same period in 2020. There were no material changes to the drivers of our cost of revenue.</w:t>
      </w:r>
    </w:p>
    <w:p>
      <w:pPr>
        <w:spacing w:after="0" w:line="164"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Cost of revenue increased by $0.6 million, or 8%, for the year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2020, compared to the same period in 2019. Credit card processing fees increased by $0.6 million as revenue increased and more clients opted to use credit cards as a form of payment.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286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791"/>
        </w:trPr>
        <w:tc>
          <w:tcPr>
            <w:tcW w:w="28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Sales and Marketing 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8"/>
        </w:trPr>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left="294"/>
              <w:spacing w:after="0"/>
              <w:rPr>
                <w:sz w:val="20"/>
                <w:szCs w:val="20"/>
                <w:color w:val="auto"/>
              </w:rPr>
            </w:pPr>
            <w:r>
              <w:rPr>
                <w:rFonts w:ascii="Arial" w:cs="Arial" w:eastAsia="Arial" w:hAnsi="Arial"/>
                <w:sz w:val="17"/>
                <w:szCs w:val="17"/>
                <w:b w:val="1"/>
                <w:bCs w:val="1"/>
                <w:color w:val="auto"/>
                <w:w w:val="88"/>
              </w:rPr>
              <w:t>$ Change</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420" w:type="dxa"/>
            <w:vAlign w:val="bottom"/>
          </w:tcPr>
          <w:p>
            <w:pPr>
              <w:spacing w:after="0"/>
              <w:rPr>
                <w:sz w:val="18"/>
                <w:szCs w:val="18"/>
                <w:color w:val="auto"/>
              </w:rPr>
            </w:pPr>
          </w:p>
        </w:tc>
        <w:tc>
          <w:tcPr>
            <w:tcW w:w="820" w:type="dxa"/>
            <w:vAlign w:val="bottom"/>
          </w:tcPr>
          <w:p>
            <w:pPr>
              <w:jc w:val="right"/>
              <w:ind w:right="334"/>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w w:val="90"/>
              </w:rPr>
              <w:t>2021 vs. 2020</w:t>
            </w:r>
          </w:p>
        </w:tc>
        <w:tc>
          <w:tcPr>
            <w:tcW w:w="1140" w:type="dxa"/>
            <w:vAlign w:val="bottom"/>
            <w:gridSpan w:val="3"/>
          </w:tcPr>
          <w:p>
            <w:pPr>
              <w:ind w:left="80"/>
              <w:spacing w:after="0"/>
              <w:rPr>
                <w:sz w:val="20"/>
                <w:szCs w:val="20"/>
                <w:color w:val="auto"/>
              </w:rPr>
            </w:pPr>
            <w:r>
              <w:rPr>
                <w:rFonts w:ascii="Arial" w:cs="Arial" w:eastAsia="Arial" w:hAnsi="Arial"/>
                <w:sz w:val="17"/>
                <w:szCs w:val="17"/>
                <w:b w:val="1"/>
                <w:bCs w:val="1"/>
                <w:color w:val="auto"/>
                <w:w w:val="99"/>
              </w:rPr>
              <w:t>2020 vs 2019</w:t>
            </w:r>
          </w:p>
        </w:tc>
        <w:tc>
          <w:tcPr>
            <w:tcW w:w="1240" w:type="dxa"/>
            <w:vAlign w:val="bottom"/>
            <w:gridSpan w:val="2"/>
          </w:tcPr>
          <w:p>
            <w:pPr>
              <w:ind w:left="100"/>
              <w:spacing w:after="0"/>
              <w:rPr>
                <w:sz w:val="20"/>
                <w:szCs w:val="20"/>
                <w:color w:val="auto"/>
              </w:rPr>
            </w:pPr>
            <w:r>
              <w:rPr>
                <w:rFonts w:ascii="Arial" w:cs="Arial" w:eastAsia="Arial" w:hAnsi="Arial"/>
                <w:sz w:val="17"/>
                <w:szCs w:val="17"/>
                <w:b w:val="1"/>
                <w:bCs w:val="1"/>
                <w:color w:val="auto"/>
              </w:rPr>
              <w:t>2021 vs. 2020</w:t>
            </w:r>
          </w:p>
        </w:tc>
        <w:tc>
          <w:tcPr>
            <w:tcW w:w="1160" w:type="dxa"/>
            <w:vAlign w:val="bottom"/>
          </w:tcPr>
          <w:p>
            <w:pPr>
              <w:jc w:val="right"/>
              <w:ind w:right="14"/>
              <w:spacing w:after="0"/>
              <w:rPr>
                <w:sz w:val="20"/>
                <w:szCs w:val="20"/>
                <w:color w:val="auto"/>
              </w:rPr>
            </w:pPr>
            <w:r>
              <w:rPr>
                <w:rFonts w:ascii="Arial" w:cs="Arial" w:eastAsia="Arial" w:hAnsi="Arial"/>
                <w:sz w:val="17"/>
                <w:szCs w:val="17"/>
                <w:b w:val="1"/>
                <w:bCs w:val="1"/>
                <w:color w:val="auto"/>
                <w:w w:val="95"/>
              </w:rPr>
              <w:t>2020 vs. 2019</w:t>
            </w:r>
          </w:p>
        </w:tc>
      </w:tr>
      <w:tr>
        <w:trPr>
          <w:trHeight w:val="212"/>
        </w:trPr>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ind w:left="620"/>
              <w:spacing w:after="0"/>
              <w:rPr>
                <w:sz w:val="20"/>
                <w:szCs w:val="20"/>
                <w:color w:val="auto"/>
              </w:rPr>
            </w:pPr>
            <w:r>
              <w:rPr>
                <w:rFonts w:ascii="Arial" w:cs="Arial" w:eastAsia="Arial" w:hAnsi="Arial"/>
                <w:sz w:val="17"/>
                <w:szCs w:val="17"/>
                <w:b w:val="1"/>
                <w:bCs w:val="1"/>
                <w:color w:val="auto"/>
                <w:w w:val="92"/>
              </w:rPr>
              <w:t>(dollars in thousands)</w:t>
            </w: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56,119</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30,716</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39,746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25,403</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8"/>
        </w:trPr>
        <w:tc>
          <w:tcPr>
            <w:tcW w:w="286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30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Sales and marketing expenses increased by $25.4 million, or 83%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20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182" w:lineRule="exact"/>
        <w:rPr>
          <w:sz w:val="20"/>
          <w:szCs w:val="20"/>
          <w:color w:val="auto"/>
        </w:rPr>
      </w:pPr>
    </w:p>
    <w:p>
      <w:pPr>
        <w:jc w:val="both"/>
        <w:ind w:firstLine="464"/>
        <w:spacing w:after="0" w:line="24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Sales and marketing expenses decreased by $9.0 million, or 23%,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tcPr>
          <w:p>
            <w:pPr>
              <w:spacing w:after="0"/>
              <w:rPr>
                <w:sz w:val="20"/>
                <w:szCs w:val="20"/>
                <w:color w:val="auto"/>
              </w:rPr>
            </w:pPr>
            <w:r>
              <w:rPr>
                <w:rFonts w:ascii="Arial" w:cs="Arial" w:eastAsia="Arial" w:hAnsi="Arial"/>
                <w:sz w:val="17"/>
                <w:szCs w:val="17"/>
                <w:b w:val="1"/>
                <w:bCs w:val="1"/>
                <w:i w:val="1"/>
                <w:iCs w:val="1"/>
                <w:color w:val="auto"/>
              </w:rPr>
              <w:t>Product Development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78"/>
        </w:trPr>
        <w:tc>
          <w:tcPr>
            <w:tcW w:w="2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400" w:type="dxa"/>
            <w:vAlign w:val="bottom"/>
          </w:tcPr>
          <w:p>
            <w:pPr>
              <w:spacing w:after="0"/>
              <w:rPr>
                <w:sz w:val="18"/>
                <w:szCs w:val="18"/>
                <w:color w:val="auto"/>
              </w:rPr>
            </w:pPr>
          </w:p>
        </w:tc>
        <w:tc>
          <w:tcPr>
            <w:tcW w:w="820" w:type="dxa"/>
            <w:vAlign w:val="bottom"/>
          </w:tcPr>
          <w:p>
            <w:pPr>
              <w:jc w:val="right"/>
              <w:ind w:right="33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160" w:type="dxa"/>
            <w:vAlign w:val="bottom"/>
            <w:gridSpan w:val="4"/>
          </w:tcPr>
          <w:p>
            <w:pPr>
              <w:ind w:left="20"/>
              <w:spacing w:after="0"/>
              <w:rPr>
                <w:sz w:val="20"/>
                <w:szCs w:val="20"/>
                <w:color w:val="auto"/>
              </w:rPr>
            </w:pPr>
            <w:r>
              <w:rPr>
                <w:rFonts w:ascii="Arial" w:cs="Arial" w:eastAsia="Arial" w:hAnsi="Arial"/>
                <w:sz w:val="17"/>
                <w:szCs w:val="17"/>
                <w:b w:val="1"/>
                <w:bCs w:val="1"/>
                <w:color w:val="auto"/>
                <w:w w:val="95"/>
              </w:rPr>
              <w:t>2021 vs. 2020 2020 vs. 2019</w:t>
            </w:r>
          </w:p>
        </w:tc>
        <w:tc>
          <w:tcPr>
            <w:tcW w:w="1240" w:type="dxa"/>
            <w:vAlign w:val="bottom"/>
            <w:gridSpan w:val="2"/>
          </w:tcPr>
          <w:p>
            <w:pPr>
              <w:ind w:left="80"/>
              <w:spacing w:after="0"/>
              <w:rPr>
                <w:sz w:val="20"/>
                <w:szCs w:val="20"/>
                <w:color w:val="auto"/>
              </w:rPr>
            </w:pPr>
            <w:r>
              <w:rPr>
                <w:rFonts w:ascii="Arial" w:cs="Arial" w:eastAsia="Arial" w:hAnsi="Arial"/>
                <w:sz w:val="17"/>
                <w:szCs w:val="17"/>
                <w:b w:val="1"/>
                <w:bCs w:val="1"/>
                <w:color w:val="auto"/>
              </w:rPr>
              <w:t>2021 vs. 2020</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w w:val="95"/>
              </w:rPr>
              <w:t>2020 vs. 2019</w:t>
            </w:r>
          </w:p>
        </w:tc>
      </w:tr>
      <w:tr>
        <w:trPr>
          <w:trHeight w:val="212"/>
        </w:trPr>
        <w:tc>
          <w:tcPr>
            <w:tcW w:w="2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4"/>
          </w:tcPr>
          <w:p>
            <w:pPr>
              <w:ind w:left="620"/>
              <w:spacing w:after="0"/>
              <w:rPr>
                <w:sz w:val="20"/>
                <w:szCs w:val="20"/>
                <w:color w:val="auto"/>
              </w:rPr>
            </w:pPr>
            <w:r>
              <w:rPr>
                <w:rFonts w:ascii="Arial" w:cs="Arial" w:eastAsia="Arial" w:hAnsi="Arial"/>
                <w:sz w:val="17"/>
                <w:szCs w:val="17"/>
                <w:b w:val="1"/>
                <w:bCs w:val="1"/>
                <w:color w:val="auto"/>
                <w:w w:val="93"/>
              </w:rPr>
              <w:t>(dollars in thousands)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 expenses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35,395</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27,142</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8,253 $</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288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17 %</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93" w:lineRule="exact"/>
        <w:rPr>
          <w:sz w:val="20"/>
          <w:szCs w:val="20"/>
          <w:color w:val="auto"/>
        </w:rPr>
      </w:pPr>
    </w:p>
    <w:p>
      <w:pPr>
        <w:jc w:val="both"/>
        <w:ind w:firstLine="619"/>
        <w:spacing w:after="0" w:line="298" w:lineRule="auto"/>
        <w:rPr>
          <w:sz w:val="20"/>
          <w:szCs w:val="20"/>
          <w:color w:val="auto"/>
        </w:rPr>
      </w:pPr>
      <w:r>
        <w:rPr>
          <w:rFonts w:ascii="Arial" w:cs="Arial" w:eastAsia="Arial" w:hAnsi="Arial"/>
          <w:sz w:val="15"/>
          <w:szCs w:val="15"/>
          <w:b w:val="1"/>
          <w:bCs w:val="1"/>
          <w:color w:val="auto"/>
        </w:rPr>
        <w:t xml:space="preserve">Year ended December 31, 2021 compared to year ended December 31, 2020. </w:t>
      </w:r>
      <w:r>
        <w:rPr>
          <w:rFonts w:ascii="Arial" w:cs="Arial" w:eastAsia="Arial" w:hAnsi="Arial"/>
          <w:sz w:val="15"/>
          <w:szCs w:val="15"/>
          <w:color w:val="auto"/>
        </w:rPr>
        <w:t>Product development expenses increased by $8.3 million, or 30%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164" w:lineRule="exact"/>
        <w:rPr>
          <w:sz w:val="20"/>
          <w:szCs w:val="20"/>
          <w:color w:val="auto"/>
        </w:rPr>
      </w:pPr>
    </w:p>
    <w:p>
      <w:pPr>
        <w:jc w:val="both"/>
        <w:ind w:firstLine="464"/>
        <w:spacing w:after="0" w:line="234"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Product development expenses decreased by $2.4 million, or 8%,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$0.4 million. The reduction in headcount and third-party development services was to drive operating efficiencies and increase our liquidity position at the time.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Travel related expenses also decreased by $0.2 million due to the COVID-19 pandemic.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20"/>
                <w:szCs w:val="20"/>
                <w:color w:val="auto"/>
              </w:rPr>
            </w:pPr>
            <w:r>
              <w:rPr>
                <w:rFonts w:ascii="Arial" w:cs="Arial" w:eastAsia="Arial" w:hAnsi="Arial"/>
                <w:sz w:val="17"/>
                <w:szCs w:val="17"/>
                <w:b w:val="1"/>
                <w:bCs w:val="1"/>
                <w:i w:val="1"/>
                <w:iCs w:val="1"/>
                <w:color w:val="auto"/>
              </w:rPr>
              <w:t>General and Administrative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3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540"/>
              <w:spacing w:after="0"/>
              <w:rPr>
                <w:sz w:val="20"/>
                <w:szCs w:val="20"/>
                <w:color w:val="auto"/>
              </w:rPr>
            </w:pPr>
            <w:r>
              <w:rPr>
                <w:rFonts w:ascii="Arial" w:cs="Arial" w:eastAsia="Arial" w:hAnsi="Arial"/>
                <w:sz w:val="17"/>
                <w:szCs w:val="17"/>
                <w:b w:val="1"/>
                <w:bCs w:val="1"/>
                <w:color w:val="auto"/>
                <w:w w:val="91"/>
              </w:rPr>
              <w:t>$ Change</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360" w:type="dxa"/>
            <w:vAlign w:val="bottom"/>
          </w:tcPr>
          <w:p>
            <w:pPr>
              <w:spacing w:after="0"/>
              <w:rPr>
                <w:sz w:val="14"/>
                <w:szCs w:val="14"/>
                <w:color w:val="auto"/>
              </w:rPr>
            </w:pPr>
          </w:p>
        </w:tc>
        <w:tc>
          <w:tcPr>
            <w:tcW w:w="74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w w:val="95"/>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4"/>
              <w:spacing w:after="0" w:line="162" w:lineRule="exact"/>
              <w:rPr>
                <w:sz w:val="20"/>
                <w:szCs w:val="20"/>
                <w:color w:val="auto"/>
              </w:rPr>
            </w:pPr>
            <w:r>
              <w:rPr>
                <w:rFonts w:ascii="Arial" w:cs="Arial" w:eastAsia="Arial" w:hAnsi="Arial"/>
                <w:sz w:val="17"/>
                <w:szCs w:val="17"/>
                <w:b w:val="1"/>
                <w:bCs w:val="1"/>
                <w:color w:val="auto"/>
                <w:w w:val="90"/>
              </w:rPr>
              <w:t>2021 vs.</w:t>
            </w:r>
          </w:p>
        </w:tc>
        <w:tc>
          <w:tcPr>
            <w:tcW w:w="116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w w:val="99"/>
              </w:rPr>
              <w:t>2020 vs. 2019</w:t>
            </w:r>
          </w:p>
        </w:tc>
        <w:tc>
          <w:tcPr>
            <w:tcW w:w="12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2021 vs. 2020</w:t>
            </w:r>
          </w:p>
        </w:tc>
        <w:tc>
          <w:tcPr>
            <w:tcW w:w="1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5"/>
              </w:rPr>
              <w:t>2020 vs. 2019</w:t>
            </w:r>
          </w:p>
        </w:tc>
        <w:tc>
          <w:tcPr>
            <w:tcW w:w="0" w:type="dxa"/>
            <w:vAlign w:val="bottom"/>
          </w:tcPr>
          <w:p>
            <w:pPr>
              <w:spacing w:after="0"/>
              <w:rPr>
                <w:sz w:val="1"/>
                <w:szCs w:val="1"/>
                <w:color w:val="auto"/>
              </w:rPr>
            </w:pPr>
          </w:p>
        </w:tc>
      </w:tr>
      <w:tr>
        <w:trPr>
          <w:trHeight w:val="219"/>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7"/>
                <w:szCs w:val="17"/>
                <w:b w:val="1"/>
                <w:bCs w:val="1"/>
                <w:color w:val="auto"/>
              </w:rPr>
              <w:t>2020</w:t>
            </w:r>
          </w:p>
        </w:tc>
        <w:tc>
          <w:tcPr>
            <w:tcW w:w="1160" w:type="dxa"/>
            <w:vAlign w:val="bottom"/>
            <w:gridSpan w:val="3"/>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4"/>
          </w:tcPr>
          <w:p>
            <w:pPr>
              <w:ind w:left="480"/>
              <w:spacing w:after="0"/>
              <w:rPr>
                <w:sz w:val="20"/>
                <w:szCs w:val="20"/>
                <w:color w:val="auto"/>
              </w:rPr>
            </w:pPr>
            <w:r>
              <w:rPr>
                <w:rFonts w:ascii="Arial" w:cs="Arial" w:eastAsia="Arial" w:hAnsi="Arial"/>
                <w:sz w:val="17"/>
                <w:szCs w:val="17"/>
                <w:b w:val="1"/>
                <w:bCs w:val="1"/>
                <w:color w:val="auto"/>
                <w:w w:val="93"/>
              </w:rPr>
              <w:t>(dollars in thousands)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97,447</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51,127</w:t>
            </w:r>
          </w:p>
        </w:tc>
        <w:tc>
          <w:tcPr>
            <w:tcW w:w="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9"/>
              </w:rPr>
              <w:t>56,466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46,320</w:t>
            </w:r>
          </w:p>
        </w:tc>
        <w:tc>
          <w:tcPr>
            <w:tcW w:w="5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(5,339)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32 %</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General and administrative expenses increased by $46.3 million, or 91%</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177" w:lineRule="exact"/>
        <w:rPr>
          <w:sz w:val="20"/>
          <w:szCs w:val="20"/>
          <w:color w:val="auto"/>
        </w:rPr>
      </w:pPr>
    </w:p>
    <w:p>
      <w:pPr>
        <w:jc w:val="both"/>
        <w:ind w:firstLine="464"/>
        <w:spacing w:after="0" w:line="241"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General and administrative expenses decreased by $5.3 million, or 9%,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spacing w:after="0"/>
              <w:rPr>
                <w:sz w:val="20"/>
                <w:szCs w:val="20"/>
                <w:color w:val="auto"/>
              </w:rPr>
            </w:pPr>
            <w:r>
              <w:rPr>
                <w:rFonts w:ascii="Arial" w:cs="Arial" w:eastAsia="Arial" w:hAnsi="Arial"/>
                <w:sz w:val="17"/>
                <w:szCs w:val="17"/>
                <w:b w:val="1"/>
                <w:bCs w:val="1"/>
                <w:i w:val="1"/>
                <w:iCs w:val="1"/>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7"/>
                <w:szCs w:val="17"/>
                <w:b w:val="1"/>
                <w:bCs w:val="1"/>
                <w:color w:val="auto"/>
                <w:w w:val="91"/>
              </w:rPr>
              <w:t>$ Change</w:t>
            </w:r>
          </w:p>
        </w:tc>
        <w:tc>
          <w:tcPr>
            <w:tcW w:w="226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4"/>
                <w:szCs w:val="14"/>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2020</w:t>
            </w:r>
          </w:p>
        </w:tc>
        <w:tc>
          <w:tcPr>
            <w:tcW w:w="420" w:type="dxa"/>
            <w:vAlign w:val="bottom"/>
          </w:tcPr>
          <w:p>
            <w:pPr>
              <w:spacing w:after="0"/>
              <w:rPr>
                <w:sz w:val="14"/>
                <w:szCs w:val="14"/>
                <w:color w:val="auto"/>
              </w:rPr>
            </w:pPr>
          </w:p>
        </w:tc>
        <w:tc>
          <w:tcPr>
            <w:tcW w:w="74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w w:val="89"/>
              </w:rPr>
              <w:t>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34"/>
              <w:spacing w:after="0" w:line="162" w:lineRule="exact"/>
              <w:rPr>
                <w:sz w:val="20"/>
                <w:szCs w:val="20"/>
                <w:color w:val="auto"/>
              </w:rPr>
            </w:pPr>
            <w:r>
              <w:rPr>
                <w:rFonts w:ascii="Arial" w:cs="Arial" w:eastAsia="Arial" w:hAnsi="Arial"/>
                <w:sz w:val="17"/>
                <w:szCs w:val="17"/>
                <w:b w:val="1"/>
                <w:bCs w:val="1"/>
                <w:color w:val="auto"/>
                <w:w w:val="87"/>
              </w:rPr>
              <w:t>2021 vs.</w:t>
            </w:r>
          </w:p>
        </w:tc>
        <w:tc>
          <w:tcPr>
            <w:tcW w:w="18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87"/>
              </w:rPr>
              <w:t>2020 vs.</w:t>
            </w: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2021 vs. 2020</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1"/>
              </w:rPr>
              <w:t>2020 vs. 2019</w:t>
            </w:r>
          </w:p>
        </w:tc>
        <w:tc>
          <w:tcPr>
            <w:tcW w:w="0" w:type="dxa"/>
            <w:vAlign w:val="bottom"/>
          </w:tcPr>
          <w:p>
            <w:pPr>
              <w:spacing w:after="0"/>
              <w:rPr>
                <w:sz w:val="1"/>
                <w:szCs w:val="1"/>
                <w:color w:val="auto"/>
              </w:rPr>
            </w:pPr>
          </w:p>
        </w:tc>
      </w:tr>
      <w:tr>
        <w:trPr>
          <w:trHeight w:val="219"/>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94"/>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ind w:left="520"/>
              <w:spacing w:after="0"/>
              <w:rPr>
                <w:sz w:val="20"/>
                <w:szCs w:val="20"/>
                <w:color w:val="auto"/>
              </w:rPr>
            </w:pPr>
            <w:r>
              <w:rPr>
                <w:rFonts w:ascii="Arial" w:cs="Arial" w:eastAsia="Arial" w:hAnsi="Arial"/>
                <w:sz w:val="17"/>
                <w:szCs w:val="17"/>
                <w:b w:val="1"/>
                <w:bCs w:val="1"/>
                <w:color w:val="auto"/>
                <w:w w:val="90"/>
              </w:rPr>
              <w:t>(dollars in thousands)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4,425</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3,978</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2 %</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2 %</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Depreciation and amortization expenses increased by $0.4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11%, for the year ended December 31, 2021, compared to the same period in 2020.</w:t>
      </w:r>
    </w:p>
    <w:p>
      <w:pPr>
        <w:spacing w:after="0" w:line="164"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Depreciation and amortization expenses decreased by $1.2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318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Other Income (Expense),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w w:val="95"/>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7"/>
                <w:szCs w:val="17"/>
                <w:b w:val="1"/>
                <w:bCs w:val="1"/>
                <w:color w:val="auto"/>
              </w:rPr>
              <w:t>2021 vs.</w:t>
            </w:r>
          </w:p>
        </w:tc>
        <w:tc>
          <w:tcPr>
            <w:tcW w:w="140" w:type="dxa"/>
            <w:vAlign w:val="bottom"/>
          </w:tcPr>
          <w:p>
            <w:pPr>
              <w:spacing w:after="0"/>
              <w:rPr>
                <w:sz w:val="14"/>
                <w:szCs w:val="14"/>
                <w:color w:val="auto"/>
              </w:rPr>
            </w:pPr>
          </w:p>
        </w:tc>
        <w:tc>
          <w:tcPr>
            <w:tcW w:w="820" w:type="dxa"/>
            <w:vAlign w:val="bottom"/>
          </w:tcPr>
          <w:p>
            <w:pPr>
              <w:jc w:val="right"/>
              <w:ind w:right="94"/>
              <w:spacing w:after="0" w:line="162" w:lineRule="exact"/>
              <w:rPr>
                <w:sz w:val="20"/>
                <w:szCs w:val="20"/>
                <w:color w:val="auto"/>
              </w:rPr>
            </w:pPr>
            <w:r>
              <w:rPr>
                <w:rFonts w:ascii="Arial" w:cs="Arial" w:eastAsia="Arial" w:hAnsi="Arial"/>
                <w:sz w:val="17"/>
                <w:szCs w:val="17"/>
                <w:b w:val="1"/>
                <w:bCs w:val="1"/>
                <w:color w:val="auto"/>
                <w:w w:val="93"/>
              </w:rPr>
              <w:t>2020 vs.</w:t>
            </w:r>
          </w:p>
        </w:tc>
        <w:tc>
          <w:tcPr>
            <w:tcW w:w="10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2021 vs. 2020</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1"/>
              </w:rPr>
              <w:t>2020 vs. 2019</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1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5"/>
          </w:tcPr>
          <w:p>
            <w:pPr>
              <w:ind w:left="580"/>
              <w:spacing w:after="0"/>
              <w:rPr>
                <w:sz w:val="20"/>
                <w:szCs w:val="20"/>
                <w:color w:val="auto"/>
              </w:rPr>
            </w:pPr>
            <w:r>
              <w:rPr>
                <w:rFonts w:ascii="Arial" w:cs="Arial" w:eastAsia="Arial" w:hAnsi="Arial"/>
                <w:sz w:val="17"/>
                <w:szCs w:val="17"/>
                <w:b w:val="1"/>
                <w:bCs w:val="1"/>
                <w:color w:val="auto"/>
                <w:w w:val="88"/>
              </w:rPr>
              <w:t>(dollars in thousands)</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166,518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N/M</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8"/>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expense,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(6,723)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(2,368)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(5,341)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184 %</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159,795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(2,368)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N/M</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8"/>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2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Other income, net increased by $162.2 million for the year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18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color w:val="auto"/>
        </w:rPr>
        <w:t xml:space="preserve">Year ended December 31, 2020 compared to year ended December 31, 2019. </w:t>
      </w:r>
      <w:r>
        <w:rPr>
          <w:rFonts w:ascii="Arial" w:cs="Arial" w:eastAsia="Arial" w:hAnsi="Arial"/>
          <w:sz w:val="15"/>
          <w:szCs w:val="15"/>
          <w:color w:val="auto"/>
        </w:rPr>
        <w:t>Other expenses decreased by $3.0 million, or 56%, for the year ended</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4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As of December 31,</w:t>
            </w:r>
          </w:p>
        </w:tc>
        <w:tc>
          <w:tcPr>
            <w:tcW w:w="1140" w:type="dxa"/>
            <w:vAlign w:val="bottom"/>
            <w:tcBorders>
              <w:bottom w:val="single" w:sz="8" w:color="auto"/>
            </w:tcBorders>
          </w:tcPr>
          <w:p>
            <w:pPr>
              <w:spacing w:after="0"/>
              <w:rPr>
                <w:sz w:val="19"/>
                <w:szCs w:val="19"/>
                <w:color w:val="auto"/>
              </w:rPr>
            </w:pPr>
          </w:p>
        </w:tc>
      </w:tr>
      <w:tr>
        <w:trPr>
          <w:trHeight w:val="213"/>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95"/>
              </w:rPr>
              <w:t>2020</w:t>
            </w:r>
          </w:p>
        </w:tc>
      </w:tr>
      <w:tr>
        <w:trPr>
          <w:trHeight w:val="212"/>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(in thousands)</w:t>
            </w:r>
          </w:p>
        </w:tc>
        <w:tc>
          <w:tcPr>
            <w:tcW w:w="114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67,777</w:t>
            </w:r>
          </w:p>
        </w:tc>
        <w:tc>
          <w:tcPr>
            <w:tcW w:w="78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1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17,550</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9,428</w:t>
            </w: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61,134</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10,918</w:t>
            </w:r>
          </w:p>
        </w:tc>
      </w:tr>
    </w:tbl>
    <w:p>
      <w:pPr>
        <w:spacing w:after="0" w:line="29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43"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1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78"/>
        </w:trPr>
        <w:tc>
          <w:tcPr>
            <w:tcW w:w="55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3"/>
        </w:trPr>
        <w:tc>
          <w:tcPr>
            <w:tcW w:w="55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w w:val="89"/>
              </w:rPr>
              <w:t>2020</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212"/>
        </w:trPr>
        <w:tc>
          <w:tcPr>
            <w:tcW w:w="5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center"/>
              <w:ind w:right="254"/>
              <w:spacing w:after="0"/>
              <w:rPr>
                <w:sz w:val="20"/>
                <w:szCs w:val="20"/>
                <w:color w:val="auto"/>
              </w:rPr>
            </w:pPr>
            <w:r>
              <w:rPr>
                <w:rFonts w:ascii="Arial" w:cs="Arial" w:eastAsia="Arial" w:hAnsi="Arial"/>
                <w:sz w:val="17"/>
                <w:szCs w:val="17"/>
                <w:b w:val="1"/>
                <w:bCs w:val="1"/>
                <w:color w:val="auto"/>
                <w:w w:val="90"/>
              </w:rPr>
              <w:t>(in thousands)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23,092</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38,620</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6,295</w:t>
            </w:r>
          </w:p>
        </w:tc>
      </w:tr>
      <w:tr>
        <w:trPr>
          <w:trHeight w:val="218"/>
        </w:trPr>
        <w:tc>
          <w:tcPr>
            <w:tcW w:w="55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tcPr>
          <w:p>
            <w:pPr>
              <w:jc w:val="center"/>
              <w:spacing w:after="0"/>
              <w:rPr>
                <w:sz w:val="20"/>
                <w:szCs w:val="20"/>
                <w:color w:val="auto"/>
              </w:rPr>
            </w:pPr>
            <w:r>
              <w:rPr>
                <w:rFonts w:ascii="Arial" w:cs="Arial" w:eastAsia="Arial" w:hAnsi="Arial"/>
                <w:sz w:val="17"/>
                <w:szCs w:val="17"/>
                <w:color w:val="auto"/>
                <w:w w:val="91"/>
              </w:rPr>
              <w:t>(30,435)</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4"/>
              <w:spacing w:after="0"/>
              <w:rPr>
                <w:sz w:val="20"/>
                <w:szCs w:val="20"/>
                <w:color w:val="auto"/>
              </w:rPr>
            </w:pPr>
            <w:r>
              <w:rPr>
                <w:rFonts w:ascii="Arial" w:cs="Arial" w:eastAsia="Arial" w:hAnsi="Arial"/>
                <w:sz w:val="17"/>
                <w:szCs w:val="17"/>
                <w:color w:val="auto"/>
              </w:rPr>
              <w:t>(1,311)</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(5,129)</w:t>
            </w: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55,201</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(22,358)</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(21,969)</w:t>
            </w:r>
          </w:p>
        </w:tc>
      </w:tr>
    </w:tbl>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43"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143"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Net cash provided by operating activities for the year ended December 31, 2021 was $23.1 million, which resulted from net income of $152.2 million, together with a net cash outflows of $3.4 million from changes in 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19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211"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investing activities for the year ended December 31, 2020 was $1.3 million for purchases of property and equipment.</w:t>
      </w:r>
    </w:p>
    <w:p>
      <w:pPr>
        <w:spacing w:after="0" w:line="243"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Provided by (Used in) Financing Activities</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20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Net cash used in financing activities for the year ended December 31, 2020 was $22.4 million, which resulted from $22.0 million distributions to members and $0.4 million paid for the repurchase of Class B Units.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4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have non-cancellable contractual agreements primarily related to leases. As of December 31, 2021, future payments on our operating leases were $64.5 million. See Note 3 to our consolidated financial statements included herein.</w:t>
      </w:r>
    </w:p>
    <w:p>
      <w:pPr>
        <w:spacing w:after="0" w:line="190"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herein.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herein.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34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20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herein.</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 Development Costs</w:t>
      </w:r>
    </w:p>
    <w:p>
      <w:pPr>
        <w:spacing w:after="0" w:line="230"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43"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 xml:space="preserve">In connection with the Business Combination, we assumed 12,499,993 Public Warrants and 7,000,000 Private Placement Warrants. All of the warrants remained outstanding as of December 31, 2021. The warrants are measured at fair value under ASC 820 -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herein.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our consolidated financial statements included herein.</w:t>
      </w:r>
    </w:p>
    <w:p>
      <w:pPr>
        <w:spacing w:after="0" w:line="34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4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consider all highly liquid investments with an original maturity of three months or less to be cash equivalents. As of December 31, 2021, we did not have any cash equivalents.</w:t>
      </w:r>
    </w:p>
    <w:p>
      <w:pPr>
        <w:spacing w:after="0" w:line="19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8.</w:t>
        <w:tab/>
        <w:t>FINANCIAL STATEMENTS</w:t>
      </w:r>
    </w:p>
    <w:p>
      <w:pPr>
        <w:spacing w:after="0" w:line="223" w:lineRule="exact"/>
        <w:rPr>
          <w:sz w:val="20"/>
          <w:szCs w:val="20"/>
          <w:color w:val="auto"/>
        </w:rPr>
      </w:pPr>
    </w:p>
    <w:p>
      <w:pPr>
        <w:jc w:val="both"/>
        <w:ind w:firstLine="464"/>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information required by this Item 8 appears in a separate section of this annual report on Form 10-K beginning on page </w:t>
      </w:r>
      <w:hyperlink w:anchor="page75">
        <w:r>
          <w:rPr>
            <w:rFonts w:ascii="Arial" w:cs="Arial" w:eastAsia="Arial" w:hAnsi="Arial"/>
            <w:sz w:val="17"/>
            <w:szCs w:val="17"/>
            <w:u w:val="single" w:color="auto"/>
            <w:color w:val="0000FF"/>
          </w:rPr>
          <w:t>F-1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9"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199"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6"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6"/>
          <w:szCs w:val="16"/>
          <w:color w:val="auto"/>
        </w:rPr>
        <w:t>We completed the Business Combination on June 16,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Disclosure Controls and Procedures and Internal Controls over Financial Reporting</w:t>
      </w:r>
    </w:p>
    <w:p>
      <w:pPr>
        <w:spacing w:after="0" w:line="249"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20" w:lineRule="exact"/>
        <w:rPr>
          <w:sz w:val="20"/>
          <w:szCs w:val="20"/>
          <w:color w:val="auto"/>
        </w:rPr>
      </w:pPr>
    </w:p>
    <w:p>
      <w:pPr>
        <w:ind w:firstLine="174"/>
        <w:spacing w:after="0" w:line="279" w:lineRule="auto"/>
        <w:rPr>
          <w:sz w:val="20"/>
          <w:szCs w:val="20"/>
          <w:color w:val="auto"/>
        </w:rPr>
      </w:pPr>
      <w:r>
        <w:rPr>
          <w:rFonts w:ascii="Arial" w:cs="Arial" w:eastAsia="Arial" w:hAnsi="Arial"/>
          <w:sz w:val="17"/>
          <w:szCs w:val="17"/>
          <w:color w:val="auto"/>
        </w:rPr>
        <w:t>The information required by this Item 10 is incorporated by reference to our definitive Proxy Statement for the 2022 Annual Meeting of Stockholders to be filed with the SEC within 120 days of December 31, 2021.</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11 is incorporated by reference to our definitive Proxy Statement for the 2022 Annual Meeting of Stockholders to be filed with the SEC within 120 days of December 31, 2021.</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12 is incorporated by reference to our definitive Proxy Statement for the 2022 Annual Meeting of Stockholders to be filed with the SEC within 120 days of December 31, 2021.</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13 is incorporated by reference to our definitive Proxy Statement for the 2022 Annual Meeting of Stockholders to be filed with the SEC within 120 days of December 31, 2021.</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tab/>
        <w:t>PRINCIPAL ACCOUNTING FEES AND SERVICES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14 is incorporated by reference to our definitive Proxy Statement for the 2022 Annual Meeting of Stockholders to be filed with the SEC within 120 days of December 31,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EXHIBITS</w:t>
      </w:r>
    </w:p>
    <w:p>
      <w:pPr>
        <w:spacing w:after="0" w:line="223" w:lineRule="exact"/>
        <w:rPr>
          <w:sz w:val="20"/>
          <w:szCs w:val="20"/>
          <w:color w:val="auto"/>
        </w:rPr>
      </w:pPr>
    </w:p>
    <w:p>
      <w:pPr>
        <w:ind w:left="320" w:right="6540" w:hanging="317"/>
        <w:spacing w:after="0" w:line="526" w:lineRule="auto"/>
        <w:tabs>
          <w:tab w:leader="none" w:pos="2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1.. Financial Statements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186"/>
        </w:trPr>
        <w:tc>
          <w:tcPr>
            <w:tcW w:w="2000" w:type="dxa"/>
            <w:vAlign w:val="bottom"/>
            <w:tcBorders>
              <w:bottom w:val="single" w:sz="8" w:color="0000FF"/>
            </w:tcBorders>
          </w:tcPr>
          <w:p>
            <w:pPr>
              <w:spacing w:after="0" w:line="161" w:lineRule="exact"/>
              <w:rPr>
                <w:rFonts w:ascii="Arial" w:cs="Arial" w:eastAsia="Arial" w:hAnsi="Arial"/>
                <w:sz w:val="17"/>
                <w:szCs w:val="17"/>
                <w:color w:val="0000FF"/>
                <w:w w:val="88"/>
              </w:rPr>
            </w:pPr>
            <w:hyperlink w:anchor="page79">
              <w:r>
                <w:rPr>
                  <w:rFonts w:ascii="Arial" w:cs="Arial" w:eastAsia="Arial" w:hAnsi="Arial"/>
                  <w:sz w:val="17"/>
                  <w:szCs w:val="17"/>
                  <w:color w:val="0000FF"/>
                  <w:w w:val="88"/>
                </w:rPr>
                <w:t>Consolidated Balance Sheets</w:t>
              </w:r>
            </w:hyperlink>
          </w:p>
        </w:tc>
        <w:tc>
          <w:tcPr>
            <w:tcW w:w="836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0000EE"/>
            </w:tcBorders>
          </w:tcPr>
          <w:p>
            <w:pPr>
              <w:jc w:val="center"/>
              <w:spacing w:after="0" w:line="161" w:lineRule="exact"/>
              <w:rPr>
                <w:rFonts w:ascii="Arial" w:cs="Arial" w:eastAsia="Arial" w:hAnsi="Arial"/>
                <w:sz w:val="17"/>
                <w:szCs w:val="17"/>
                <w:color w:val="0000EE"/>
                <w:w w:val="93"/>
              </w:rPr>
            </w:pPr>
            <w:r>
              <w:rPr>
                <w:rFonts w:ascii="Arial" w:cs="Arial" w:eastAsia="Arial" w:hAnsi="Arial"/>
                <w:sz w:val="17"/>
                <w:szCs w:val="17"/>
                <w:color w:val="0000EE"/>
                <w:w w:val="93"/>
              </w:rPr>
              <w:t>F-</w:t>
            </w:r>
            <w:hyperlink w:anchor="page79">
              <w:r>
                <w:rPr>
                  <w:rFonts w:ascii="Arial" w:cs="Arial" w:eastAsia="Arial" w:hAnsi="Arial"/>
                  <w:sz w:val="17"/>
                  <w:szCs w:val="17"/>
                  <w:color w:val="0000EE"/>
                  <w:w w:val="93"/>
                </w:rPr>
                <w:t>5</w:t>
              </w:r>
            </w:hyperlink>
          </w:p>
        </w:tc>
        <w:tc>
          <w:tcPr>
            <w:tcW w:w="260" w:type="dxa"/>
            <w:vAlign w:val="bottom"/>
          </w:tcPr>
          <w:p>
            <w:pPr>
              <w:spacing w:after="0"/>
              <w:rPr>
                <w:sz w:val="16"/>
                <w:szCs w:val="16"/>
                <w:color w:val="auto"/>
              </w:rPr>
            </w:pPr>
          </w:p>
        </w:tc>
      </w:tr>
      <w:tr>
        <w:trPr>
          <w:trHeight w:val="206"/>
        </w:trPr>
        <w:tc>
          <w:tcPr>
            <w:tcW w:w="10360" w:type="dxa"/>
            <w:vAlign w:val="bottom"/>
            <w:gridSpan w:val="6"/>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Consolidated Statements of Operations</w:t>
              </w:r>
            </w:hyperlink>
          </w:p>
        </w:tc>
        <w:tc>
          <w:tcPr>
            <w:tcW w:w="320" w:type="dxa"/>
            <w:vAlign w:val="bottom"/>
          </w:tcPr>
          <w:p>
            <w:pPr>
              <w:spacing w:after="0"/>
              <w:rPr>
                <w:sz w:val="17"/>
                <w:szCs w:val="17"/>
                <w:color w:val="auto"/>
              </w:rPr>
            </w:pPr>
          </w:p>
        </w:tc>
        <w:tc>
          <w:tcPr>
            <w:tcW w:w="540" w:type="dxa"/>
            <w:vAlign w:val="bottom"/>
            <w:gridSpan w:val="2"/>
          </w:tcPr>
          <w:p>
            <w:pPr>
              <w:jc w:val="center"/>
              <w:ind w:right="300"/>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80">
              <w:r>
                <w:rPr>
                  <w:rFonts w:ascii="Arial" w:cs="Arial" w:eastAsia="Arial" w:hAnsi="Arial"/>
                  <w:sz w:val="17"/>
                  <w:szCs w:val="17"/>
                  <w:color w:val="0000EE"/>
                  <w:w w:val="93"/>
                </w:rPr>
                <w:t>6</w:t>
              </w:r>
            </w:hyperlink>
          </w:p>
        </w:tc>
      </w:tr>
      <w:tr>
        <w:trPr>
          <w:trHeight w:val="212"/>
        </w:trPr>
        <w:tc>
          <w:tcPr>
            <w:tcW w:w="2680" w:type="dxa"/>
            <w:vAlign w:val="bottom"/>
            <w:tcBorders>
              <w:top w:val="single" w:sz="8" w:color="0000FF"/>
              <w:bottom w:val="single" w:sz="8" w:color="0000FF"/>
            </w:tcBorders>
            <w:gridSpan w:val="3"/>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Consolidated Statements of Equity</w:t>
              </w:r>
            </w:hyperlink>
          </w:p>
        </w:tc>
        <w:tc>
          <w:tcPr>
            <w:tcW w:w="60" w:type="dxa"/>
            <w:vAlign w:val="bottom"/>
            <w:tcBorders>
              <w:bottom w:val="single" w:sz="8" w:color="0000FF"/>
            </w:tcBorders>
          </w:tcPr>
          <w:p>
            <w:pPr>
              <w:spacing w:after="0"/>
              <w:rPr>
                <w:sz w:val="18"/>
                <w:szCs w:val="18"/>
                <w:color w:val="auto"/>
              </w:rPr>
            </w:pPr>
          </w:p>
        </w:tc>
        <w:tc>
          <w:tcPr>
            <w:tcW w:w="76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0000EE"/>
              <w:bottom w:val="single" w:sz="8" w:color="0000EE"/>
            </w:tcBorders>
          </w:tcPr>
          <w:p>
            <w:pPr>
              <w:jc w:val="center"/>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81">
              <w:r>
                <w:rPr>
                  <w:rFonts w:ascii="Arial" w:cs="Arial" w:eastAsia="Arial" w:hAnsi="Arial"/>
                  <w:sz w:val="17"/>
                  <w:szCs w:val="17"/>
                  <w:color w:val="0000EE"/>
                  <w:w w:val="93"/>
                </w:rPr>
                <w:t>7</w:t>
              </w:r>
            </w:hyperlink>
          </w:p>
        </w:tc>
        <w:tc>
          <w:tcPr>
            <w:tcW w:w="260" w:type="dxa"/>
            <w:vAlign w:val="bottom"/>
          </w:tcPr>
          <w:p>
            <w:pPr>
              <w:spacing w:after="0"/>
              <w:rPr>
                <w:sz w:val="18"/>
                <w:szCs w:val="18"/>
                <w:color w:val="auto"/>
              </w:rPr>
            </w:pPr>
          </w:p>
        </w:tc>
      </w:tr>
      <w:tr>
        <w:trPr>
          <w:trHeight w:val="212"/>
        </w:trPr>
        <w:tc>
          <w:tcPr>
            <w:tcW w:w="274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82">
              <w:r>
                <w:rPr>
                  <w:rFonts w:ascii="Arial" w:cs="Arial" w:eastAsia="Arial" w:hAnsi="Arial"/>
                  <w:sz w:val="17"/>
                  <w:szCs w:val="17"/>
                  <w:color w:val="0000EE"/>
                  <w:w w:val="89"/>
                </w:rPr>
                <w:t>Consolidated Statements of Cash Flows</w:t>
              </w:r>
            </w:hyperlink>
          </w:p>
        </w:tc>
        <w:tc>
          <w:tcPr>
            <w:tcW w:w="76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0000EE"/>
            </w:tcBorders>
          </w:tcPr>
          <w:p>
            <w:pPr>
              <w:jc w:val="center"/>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81">
              <w:r>
                <w:rPr>
                  <w:rFonts w:ascii="Arial" w:cs="Arial" w:eastAsia="Arial" w:hAnsi="Arial"/>
                  <w:sz w:val="17"/>
                  <w:szCs w:val="17"/>
                  <w:color w:val="0000EE"/>
                  <w:w w:val="93"/>
                </w:rPr>
                <w:t>7</w:t>
              </w:r>
            </w:hyperlink>
          </w:p>
        </w:tc>
        <w:tc>
          <w:tcPr>
            <w:tcW w:w="260" w:type="dxa"/>
            <w:vAlign w:val="bottom"/>
          </w:tcPr>
          <w:p>
            <w:pPr>
              <w:spacing w:after="0"/>
              <w:rPr>
                <w:sz w:val="18"/>
                <w:szCs w:val="18"/>
                <w:color w:val="auto"/>
              </w:rPr>
            </w:pPr>
          </w:p>
        </w:tc>
      </w:tr>
      <w:tr>
        <w:trPr>
          <w:trHeight w:val="212"/>
        </w:trPr>
        <w:tc>
          <w:tcPr>
            <w:tcW w:w="10360" w:type="dxa"/>
            <w:vAlign w:val="bottom"/>
            <w:gridSpan w:val="6"/>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Notes to Consolidated Financial Statements</w:t>
              </w:r>
            </w:hyperlink>
          </w:p>
        </w:tc>
        <w:tc>
          <w:tcPr>
            <w:tcW w:w="860" w:type="dxa"/>
            <w:vAlign w:val="bottom"/>
            <w:gridSpan w:val="3"/>
          </w:tcPr>
          <w:p>
            <w:pPr>
              <w:jc w:val="center"/>
              <w:spacing w:after="0"/>
              <w:rPr>
                <w:rFonts w:ascii="Arial" w:cs="Arial" w:eastAsia="Arial" w:hAnsi="Arial"/>
                <w:sz w:val="17"/>
                <w:szCs w:val="17"/>
                <w:color w:val="0000EE"/>
                <w:w w:val="91"/>
              </w:rPr>
            </w:pPr>
            <w:r>
              <w:rPr>
                <w:rFonts w:ascii="Arial" w:cs="Arial" w:eastAsia="Arial" w:hAnsi="Arial"/>
                <w:sz w:val="17"/>
                <w:szCs w:val="17"/>
                <w:color w:val="0000EE"/>
                <w:w w:val="91"/>
              </w:rPr>
              <w:t>F-</w:t>
            </w:r>
            <w:hyperlink w:anchor="page84">
              <w:r>
                <w:rPr>
                  <w:rFonts w:ascii="Arial" w:cs="Arial" w:eastAsia="Arial" w:hAnsi="Arial"/>
                  <w:sz w:val="17"/>
                  <w:szCs w:val="17"/>
                  <w:color w:val="0000EE"/>
                  <w:w w:val="91"/>
                </w:rPr>
                <w:t>10</w:t>
              </w:r>
            </w:hyperlink>
          </w:p>
        </w:tc>
      </w:tr>
      <w:tr>
        <w:trPr>
          <w:trHeight w:val="20"/>
        </w:trPr>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 Financial Statement Schedules.</w:t>
      </w:r>
    </w:p>
    <w:p>
      <w:pPr>
        <w:spacing w:after="0" w:line="2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64" w:lineRule="exact"/>
        <w:rPr>
          <w:sz w:val="20"/>
          <w:szCs w:val="20"/>
          <w:color w:val="auto"/>
        </w:rPr>
      </w:pPr>
    </w:p>
    <w:p>
      <w:pPr>
        <w:ind w:left="480" w:hanging="167"/>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Exhibits.</w:t>
      </w:r>
    </w:p>
    <w:p>
      <w:pPr>
        <w:spacing w:after="0" w:line="11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following exhibits are filed as part of, or incorporated by reference into, this Annual Report:</w:t>
      </w:r>
    </w:p>
    <w:p>
      <w:pPr>
        <w:sectPr>
          <w:pgSz w:w="11900" w:h="16838" w:orient="portrait"/>
          <w:cols w:equalWidth="0" w:num="1">
            <w:col w:w="11240"/>
          </w:cols>
          <w:pgMar w:left="320" w:top="230" w:right="339" w:bottom="1440" w:gutter="0" w:footer="0" w:header="0"/>
        </w:sectPr>
      </w:pP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47" w:lineRule="exact"/>
        <w:rPr>
          <w:sz w:val="20"/>
          <w:szCs w:val="20"/>
          <w:color w:val="auto"/>
        </w:rPr>
      </w:pPr>
    </w:p>
    <w:p>
      <w:pPr>
        <w:ind w:left="20"/>
        <w:spacing w:after="0"/>
        <w:rPr>
          <w:rFonts w:ascii="Arial" w:cs="Arial" w:eastAsia="Arial" w:hAnsi="Arial"/>
          <w:sz w:val="17"/>
          <w:szCs w:val="17"/>
          <w:u w:val="single" w:color="auto"/>
          <w:color w:val="0000FF"/>
        </w:rPr>
      </w:pPr>
      <w:hyperlink r:id="rId82">
        <w:r>
          <w:rPr>
            <w:rFonts w:ascii="Arial" w:cs="Arial" w:eastAsia="Arial" w:hAnsi="Arial"/>
            <w:sz w:val="17"/>
            <w:szCs w:val="17"/>
            <w:u w:val="single" w:color="auto"/>
            <w:color w:val="0000FF"/>
          </w:rPr>
          <w:t>3.1</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83">
        <w:r>
          <w:rPr>
            <w:rFonts w:ascii="Arial" w:cs="Arial" w:eastAsia="Arial" w:hAnsi="Arial"/>
            <w:sz w:val="17"/>
            <w:szCs w:val="17"/>
            <w:u w:val="single" w:color="auto"/>
            <w:color w:val="0000FF"/>
          </w:rPr>
          <w:t>3.2</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84">
        <w:r>
          <w:rPr>
            <w:rFonts w:ascii="Arial" w:cs="Arial" w:eastAsia="Arial" w:hAnsi="Arial"/>
            <w:sz w:val="17"/>
            <w:szCs w:val="17"/>
            <w:u w:val="single" w:color="auto"/>
            <w:color w:val="0000FF"/>
          </w:rPr>
          <w:t>4.1</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4.2</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4.3</w:t>
        </w:r>
      </w:hyperlink>
    </w:p>
    <w:p>
      <w:pPr>
        <w:spacing w:after="0" w:line="37" w:lineRule="exact"/>
        <w:rPr>
          <w:sz w:val="20"/>
          <w:szCs w:val="20"/>
          <w:color w:val="auto"/>
        </w:rPr>
      </w:pPr>
    </w:p>
    <w:p>
      <w:pPr>
        <w:ind w:left="2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4.5</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10.1</w:t>
        </w:r>
      </w:hyperlink>
    </w:p>
    <w:p>
      <w:pPr>
        <w:spacing w:after="0" w:line="37" w:lineRule="exact"/>
        <w:rPr>
          <w:sz w:val="20"/>
          <w:szCs w:val="20"/>
          <w:color w:val="auto"/>
        </w:rPr>
      </w:pPr>
    </w:p>
    <w:p>
      <w:pPr>
        <w:ind w:left="20"/>
        <w:spacing w:after="0"/>
        <w:rPr>
          <w:rFonts w:ascii="Arial" w:cs="Arial" w:eastAsia="Arial" w:hAnsi="Arial"/>
          <w:sz w:val="17"/>
          <w:szCs w:val="17"/>
          <w:u w:val="single" w:color="auto"/>
          <w:color w:val="0000FF"/>
        </w:rPr>
      </w:pPr>
      <w:hyperlink w:anchor="page120">
        <w:r>
          <w:rPr>
            <w:rFonts w:ascii="Arial" w:cs="Arial" w:eastAsia="Arial" w:hAnsi="Arial"/>
            <w:sz w:val="17"/>
            <w:szCs w:val="17"/>
            <w:u w:val="single" w:color="auto"/>
            <w:color w:val="0000FF"/>
          </w:rPr>
          <w:t>10.1#</w:t>
        </w:r>
      </w:hyperlink>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18415</wp:posOffset>
            </wp:positionV>
            <wp:extent cx="7138670" cy="269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8670" cy="269875"/>
                    </a:xfrm>
                    <a:prstGeom prst="rect">
                      <a:avLst/>
                    </a:prstGeom>
                    <a:noFill/>
                  </pic:spPr>
                </pic:pic>
              </a:graphicData>
            </a:graphic>
          </wp:anchor>
        </w:drawing>
      </w:r>
    </w:p>
    <w:p>
      <w:pPr>
        <w:spacing w:after="0" w:line="23"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82">
        <w:r>
          <w:rPr>
            <w:rFonts w:ascii="Arial" w:cs="Arial" w:eastAsia="Arial" w:hAnsi="Arial"/>
            <w:sz w:val="17"/>
            <w:szCs w:val="17"/>
            <w:u w:val="single" w:color="auto"/>
            <w:color w:val="0000FF"/>
          </w:rPr>
          <w:t>Certificate of Incorporation of the Company, dated June 15, 2021 (incorporated by reference to Exhibit 3.1 to the Current Report on Form 8-K</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filed on June 21, 2021).</w:t>
        </w:r>
      </w:hyperlink>
    </w:p>
    <w:p>
      <w:pPr>
        <w:spacing w:after="0" w:line="9"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83">
        <w:r>
          <w:rPr>
            <w:rFonts w:ascii="Arial" w:cs="Arial" w:eastAsia="Arial" w:hAnsi="Arial"/>
            <w:sz w:val="17"/>
            <w:szCs w:val="17"/>
            <w:u w:val="single" w:color="auto"/>
            <w:color w:val="0000FF"/>
          </w:rPr>
          <w:t>Amended and Restated Bylaws of the Company, dated June 16, 2021 (incorporated by reference to Exhibit 3.2 to the Current Report on Form 8-</w:t>
        </w:r>
      </w:hyperlink>
      <w:hyperlink r:id="rId83">
        <w:r>
          <w:rPr>
            <w:rFonts w:ascii="Arial" w:cs="Arial" w:eastAsia="Arial" w:hAnsi="Arial"/>
            <w:sz w:val="17"/>
            <w:szCs w:val="17"/>
            <w:u w:val="single" w:color="auto"/>
            <w:color w:val="0000FF"/>
          </w:rPr>
          <w:t>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5080</wp:posOffset>
            </wp:positionV>
            <wp:extent cx="7138670" cy="262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ind w:right="20"/>
        <w:spacing w:after="0" w:line="248" w:lineRule="auto"/>
        <w:rPr>
          <w:rFonts w:ascii="Arial" w:cs="Arial" w:eastAsia="Arial" w:hAnsi="Arial"/>
          <w:sz w:val="17"/>
          <w:szCs w:val="17"/>
          <w:u w:val="single" w:color="auto"/>
          <w:color w:val="0000FF"/>
        </w:rPr>
      </w:pPr>
      <w:hyperlink r:id="rId84">
        <w:r>
          <w:rPr>
            <w:rFonts w:ascii="Arial" w:cs="Arial" w:eastAsia="Arial" w:hAnsi="Arial"/>
            <w:sz w:val="17"/>
            <w:szCs w:val="17"/>
            <w:u w:val="single" w:color="auto"/>
            <w:color w:val="0000FF"/>
          </w:rPr>
          <w:t>Form of Common Stock Certificate of the Company (incorporated by reference to Exhibit 4.1 to the Current Report on Form 8-K filed on June</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21, 2021).</w:t>
        </w:r>
      </w:hyperlink>
    </w:p>
    <w:p>
      <w:pPr>
        <w:spacing w:after="0" w:line="9"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Form of Warrant Certificate of the Company (incorporated by reference to Exhibit 4.2 to the Current Report on Form 8-K filed on June 21,</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5080</wp:posOffset>
            </wp:positionV>
            <wp:extent cx="7138670" cy="262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ind w:right="20"/>
        <w:spacing w:after="0" w:line="269" w:lineRule="auto"/>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Warrant Agreement, dated August 7, 2019, between the Company and Continental Stock Transfer &amp; Trust Company, as warrant agent</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(incorporated by reference to Exhibit 4.1 filed on Silver Spike’s Current Report on Form 8-K, filed by the Company on August 12, 2019).</w:t>
        </w:r>
      </w:hyperlink>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22860</wp:posOffset>
            </wp:positionV>
            <wp:extent cx="7138670" cy="262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17"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Exchange Agreement, dated as of June 16, 2021, by and among the Company, Silver Spike Sponsor and the other parties thereto (incorporated by</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reference to Exhibit 10.1 to the Current Report on Form 8-K filed on June 21, 2021).</w:t>
        </w:r>
      </w:hyperlink>
    </w:p>
    <w:p>
      <w:pPr>
        <w:spacing w:after="0" w:line="9" w:lineRule="exact"/>
        <w:rPr>
          <w:sz w:val="20"/>
          <w:szCs w:val="20"/>
          <w:color w:val="auto"/>
        </w:rPr>
      </w:pPr>
    </w:p>
    <w:p>
      <w:pPr>
        <w:spacing w:after="0"/>
        <w:rPr>
          <w:rFonts w:ascii="Arial" w:cs="Arial" w:eastAsia="Arial" w:hAnsi="Arial"/>
          <w:sz w:val="17"/>
          <w:szCs w:val="17"/>
          <w:u w:val="single" w:color="auto"/>
          <w:color w:val="0000FF"/>
        </w:rPr>
      </w:pPr>
      <w:hyperlink w:anchor="page120">
        <w:r>
          <w:rPr>
            <w:rFonts w:ascii="Arial" w:cs="Arial" w:eastAsia="Arial" w:hAnsi="Arial"/>
            <w:sz w:val="17"/>
            <w:szCs w:val="17"/>
            <w:u w:val="single" w:color="auto"/>
            <w:color w:val="0000FF"/>
          </w:rPr>
          <w:t>Non-Employee Director Compensation Policy</w:t>
        </w:r>
      </w:hyperlink>
    </w:p>
    <w:p>
      <w:pPr>
        <w:spacing w:after="0" w:line="20" w:lineRule="exact"/>
        <w:rPr>
          <w:sz w:val="20"/>
          <w:szCs w:val="20"/>
          <w:color w:val="auto"/>
        </w:rPr>
      </w:pPr>
    </w:p>
    <w:p>
      <w:pPr>
        <w:sectPr>
          <w:pgSz w:w="11900" w:h="16838" w:orient="portrait"/>
          <w:cols w:equalWidth="0" w:num="2">
            <w:col w:w="860" w:space="340"/>
            <w:col w:w="10040"/>
          </w:cols>
          <w:pgMar w:left="320" w:top="230"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vMerge w:val="restart"/>
            <w:shd w:val="clear" w:color="auto" w:fill="CCEEFF"/>
          </w:tcPr>
          <w:p>
            <w:pPr>
              <w:spacing w:after="0"/>
              <w:rPr>
                <w:sz w:val="16"/>
                <w:szCs w:val="16"/>
                <w:color w:val="auto"/>
              </w:rPr>
            </w:pPr>
          </w:p>
        </w:tc>
        <w:tc>
          <w:tcPr>
            <w:tcW w:w="300" w:type="dxa"/>
            <w:vAlign w:val="bottom"/>
            <w:vMerge w:val="restart"/>
            <w:shd w:val="clear" w:color="auto" w:fill="CCEEFF"/>
          </w:tcPr>
          <w:p>
            <w:pPr>
              <w:jc w:val="right"/>
              <w:spacing w:after="0"/>
              <w:rPr>
                <w:rFonts w:ascii="Arial" w:cs="Arial" w:eastAsia="Arial" w:hAnsi="Arial"/>
                <w:sz w:val="17"/>
                <w:szCs w:val="17"/>
                <w:color w:val="0000FF"/>
                <w:w w:val="84"/>
              </w:rPr>
            </w:pPr>
            <w:hyperlink r:id="rId92">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2</w:t>
              </w:r>
            </w:hyperlink>
          </w:p>
        </w:tc>
        <w:tc>
          <w:tcPr>
            <w:tcW w:w="880" w:type="dxa"/>
            <w:vAlign w:val="bottom"/>
            <w:shd w:val="clear" w:color="auto" w:fill="CCEEFF"/>
          </w:tcPr>
          <w:p>
            <w:pPr>
              <w:spacing w:after="0"/>
              <w:rPr>
                <w:sz w:val="16"/>
                <w:szCs w:val="16"/>
                <w:color w:val="auto"/>
              </w:rPr>
            </w:pPr>
          </w:p>
        </w:tc>
        <w:tc>
          <w:tcPr>
            <w:tcW w:w="10080" w:type="dxa"/>
            <w:vAlign w:val="bottom"/>
            <w:gridSpan w:val="8"/>
            <w:shd w:val="clear" w:color="auto" w:fill="CCEEFF"/>
          </w:tcPr>
          <w:p>
            <w:pPr>
              <w:spacing w:after="0"/>
              <w:rPr>
                <w:rFonts w:ascii="Arial" w:cs="Arial" w:eastAsia="Arial" w:hAnsi="Arial"/>
                <w:sz w:val="17"/>
                <w:szCs w:val="17"/>
                <w:color w:val="0000FF"/>
                <w:w w:val="93"/>
              </w:rPr>
            </w:pPr>
            <w:hyperlink r:id="rId92">
              <w:r>
                <w:rPr>
                  <w:rFonts w:ascii="Arial" w:cs="Arial" w:eastAsia="Arial" w:hAnsi="Arial"/>
                  <w:sz w:val="17"/>
                  <w:szCs w:val="17"/>
                  <w:color w:val="0000FF"/>
                  <w:w w:val="93"/>
                </w:rPr>
                <w:t>Tax Receivable Agreement, dated as of June 16, 2021, by and among the Company and the other parties thereto (incorporated by reference to</w:t>
              </w:r>
            </w:hyperlink>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300" w:type="dxa"/>
            <w:vAlign w:val="bottom"/>
            <w:tcBorders>
              <w:top w:val="single" w:sz="8" w:color="CCEEFF"/>
            </w:tcBorders>
            <w:vMerge w:val="continue"/>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6"/>
            <w:shd w:val="clear" w:color="auto" w:fill="CCEEFF"/>
          </w:tcPr>
          <w:p>
            <w:pPr>
              <w:spacing w:after="0" w:line="148" w:lineRule="exact"/>
              <w:rPr>
                <w:rFonts w:ascii="Arial" w:cs="Arial" w:eastAsia="Arial" w:hAnsi="Arial"/>
                <w:sz w:val="17"/>
                <w:szCs w:val="17"/>
                <w:color w:val="0000FF"/>
              </w:rPr>
            </w:pPr>
            <w:hyperlink r:id="rId92">
              <w:r>
                <w:rPr>
                  <w:rFonts w:ascii="Arial" w:cs="Arial" w:eastAsia="Arial" w:hAnsi="Arial"/>
                  <w:sz w:val="17"/>
                  <w:szCs w:val="17"/>
                  <w:color w:val="0000FF"/>
                </w:rPr>
                <w:t>Exhibit 10.2 to the Current Report on Form 8-K filed on June 21,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00" w:type="dxa"/>
            <w:vAlign w:val="bottom"/>
            <w:vMerge w:val="restart"/>
          </w:tcPr>
          <w:p>
            <w:pPr>
              <w:jc w:val="right"/>
              <w:spacing w:after="0"/>
              <w:rPr>
                <w:rFonts w:ascii="Arial" w:cs="Arial" w:eastAsia="Arial" w:hAnsi="Arial"/>
                <w:sz w:val="17"/>
                <w:szCs w:val="17"/>
                <w:color w:val="0000FF"/>
                <w:w w:val="84"/>
              </w:rPr>
            </w:pPr>
            <w:hyperlink r:id="rId93">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3</w:t>
              </w:r>
            </w:hyperlink>
          </w:p>
        </w:tc>
        <w:tc>
          <w:tcPr>
            <w:tcW w:w="880" w:type="dxa"/>
            <w:vAlign w:val="bottom"/>
          </w:tcPr>
          <w:p>
            <w:pPr>
              <w:spacing w:after="0"/>
              <w:rPr>
                <w:sz w:val="14"/>
                <w:szCs w:val="14"/>
                <w:color w:val="auto"/>
              </w:rPr>
            </w:pPr>
          </w:p>
        </w:tc>
        <w:tc>
          <w:tcPr>
            <w:tcW w:w="10080" w:type="dxa"/>
            <w:vAlign w:val="bottom"/>
            <w:gridSpan w:val="8"/>
          </w:tcPr>
          <w:p>
            <w:pPr>
              <w:spacing w:after="0" w:line="172" w:lineRule="exact"/>
              <w:rPr>
                <w:rFonts w:ascii="Arial" w:cs="Arial" w:eastAsia="Arial" w:hAnsi="Arial"/>
                <w:sz w:val="17"/>
                <w:szCs w:val="17"/>
                <w:color w:val="0000FF"/>
                <w:w w:val="93"/>
              </w:rPr>
            </w:pPr>
            <w:hyperlink r:id="rId93">
              <w:r>
                <w:rPr>
                  <w:rFonts w:ascii="Arial" w:cs="Arial" w:eastAsia="Arial" w:hAnsi="Arial"/>
                  <w:sz w:val="17"/>
                  <w:szCs w:val="17"/>
                  <w:color w:val="0000FF"/>
                  <w:w w:val="93"/>
                </w:rPr>
                <w:t>Fourth Amended and Restated Operating Agreement of WMH LLC (incorporated by reference to Exhibit 10.3 to the Current Report on Form 8-</w:t>
              </w:r>
            </w:hyperlink>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1"/>
              </w:rPr>
            </w:pPr>
            <w:hyperlink r:id="rId93">
              <w:r>
                <w:rPr>
                  <w:rFonts w:ascii="Arial" w:cs="Arial" w:eastAsia="Arial" w:hAnsi="Arial"/>
                  <w:sz w:val="17"/>
                  <w:szCs w:val="17"/>
                  <w:color w:val="0000FF"/>
                  <w:w w:val="91"/>
                </w:rPr>
                <w:t>K filed on June 21, 2021).</w:t>
              </w:r>
            </w:hyperlink>
          </w:p>
        </w:tc>
        <w:tc>
          <w:tcPr>
            <w:tcW w:w="82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line="192" w:lineRule="exact"/>
              <w:rPr>
                <w:rFonts w:ascii="Arial" w:cs="Arial" w:eastAsia="Arial" w:hAnsi="Arial"/>
                <w:sz w:val="17"/>
                <w:szCs w:val="17"/>
                <w:color w:val="0000FF"/>
                <w:w w:val="84"/>
              </w:rPr>
            </w:pPr>
            <w:hyperlink r:id="rId94">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4</w:t>
              </w:r>
            </w:hyperlink>
          </w:p>
        </w:tc>
        <w:tc>
          <w:tcPr>
            <w:tcW w:w="8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0000FF"/>
            </w:tcBorders>
            <w:gridSpan w:val="4"/>
            <w:shd w:val="clear" w:color="auto" w:fill="CCEEFF"/>
          </w:tcPr>
          <w:p>
            <w:pPr>
              <w:spacing w:after="0" w:line="172" w:lineRule="exact"/>
              <w:rPr>
                <w:rFonts w:ascii="Arial" w:cs="Arial" w:eastAsia="Arial" w:hAnsi="Arial"/>
                <w:sz w:val="17"/>
                <w:szCs w:val="17"/>
                <w:color w:val="0000FF"/>
                <w:w w:val="92"/>
              </w:rPr>
            </w:pPr>
            <w:hyperlink r:id="rId94">
              <w:r>
                <w:rPr>
                  <w:rFonts w:ascii="Arial" w:cs="Arial" w:eastAsia="Arial" w:hAnsi="Arial"/>
                  <w:sz w:val="17"/>
                  <w:szCs w:val="17"/>
                  <w:color w:val="0000FF"/>
                  <w:w w:val="92"/>
                </w:rPr>
                <w:t>Form of Subscription Agreement (incorporated by reference to Exhibit 10.1 to the Current Report on Form 8-K filed on December 10, 2020).</w:t>
              </w:r>
            </w:hyperlink>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gridSpan w:val="3"/>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vMerge w:val="restart"/>
          </w:tcPr>
          <w:p>
            <w:pPr>
              <w:spacing w:after="0"/>
              <w:rPr>
                <w:sz w:val="14"/>
                <w:szCs w:val="14"/>
                <w:color w:val="auto"/>
              </w:rPr>
            </w:pPr>
          </w:p>
        </w:tc>
        <w:tc>
          <w:tcPr>
            <w:tcW w:w="300" w:type="dxa"/>
            <w:vAlign w:val="bottom"/>
            <w:tcBorders>
              <w:top w:val="single" w:sz="8" w:color="0000FF"/>
            </w:tcBorders>
            <w:vMerge w:val="restart"/>
          </w:tcPr>
          <w:p>
            <w:pPr>
              <w:jc w:val="right"/>
              <w:spacing w:after="0"/>
              <w:rPr>
                <w:rFonts w:ascii="Arial" w:cs="Arial" w:eastAsia="Arial" w:hAnsi="Arial"/>
                <w:sz w:val="17"/>
                <w:szCs w:val="17"/>
                <w:color w:val="0000FF"/>
                <w:w w:val="84"/>
              </w:rPr>
            </w:pPr>
            <w:hyperlink r:id="rId95">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5</w:t>
              </w:r>
            </w:hyperlink>
          </w:p>
        </w:tc>
        <w:tc>
          <w:tcPr>
            <w:tcW w:w="880" w:type="dxa"/>
            <w:vAlign w:val="bottom"/>
            <w:tcBorders>
              <w:top w:val="single" w:sz="8" w:color="CCEEFF"/>
            </w:tcBorders>
          </w:tcPr>
          <w:p>
            <w:pPr>
              <w:spacing w:after="0"/>
              <w:rPr>
                <w:sz w:val="14"/>
                <w:szCs w:val="14"/>
                <w:color w:val="auto"/>
              </w:rPr>
            </w:pPr>
          </w:p>
        </w:tc>
        <w:tc>
          <w:tcPr>
            <w:tcW w:w="10080" w:type="dxa"/>
            <w:vAlign w:val="bottom"/>
            <w:tcBorders>
              <w:top w:val="single" w:sz="8" w:color="CCEEFF"/>
            </w:tcBorders>
            <w:gridSpan w:val="8"/>
          </w:tcPr>
          <w:p>
            <w:pPr>
              <w:spacing w:after="0" w:line="172" w:lineRule="exact"/>
              <w:rPr>
                <w:rFonts w:ascii="Arial" w:cs="Arial" w:eastAsia="Arial" w:hAnsi="Arial"/>
                <w:sz w:val="17"/>
                <w:szCs w:val="17"/>
                <w:color w:val="0000FF"/>
                <w:w w:val="93"/>
              </w:rPr>
            </w:pPr>
            <w:hyperlink r:id="rId95">
              <w:r>
                <w:rPr>
                  <w:rFonts w:ascii="Arial" w:cs="Arial" w:eastAsia="Arial" w:hAnsi="Arial"/>
                  <w:sz w:val="17"/>
                  <w:szCs w:val="17"/>
                  <w:color w:val="0000FF"/>
                  <w:w w:val="93"/>
                </w:rPr>
                <w:t>Amended and Restated Registration Rights Agreement, dated as of June 16, 2021, by and among the Company, Silver Spike Sponsor and the</w:t>
              </w:r>
            </w:hyperlink>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vMerge w:val="continue"/>
          </w:tcPr>
          <w:p>
            <w:pPr>
              <w:spacing w:after="0"/>
              <w:rPr>
                <w:sz w:val="13"/>
                <w:szCs w:val="13"/>
                <w:color w:val="auto"/>
              </w:rPr>
            </w:pPr>
          </w:p>
        </w:tc>
        <w:tc>
          <w:tcPr>
            <w:tcW w:w="300" w:type="dxa"/>
            <w:vAlign w:val="bottom"/>
            <w:tcBorders>
              <w:top w:val="single" w:sz="8" w:color="0000FF"/>
            </w:tcBorders>
            <w:vMerge w:val="continue"/>
          </w:tcPr>
          <w:p>
            <w:pPr>
              <w:spacing w:after="0"/>
              <w:rPr>
                <w:sz w:val="13"/>
                <w:szCs w:val="13"/>
                <w:color w:val="auto"/>
              </w:rPr>
            </w:pPr>
          </w:p>
        </w:tc>
        <w:tc>
          <w:tcPr>
            <w:tcW w:w="880" w:type="dxa"/>
            <w:vAlign w:val="bottom"/>
          </w:tcPr>
          <w:p>
            <w:pPr>
              <w:spacing w:after="0"/>
              <w:rPr>
                <w:sz w:val="13"/>
                <w:szCs w:val="13"/>
                <w:color w:val="auto"/>
              </w:rPr>
            </w:pPr>
          </w:p>
        </w:tc>
        <w:tc>
          <w:tcPr>
            <w:tcW w:w="10020" w:type="dxa"/>
            <w:vAlign w:val="bottom"/>
            <w:tcBorders>
              <w:top w:val="single" w:sz="8" w:color="0000FF"/>
            </w:tcBorders>
            <w:gridSpan w:val="5"/>
          </w:tcPr>
          <w:p>
            <w:pPr>
              <w:spacing w:after="0" w:line="148" w:lineRule="exact"/>
              <w:rPr>
                <w:rFonts w:ascii="Arial" w:cs="Arial" w:eastAsia="Arial" w:hAnsi="Arial"/>
                <w:sz w:val="17"/>
                <w:szCs w:val="17"/>
                <w:color w:val="0000FF"/>
              </w:rPr>
            </w:pPr>
            <w:hyperlink r:id="rId95">
              <w:r>
                <w:rPr>
                  <w:rFonts w:ascii="Arial" w:cs="Arial" w:eastAsia="Arial" w:hAnsi="Arial"/>
                  <w:sz w:val="17"/>
                  <w:szCs w:val="17"/>
                  <w:color w:val="0000FF"/>
                </w:rPr>
                <w:t>other parties thereto (incorporated by reference to Exhibit 10.5 to the Current Report on Form 8-K filed on June 21, 2021).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3160" w:type="dxa"/>
            <w:vAlign w:val="bottom"/>
            <w:shd w:val="clear" w:color="auto" w:fill="0000FF"/>
          </w:tcPr>
          <w:p>
            <w:pPr>
              <w:spacing w:after="0"/>
              <w:rPr>
                <w:sz w:val="2"/>
                <w:szCs w:val="2"/>
                <w:color w:val="auto"/>
              </w:rPr>
            </w:pPr>
          </w:p>
        </w:tc>
        <w:tc>
          <w:tcPr>
            <w:tcW w:w="346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62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20" w:lineRule="exact"/>
        <w:rPr>
          <w:sz w:val="20"/>
          <w:szCs w:val="20"/>
          <w:color w:val="auto"/>
        </w:rPr>
      </w:pPr>
    </w:p>
    <w:p>
      <w:pPr>
        <w:ind w:left="20"/>
        <w:spacing w:after="0"/>
        <w:rPr>
          <w:rFonts w:ascii="Arial" w:cs="Arial" w:eastAsia="Arial" w:hAnsi="Arial"/>
          <w:sz w:val="15"/>
          <w:szCs w:val="15"/>
          <w:u w:val="single" w:color="auto"/>
          <w:color w:val="0000FF"/>
        </w:rPr>
      </w:pPr>
      <w:hyperlink r:id="rId97">
        <w:r>
          <w:rPr>
            <w:rFonts w:ascii="Arial" w:cs="Arial" w:eastAsia="Arial" w:hAnsi="Arial"/>
            <w:sz w:val="15"/>
            <w:szCs w:val="15"/>
            <w:u w:val="single" w:color="auto"/>
            <w:color w:val="0000FF"/>
          </w:rPr>
          <w:t>10.6#</w:t>
        </w:r>
      </w:hyperlink>
    </w:p>
    <w:p>
      <w:pPr>
        <w:spacing w:after="0" w:line="240" w:lineRule="exact"/>
        <w:rPr>
          <w:sz w:val="20"/>
          <w:szCs w:val="20"/>
          <w:color w:val="auto"/>
        </w:rPr>
      </w:pPr>
    </w:p>
    <w:p>
      <w:pPr>
        <w:ind w:left="20"/>
        <w:spacing w:after="0"/>
        <w:rPr>
          <w:rFonts w:ascii="Arial" w:cs="Arial" w:eastAsia="Arial" w:hAnsi="Arial"/>
          <w:sz w:val="15"/>
          <w:szCs w:val="15"/>
          <w:u w:val="single" w:color="auto"/>
          <w:color w:val="0000FF"/>
        </w:rPr>
      </w:pPr>
      <w:hyperlink r:id="rId98">
        <w:r>
          <w:rPr>
            <w:rFonts w:ascii="Arial" w:cs="Arial" w:eastAsia="Arial" w:hAnsi="Arial"/>
            <w:sz w:val="15"/>
            <w:szCs w:val="15"/>
            <w:u w:val="single" w:color="auto"/>
            <w:color w:val="0000FF"/>
          </w:rPr>
          <w:t>10.7#</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Form of Indemnification Agreement by and between the Company and its directors and officers (incorporated by reference to Exhibit 10.6 to the</w:t>
        </w:r>
      </w:hyperlink>
      <w:r>
        <w:rPr>
          <w:rFonts w:ascii="Arial" w:cs="Arial" w:eastAsia="Arial" w:hAnsi="Arial"/>
          <w:sz w:val="17"/>
          <w:szCs w:val="17"/>
          <w:u w:val="single" w:color="auto"/>
          <w:color w:val="0000FF"/>
        </w:rPr>
        <w:t xml:space="preserve"> </w:t>
      </w:r>
      <w:hyperlink r:id="rId97">
        <w:r>
          <w:rPr>
            <w:rFonts w:ascii="Arial" w:cs="Arial" w:eastAsia="Arial" w:hAnsi="Arial"/>
            <w:sz w:val="17"/>
            <w:szCs w:val="17"/>
            <w:u w:val="single" w:color="auto"/>
            <w:color w:val="0000FF"/>
          </w:rPr>
          <w:t>Current Report on Form 8-K filed on June 21, 2021).</w:t>
        </w:r>
      </w:hyperlink>
    </w:p>
    <w:p>
      <w:pPr>
        <w:spacing w:after="0" w:line="9"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WM Technology, Inc. 2021 Equity Incentive Plan (incorporated by reference to Exhibit 10.7 to the Current Report on Form 8-K filed on June 21,</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2021).</w:t>
        </w:r>
      </w:hyperlink>
    </w:p>
    <w:p>
      <w:pPr>
        <w:spacing w:after="0" w:line="200" w:lineRule="exact"/>
        <w:rPr>
          <w:sz w:val="20"/>
          <w:szCs w:val="20"/>
          <w:color w:val="auto"/>
        </w:rPr>
      </w:pPr>
    </w:p>
    <w:p>
      <w:pPr>
        <w:sectPr>
          <w:pgSz w:w="11900" w:h="16838" w:orient="portrait"/>
          <w:cols w:equalWidth="0" w:num="2">
            <w:col w:w="480" w:space="720"/>
            <w:col w:w="10040"/>
          </w:cols>
          <w:pgMar w:left="320" w:top="230"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1" w:name="page72"/>
    <w:bookmarkEnd w:id="7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471170</wp:posOffset>
            </wp:positionV>
            <wp:extent cx="7138670" cy="147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rFonts w:ascii="Arial" w:cs="Arial" w:eastAsia="Arial" w:hAnsi="Arial"/>
          <w:sz w:val="15"/>
          <w:szCs w:val="15"/>
          <w:u w:val="single" w:color="auto"/>
          <w:color w:val="0000FF"/>
        </w:rPr>
      </w:pPr>
      <w:hyperlink r:id="rId101">
        <w:r>
          <w:rPr>
            <w:rFonts w:ascii="Arial" w:cs="Arial" w:eastAsia="Arial" w:hAnsi="Arial"/>
            <w:sz w:val="15"/>
            <w:szCs w:val="15"/>
            <w:u w:val="single" w:color="auto"/>
            <w:color w:val="0000FF"/>
          </w:rPr>
          <w:t>10.7(a)(#)</w:t>
        </w:r>
      </w:hyperlink>
    </w:p>
    <w:p>
      <w:pPr>
        <w:spacing w:after="0" w:line="60" w:lineRule="exact"/>
        <w:rPr>
          <w:sz w:val="20"/>
          <w:szCs w:val="20"/>
          <w:color w:val="auto"/>
        </w:rPr>
      </w:pPr>
    </w:p>
    <w:p>
      <w:pPr>
        <w:ind w:left="20"/>
        <w:spacing w:after="0"/>
        <w:rPr>
          <w:rFonts w:ascii="Arial" w:cs="Arial" w:eastAsia="Arial" w:hAnsi="Arial"/>
          <w:sz w:val="17"/>
          <w:szCs w:val="17"/>
          <w:u w:val="single" w:color="auto"/>
          <w:color w:val="0000FF"/>
        </w:rPr>
      </w:pPr>
      <w:hyperlink r:id="rId102">
        <w:r>
          <w:rPr>
            <w:rFonts w:ascii="Arial" w:cs="Arial" w:eastAsia="Arial" w:hAnsi="Arial"/>
            <w:sz w:val="17"/>
            <w:szCs w:val="17"/>
            <w:u w:val="single" w:color="auto"/>
            <w:color w:val="0000FF"/>
          </w:rPr>
          <w:t>10.7(b)#</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10.8#</w:t>
        </w:r>
      </w:hyperlink>
    </w:p>
    <w:p>
      <w:pPr>
        <w:spacing w:after="0" w:line="217" w:lineRule="exact"/>
        <w:rPr>
          <w:sz w:val="20"/>
          <w:szCs w:val="20"/>
          <w:color w:val="auto"/>
        </w:rPr>
      </w:pPr>
    </w:p>
    <w:p>
      <w:pPr>
        <w:ind w:left="20"/>
        <w:spacing w:after="0"/>
        <w:rPr>
          <w:rFonts w:ascii="Arial" w:cs="Arial" w:eastAsia="Arial" w:hAnsi="Arial"/>
          <w:sz w:val="17"/>
          <w:szCs w:val="17"/>
          <w:u w:val="single" w:color="auto"/>
          <w:color w:val="0000FF"/>
        </w:rPr>
      </w:pPr>
      <w:hyperlink r:id="rId104">
        <w:r>
          <w:rPr>
            <w:rFonts w:ascii="Arial" w:cs="Arial" w:eastAsia="Arial" w:hAnsi="Arial"/>
            <w:sz w:val="17"/>
            <w:szCs w:val="17"/>
            <w:u w:val="single" w:color="auto"/>
            <w:color w:val="0000FF"/>
          </w:rPr>
          <w:t>10.9#</w:t>
        </w:r>
      </w:hyperlink>
    </w:p>
    <w:p>
      <w:pPr>
        <w:spacing w:after="0" w:line="191" w:lineRule="exact"/>
        <w:rPr>
          <w:sz w:val="20"/>
          <w:szCs w:val="20"/>
          <w:color w:val="auto"/>
        </w:rPr>
      </w:pPr>
    </w:p>
    <w:p>
      <w:pPr>
        <w:ind w:left="20"/>
        <w:spacing w:after="0"/>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10.10#</w:t>
        </w:r>
      </w:hyperlink>
    </w:p>
    <w:p>
      <w:pPr>
        <w:spacing w:after="0" w:line="191" w:lineRule="exact"/>
        <w:rPr>
          <w:sz w:val="20"/>
          <w:szCs w:val="20"/>
          <w:color w:val="auto"/>
        </w:rPr>
      </w:pPr>
    </w:p>
    <w:p>
      <w:pPr>
        <w:ind w:left="20"/>
        <w:spacing w:after="0"/>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10.11#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Form of Stock Option Grant Notice (incorporated by reference to Exhibit 10.7(a) to the Current Report on Form 8-K filed on June 21, 2021).</w:t>
        </w:r>
      </w:hyperlink>
    </w:p>
    <w:p>
      <w:pPr>
        <w:spacing w:after="0" w:line="48" w:lineRule="exact"/>
        <w:rPr>
          <w:sz w:val="20"/>
          <w:szCs w:val="20"/>
          <w:color w:val="auto"/>
        </w:rPr>
      </w:pPr>
    </w:p>
    <w:p>
      <w:pPr>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Form of RSU Award Grant Notice (incorporated by reference to Exhibit 10.7(b)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30480</wp:posOffset>
            </wp:positionV>
            <wp:extent cx="7138670" cy="262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8"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WM Technology, Inc. 2021 Employee Stock Purchase Plan (incorporated by reference to Exhibit 10.8 to the Current Report on Form 8-K filed on</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June 21, 2021).</w:t>
        </w:r>
      </w:hyperlink>
    </w:p>
    <w:p>
      <w:pPr>
        <w:spacing w:after="0" w:line="9"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104">
        <w:r>
          <w:rPr>
            <w:rFonts w:ascii="Arial" w:cs="Arial" w:eastAsia="Arial" w:hAnsi="Arial"/>
            <w:sz w:val="17"/>
            <w:szCs w:val="17"/>
            <w:u w:val="single" w:color="auto"/>
            <w:color w:val="0000FF"/>
          </w:rPr>
          <w:t>Offer letter by and between Ghost Management Group, LLC and Christopher Beals, dated July 31, 2015 (incorporated by reference to Exhibit</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10.9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5080</wp:posOffset>
            </wp:positionV>
            <wp:extent cx="7138670" cy="2457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ind w:right="100"/>
        <w:spacing w:after="0" w:line="236" w:lineRule="auto"/>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Offer letter by and between Ghost Management Group, LLC and Justin Dean, dated October 3, 2018 (incorporated by reference to Exhibit 10.10</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to the Current Report on Form 8-K filed on June 21, 2021).</w:t>
        </w:r>
      </w:hyperlink>
    </w:p>
    <w:p>
      <w:pPr>
        <w:spacing w:after="0" w:line="2" w:lineRule="exact"/>
        <w:rPr>
          <w:sz w:val="20"/>
          <w:szCs w:val="20"/>
          <w:color w:val="auto"/>
        </w:rPr>
      </w:pPr>
    </w:p>
    <w:p>
      <w:pPr>
        <w:ind w:right="60"/>
        <w:spacing w:after="0" w:line="236" w:lineRule="auto"/>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Offer letter by and between Ghost Management Group, LLC and Steven Jung, dated May 17, 2017 (incorporated by reference to Exhibit 10.11 to</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the Current Report on Form 8-K filed on June 21, 2021).</w:t>
        </w:r>
      </w:hyperlink>
    </w:p>
    <w:p>
      <w:pPr>
        <w:spacing w:after="0" w:line="1" w:lineRule="exact"/>
        <w:rPr>
          <w:sz w:val="20"/>
          <w:szCs w:val="20"/>
          <w:color w:val="auto"/>
        </w:rPr>
      </w:pPr>
    </w:p>
    <w:p>
      <w:pPr>
        <w:sectPr>
          <w:pgSz w:w="11900" w:h="16838" w:orient="portrait"/>
          <w:cols w:equalWidth="0" w:num="2">
            <w:col w:w="720" w:space="480"/>
            <w:col w:w="10040"/>
          </w:cols>
          <w:pgMar w:left="320" w:top="230"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0" w:type="dxa"/>
            <w:vAlign w:val="bottom"/>
            <w:vMerge w:val="restart"/>
            <w:shd w:val="clear" w:color="auto" w:fill="CCEEFF"/>
          </w:tcPr>
          <w:p>
            <w:pPr>
              <w:spacing w:after="0"/>
              <w:rPr>
                <w:sz w:val="15"/>
                <w:szCs w:val="15"/>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w w:val="84"/>
              </w:rPr>
            </w:pPr>
            <w:hyperlink r:id="rId109">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12</w:t>
              </w:r>
            </w:hyperlink>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80" w:type="dxa"/>
            <w:vAlign w:val="bottom"/>
            <w:gridSpan w:val="21"/>
            <w:shd w:val="clear" w:color="auto" w:fill="CCEEFF"/>
          </w:tcPr>
          <w:p>
            <w:pPr>
              <w:spacing w:after="0" w:line="182" w:lineRule="exact"/>
              <w:rPr>
                <w:rFonts w:ascii="Arial" w:cs="Arial" w:eastAsia="Arial" w:hAnsi="Arial"/>
                <w:sz w:val="17"/>
                <w:szCs w:val="17"/>
                <w:color w:val="0000FF"/>
                <w:w w:val="98"/>
              </w:rPr>
            </w:pPr>
            <w:hyperlink r:id="rId109">
              <w:r>
                <w:rPr>
                  <w:rFonts w:ascii="Arial" w:cs="Arial" w:eastAsia="Arial" w:hAnsi="Arial"/>
                  <w:sz w:val="17"/>
                  <w:szCs w:val="17"/>
                  <w:color w:val="0000FF"/>
                  <w:w w:val="98"/>
                </w:rPr>
                <w:t>Lease by and between the Irvine Company LLC and Ghost Media Group, LLC, dated November 11, 2013, as amended (incorporated by</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bottom w:val="single" w:sz="8" w:color="0000FF"/>
            </w:tcBorders>
            <w:gridSpan w:val="2"/>
            <w:vMerge w:val="continue"/>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5920" w:type="dxa"/>
            <w:vAlign w:val="bottom"/>
            <w:tcBorders>
              <w:top w:val="single" w:sz="8" w:color="0000FF"/>
              <w:bottom w:val="single" w:sz="8" w:color="0000FF"/>
            </w:tcBorders>
            <w:gridSpan w:val="7"/>
            <w:shd w:val="clear" w:color="auto" w:fill="CCEEFF"/>
          </w:tcPr>
          <w:p>
            <w:pPr>
              <w:spacing w:after="0" w:line="148" w:lineRule="exact"/>
              <w:rPr>
                <w:rFonts w:ascii="Arial" w:cs="Arial" w:eastAsia="Arial" w:hAnsi="Arial"/>
                <w:sz w:val="17"/>
                <w:szCs w:val="17"/>
                <w:color w:val="0000FF"/>
                <w:w w:val="92"/>
              </w:rPr>
            </w:pPr>
            <w:hyperlink r:id="rId109">
              <w:r>
                <w:rPr>
                  <w:rFonts w:ascii="Arial" w:cs="Arial" w:eastAsia="Arial" w:hAnsi="Arial"/>
                  <w:sz w:val="17"/>
                  <w:szCs w:val="17"/>
                  <w:color w:val="0000FF"/>
                  <w:w w:val="92"/>
                </w:rPr>
                <w:t>reference to Exhibit 10.12 to the Current Report on Form 8-K filed on June 21, 2021).</w:t>
              </w:r>
            </w:hyperlink>
          </w:p>
        </w:tc>
        <w:tc>
          <w:tcPr>
            <w:tcW w:w="34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720" w:type="dxa"/>
            <w:vAlign w:val="bottom"/>
            <w:tcBorders>
              <w:bottom w:val="single" w:sz="8" w:color="0000FF"/>
            </w:tcBorders>
            <w:gridSpan w:val="13"/>
          </w:tcPr>
          <w:p>
            <w:pPr>
              <w:spacing w:after="0" w:line="180" w:lineRule="exact"/>
              <w:rPr>
                <w:rFonts w:ascii="Arial" w:cs="Arial" w:eastAsia="Arial" w:hAnsi="Arial"/>
                <w:sz w:val="17"/>
                <w:szCs w:val="17"/>
                <w:color w:val="0000FF"/>
                <w:w w:val="91"/>
              </w:rPr>
            </w:pPr>
            <w:hyperlink r:id="rId110">
              <w:r>
                <w:rPr>
                  <w:rFonts w:ascii="Arial" w:cs="Arial" w:eastAsia="Arial" w:hAnsi="Arial"/>
                  <w:sz w:val="17"/>
                  <w:szCs w:val="17"/>
                  <w:color w:val="0000FF"/>
                  <w:w w:val="91"/>
                </w:rPr>
                <w:t>First Amendment to Lease and Consent to Assignment by and between Discovery Business Center LLC, as successor-in-interest to the Irvine</w:t>
              </w:r>
            </w:hyperlink>
          </w:p>
        </w:tc>
        <w:tc>
          <w:tcPr>
            <w:tcW w:w="3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0" w:type="dxa"/>
            <w:vAlign w:val="bottom"/>
            <w:gridSpan w:val="2"/>
            <w:vMerge w:val="restart"/>
          </w:tcPr>
          <w:p>
            <w:pPr>
              <w:spacing w:after="0"/>
              <w:rPr>
                <w:rFonts w:ascii="Arial" w:cs="Arial" w:eastAsia="Arial" w:hAnsi="Arial"/>
                <w:sz w:val="17"/>
                <w:szCs w:val="17"/>
                <w:color w:val="0000FF"/>
                <w:w w:val="84"/>
              </w:rPr>
            </w:pPr>
            <w:hyperlink r:id="rId110">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13</w:t>
              </w:r>
            </w:hyperlink>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80" w:type="dxa"/>
            <w:vAlign w:val="bottom"/>
            <w:gridSpan w:val="21"/>
          </w:tcPr>
          <w:p>
            <w:pPr>
              <w:spacing w:after="0" w:line="148" w:lineRule="exact"/>
              <w:rPr>
                <w:rFonts w:ascii="Arial" w:cs="Arial" w:eastAsia="Arial" w:hAnsi="Arial"/>
                <w:sz w:val="17"/>
                <w:szCs w:val="17"/>
                <w:color w:val="0000FF"/>
                <w:w w:val="92"/>
              </w:rPr>
            </w:pPr>
            <w:hyperlink r:id="rId110">
              <w:r>
                <w:rPr>
                  <w:rFonts w:ascii="Arial" w:cs="Arial" w:eastAsia="Arial" w:hAnsi="Arial"/>
                  <w:sz w:val="17"/>
                  <w:szCs w:val="17"/>
                  <w:color w:val="0000FF"/>
                  <w:w w:val="92"/>
                </w:rPr>
                <w:t>Company LLC, and Ghost Management Group, LLC, as successor-in-interest to Ghost Media Group, LLC, dated January 27, 2016 (incorporated</w:t>
              </w:r>
            </w:hyperlink>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98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110">
              <w:r>
                <w:rPr>
                  <w:rFonts w:ascii="Arial" w:cs="Arial" w:eastAsia="Arial" w:hAnsi="Arial"/>
                  <w:sz w:val="17"/>
                  <w:szCs w:val="17"/>
                  <w:color w:val="0000FF"/>
                </w:rPr>
                <w:t>by reference to Exhibit 10.13 to the Current Report on Form 8-K filed on June 21, 2021).</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w w:val="84"/>
              </w:rPr>
            </w:pPr>
            <w:hyperlink r:id="rId111">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14</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80" w:type="dxa"/>
            <w:vAlign w:val="bottom"/>
            <w:gridSpan w:val="21"/>
            <w:shd w:val="clear" w:color="auto" w:fill="CCEEFF"/>
          </w:tcPr>
          <w:p>
            <w:pPr>
              <w:spacing w:after="0" w:line="190" w:lineRule="exact"/>
              <w:rPr>
                <w:rFonts w:ascii="Arial" w:cs="Arial" w:eastAsia="Arial" w:hAnsi="Arial"/>
                <w:sz w:val="17"/>
                <w:szCs w:val="17"/>
                <w:color w:val="0000FF"/>
                <w:w w:val="97"/>
              </w:rPr>
            </w:pPr>
            <w:hyperlink r:id="rId111">
              <w:r>
                <w:rPr>
                  <w:rFonts w:ascii="Arial" w:cs="Arial" w:eastAsia="Arial" w:hAnsi="Arial"/>
                  <w:sz w:val="17"/>
                  <w:szCs w:val="17"/>
                  <w:color w:val="0000FF"/>
                  <w:w w:val="97"/>
                </w:rPr>
                <w:t>Second Amendment to Lease, by and between Discovery Business Center LLC and Ghost Management Group, LLC, dated April 7, 2017</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bottom w:val="single" w:sz="8" w:color="0000FF"/>
            </w:tcBorders>
            <w:gridSpan w:val="2"/>
            <w:vMerge w:val="continue"/>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7100" w:type="dxa"/>
            <w:vAlign w:val="bottom"/>
            <w:tcBorders>
              <w:top w:val="single" w:sz="8" w:color="0000FF"/>
              <w:bottom w:val="single" w:sz="8" w:color="0000FF"/>
            </w:tcBorders>
            <w:gridSpan w:val="9"/>
            <w:shd w:val="clear" w:color="auto" w:fill="CCEEFF"/>
          </w:tcPr>
          <w:p>
            <w:pPr>
              <w:spacing w:after="0" w:line="148" w:lineRule="exact"/>
              <w:rPr>
                <w:rFonts w:ascii="Arial" w:cs="Arial" w:eastAsia="Arial" w:hAnsi="Arial"/>
                <w:sz w:val="17"/>
                <w:szCs w:val="17"/>
                <w:color w:val="0000FF"/>
                <w:w w:val="92"/>
              </w:rPr>
            </w:pPr>
            <w:hyperlink r:id="rId111">
              <w:r>
                <w:rPr>
                  <w:rFonts w:ascii="Arial" w:cs="Arial" w:eastAsia="Arial" w:hAnsi="Arial"/>
                  <w:sz w:val="17"/>
                  <w:szCs w:val="17"/>
                  <w:color w:val="0000FF"/>
                  <w:w w:val="92"/>
                </w:rPr>
                <w:t>(incorporated by reference to Exhibit 10.14 to the Current Report on Form 8-K filed on June 21, 2021).</w:t>
              </w:r>
            </w:hyperlink>
          </w:p>
        </w:tc>
        <w:tc>
          <w:tcPr>
            <w:tcW w:w="234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3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Arial" w:cs="Arial" w:eastAsia="Arial" w:hAnsi="Arial"/>
                <w:sz w:val="17"/>
                <w:szCs w:val="17"/>
                <w:color w:val="0000FF"/>
                <w:w w:val="84"/>
              </w:rPr>
            </w:pPr>
            <w:hyperlink r:id="rId112">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15</w:t>
              </w:r>
            </w:hyperlink>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80" w:type="dxa"/>
            <w:vAlign w:val="bottom"/>
            <w:gridSpan w:val="21"/>
          </w:tcPr>
          <w:p>
            <w:pPr>
              <w:spacing w:after="0" w:line="180" w:lineRule="exact"/>
              <w:rPr>
                <w:rFonts w:ascii="Arial" w:cs="Arial" w:eastAsia="Arial" w:hAnsi="Arial"/>
                <w:sz w:val="17"/>
                <w:szCs w:val="17"/>
                <w:color w:val="0000FF"/>
                <w:w w:val="94"/>
              </w:rPr>
            </w:pPr>
            <w:hyperlink r:id="rId112">
              <w:r>
                <w:rPr>
                  <w:rFonts w:ascii="Arial" w:cs="Arial" w:eastAsia="Arial" w:hAnsi="Arial"/>
                  <w:sz w:val="17"/>
                  <w:szCs w:val="17"/>
                  <w:color w:val="0000FF"/>
                  <w:w w:val="94"/>
                </w:rPr>
                <w:t>Third Amendment to Lease, by and between Discovery Business Center LLC and Ghost Management Group, LLC, dated December 29, 2017</w:t>
              </w:r>
            </w:hyperlink>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0" w:type="dxa"/>
            <w:vAlign w:val="bottom"/>
            <w:tcBorders>
              <w:bottom w:val="single" w:sz="8" w:color="0000FF"/>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w w:val="92"/>
              </w:rPr>
            </w:pPr>
            <w:hyperlink r:id="rId112">
              <w:r>
                <w:rPr>
                  <w:rFonts w:ascii="Arial" w:cs="Arial" w:eastAsia="Arial" w:hAnsi="Arial"/>
                  <w:sz w:val="17"/>
                  <w:szCs w:val="17"/>
                  <w:color w:val="0000FF"/>
                  <w:w w:val="92"/>
                </w:rPr>
                <w:t>(incorporated by reference to Exhibit 10.15 to the Current Report on Form 8-K filed on June 21, 2021).</w:t>
              </w:r>
            </w:hyperlink>
          </w:p>
        </w:tc>
        <w:tc>
          <w:tcPr>
            <w:tcW w:w="2660" w:type="dxa"/>
            <w:vAlign w:val="bottom"/>
            <w:tcBorders>
              <w:top w:val="single" w:sz="8" w:color="0000FF"/>
            </w:tcBorders>
            <w:gridSpan w:val="5"/>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w w:val="84"/>
              </w:rPr>
            </w:pPr>
            <w:hyperlink r:id="rId113">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16</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80" w:type="dxa"/>
            <w:vAlign w:val="bottom"/>
            <w:gridSpan w:val="21"/>
            <w:shd w:val="clear" w:color="auto" w:fill="CCEEFF"/>
          </w:tcPr>
          <w:p>
            <w:pPr>
              <w:spacing w:after="0" w:line="190" w:lineRule="exact"/>
              <w:rPr>
                <w:rFonts w:ascii="Arial" w:cs="Arial" w:eastAsia="Arial" w:hAnsi="Arial"/>
                <w:sz w:val="17"/>
                <w:szCs w:val="17"/>
                <w:color w:val="0000FF"/>
                <w:w w:val="98"/>
              </w:rPr>
            </w:pPr>
            <w:hyperlink r:id="rId113">
              <w:r>
                <w:rPr>
                  <w:rFonts w:ascii="Arial" w:cs="Arial" w:eastAsia="Arial" w:hAnsi="Arial"/>
                  <w:sz w:val="17"/>
                  <w:szCs w:val="17"/>
                  <w:color w:val="0000FF"/>
                  <w:w w:val="98"/>
                </w:rPr>
                <w:t>Fourth Amendment to Lease, by and between Discovery Business Center LLC and Ghost Management Group, LLC, dated May 3, 2018</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bottom w:val="single" w:sz="8" w:color="0000FF"/>
            </w:tcBorders>
            <w:gridSpan w:val="2"/>
            <w:vMerge w:val="continue"/>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7100" w:type="dxa"/>
            <w:vAlign w:val="bottom"/>
            <w:tcBorders>
              <w:top w:val="single" w:sz="8" w:color="0000FF"/>
              <w:bottom w:val="single" w:sz="8" w:color="0000FF"/>
            </w:tcBorders>
            <w:gridSpan w:val="9"/>
            <w:shd w:val="clear" w:color="auto" w:fill="CCEEFF"/>
          </w:tcPr>
          <w:p>
            <w:pPr>
              <w:spacing w:after="0" w:line="148" w:lineRule="exact"/>
              <w:rPr>
                <w:rFonts w:ascii="Arial" w:cs="Arial" w:eastAsia="Arial" w:hAnsi="Arial"/>
                <w:sz w:val="17"/>
                <w:szCs w:val="17"/>
                <w:color w:val="0000FF"/>
                <w:w w:val="92"/>
              </w:rPr>
            </w:pPr>
            <w:hyperlink r:id="rId113">
              <w:r>
                <w:rPr>
                  <w:rFonts w:ascii="Arial" w:cs="Arial" w:eastAsia="Arial" w:hAnsi="Arial"/>
                  <w:sz w:val="17"/>
                  <w:szCs w:val="17"/>
                  <w:color w:val="0000FF"/>
                  <w:w w:val="92"/>
                </w:rPr>
                <w:t>(incorporated by reference to Exhibit 10.16 to the Current Report on Form 8-K filed on June 21, 2021).</w:t>
              </w:r>
            </w:hyperlink>
          </w:p>
        </w:tc>
        <w:tc>
          <w:tcPr>
            <w:tcW w:w="226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Arial" w:cs="Arial" w:eastAsia="Arial" w:hAnsi="Arial"/>
                <w:sz w:val="17"/>
                <w:szCs w:val="17"/>
                <w:color w:val="0000FF"/>
                <w:w w:val="84"/>
              </w:rPr>
            </w:pPr>
            <w:hyperlink r:id="rId114">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17</w:t>
              </w:r>
            </w:hyperlink>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80" w:type="dxa"/>
            <w:vAlign w:val="bottom"/>
            <w:gridSpan w:val="21"/>
          </w:tcPr>
          <w:p>
            <w:pPr>
              <w:spacing w:after="0" w:line="180" w:lineRule="exact"/>
              <w:rPr>
                <w:rFonts w:ascii="Arial" w:cs="Arial" w:eastAsia="Arial" w:hAnsi="Arial"/>
                <w:sz w:val="17"/>
                <w:szCs w:val="17"/>
                <w:color w:val="0000FF"/>
                <w:w w:val="92"/>
              </w:rPr>
            </w:pPr>
            <w:hyperlink r:id="rId114">
              <w:r>
                <w:rPr>
                  <w:rFonts w:ascii="Arial" w:cs="Arial" w:eastAsia="Arial" w:hAnsi="Arial"/>
                  <w:sz w:val="17"/>
                  <w:szCs w:val="17"/>
                  <w:color w:val="0000FF"/>
                  <w:w w:val="92"/>
                </w:rPr>
                <w:t>Strategic Advisor Agreement, by and between the Company and Steven Jung, dated June 21, 2021 (incorporated by reference to Exhibit 10.17 to</w:t>
              </w:r>
            </w:hyperlink>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0" w:type="dxa"/>
            <w:vAlign w:val="bottom"/>
            <w:tcBorders>
              <w:bottom w:val="single" w:sz="8" w:color="0000FF"/>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1"/>
              </w:rPr>
            </w:pPr>
            <w:hyperlink r:id="rId114">
              <w:r>
                <w:rPr>
                  <w:rFonts w:ascii="Arial" w:cs="Arial" w:eastAsia="Arial" w:hAnsi="Arial"/>
                  <w:sz w:val="17"/>
                  <w:szCs w:val="17"/>
                  <w:color w:val="0000FF"/>
                  <w:w w:val="91"/>
                </w:rPr>
                <w:t>the Current Report on Form 8-K filed on June 21, 2021).</w:t>
              </w:r>
            </w:hyperlink>
          </w:p>
        </w:tc>
        <w:tc>
          <w:tcPr>
            <w:tcW w:w="606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vMerge w:val="restart"/>
            <w:shd w:val="clear" w:color="auto" w:fill="CCEEFF"/>
          </w:tcPr>
          <w:p>
            <w:pPr>
              <w:spacing w:after="0"/>
              <w:rPr>
                <w:sz w:val="16"/>
                <w:szCs w:val="16"/>
                <w:color w:val="auto"/>
              </w:rPr>
            </w:pPr>
          </w:p>
        </w:tc>
        <w:tc>
          <w:tcPr>
            <w:tcW w:w="480" w:type="dxa"/>
            <w:vAlign w:val="bottom"/>
            <w:gridSpan w:val="3"/>
            <w:vMerge w:val="restart"/>
            <w:shd w:val="clear" w:color="auto" w:fill="CCEEFF"/>
          </w:tcPr>
          <w:p>
            <w:pPr>
              <w:spacing w:after="0"/>
              <w:rPr>
                <w:rFonts w:ascii="Arial" w:cs="Arial" w:eastAsia="Arial" w:hAnsi="Arial"/>
                <w:sz w:val="17"/>
                <w:szCs w:val="17"/>
                <w:color w:val="0000FF"/>
                <w:w w:val="88"/>
              </w:rPr>
            </w:pPr>
            <w:hyperlink r:id="rId115">
              <w:r>
                <w:rPr>
                  <w:rFonts w:ascii="Arial" w:cs="Arial" w:eastAsia="Arial" w:hAnsi="Arial"/>
                  <w:sz w:val="17"/>
                  <w:szCs w:val="17"/>
                  <w:color w:val="0000FF"/>
                  <w:w w:val="88"/>
                </w:rPr>
                <w:t>10.</w:t>
              </w:r>
              <w:r>
                <w:rPr>
                  <w:rFonts w:ascii="Arial" w:cs="Arial" w:eastAsia="Arial" w:hAnsi="Arial"/>
                  <w:sz w:val="17"/>
                  <w:szCs w:val="17"/>
                  <w:u w:val="single" w:color="auto"/>
                  <w:color w:val="0000FF"/>
                  <w:w w:val="88"/>
                </w:rPr>
                <w:t>18#</w:t>
              </w:r>
            </w:hyperlink>
          </w:p>
        </w:tc>
        <w:tc>
          <w:tcPr>
            <w:tcW w:w="700" w:type="dxa"/>
            <w:vAlign w:val="bottom"/>
            <w:vMerge w:val="restart"/>
            <w:shd w:val="clear" w:color="auto" w:fill="CCEEFF"/>
          </w:tcPr>
          <w:p>
            <w:pPr>
              <w:spacing w:after="0"/>
              <w:rPr>
                <w:sz w:val="16"/>
                <w:szCs w:val="16"/>
                <w:color w:val="auto"/>
              </w:rPr>
            </w:pPr>
          </w:p>
        </w:tc>
        <w:tc>
          <w:tcPr>
            <w:tcW w:w="10080" w:type="dxa"/>
            <w:vAlign w:val="bottom"/>
            <w:gridSpan w:val="21"/>
            <w:shd w:val="clear" w:color="auto" w:fill="CCEEFF"/>
          </w:tcPr>
          <w:p>
            <w:pPr>
              <w:spacing w:after="0" w:line="190" w:lineRule="exact"/>
              <w:rPr>
                <w:rFonts w:ascii="Arial" w:cs="Arial" w:eastAsia="Arial" w:hAnsi="Arial"/>
                <w:sz w:val="17"/>
                <w:szCs w:val="17"/>
                <w:color w:val="0000FF"/>
                <w:w w:val="94"/>
              </w:rPr>
            </w:pPr>
            <w:hyperlink r:id="rId115">
              <w:r>
                <w:rPr>
                  <w:rFonts w:ascii="Arial" w:cs="Arial" w:eastAsia="Arial" w:hAnsi="Arial"/>
                  <w:sz w:val="17"/>
                  <w:szCs w:val="17"/>
                  <w:color w:val="0000FF"/>
                  <w:w w:val="94"/>
                </w:rPr>
                <w:t>WM Technology, Inc. Non-Employee Director Compensation Policy (incorporated by reference to Exhibit 10.1 to the Quarterly Report on Form</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480" w:type="dxa"/>
            <w:vAlign w:val="bottom"/>
            <w:tcBorders>
              <w:top w:val="single" w:sz="8" w:color="CCEEFF"/>
              <w:bottom w:val="single" w:sz="8" w:color="0000FF"/>
            </w:tcBorders>
            <w:gridSpan w:val="3"/>
            <w:vMerge w:val="continue"/>
            <w:shd w:val="clear" w:color="auto" w:fill="CCEEFF"/>
          </w:tcPr>
          <w:p>
            <w:pPr>
              <w:spacing w:after="0"/>
              <w:rPr>
                <w:sz w:val="14"/>
                <w:szCs w:val="14"/>
                <w:color w:val="auto"/>
              </w:rPr>
            </w:pPr>
          </w:p>
        </w:tc>
        <w:tc>
          <w:tcPr>
            <w:tcW w:w="70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2440" w:type="dxa"/>
            <w:vAlign w:val="bottom"/>
            <w:tcBorders>
              <w:top w:val="single" w:sz="8" w:color="0000FF"/>
              <w:bottom w:val="single" w:sz="8" w:color="0000FF"/>
            </w:tcBorders>
            <w:gridSpan w:val="2"/>
            <w:shd w:val="clear" w:color="auto" w:fill="CCEEFF"/>
          </w:tcPr>
          <w:p>
            <w:pPr>
              <w:spacing w:after="0" w:line="148" w:lineRule="exact"/>
              <w:rPr>
                <w:rFonts w:ascii="Arial" w:cs="Arial" w:eastAsia="Arial" w:hAnsi="Arial"/>
                <w:sz w:val="17"/>
                <w:szCs w:val="17"/>
                <w:color w:val="0000FF"/>
                <w:w w:val="92"/>
              </w:rPr>
            </w:pPr>
            <w:hyperlink r:id="rId115">
              <w:r>
                <w:rPr>
                  <w:rFonts w:ascii="Arial" w:cs="Arial" w:eastAsia="Arial" w:hAnsi="Arial"/>
                  <w:sz w:val="17"/>
                  <w:szCs w:val="17"/>
                  <w:color w:val="0000FF"/>
                  <w:w w:val="92"/>
                </w:rPr>
                <w:t>10-Q filed on November 12, 2021).</w:t>
              </w:r>
            </w:hyperlink>
          </w:p>
        </w:tc>
        <w:tc>
          <w:tcPr>
            <w:tcW w:w="748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gridSpan w:val="2"/>
          </w:tcPr>
          <w:p>
            <w:pPr>
              <w:spacing w:after="0" w:line="180" w:lineRule="exact"/>
              <w:rPr>
                <w:rFonts w:ascii="Arial" w:cs="Arial" w:eastAsia="Arial" w:hAnsi="Arial"/>
                <w:sz w:val="17"/>
                <w:szCs w:val="17"/>
                <w:color w:val="0000FF"/>
              </w:rPr>
            </w:pPr>
            <w:hyperlink w:anchor="page123">
              <w:r>
                <w:rPr>
                  <w:rFonts w:ascii="Arial" w:cs="Arial" w:eastAsia="Arial" w:hAnsi="Arial"/>
                  <w:sz w:val="17"/>
                  <w:szCs w:val="17"/>
                  <w:color w:val="0000FF"/>
                </w:rPr>
                <w:t>21.</w:t>
              </w:r>
              <w:r>
                <w:rPr>
                  <w:rFonts w:ascii="Arial" w:cs="Arial" w:eastAsia="Arial" w:hAnsi="Arial"/>
                  <w:sz w:val="17"/>
                  <w:szCs w:val="17"/>
                  <w:u w:val="single" w:color="auto"/>
                  <w:color w:val="0000FF"/>
                </w:rPr>
                <w:t>1</w:t>
              </w:r>
            </w:hyperlink>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80" w:type="dxa"/>
            <w:vAlign w:val="bottom"/>
            <w:gridSpan w:val="21"/>
          </w:tcPr>
          <w:p>
            <w:pPr>
              <w:spacing w:after="0" w:line="180" w:lineRule="exact"/>
              <w:rPr>
                <w:rFonts w:ascii="Arial" w:cs="Arial" w:eastAsia="Arial" w:hAnsi="Arial"/>
                <w:sz w:val="17"/>
                <w:szCs w:val="17"/>
                <w:color w:val="0000FF"/>
              </w:rPr>
            </w:pPr>
            <w:hyperlink w:anchor="page123">
              <w:r>
                <w:rPr>
                  <w:rFonts w:ascii="Arial" w:cs="Arial" w:eastAsia="Arial" w:hAnsi="Arial"/>
                  <w:sz w:val="17"/>
                  <w:szCs w:val="17"/>
                  <w:color w:val="0000FF"/>
                </w:rPr>
                <w:t>List of Subsidiaries of the Registrant</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90" w:lineRule="exact"/>
              <w:rPr>
                <w:rFonts w:ascii="Arial" w:cs="Arial" w:eastAsia="Arial" w:hAnsi="Arial"/>
                <w:sz w:val="17"/>
                <w:szCs w:val="17"/>
                <w:color w:val="0000FF"/>
              </w:rPr>
            </w:pPr>
            <w:hyperlink w:anchor="page124">
              <w:r>
                <w:rPr>
                  <w:rFonts w:ascii="Arial" w:cs="Arial" w:eastAsia="Arial" w:hAnsi="Arial"/>
                  <w:sz w:val="17"/>
                  <w:szCs w:val="17"/>
                  <w:color w:val="0000FF"/>
                </w:rPr>
                <w:t>23.</w:t>
              </w:r>
              <w:r>
                <w:rPr>
                  <w:rFonts w:ascii="Arial" w:cs="Arial" w:eastAsia="Arial" w:hAnsi="Arial"/>
                  <w:sz w:val="17"/>
                  <w:szCs w:val="17"/>
                  <w:u w:val="single" w:color="auto"/>
                  <w:color w:val="0000FF"/>
                </w:rPr>
                <w:t>1</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80" w:type="dxa"/>
            <w:vAlign w:val="bottom"/>
            <w:gridSpan w:val="21"/>
            <w:shd w:val="clear" w:color="auto" w:fill="CCEEFF"/>
          </w:tcPr>
          <w:p>
            <w:pPr>
              <w:spacing w:after="0" w:line="190" w:lineRule="exact"/>
              <w:rPr>
                <w:rFonts w:ascii="Arial" w:cs="Arial" w:eastAsia="Arial" w:hAnsi="Arial"/>
                <w:sz w:val="17"/>
                <w:szCs w:val="17"/>
                <w:color w:val="0000FF"/>
              </w:rPr>
            </w:pPr>
            <w:hyperlink w:anchor="page124">
              <w:r>
                <w:rPr>
                  <w:rFonts w:ascii="Arial" w:cs="Arial" w:eastAsia="Arial" w:hAnsi="Arial"/>
                  <w:sz w:val="17"/>
                  <w:szCs w:val="17"/>
                  <w:color w:val="0000FF"/>
                </w:rPr>
                <w:t>Consent of Baker Tilly US, LLP</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Arial" w:cs="Arial" w:eastAsia="Arial" w:hAnsi="Arial"/>
                <w:sz w:val="17"/>
                <w:szCs w:val="17"/>
                <w:color w:val="0000FF"/>
              </w:rPr>
            </w:pPr>
            <w:hyperlink w:anchor="page125">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80" w:type="dxa"/>
            <w:vAlign w:val="bottom"/>
            <w:gridSpan w:val="21"/>
          </w:tcPr>
          <w:p>
            <w:pPr>
              <w:spacing w:after="0" w:line="180" w:lineRule="exact"/>
              <w:rPr>
                <w:rFonts w:ascii="Arial" w:cs="Arial" w:eastAsia="Arial" w:hAnsi="Arial"/>
                <w:sz w:val="17"/>
                <w:szCs w:val="17"/>
                <w:color w:val="0000FF"/>
                <w:w w:val="92"/>
              </w:rPr>
            </w:pPr>
            <w:hyperlink w:anchor="page125">
              <w:r>
                <w:rPr>
                  <w:rFonts w:ascii="Arial" w:cs="Arial" w:eastAsia="Arial" w:hAnsi="Arial"/>
                  <w:sz w:val="17"/>
                  <w:szCs w:val="17"/>
                  <w:color w:val="0000FF"/>
                  <w:w w:val="92"/>
                </w:rPr>
                <w:t>Certification of the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w:anchor="page125">
              <w:r>
                <w:rPr>
                  <w:rFonts w:ascii="Arial" w:cs="Arial" w:eastAsia="Arial" w:hAnsi="Arial"/>
                  <w:sz w:val="17"/>
                  <w:szCs w:val="17"/>
                  <w:color w:val="0000FF"/>
                </w:rPr>
                <w:t>pursuant to Section 302 of the Sarbanes-Oxley Act of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rPr>
            </w:pPr>
            <w:hyperlink w:anchor="page127">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80" w:type="dxa"/>
            <w:vAlign w:val="bottom"/>
            <w:gridSpan w:val="21"/>
            <w:shd w:val="clear" w:color="auto" w:fill="CCEEFF"/>
          </w:tcPr>
          <w:p>
            <w:pPr>
              <w:spacing w:after="0" w:line="192" w:lineRule="exact"/>
              <w:rPr>
                <w:rFonts w:ascii="Arial" w:cs="Arial" w:eastAsia="Arial" w:hAnsi="Arial"/>
                <w:sz w:val="17"/>
                <w:szCs w:val="17"/>
                <w:color w:val="0000FF"/>
                <w:w w:val="92"/>
              </w:rPr>
            </w:pPr>
            <w:hyperlink w:anchor="page127">
              <w:r>
                <w:rPr>
                  <w:rFonts w:ascii="Arial" w:cs="Arial" w:eastAsia="Arial" w:hAnsi="Arial"/>
                  <w:sz w:val="17"/>
                  <w:szCs w:val="17"/>
                  <w:color w:val="0000FF"/>
                  <w:w w:val="92"/>
                </w:rPr>
                <w:t>Certification of the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380" w:type="dxa"/>
            <w:vAlign w:val="bottom"/>
            <w:tcBorders>
              <w:top w:val="single" w:sz="8" w:color="CCEEFF"/>
            </w:tcBorders>
            <w:gridSpan w:val="2"/>
            <w:vMerge w:val="continue"/>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19"/>
            <w:shd w:val="clear" w:color="auto" w:fill="CCEEFF"/>
          </w:tcPr>
          <w:p>
            <w:pPr>
              <w:spacing w:after="0" w:line="148" w:lineRule="exact"/>
              <w:rPr>
                <w:rFonts w:ascii="Arial" w:cs="Arial" w:eastAsia="Arial" w:hAnsi="Arial"/>
                <w:sz w:val="17"/>
                <w:szCs w:val="17"/>
                <w:color w:val="0000FF"/>
              </w:rPr>
            </w:pPr>
            <w:hyperlink w:anchor="page127">
              <w:r>
                <w:rPr>
                  <w:rFonts w:ascii="Arial" w:cs="Arial" w:eastAsia="Arial" w:hAnsi="Arial"/>
                  <w:sz w:val="17"/>
                  <w:szCs w:val="17"/>
                  <w:color w:val="0000FF"/>
                </w:rPr>
                <w:t>pursuant to Section 302 of the Sarbanes-Oxley Act of 2002</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80" w:type="dxa"/>
            <w:vAlign w:val="bottom"/>
            <w:gridSpan w:val="2"/>
            <w:vMerge w:val="restart"/>
          </w:tcPr>
          <w:p>
            <w:pPr>
              <w:spacing w:after="0"/>
              <w:rPr>
                <w:rFonts w:ascii="Arial" w:cs="Arial" w:eastAsia="Arial" w:hAnsi="Arial"/>
                <w:sz w:val="17"/>
                <w:szCs w:val="17"/>
                <w:color w:val="0000FF"/>
                <w:w w:val="90"/>
              </w:rPr>
            </w:pPr>
            <w:hyperlink w:anchor="page128">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hyperlink>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80" w:type="dxa"/>
            <w:vAlign w:val="bottom"/>
            <w:gridSpan w:val="21"/>
          </w:tcPr>
          <w:p>
            <w:pPr>
              <w:spacing w:after="0" w:line="172" w:lineRule="exact"/>
              <w:rPr>
                <w:rFonts w:ascii="Arial" w:cs="Arial" w:eastAsia="Arial" w:hAnsi="Arial"/>
                <w:sz w:val="17"/>
                <w:szCs w:val="17"/>
                <w:color w:val="0000FF"/>
                <w:w w:val="97"/>
              </w:rPr>
            </w:pPr>
            <w:hyperlink w:anchor="page128">
              <w:r>
                <w:rPr>
                  <w:rFonts w:ascii="Arial" w:cs="Arial" w:eastAsia="Arial" w:hAnsi="Arial"/>
                  <w:sz w:val="17"/>
                  <w:szCs w:val="17"/>
                  <w:color w:val="0000FF"/>
                  <w:w w:val="97"/>
                </w:rPr>
                <w:t>Certifications of the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 w:type="dxa"/>
            <w:vAlign w:val="bottom"/>
            <w:tcBorders>
              <w:bottom w:val="single" w:sz="8" w:color="0000FF"/>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1"/>
              </w:rPr>
            </w:pPr>
            <w:hyperlink w:anchor="page128">
              <w:r>
                <w:rPr>
                  <w:rFonts w:ascii="Arial" w:cs="Arial" w:eastAsia="Arial" w:hAnsi="Arial"/>
                  <w:sz w:val="17"/>
                  <w:szCs w:val="17"/>
                  <w:color w:val="0000FF"/>
                  <w:w w:val="91"/>
                </w:rPr>
                <w:t>Section 906 of the Sarbanes-Oxley Act of 2002</w:t>
              </w:r>
            </w:hyperlink>
          </w:p>
        </w:tc>
        <w:tc>
          <w:tcPr>
            <w:tcW w:w="680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gridSpan w:val="5"/>
            <w:vMerge w:val="restart"/>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10080" w:type="dxa"/>
            <w:vAlign w:val="bottom"/>
            <w:gridSpan w:val="21"/>
            <w:shd w:val="clear" w:color="auto" w:fill="CCEEFF"/>
          </w:tcPr>
          <w:p>
            <w:pPr>
              <w:spacing w:after="0" w:line="180" w:lineRule="exact"/>
              <w:rPr>
                <w:sz w:val="20"/>
                <w:szCs w:val="20"/>
                <w:color w:val="auto"/>
              </w:rPr>
            </w:pPr>
            <w:r>
              <w:rPr>
                <w:rFonts w:ascii="Arial" w:cs="Arial" w:eastAsia="Arial" w:hAnsi="Arial"/>
                <w:sz w:val="17"/>
                <w:szCs w:val="17"/>
                <w:color w:val="auto"/>
                <w:w w:val="92"/>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9"/>
        </w:trPr>
        <w:tc>
          <w:tcPr>
            <w:tcW w:w="1200" w:type="dxa"/>
            <w:vAlign w:val="bottom"/>
            <w:gridSpan w:val="5"/>
            <w:vMerge w:val="continue"/>
            <w:shd w:val="clear" w:color="auto" w:fill="CCEEFF"/>
          </w:tcPr>
          <w:p>
            <w:pPr>
              <w:spacing w:after="0"/>
              <w:rPr>
                <w:sz w:val="19"/>
                <w:szCs w:val="19"/>
                <w:color w:val="auto"/>
              </w:rPr>
            </w:pPr>
          </w:p>
        </w:tc>
        <w:tc>
          <w:tcPr>
            <w:tcW w:w="1008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18"/>
        </w:trPr>
        <w:tc>
          <w:tcPr>
            <w:tcW w:w="1200" w:type="dxa"/>
            <w:vAlign w:val="bottom"/>
            <w:gridSpan w:val="5"/>
          </w:tcPr>
          <w:p>
            <w:pPr>
              <w:ind w:left="20"/>
              <w:spacing w:after="0"/>
              <w:rPr>
                <w:sz w:val="20"/>
                <w:szCs w:val="20"/>
                <w:color w:val="auto"/>
              </w:rPr>
            </w:pPr>
            <w:r>
              <w:rPr>
                <w:rFonts w:ascii="Arial" w:cs="Arial" w:eastAsia="Arial" w:hAnsi="Arial"/>
                <w:sz w:val="17"/>
                <w:szCs w:val="17"/>
                <w:color w:val="auto"/>
              </w:rPr>
              <w:t>101.SCH</w:t>
            </w:r>
          </w:p>
        </w:tc>
        <w:tc>
          <w:tcPr>
            <w:tcW w:w="10080" w:type="dxa"/>
            <w:vAlign w:val="bottom"/>
            <w:gridSpan w:val="21"/>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0"/>
        </w:trPr>
        <w:tc>
          <w:tcPr>
            <w:tcW w:w="120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08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18"/>
        </w:trPr>
        <w:tc>
          <w:tcPr>
            <w:tcW w:w="1200" w:type="dxa"/>
            <w:vAlign w:val="bottom"/>
            <w:gridSpan w:val="5"/>
          </w:tcPr>
          <w:p>
            <w:pPr>
              <w:ind w:left="20"/>
              <w:spacing w:after="0"/>
              <w:rPr>
                <w:sz w:val="20"/>
                <w:szCs w:val="20"/>
                <w:color w:val="auto"/>
              </w:rPr>
            </w:pPr>
            <w:r>
              <w:rPr>
                <w:rFonts w:ascii="Arial" w:cs="Arial" w:eastAsia="Arial" w:hAnsi="Arial"/>
                <w:sz w:val="17"/>
                <w:szCs w:val="17"/>
                <w:color w:val="auto"/>
              </w:rPr>
              <w:t>101.DEF</w:t>
            </w:r>
          </w:p>
        </w:tc>
        <w:tc>
          <w:tcPr>
            <w:tcW w:w="10080" w:type="dxa"/>
            <w:vAlign w:val="bottom"/>
            <w:gridSpan w:val="21"/>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120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1008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1200" w:type="dxa"/>
            <w:vAlign w:val="bottom"/>
            <w:gridSpan w:val="5"/>
          </w:tcPr>
          <w:p>
            <w:pPr>
              <w:ind w:left="20"/>
              <w:spacing w:after="0"/>
              <w:rPr>
                <w:sz w:val="20"/>
                <w:szCs w:val="20"/>
                <w:color w:val="auto"/>
              </w:rPr>
            </w:pPr>
            <w:r>
              <w:rPr>
                <w:rFonts w:ascii="Arial" w:cs="Arial" w:eastAsia="Arial" w:hAnsi="Arial"/>
                <w:sz w:val="17"/>
                <w:szCs w:val="17"/>
                <w:color w:val="auto"/>
              </w:rPr>
              <w:t>101.PRE</w:t>
            </w:r>
          </w:p>
        </w:tc>
        <w:tc>
          <w:tcPr>
            <w:tcW w:w="10080" w:type="dxa"/>
            <w:vAlign w:val="bottom"/>
            <w:gridSpan w:val="21"/>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20"/>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104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8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Indicates management contract or compensatory plan, contract or agreement.</w:t>
      </w:r>
    </w:p>
    <w:p>
      <w:pPr>
        <w:spacing w:after="0" w:line="37" w:lineRule="exact"/>
        <w:rPr>
          <w:sz w:val="20"/>
          <w:szCs w:val="20"/>
          <w:color w:val="auto"/>
        </w:rPr>
      </w:pPr>
    </w:p>
    <w:p>
      <w:pPr>
        <w:jc w:val="both"/>
        <w:ind w:left="360" w:right="20" w:hanging="202"/>
        <w:spacing w:after="0" w:line="236"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16.</w:t>
        <w:tab/>
        <w:t>FORM 10-K SUMMARY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Pursuant to the requirements of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920" w:type="dxa"/>
            <w:vAlign w:val="bottom"/>
          </w:tcPr>
          <w:p>
            <w:pPr>
              <w:spacing w:after="0"/>
              <w:rPr>
                <w:sz w:val="19"/>
                <w:szCs w:val="19"/>
                <w:color w:val="auto"/>
              </w:rPr>
            </w:pPr>
          </w:p>
        </w:tc>
        <w:tc>
          <w:tcPr>
            <w:tcW w:w="7300" w:type="dxa"/>
            <w:vAlign w:val="bottom"/>
            <w:gridSpan w:val="3"/>
          </w:tcPr>
          <w:p>
            <w:pPr>
              <w:ind w:left="2040"/>
              <w:spacing w:after="0"/>
              <w:rPr>
                <w:sz w:val="20"/>
                <w:szCs w:val="20"/>
                <w:color w:val="auto"/>
              </w:rPr>
            </w:pPr>
            <w:r>
              <w:rPr>
                <w:rFonts w:ascii="Arial" w:cs="Arial" w:eastAsia="Arial" w:hAnsi="Arial"/>
                <w:sz w:val="17"/>
                <w:szCs w:val="17"/>
                <w:b w:val="1"/>
                <w:bCs w:val="1"/>
                <w:color w:val="auto"/>
              </w:rPr>
              <w:t>WM TECHNOLOGY, INC.</w:t>
            </w:r>
          </w:p>
        </w:tc>
      </w:tr>
      <w:tr>
        <w:trPr>
          <w:trHeight w:val="710"/>
        </w:trPr>
        <w:tc>
          <w:tcPr>
            <w:tcW w:w="3920" w:type="dxa"/>
            <w:vAlign w:val="bottom"/>
          </w:tcPr>
          <w:p>
            <w:pPr>
              <w:spacing w:after="0"/>
              <w:rPr>
                <w:sz w:val="20"/>
                <w:szCs w:val="20"/>
                <w:color w:val="auto"/>
              </w:rPr>
            </w:pPr>
            <w:r>
              <w:rPr>
                <w:rFonts w:ascii="Arial" w:cs="Arial" w:eastAsia="Arial" w:hAnsi="Arial"/>
                <w:sz w:val="17"/>
                <w:szCs w:val="17"/>
                <w:color w:val="auto"/>
              </w:rPr>
              <w:t>Date:   February 25, 2022</w:t>
            </w:r>
          </w:p>
        </w:tc>
        <w:tc>
          <w:tcPr>
            <w:tcW w:w="7300" w:type="dxa"/>
            <w:vAlign w:val="bottom"/>
            <w:gridSpan w:val="3"/>
          </w:tcPr>
          <w:p>
            <w:pPr>
              <w:ind w:left="2040"/>
              <w:spacing w:after="0"/>
              <w:rPr>
                <w:sz w:val="20"/>
                <w:szCs w:val="20"/>
                <w:color w:val="auto"/>
              </w:rPr>
            </w:pPr>
            <w:r>
              <w:rPr>
                <w:rFonts w:ascii="Arial" w:cs="Arial" w:eastAsia="Arial" w:hAnsi="Arial"/>
                <w:sz w:val="17"/>
                <w:szCs w:val="17"/>
                <w:color w:val="auto"/>
              </w:rPr>
              <w:t>By:  /s/ Christopher Beals</w:t>
            </w:r>
          </w:p>
        </w:tc>
      </w:tr>
      <w:tr>
        <w:trPr>
          <w:trHeight w:val="211"/>
        </w:trPr>
        <w:tc>
          <w:tcPr>
            <w:tcW w:w="39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422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Christopher Beals</w:t>
            </w:r>
          </w:p>
        </w:tc>
      </w:tr>
      <w:tr>
        <w:trPr>
          <w:trHeight w:val="219"/>
        </w:trPr>
        <w:tc>
          <w:tcPr>
            <w:tcW w:w="3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Executive Officer</w:t>
            </w:r>
          </w:p>
        </w:tc>
      </w:tr>
      <w:tr>
        <w:trPr>
          <w:trHeight w:val="219"/>
        </w:trPr>
        <w:tc>
          <w:tcPr>
            <w:tcW w:w="3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8"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Christopher Beals and Arden Lee, and each of them, his or her true and lawful attorneys-in-fact and agents, each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6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318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512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932"/>
        </w:trPr>
        <w:tc>
          <w:tcPr>
            <w:tcW w:w="1220" w:type="dxa"/>
            <w:vAlign w:val="bottom"/>
            <w:tcBorders>
              <w:top w:val="single" w:sz="8" w:color="0000FF"/>
            </w:tcBorders>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7"/>
                <w:szCs w:val="17"/>
                <w:b w:val="1"/>
                <w:bCs w:val="1"/>
                <w:color w:val="auto"/>
              </w:rPr>
              <w:t>Signature</w:t>
            </w:r>
          </w:p>
        </w:tc>
        <w:tc>
          <w:tcPr>
            <w:tcW w:w="5120" w:type="dxa"/>
            <w:vAlign w:val="bottom"/>
          </w:tcPr>
          <w:p>
            <w:pPr>
              <w:ind w:left="2740"/>
              <w:spacing w:after="0"/>
              <w:rPr>
                <w:sz w:val="20"/>
                <w:szCs w:val="20"/>
                <w:color w:val="auto"/>
              </w:rPr>
            </w:pPr>
            <w:r>
              <w:rPr>
                <w:rFonts w:ascii="Arial" w:cs="Arial" w:eastAsia="Arial" w:hAnsi="Arial"/>
                <w:sz w:val="17"/>
                <w:szCs w:val="17"/>
                <w:b w:val="1"/>
                <w:bCs w:val="1"/>
                <w:color w:val="auto"/>
              </w:rPr>
              <w:t>Title</w:t>
            </w:r>
          </w:p>
        </w:tc>
        <w:tc>
          <w:tcPr>
            <w:tcW w:w="2940" w:type="dxa"/>
            <w:vAlign w:val="bottom"/>
          </w:tcPr>
          <w:p>
            <w:pPr>
              <w:jc w:val="right"/>
              <w:ind w:right="854"/>
              <w:spacing w:after="0"/>
              <w:rPr>
                <w:sz w:val="20"/>
                <w:szCs w:val="20"/>
                <w:color w:val="auto"/>
              </w:rPr>
            </w:pPr>
            <w:r>
              <w:rPr>
                <w:rFonts w:ascii="Arial" w:cs="Arial" w:eastAsia="Arial" w:hAnsi="Arial"/>
                <w:sz w:val="17"/>
                <w:szCs w:val="17"/>
                <w:b w:val="1"/>
                <w:bCs w:val="1"/>
                <w:color w:val="auto"/>
              </w:rPr>
              <w:t>Date</w:t>
            </w:r>
          </w:p>
        </w:tc>
      </w:tr>
      <w:tr>
        <w:trPr>
          <w:trHeight w:val="438"/>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Christopher Beals</w:t>
            </w:r>
          </w:p>
        </w:tc>
        <w:tc>
          <w:tcPr>
            <w:tcW w:w="5120" w:type="dxa"/>
            <w:vAlign w:val="bottom"/>
          </w:tcPr>
          <w:p>
            <w:pPr>
              <w:ind w:left="140"/>
              <w:spacing w:after="0"/>
              <w:rPr>
                <w:sz w:val="20"/>
                <w:szCs w:val="20"/>
                <w:color w:val="auto"/>
              </w:rPr>
            </w:pPr>
            <w:r>
              <w:rPr>
                <w:rFonts w:ascii="Arial" w:cs="Arial" w:eastAsia="Arial" w:hAnsi="Arial"/>
                <w:sz w:val="17"/>
                <w:szCs w:val="17"/>
                <w:color w:val="auto"/>
              </w:rPr>
              <w:t>Chief Executive Officer and 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2"/>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Christopher Beals</w:t>
            </w:r>
          </w:p>
        </w:tc>
        <w:tc>
          <w:tcPr>
            <w:tcW w:w="5120" w:type="dxa"/>
            <w:vAlign w:val="bottom"/>
          </w:tcPr>
          <w:p>
            <w:pPr>
              <w:ind w:left="100"/>
              <w:spacing w:after="0"/>
              <w:rPr>
                <w:sz w:val="20"/>
                <w:szCs w:val="20"/>
                <w:color w:val="auto"/>
              </w:rPr>
            </w:pPr>
            <w:r>
              <w:rPr>
                <w:rFonts w:ascii="Arial" w:cs="Arial" w:eastAsia="Arial" w:hAnsi="Arial"/>
                <w:sz w:val="17"/>
                <w:szCs w:val="17"/>
                <w:color w:val="auto"/>
              </w:rPr>
              <w:t>(Principal Executive Officer)</w:t>
            </w:r>
          </w:p>
        </w:tc>
        <w:tc>
          <w:tcPr>
            <w:tcW w:w="2940" w:type="dxa"/>
            <w:vAlign w:val="bottom"/>
          </w:tcPr>
          <w:p>
            <w:pPr>
              <w:spacing w:after="0"/>
              <w:rPr>
                <w:sz w:val="18"/>
                <w:szCs w:val="18"/>
                <w:color w:val="auto"/>
              </w:rPr>
            </w:pPr>
          </w:p>
        </w:tc>
      </w:tr>
      <w:tr>
        <w:trPr>
          <w:trHeight w:val="438"/>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Arden Lee</w:t>
            </w:r>
          </w:p>
        </w:tc>
        <w:tc>
          <w:tcPr>
            <w:tcW w:w="51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2"/>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Arden Lee</w:t>
            </w:r>
          </w:p>
        </w:tc>
        <w:tc>
          <w:tcPr>
            <w:tcW w:w="5120" w:type="dxa"/>
            <w:vAlign w:val="bottom"/>
          </w:tcPr>
          <w:p>
            <w:pPr>
              <w:ind w:left="100"/>
              <w:spacing w:after="0"/>
              <w:rPr>
                <w:sz w:val="20"/>
                <w:szCs w:val="20"/>
                <w:color w:val="auto"/>
              </w:rPr>
            </w:pPr>
            <w:r>
              <w:rPr>
                <w:rFonts w:ascii="Arial" w:cs="Arial" w:eastAsia="Arial" w:hAnsi="Arial"/>
                <w:sz w:val="17"/>
                <w:szCs w:val="17"/>
                <w:color w:val="auto"/>
              </w:rPr>
              <w:t>(Principal Financial Officer and Principal Accounting Officer)</w:t>
            </w: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Tony Aquila</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Tony Aquila</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Douglas Francis</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Douglas Francis</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Brenda Freeman</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Brenda Freeman</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Olga Gonzalez</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Olga Gonzalez</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Scott Gordon</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Scott Gordon</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Justin Hartfield</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Justin Hartfield</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439"/>
        </w:trPr>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Fiona Tan</w:t>
            </w:r>
          </w:p>
        </w:tc>
        <w:tc>
          <w:tcPr>
            <w:tcW w:w="51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tcPr>
          <w:p>
            <w:pPr>
              <w:jc w:val="right"/>
              <w:ind w:right="854"/>
              <w:spacing w:after="0"/>
              <w:rPr>
                <w:sz w:val="20"/>
                <w:szCs w:val="20"/>
                <w:color w:val="auto"/>
              </w:rPr>
            </w:pPr>
            <w:r>
              <w:rPr>
                <w:rFonts w:ascii="Arial" w:cs="Arial" w:eastAsia="Arial" w:hAnsi="Arial"/>
                <w:sz w:val="17"/>
                <w:szCs w:val="17"/>
                <w:color w:val="auto"/>
              </w:rPr>
              <w:t>February 25, 2022</w:t>
            </w: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Fiona Tan</w:t>
            </w:r>
          </w:p>
        </w:tc>
        <w:tc>
          <w:tcPr>
            <w:tcW w:w="51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864"/>
        </w:trPr>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20" w:type="dxa"/>
            <w:vAlign w:val="bottom"/>
          </w:tcPr>
          <w:p>
            <w:pPr>
              <w:ind w:left="2360"/>
              <w:spacing w:after="0"/>
              <w:rPr>
                <w:sz w:val="20"/>
                <w:szCs w:val="20"/>
                <w:color w:val="auto"/>
              </w:rPr>
            </w:pPr>
            <w:r>
              <w:rPr>
                <w:rFonts w:ascii="Arial" w:cs="Arial" w:eastAsia="Arial" w:hAnsi="Arial"/>
                <w:sz w:val="17"/>
                <w:szCs w:val="17"/>
                <w:color w:val="auto"/>
              </w:rPr>
              <w:t>72</w:t>
            </w:r>
          </w:p>
        </w:tc>
        <w:tc>
          <w:tcPr>
            <w:tcW w:w="2940" w:type="dxa"/>
            <w:vAlign w:val="bottom"/>
          </w:tcPr>
          <w:p>
            <w:pPr>
              <w:spacing w:after="0"/>
              <w:rPr>
                <w:sz w:val="24"/>
                <w:szCs w:val="24"/>
                <w:color w:val="auto"/>
              </w:rPr>
            </w:pPr>
          </w:p>
        </w:tc>
      </w:tr>
      <w:tr>
        <w:trPr>
          <w:trHeight w:val="110"/>
        </w:trPr>
        <w:tc>
          <w:tcPr>
            <w:tcW w:w="1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Pr>
          <w:p>
            <w:pPr>
              <w:ind w:left="360"/>
              <w:spacing w:after="0"/>
              <w:rPr>
                <w:sz w:val="20"/>
                <w:szCs w:val="20"/>
                <w:color w:val="auto"/>
              </w:rPr>
            </w:pPr>
            <w:r>
              <w:rPr>
                <w:rFonts w:ascii="Arial" w:cs="Arial" w:eastAsia="Arial" w:hAnsi="Arial"/>
                <w:sz w:val="17"/>
                <w:szCs w:val="17"/>
                <w:b w:val="1"/>
                <w:bCs w:val="1"/>
                <w:color w:val="auto"/>
              </w:rPr>
              <w:t>INDEX TO CONSOLIDATED FINANCIAL STATEMENTS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897"/>
        </w:trPr>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656"/>
        </w:trPr>
        <w:tc>
          <w:tcPr>
            <w:tcW w:w="10360" w:type="dxa"/>
            <w:vAlign w:val="bottom"/>
            <w:gridSpan w:val="6"/>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 xml:space="preserve">Report of Independent Registered Public Accounting Firm </w:t>
              </w:r>
            </w:hyperlink>
            <w:r>
              <w:rPr>
                <w:rFonts w:ascii="Arial" w:cs="Arial" w:eastAsia="Arial" w:hAnsi="Arial"/>
                <w:sz w:val="17"/>
                <w:szCs w:val="17"/>
                <w:color w:val="0000EE"/>
              </w:rPr>
              <w:t xml:space="preserve">(PCAOB </w:t>
            </w:r>
            <w:hyperlink w:anchor="page77">
              <w:r>
                <w:rPr>
                  <w:rFonts w:ascii="Arial" w:cs="Arial" w:eastAsia="Arial" w:hAnsi="Arial"/>
                  <w:sz w:val="17"/>
                  <w:szCs w:val="17"/>
                  <w:color w:val="0000EE"/>
                </w:rPr>
                <w:t xml:space="preserve">ID </w:t>
              </w:r>
            </w:hyperlink>
            <w:r>
              <w:rPr>
                <w:rFonts w:ascii="Arial" w:cs="Arial" w:eastAsia="Arial" w:hAnsi="Arial"/>
                <w:sz w:val="17"/>
                <w:szCs w:val="17"/>
                <w:color w:val="0000EE"/>
              </w:rPr>
              <w:t>23)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46"/>
        </w:trPr>
        <w:tc>
          <w:tcPr>
            <w:tcW w:w="2000" w:type="dxa"/>
            <w:vAlign w:val="bottom"/>
            <w:tcBorders>
              <w:bottom w:val="single" w:sz="8" w:color="0000FF"/>
            </w:tcBorders>
          </w:tcPr>
          <w:p>
            <w:pPr>
              <w:spacing w:after="0"/>
              <w:rPr>
                <w:rFonts w:ascii="Arial" w:cs="Arial" w:eastAsia="Arial" w:hAnsi="Arial"/>
                <w:sz w:val="17"/>
                <w:szCs w:val="17"/>
                <w:color w:val="0000FF"/>
                <w:w w:val="88"/>
              </w:rPr>
            </w:pPr>
            <w:hyperlink w:anchor="page79">
              <w:r>
                <w:rPr>
                  <w:rFonts w:ascii="Arial" w:cs="Arial" w:eastAsia="Arial" w:hAnsi="Arial"/>
                  <w:sz w:val="17"/>
                  <w:szCs w:val="17"/>
                  <w:color w:val="0000FF"/>
                  <w:w w:val="88"/>
                </w:rPr>
                <w:t>Consolidated Balance Sheets</w:t>
              </w:r>
            </w:hyperlink>
          </w:p>
        </w:tc>
        <w:tc>
          <w:tcPr>
            <w:tcW w:w="836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0000EE"/>
            </w:tcBorders>
          </w:tcPr>
          <w:p>
            <w:pPr>
              <w:jc w:val="center"/>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79">
              <w:r>
                <w:rPr>
                  <w:rFonts w:ascii="Arial" w:cs="Arial" w:eastAsia="Arial" w:hAnsi="Arial"/>
                  <w:sz w:val="17"/>
                  <w:szCs w:val="17"/>
                  <w:color w:val="0000EE"/>
                  <w:w w:val="93"/>
                </w:rPr>
                <w:t>5</w:t>
              </w:r>
            </w:hyperlink>
          </w:p>
        </w:tc>
        <w:tc>
          <w:tcPr>
            <w:tcW w:w="260" w:type="dxa"/>
            <w:vAlign w:val="bottom"/>
          </w:tcPr>
          <w:p>
            <w:pPr>
              <w:spacing w:after="0"/>
              <w:rPr>
                <w:sz w:val="24"/>
                <w:szCs w:val="24"/>
                <w:color w:val="auto"/>
              </w:rPr>
            </w:pPr>
          </w:p>
        </w:tc>
      </w:tr>
      <w:tr>
        <w:trPr>
          <w:trHeight w:val="206"/>
        </w:trPr>
        <w:tc>
          <w:tcPr>
            <w:tcW w:w="2740" w:type="dxa"/>
            <w:vAlign w:val="bottom"/>
            <w:tcBorders>
              <w:bottom w:val="single" w:sz="8" w:color="0000FF"/>
            </w:tcBorders>
            <w:gridSpan w:val="4"/>
          </w:tcPr>
          <w:p>
            <w:pPr>
              <w:spacing w:after="0"/>
              <w:rPr>
                <w:rFonts w:ascii="Arial" w:cs="Arial" w:eastAsia="Arial" w:hAnsi="Arial"/>
                <w:sz w:val="17"/>
                <w:szCs w:val="17"/>
                <w:color w:val="0000FF"/>
                <w:w w:val="91"/>
              </w:rPr>
            </w:pPr>
            <w:hyperlink w:anchor="page80">
              <w:r>
                <w:rPr>
                  <w:rFonts w:ascii="Arial" w:cs="Arial" w:eastAsia="Arial" w:hAnsi="Arial"/>
                  <w:sz w:val="17"/>
                  <w:szCs w:val="17"/>
                  <w:color w:val="0000FF"/>
                  <w:w w:val="91"/>
                </w:rPr>
                <w:t>Consolidated Statements of Operations</w:t>
              </w:r>
            </w:hyperlink>
          </w:p>
        </w:tc>
        <w:tc>
          <w:tcPr>
            <w:tcW w:w="76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0000EE"/>
            </w:tcBorders>
          </w:tcPr>
          <w:p>
            <w:pPr>
              <w:jc w:val="center"/>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80">
              <w:r>
                <w:rPr>
                  <w:rFonts w:ascii="Arial" w:cs="Arial" w:eastAsia="Arial" w:hAnsi="Arial"/>
                  <w:sz w:val="17"/>
                  <w:szCs w:val="17"/>
                  <w:color w:val="0000EE"/>
                  <w:w w:val="93"/>
                </w:rPr>
                <w:t>6</w:t>
              </w:r>
            </w:hyperlink>
          </w:p>
        </w:tc>
        <w:tc>
          <w:tcPr>
            <w:tcW w:w="260" w:type="dxa"/>
            <w:vAlign w:val="bottom"/>
          </w:tcPr>
          <w:p>
            <w:pPr>
              <w:spacing w:after="0"/>
              <w:rPr>
                <w:sz w:val="17"/>
                <w:szCs w:val="17"/>
                <w:color w:val="auto"/>
              </w:rPr>
            </w:pPr>
          </w:p>
        </w:tc>
      </w:tr>
      <w:tr>
        <w:trPr>
          <w:trHeight w:val="212"/>
        </w:trPr>
        <w:tc>
          <w:tcPr>
            <w:tcW w:w="2400" w:type="dxa"/>
            <w:vAlign w:val="bottom"/>
            <w:tcBorders>
              <w:bottom w:val="single" w:sz="8" w:color="0000FF"/>
            </w:tcBorders>
            <w:gridSpan w:val="2"/>
          </w:tcPr>
          <w:p>
            <w:pPr>
              <w:spacing w:after="0"/>
              <w:rPr>
                <w:rFonts w:ascii="Arial" w:cs="Arial" w:eastAsia="Arial" w:hAnsi="Arial"/>
                <w:sz w:val="17"/>
                <w:szCs w:val="17"/>
                <w:color w:val="0000FF"/>
                <w:w w:val="91"/>
              </w:rPr>
            </w:pPr>
            <w:hyperlink w:anchor="page81">
              <w:r>
                <w:rPr>
                  <w:rFonts w:ascii="Arial" w:cs="Arial" w:eastAsia="Arial" w:hAnsi="Arial"/>
                  <w:sz w:val="17"/>
                  <w:szCs w:val="17"/>
                  <w:color w:val="0000FF"/>
                  <w:w w:val="91"/>
                </w:rPr>
                <w:t>Consolidated Statements of Equity</w:t>
              </w:r>
            </w:hyperlink>
          </w:p>
        </w:tc>
        <w:tc>
          <w:tcPr>
            <w:tcW w:w="796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0000EE"/>
            </w:tcBorders>
          </w:tcPr>
          <w:p>
            <w:pPr>
              <w:jc w:val="center"/>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81">
              <w:r>
                <w:rPr>
                  <w:rFonts w:ascii="Arial" w:cs="Arial" w:eastAsia="Arial" w:hAnsi="Arial"/>
                  <w:sz w:val="17"/>
                  <w:szCs w:val="17"/>
                  <w:color w:val="0000EE"/>
                  <w:w w:val="93"/>
                </w:rPr>
                <w:t>7</w:t>
              </w:r>
            </w:hyperlink>
          </w:p>
        </w:tc>
        <w:tc>
          <w:tcPr>
            <w:tcW w:w="260" w:type="dxa"/>
            <w:vAlign w:val="bottom"/>
          </w:tcPr>
          <w:p>
            <w:pPr>
              <w:spacing w:after="0"/>
              <w:rPr>
                <w:sz w:val="18"/>
                <w:szCs w:val="18"/>
                <w:color w:val="auto"/>
              </w:rPr>
            </w:pPr>
          </w:p>
        </w:tc>
      </w:tr>
      <w:tr>
        <w:trPr>
          <w:trHeight w:val="212"/>
        </w:trPr>
        <w:tc>
          <w:tcPr>
            <w:tcW w:w="274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82">
              <w:r>
                <w:rPr>
                  <w:rFonts w:ascii="Arial" w:cs="Arial" w:eastAsia="Arial" w:hAnsi="Arial"/>
                  <w:sz w:val="17"/>
                  <w:szCs w:val="17"/>
                  <w:color w:val="0000EE"/>
                  <w:w w:val="89"/>
                </w:rPr>
                <w:t>Consolidated Statements of Cash Flows</w:t>
              </w:r>
            </w:hyperlink>
          </w:p>
        </w:tc>
        <w:tc>
          <w:tcPr>
            <w:tcW w:w="76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0000EE"/>
            </w:tcBorders>
          </w:tcPr>
          <w:p>
            <w:pPr>
              <w:jc w:val="center"/>
              <w:spacing w:after="0"/>
              <w:rPr>
                <w:rFonts w:ascii="Arial" w:cs="Arial" w:eastAsia="Arial" w:hAnsi="Arial"/>
                <w:sz w:val="17"/>
                <w:szCs w:val="17"/>
                <w:color w:val="0000EE"/>
                <w:w w:val="93"/>
              </w:rPr>
            </w:pPr>
            <w:r>
              <w:rPr>
                <w:rFonts w:ascii="Arial" w:cs="Arial" w:eastAsia="Arial" w:hAnsi="Arial"/>
                <w:sz w:val="17"/>
                <w:szCs w:val="17"/>
                <w:color w:val="0000EE"/>
                <w:w w:val="93"/>
              </w:rPr>
              <w:t>F-</w:t>
            </w:r>
            <w:hyperlink w:anchor="page81">
              <w:r>
                <w:rPr>
                  <w:rFonts w:ascii="Arial" w:cs="Arial" w:eastAsia="Arial" w:hAnsi="Arial"/>
                  <w:sz w:val="17"/>
                  <w:szCs w:val="17"/>
                  <w:color w:val="0000EE"/>
                  <w:w w:val="93"/>
                </w:rPr>
                <w:t>7</w:t>
              </w:r>
            </w:hyperlink>
          </w:p>
        </w:tc>
        <w:tc>
          <w:tcPr>
            <w:tcW w:w="260" w:type="dxa"/>
            <w:vAlign w:val="bottom"/>
          </w:tcPr>
          <w:p>
            <w:pPr>
              <w:spacing w:after="0"/>
              <w:rPr>
                <w:sz w:val="18"/>
                <w:szCs w:val="18"/>
                <w:color w:val="auto"/>
              </w:rPr>
            </w:pPr>
          </w:p>
        </w:tc>
      </w:tr>
      <w:tr>
        <w:trPr>
          <w:trHeight w:val="212"/>
        </w:trPr>
        <w:tc>
          <w:tcPr>
            <w:tcW w:w="10360" w:type="dxa"/>
            <w:vAlign w:val="bottom"/>
            <w:gridSpan w:val="6"/>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Notes to Consolidated Financial Statements</w:t>
              </w:r>
            </w:hyperlink>
          </w:p>
        </w:tc>
        <w:tc>
          <w:tcPr>
            <w:tcW w:w="860" w:type="dxa"/>
            <w:vAlign w:val="bottom"/>
            <w:gridSpan w:val="3"/>
          </w:tcPr>
          <w:p>
            <w:pPr>
              <w:jc w:val="center"/>
              <w:spacing w:after="0"/>
              <w:rPr>
                <w:rFonts w:ascii="Arial" w:cs="Arial" w:eastAsia="Arial" w:hAnsi="Arial"/>
                <w:sz w:val="17"/>
                <w:szCs w:val="17"/>
                <w:color w:val="0000EE"/>
                <w:w w:val="91"/>
              </w:rPr>
            </w:pPr>
            <w:r>
              <w:rPr>
                <w:rFonts w:ascii="Arial" w:cs="Arial" w:eastAsia="Arial" w:hAnsi="Arial"/>
                <w:sz w:val="17"/>
                <w:szCs w:val="17"/>
                <w:color w:val="0000EE"/>
                <w:w w:val="91"/>
              </w:rPr>
              <w:t>F-</w:t>
            </w:r>
            <w:hyperlink w:anchor="page84">
              <w:r>
                <w:rPr>
                  <w:rFonts w:ascii="Arial" w:cs="Arial" w:eastAsia="Arial" w:hAnsi="Arial"/>
                  <w:sz w:val="17"/>
                  <w:szCs w:val="17"/>
                  <w:color w:val="0000EE"/>
                  <w:w w:val="91"/>
                </w:rPr>
                <w:t>10</w:t>
              </w:r>
            </w:hyperlink>
          </w:p>
        </w:tc>
      </w:tr>
      <w:tr>
        <w:trPr>
          <w:trHeight w:val="20"/>
        </w:trPr>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Stockholders and Board of Directors of WM Technology,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Adoption of ASU No. 2016-02</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As discussed in Note 2 to the consolidated financial statements, effective January 1, 2021, the Company adopted Accounting Standards Codification Topic 842, Leases (Topic 842).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States)(PCAOB) and are required to be independent with respect to the Company in accordance with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Matter Related to the Company’s Operations</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firstLine="3"/>
        <w:spacing w:after="0" w:line="230" w:lineRule="auto"/>
        <w:tabs>
          <w:tab w:leader="none" w:pos="243"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We Addressed the Matter in Our Audit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216"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Obtaining an understanding of the Company’s revenue recognition policy and evaluated for appropriateness.</w:t>
      </w:r>
    </w:p>
    <w:p>
      <w:pPr>
        <w:ind w:left="620" w:hanging="307"/>
        <w:spacing w:after="0" w:line="235" w:lineRule="auto"/>
        <w:tabs>
          <w:tab w:leader="none" w:pos="6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ind w:left="620" w:hanging="307"/>
        <w:spacing w:after="0" w:line="221"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Inquiring of personnel outside of the accounting function to corroborate our understanding of certain terms and conditions for a selection of revenue transactions.</w:t>
      </w:r>
    </w:p>
    <w:p>
      <w:pPr>
        <w:ind w:left="620" w:hanging="307"/>
        <w:spacing w:after="0" w:line="221"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Testing a sample of revenue transactions by inspecting the underlying customer agreements and invoices, and evaluating the Company’s recognition in accordance with revenue recognition policies.</w:t>
      </w:r>
    </w:p>
    <w:p>
      <w:pPr>
        <w:ind w:left="620" w:hanging="30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Tested a sample of revenue contracts to ensure appropriate identification of performance obligations and recognition of either point-in-time or over-time.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Valuation of Intangible Assets in the Sprout and Transportation Logistics Holding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We Addressed the Matter in Our Audit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217" w:lineRule="exact"/>
        <w:rPr>
          <w:sz w:val="20"/>
          <w:szCs w:val="20"/>
          <w:color w:val="auto"/>
        </w:rPr>
      </w:pPr>
    </w:p>
    <w:p>
      <w:pPr>
        <w:jc w:val="both"/>
        <w:ind w:left="620" w:hanging="307"/>
        <w:spacing w:after="0" w:line="227"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jc w:val="both"/>
        <w:ind w:left="620" w:hanging="307"/>
        <w:spacing w:after="0" w:line="221"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1" w:lineRule="exact"/>
        <w:rPr>
          <w:rFonts w:ascii="Arial" w:cs="Arial" w:eastAsia="Arial" w:hAnsi="Arial"/>
          <w:sz w:val="17"/>
          <w:szCs w:val="17"/>
          <w:color w:val="auto"/>
        </w:rPr>
      </w:pPr>
    </w:p>
    <w:p>
      <w:pPr>
        <w:ind w:left="620" w:hanging="307"/>
        <w:spacing w:after="0" w:line="221"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Involved auditor engaged valuation specialist to assist with our evaluation of the methodologies used by the Company and significant assumptions included in the preliminary fair value estimates.</w:t>
      </w: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Tested the clerical accuracy of the models.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Measurement of the Tax Receivable Agreement Asset and Liability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We Addressed the Matter in Our Audit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217" w:lineRule="exact"/>
        <w:rPr>
          <w:sz w:val="20"/>
          <w:szCs w:val="20"/>
          <w:color w:val="auto"/>
        </w:rPr>
      </w:pPr>
    </w:p>
    <w:p>
      <w:pPr>
        <w:ind w:left="620" w:hanging="307"/>
        <w:spacing w:after="0" w:line="230"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Obtained an understanding and evaluated the design and implementation of controls over the Company’s process for determining the measurement of the TRA asset and liability.</w:t>
      </w:r>
    </w:p>
    <w:p>
      <w:pPr>
        <w:ind w:left="620" w:hanging="307"/>
        <w:spacing w:after="0" w:line="221"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Tested the completeness and accuracy of the deferred tax asset related to the basis difference in the investment in WMH LLC.</w:t>
      </w:r>
    </w:p>
    <w:p>
      <w:pPr>
        <w:ind w:left="620" w:hanging="307"/>
        <w:spacing w:after="0" w:line="221"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Recalculated the change in tax basis resulting from the transaction, including the determination of fair value.</w:t>
      </w:r>
    </w:p>
    <w:p>
      <w:pPr>
        <w:ind w:left="620" w:hanging="307"/>
        <w:spacing w:after="0" w:line="235"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Tested the measurement of the Company’s TRA liability by recalculating the Company’s share of the tax basis in the net assets of WMH LLC.</w:t>
      </w:r>
    </w:p>
    <w:p>
      <w:pPr>
        <w:jc w:val="both"/>
        <w:ind w:left="620" w:hanging="307"/>
        <w:spacing w:after="0" w:line="22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 w:lineRule="exact"/>
        <w:rPr>
          <w:rFonts w:ascii="Arial" w:cs="Arial" w:eastAsia="Arial" w:hAnsi="Arial"/>
          <w:sz w:val="17"/>
          <w:szCs w:val="17"/>
          <w:color w:val="auto"/>
        </w:rPr>
      </w:pPr>
    </w:p>
    <w:p>
      <w:pPr>
        <w:ind w:left="620" w:hanging="307"/>
        <w:spacing w:after="0" w:line="22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also assessed the historical accuracy of management’s projections and reconciled the projections of future taxable income with other forecasted financial information prepared by the Company.</w:t>
      </w:r>
    </w:p>
    <w:p>
      <w:pPr>
        <w:ind w:left="620" w:hanging="307"/>
        <w:spacing w:after="0" w:line="221"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Recalculated the TRA liability and verified the calculation of the TRA liability was in accordance with the terms set out in the TRA.</w:t>
      </w: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Involved auditor engaged tax specialists to assist with the performance of such audit procedures listed above.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 Baker Tilly US, LLP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Irvine, California</w:t>
      </w:r>
    </w:p>
    <w:p>
      <w:pPr>
        <w:spacing w:after="0"/>
        <w:rPr>
          <w:sz w:val="20"/>
          <w:szCs w:val="20"/>
          <w:color w:val="auto"/>
        </w:rPr>
      </w:pPr>
      <w:r>
        <w:rPr>
          <w:rFonts w:ascii="Arial" w:cs="Arial" w:eastAsia="Arial" w:hAnsi="Arial"/>
          <w:sz w:val="17"/>
          <w:szCs w:val="17"/>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7"/>
        </w:trPr>
        <w:tc>
          <w:tcPr>
            <w:tcW w:w="1220" w:type="dxa"/>
            <w:vAlign w:val="bottom"/>
            <w:tcBorders>
              <w:top w:val="single" w:sz="8" w:color="0000FF"/>
            </w:tcBorders>
          </w:tcPr>
          <w:p>
            <w:pPr>
              <w:spacing w:after="0"/>
              <w:rPr>
                <w:sz w:val="24"/>
                <w:szCs w:val="24"/>
                <w:color w:val="auto"/>
              </w:rPr>
            </w:pPr>
          </w:p>
        </w:tc>
        <w:tc>
          <w:tcPr>
            <w:tcW w:w="7380" w:type="dxa"/>
            <w:vAlign w:val="bottom"/>
            <w:gridSpan w:val="2"/>
          </w:tcPr>
          <w:p>
            <w:pPr>
              <w:jc w:val="center"/>
              <w:ind w:left="1334"/>
              <w:spacing w:after="0"/>
              <w:rPr>
                <w:sz w:val="20"/>
                <w:szCs w:val="20"/>
                <w:color w:val="auto"/>
              </w:rPr>
            </w:pPr>
            <w:r>
              <w:rPr>
                <w:rFonts w:ascii="Arial" w:cs="Arial" w:eastAsia="Arial" w:hAnsi="Arial"/>
                <w:sz w:val="17"/>
                <w:szCs w:val="17"/>
                <w:b w:val="1"/>
                <w:bCs w:val="1"/>
                <w:color w:val="auto"/>
              </w:rPr>
              <w:t>WM TECHNOLOGY, INC. AND SUBSIDIARIES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220" w:type="dxa"/>
            <w:vAlign w:val="bottom"/>
          </w:tcPr>
          <w:p>
            <w:pPr>
              <w:jc w:val="center"/>
              <w:ind w:left="2514"/>
              <w:spacing w:after="0"/>
              <w:rPr>
                <w:sz w:val="20"/>
                <w:szCs w:val="20"/>
                <w:color w:val="auto"/>
              </w:rPr>
            </w:pPr>
            <w:r>
              <w:rPr>
                <w:rFonts w:ascii="Arial" w:cs="Arial" w:eastAsia="Arial" w:hAnsi="Arial"/>
                <w:sz w:val="17"/>
                <w:szCs w:val="17"/>
                <w:b w:val="1"/>
                <w:bCs w:val="1"/>
                <w:color w:val="auto"/>
              </w:rPr>
              <w:t>CONSOLIDATED BALANCE SHEETS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220" w:type="dxa"/>
            <w:vAlign w:val="bottom"/>
          </w:tcPr>
          <w:p>
            <w:pPr>
              <w:jc w:val="center"/>
              <w:ind w:left="2494"/>
              <w:spacing w:after="0"/>
              <w:rPr>
                <w:sz w:val="20"/>
                <w:szCs w:val="20"/>
                <w:color w:val="auto"/>
              </w:rPr>
            </w:pPr>
            <w:r>
              <w:rPr>
                <w:rFonts w:ascii="Arial" w:cs="Arial" w:eastAsia="Arial" w:hAnsi="Arial"/>
                <w:sz w:val="17"/>
                <w:szCs w:val="17"/>
                <w:b w:val="1"/>
                <w:bCs w:val="1"/>
                <w:color w:val="auto"/>
                <w:w w:val="90"/>
              </w:rPr>
              <w:t>(In thousands, except for share data)</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67,777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17,550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9,428</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4,820</w:t>
            </w:r>
          </w:p>
        </w:tc>
        <w:tc>
          <w:tcPr>
            <w:tcW w:w="0" w:type="dxa"/>
            <w:vAlign w:val="bottom"/>
          </w:tcPr>
          <w:p>
            <w:pPr>
              <w:spacing w:after="0"/>
              <w:rPr>
                <w:sz w:val="1"/>
                <w:szCs w:val="1"/>
                <w:color w:val="auto"/>
              </w:rPr>
            </w:pPr>
          </w:p>
        </w:tc>
      </w:tr>
      <w:tr>
        <w:trPr>
          <w:trHeight w:val="211"/>
        </w:trPr>
        <w:tc>
          <w:tcPr>
            <w:tcW w:w="7440" w:type="dxa"/>
            <w:vAlign w:val="bottom"/>
            <w:gridSpan w:val="2"/>
          </w:tcPr>
          <w:p>
            <w:pPr>
              <w:ind w:left="320"/>
              <w:spacing w:after="0"/>
              <w:rPr>
                <w:sz w:val="20"/>
                <w:szCs w:val="20"/>
                <w:color w:val="auto"/>
              </w:rPr>
            </w:pPr>
            <w:r>
              <w:rPr>
                <w:rFonts w:ascii="Arial" w:cs="Arial" w:eastAsia="Arial" w:hAnsi="Arial"/>
                <w:sz w:val="17"/>
                <w:szCs w:val="17"/>
                <w:color w:val="auto"/>
              </w:rPr>
              <w:t>Total current assets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98,934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34,167</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45,295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36,549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152,097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assets</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10,687</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3,874</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365,144</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4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23,155</w:t>
            </w:r>
          </w:p>
        </w:tc>
        <w:tc>
          <w:tcPr>
            <w:tcW w:w="80" w:type="dxa"/>
            <w:vAlign w:val="bottom"/>
          </w:tcPr>
          <w:p>
            <w:pPr>
              <w:spacing w:after="0"/>
              <w:rPr>
                <w:sz w:val="18"/>
                <w:szCs w:val="18"/>
                <w:color w:val="auto"/>
              </w:rPr>
            </w:pPr>
          </w:p>
        </w:tc>
        <w:tc>
          <w:tcPr>
            <w:tcW w:w="62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12,651</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20"/>
              <w:spacing w:after="0"/>
              <w:rPr>
                <w:sz w:val="20"/>
                <w:szCs w:val="20"/>
                <w:color w:val="auto"/>
              </w:rPr>
            </w:pPr>
            <w:r>
              <w:rPr>
                <w:rFonts w:ascii="Arial" w:cs="Arial" w:eastAsia="Arial" w:hAnsi="Arial"/>
                <w:sz w:val="17"/>
                <w:szCs w:val="17"/>
                <w:color w:val="auto"/>
              </w:rPr>
              <w:t>Deferred rent</w:t>
            </w:r>
          </w:p>
        </w:tc>
        <w:tc>
          <w:tcPr>
            <w:tcW w:w="1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 liabilities, 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20"/>
              <w:spacing w:after="0"/>
              <w:rPr>
                <w:sz w:val="20"/>
                <w:szCs w:val="20"/>
                <w:color w:val="auto"/>
              </w:rPr>
            </w:pPr>
            <w:r>
              <w:rPr>
                <w:rFonts w:ascii="Arial" w:cs="Arial" w:eastAsia="Arial" w:hAnsi="Arial"/>
                <w:sz w:val="17"/>
                <w:szCs w:val="17"/>
                <w:color w:val="auto"/>
              </w:rPr>
              <w:t>Notes payable to members</w:t>
            </w:r>
          </w:p>
        </w:tc>
        <w:tc>
          <w:tcPr>
            <w:tcW w:w="1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440" w:type="dxa"/>
            <w:vAlign w:val="bottom"/>
            <w:gridSpan w:val="2"/>
          </w:tcPr>
          <w:p>
            <w:pPr>
              <w:ind w:left="320"/>
              <w:spacing w:after="0"/>
              <w:rPr>
                <w:sz w:val="20"/>
                <w:szCs w:val="20"/>
                <w:color w:val="auto"/>
              </w:rPr>
            </w:pPr>
            <w:r>
              <w:rPr>
                <w:rFonts w:ascii="Arial" w:cs="Arial" w:eastAsia="Arial" w:hAnsi="Arial"/>
                <w:sz w:val="17"/>
                <w:szCs w:val="17"/>
                <w:color w:val="auto"/>
              </w:rPr>
              <w:t>Total current liabilities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37,800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23,249</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39,377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Tax receivable agreement liability</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128,567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1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1,374</w:t>
            </w:r>
          </w:p>
        </w:tc>
        <w:tc>
          <w:tcPr>
            <w:tcW w:w="0" w:type="dxa"/>
            <w:vAlign w:val="bottom"/>
          </w:tcPr>
          <w:p>
            <w:pPr>
              <w:spacing w:after="0"/>
              <w:rPr>
                <w:sz w:val="1"/>
                <w:szCs w:val="1"/>
                <w:color w:val="auto"/>
              </w:rPr>
            </w:pPr>
          </w:p>
        </w:tc>
      </w:tr>
      <w:tr>
        <w:trPr>
          <w:trHeight w:val="213"/>
        </w:trPr>
        <w:tc>
          <w:tcPr>
            <w:tcW w:w="74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233,204</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24,623</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 (Note 4)</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equity/Members’ equity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4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2"/>
              </w:rPr>
              <w:t>Preferred Stock - $0.0001 par value; 75,000,000 shares authorized; no shares issued and outstanding at</w:t>
            </w:r>
          </w:p>
        </w:tc>
        <w:tc>
          <w:tcPr>
            <w:tcW w:w="1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gridSpan w:val="2"/>
          </w:tcPr>
          <w:p>
            <w:pPr>
              <w:ind w:left="320"/>
              <w:spacing w:after="0"/>
              <w:rPr>
                <w:sz w:val="20"/>
                <w:szCs w:val="20"/>
                <w:color w:val="auto"/>
              </w:rPr>
            </w:pPr>
            <w:r>
              <w:rPr>
                <w:rFonts w:ascii="Arial" w:cs="Arial" w:eastAsia="Arial" w:hAnsi="Arial"/>
                <w:sz w:val="17"/>
                <w:szCs w:val="17"/>
                <w:color w:val="auto"/>
              </w:rPr>
              <w:t>December 31, 2021 and December 31, 2020</w:t>
            </w:r>
          </w:p>
        </w:tc>
        <w:tc>
          <w:tcPr>
            <w:tcW w:w="1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7"/>
                <w:szCs w:val="17"/>
                <w:color w:val="auto"/>
                <w:w w:val="97"/>
              </w:rPr>
              <w:t>Class A Common Stock - $0.0001 par value; 1,500,000,000 shares authorized; 65,677,361 shares</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gridSpan w:val="2"/>
            <w:shd w:val="clear" w:color="auto" w:fill="CCEEFF"/>
          </w:tcPr>
          <w:p>
            <w:pPr>
              <w:ind w:left="320"/>
              <w:spacing w:after="0" w:line="167" w:lineRule="exact"/>
              <w:rPr>
                <w:sz w:val="20"/>
                <w:szCs w:val="20"/>
                <w:color w:val="auto"/>
              </w:rPr>
            </w:pPr>
            <w:r>
              <w:rPr>
                <w:rFonts w:ascii="Arial" w:cs="Arial" w:eastAsia="Arial" w:hAnsi="Arial"/>
                <w:sz w:val="17"/>
                <w:szCs w:val="17"/>
                <w:color w:val="auto"/>
                <w:w w:val="92"/>
              </w:rPr>
              <w:t>issued and outstanding at December 31, 2021 and no shares issued and outstanding at December 31,</w:t>
            </w:r>
          </w:p>
        </w:tc>
        <w:tc>
          <w:tcPr>
            <w:tcW w:w="1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2020</w:t>
            </w:r>
          </w:p>
        </w:tc>
        <w:tc>
          <w:tcPr>
            <w:tcW w:w="6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4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2"/>
              </w:rPr>
              <w:t>Class V Common Stock - $0.0001 par value; 500,000,000 shares authorized, 65,502,347 shares issued</w:t>
            </w:r>
          </w:p>
        </w:tc>
        <w:tc>
          <w:tcPr>
            <w:tcW w:w="1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gridSpan w:val="2"/>
          </w:tcPr>
          <w:p>
            <w:pPr>
              <w:ind w:left="320"/>
              <w:spacing w:after="0"/>
              <w:rPr>
                <w:sz w:val="20"/>
                <w:szCs w:val="20"/>
                <w:color w:val="auto"/>
              </w:rPr>
            </w:pPr>
            <w:r>
              <w:rPr>
                <w:rFonts w:ascii="Arial" w:cs="Arial" w:eastAsia="Arial" w:hAnsi="Arial"/>
                <w:sz w:val="17"/>
                <w:szCs w:val="17"/>
                <w:color w:val="auto"/>
                <w:w w:val="93"/>
              </w:rPr>
              <w:t>and outstanding at December 31, 2021 and no shares issued and outstanding at December 31, 2020</w:t>
            </w:r>
          </w:p>
        </w:tc>
        <w:tc>
          <w:tcPr>
            <w:tcW w:w="1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Retained earnings</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61,369</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WM Technology, Inc. stockholders’ equity</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440" w:type="dxa"/>
            <w:vAlign w:val="bottom"/>
            <w:gridSpan w:val="2"/>
          </w:tcPr>
          <w:p>
            <w:pPr>
              <w:ind w:left="220"/>
              <w:spacing w:after="0"/>
              <w:rPr>
                <w:sz w:val="20"/>
                <w:szCs w:val="20"/>
                <w:color w:val="auto"/>
              </w:rPr>
            </w:pPr>
            <w:r>
              <w:rPr>
                <w:rFonts w:ascii="Arial" w:cs="Arial" w:eastAsia="Arial" w:hAnsi="Arial"/>
                <w:sz w:val="17"/>
                <w:szCs w:val="17"/>
                <w:color w:val="auto"/>
              </w:rPr>
              <w:t>Noncontrolling interests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68,384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Members’ equity</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29,271</w:t>
            </w:r>
          </w:p>
        </w:tc>
        <w:tc>
          <w:tcPr>
            <w:tcW w:w="0" w:type="dxa"/>
            <w:vAlign w:val="bottom"/>
          </w:tcPr>
          <w:p>
            <w:pPr>
              <w:spacing w:after="0"/>
              <w:rPr>
                <w:sz w:val="1"/>
                <w:szCs w:val="1"/>
                <w:color w:val="auto"/>
              </w:rPr>
            </w:pPr>
          </w:p>
        </w:tc>
      </w:tr>
      <w:tr>
        <w:trPr>
          <w:trHeight w:val="211"/>
        </w:trPr>
        <w:tc>
          <w:tcPr>
            <w:tcW w:w="74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equity</w:t>
            </w:r>
          </w:p>
        </w:tc>
        <w:tc>
          <w:tcPr>
            <w:tcW w:w="1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131,940</w:t>
            </w: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29,271</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equity/members’ equity</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365,144</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414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6700" w:type="dxa"/>
            <w:vAlign w:val="bottom"/>
            <w:gridSpan w:val="6"/>
          </w:tcPr>
          <w:p>
            <w:pPr>
              <w:jc w:val="center"/>
              <w:ind w:left="2014"/>
              <w:spacing w:after="0"/>
              <w:rPr>
                <w:sz w:val="20"/>
                <w:szCs w:val="20"/>
                <w:color w:val="auto"/>
              </w:rPr>
            </w:pPr>
            <w:r>
              <w:rPr>
                <w:rFonts w:ascii="Arial" w:cs="Arial" w:eastAsia="Arial" w:hAnsi="Arial"/>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700" w:type="dxa"/>
            <w:vAlign w:val="bottom"/>
            <w:gridSpan w:val="6"/>
          </w:tcPr>
          <w:p>
            <w:pPr>
              <w:jc w:val="center"/>
              <w:ind w:left="2034"/>
              <w:spacing w:after="0"/>
              <w:rPr>
                <w:sz w:val="20"/>
                <w:szCs w:val="20"/>
                <w:color w:val="auto"/>
              </w:rPr>
            </w:pPr>
            <w:r>
              <w:rPr>
                <w:rFonts w:ascii="Arial" w:cs="Arial" w:eastAsia="Arial" w:hAnsi="Arial"/>
                <w:sz w:val="17"/>
                <w:szCs w:val="17"/>
                <w:b w:val="1"/>
                <w:bCs w:val="1"/>
                <w:color w:val="auto"/>
              </w:rPr>
              <w:t>CONSOLIDATED STATEMENTS OF OPERATIONS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220" w:type="dxa"/>
            <w:vAlign w:val="bottom"/>
            <w:gridSpan w:val="3"/>
          </w:tcPr>
          <w:p>
            <w:pPr>
              <w:jc w:val="center"/>
              <w:ind w:right="174"/>
              <w:spacing w:after="0"/>
              <w:rPr>
                <w:sz w:val="20"/>
                <w:szCs w:val="20"/>
                <w:color w:val="auto"/>
              </w:rPr>
            </w:pPr>
            <w:r>
              <w:rPr>
                <w:rFonts w:ascii="Arial" w:cs="Arial" w:eastAsia="Arial" w:hAnsi="Arial"/>
                <w:sz w:val="17"/>
                <w:szCs w:val="17"/>
                <w:b w:val="1"/>
                <w:bCs w:val="1"/>
                <w:color w:val="auto"/>
                <w:w w:val="90"/>
              </w:rPr>
              <w:t>(In thousands, except for share data)</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21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193,146</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161,791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144,232</w:t>
            </w:r>
          </w:p>
        </w:tc>
      </w:tr>
      <w:tr>
        <w:trPr>
          <w:trHeight w:val="245"/>
        </w:trPr>
        <w:tc>
          <w:tcPr>
            <w:tcW w:w="414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4140" w:type="dxa"/>
            <w:vAlign w:val="bottom"/>
            <w:gridSpan w:val="2"/>
          </w:tcPr>
          <w:p>
            <w:pPr>
              <w:ind w:left="120"/>
              <w:spacing w:after="0"/>
              <w:rPr>
                <w:sz w:val="20"/>
                <w:szCs w:val="20"/>
                <w:color w:val="auto"/>
              </w:rPr>
            </w:pPr>
            <w:r>
              <w:rPr>
                <w:rFonts w:ascii="Arial" w:cs="Arial" w:eastAsia="Arial" w:hAnsi="Arial"/>
                <w:sz w:val="17"/>
                <w:szCs w:val="17"/>
                <w:color w:val="auto"/>
              </w:rPr>
              <w:t>Cost of revenues</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7,938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7,630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7,074</w:t>
            </w:r>
          </w:p>
        </w:tc>
      </w:tr>
      <w:tr>
        <w:trPr>
          <w:trHeight w:val="220"/>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Sales and marketing</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39,746</w:t>
            </w:r>
          </w:p>
        </w:tc>
      </w:tr>
      <w:tr>
        <w:trPr>
          <w:trHeight w:val="218"/>
        </w:trPr>
        <w:tc>
          <w:tcPr>
            <w:tcW w:w="4140" w:type="dxa"/>
            <w:vAlign w:val="bottom"/>
            <w:gridSpan w:val="2"/>
          </w:tcPr>
          <w:p>
            <w:pPr>
              <w:ind w:left="120"/>
              <w:spacing w:after="0"/>
              <w:rPr>
                <w:sz w:val="20"/>
                <w:szCs w:val="20"/>
                <w:color w:val="auto"/>
              </w:rPr>
            </w:pPr>
            <w:r>
              <w:rPr>
                <w:rFonts w:ascii="Arial" w:cs="Arial" w:eastAsia="Arial" w:hAnsi="Arial"/>
                <w:sz w:val="17"/>
                <w:szCs w:val="17"/>
                <w:color w:val="auto"/>
              </w:rPr>
              <w:t>Product development</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35,395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27,142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29,497</w:t>
            </w:r>
          </w:p>
        </w:tc>
      </w:tr>
      <w:tr>
        <w:trPr>
          <w:trHeight w:val="220"/>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56,466</w:t>
            </w:r>
          </w:p>
        </w:tc>
      </w:tr>
      <w:tr>
        <w:trPr>
          <w:trHeight w:val="218"/>
        </w:trPr>
        <w:tc>
          <w:tcPr>
            <w:tcW w:w="4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13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5,162</w:t>
            </w:r>
          </w:p>
        </w:tc>
      </w:tr>
      <w:tr>
        <w:trPr>
          <w:trHeight w:val="213"/>
        </w:trPr>
        <w:tc>
          <w:tcPr>
            <w:tcW w:w="41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3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201,324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120,593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137,945</w:t>
            </w:r>
          </w:p>
        </w:tc>
      </w:tr>
      <w:tr>
        <w:trPr>
          <w:trHeight w:val="211"/>
        </w:trPr>
        <w:tc>
          <w:tcPr>
            <w:tcW w:w="4140" w:type="dxa"/>
            <w:vAlign w:val="bottom"/>
            <w:gridSpan w:val="2"/>
          </w:tcPr>
          <w:p>
            <w:pPr>
              <w:ind w:left="20"/>
              <w:spacing w:after="0"/>
              <w:rPr>
                <w:sz w:val="20"/>
                <w:szCs w:val="20"/>
                <w:color w:val="auto"/>
              </w:rPr>
            </w:pPr>
            <w:r>
              <w:rPr>
                <w:rFonts w:ascii="Arial" w:cs="Arial" w:eastAsia="Arial" w:hAnsi="Arial"/>
                <w:sz w:val="17"/>
                <w:szCs w:val="17"/>
                <w:color w:val="auto"/>
              </w:rPr>
              <w:t>Operating (loss) income</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(8,178)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41,198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6,287</w:t>
            </w:r>
          </w:p>
        </w:tc>
      </w:tr>
      <w:tr>
        <w:trPr>
          <w:trHeight w:val="22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4140" w:type="dxa"/>
            <w:vAlign w:val="bottom"/>
            <w:gridSpan w:val="2"/>
          </w:tcPr>
          <w:p>
            <w:pPr>
              <w:ind w:left="120"/>
              <w:spacing w:after="0"/>
              <w:rPr>
                <w:sz w:val="20"/>
                <w:szCs w:val="20"/>
                <w:color w:val="auto"/>
              </w:rPr>
            </w:pPr>
            <w:r>
              <w:rPr>
                <w:rFonts w:ascii="Arial" w:cs="Arial" w:eastAsia="Arial" w:hAnsi="Arial"/>
                <w:sz w:val="17"/>
                <w:szCs w:val="17"/>
                <w:color w:val="auto"/>
              </w:rPr>
              <w:t>Change in fair value of warrant liability</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166,518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expense, net</w:t>
            </w:r>
          </w:p>
        </w:tc>
        <w:tc>
          <w:tcPr>
            <w:tcW w:w="13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(5,341)</w:t>
            </w:r>
          </w:p>
        </w:tc>
      </w:tr>
      <w:tr>
        <w:trPr>
          <w:trHeight w:val="211"/>
        </w:trPr>
        <w:tc>
          <w:tcPr>
            <w:tcW w:w="414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151,617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38,830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946</w:t>
            </w:r>
          </w:p>
        </w:tc>
      </w:tr>
      <w:tr>
        <w:trPr>
          <w:trHeight w:val="220"/>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(Benefit from) provision for income taxes</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r>
      <w:tr>
        <w:trPr>
          <w:trHeight w:val="211"/>
        </w:trPr>
        <w:tc>
          <w:tcPr>
            <w:tcW w:w="4140" w:type="dxa"/>
            <w:vAlign w:val="bottom"/>
            <w:gridSpan w:val="2"/>
          </w:tcPr>
          <w:p>
            <w:pPr>
              <w:ind w:left="220"/>
              <w:spacing w:after="0"/>
              <w:rPr>
                <w:sz w:val="20"/>
                <w:szCs w:val="20"/>
                <w:color w:val="auto"/>
              </w:rPr>
            </w:pPr>
            <w:r>
              <w:rPr>
                <w:rFonts w:ascii="Arial" w:cs="Arial" w:eastAsia="Arial" w:hAnsi="Arial"/>
                <w:sz w:val="17"/>
                <w:szCs w:val="17"/>
                <w:color w:val="auto"/>
              </w:rPr>
              <w:t>Net income (loss)</w:t>
            </w:r>
          </w:p>
        </w:tc>
        <w:tc>
          <w:tcPr>
            <w:tcW w:w="1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152,218</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38,830</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w:t>
            </w:r>
          </w:p>
        </w:tc>
      </w:tr>
      <w:tr>
        <w:trPr>
          <w:trHeight w:val="21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Net income attributable to noncontrolling interests</w:t>
            </w:r>
          </w:p>
        </w:tc>
        <w:tc>
          <w:tcPr>
            <w:tcW w:w="13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91,835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140" w:type="dxa"/>
            <w:vAlign w:val="bottom"/>
            <w:gridSpan w:val="2"/>
          </w:tcPr>
          <w:p>
            <w:pPr>
              <w:ind w:left="220"/>
              <w:spacing w:after="0"/>
              <w:rPr>
                <w:sz w:val="20"/>
                <w:szCs w:val="20"/>
                <w:color w:val="auto"/>
              </w:rPr>
            </w:pPr>
            <w:r>
              <w:rPr>
                <w:rFonts w:ascii="Arial" w:cs="Arial" w:eastAsia="Arial" w:hAnsi="Arial"/>
                <w:sz w:val="17"/>
                <w:szCs w:val="17"/>
                <w:color w:val="auto"/>
                <w:w w:val="96"/>
              </w:rPr>
              <w:t>Net income (loss) attributable to WM Technology, Inc.</w:t>
            </w:r>
          </w:p>
        </w:tc>
        <w:tc>
          <w:tcPr>
            <w:tcW w:w="1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60,383</w:t>
            </w:r>
          </w:p>
        </w:tc>
        <w:tc>
          <w:tcPr>
            <w:tcW w:w="5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38,830</w:t>
            </w:r>
          </w:p>
        </w:tc>
        <w:tc>
          <w:tcPr>
            <w:tcW w:w="8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8"/>
        </w:trPr>
        <w:tc>
          <w:tcPr>
            <w:tcW w:w="414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Basic income per share</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N/A¹</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18"/>
        </w:trPr>
        <w:tc>
          <w:tcPr>
            <w:tcW w:w="4140" w:type="dxa"/>
            <w:vAlign w:val="bottom"/>
            <w:gridSpan w:val="2"/>
          </w:tcPr>
          <w:p>
            <w:pPr>
              <w:ind w:left="120"/>
              <w:spacing w:after="0"/>
              <w:rPr>
                <w:sz w:val="20"/>
                <w:szCs w:val="20"/>
                <w:color w:val="auto"/>
              </w:rPr>
            </w:pPr>
            <w:r>
              <w:rPr>
                <w:rFonts w:ascii="Arial" w:cs="Arial" w:eastAsia="Arial" w:hAnsi="Arial"/>
                <w:sz w:val="17"/>
                <w:szCs w:val="17"/>
                <w:color w:val="auto"/>
              </w:rPr>
              <w:t>Diluted loss per share</w:t>
            </w:r>
          </w:p>
        </w:tc>
        <w:tc>
          <w:tcPr>
            <w:tcW w:w="1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ind w:left="1020"/>
              <w:spacing w:after="0"/>
              <w:rPr>
                <w:sz w:val="20"/>
                <w:szCs w:val="20"/>
                <w:color w:val="auto"/>
              </w:rPr>
            </w:pPr>
            <w:r>
              <w:rPr>
                <w:rFonts w:ascii="Arial" w:cs="Arial" w:eastAsia="Arial" w:hAnsi="Arial"/>
                <w:sz w:val="17"/>
                <w:szCs w:val="17"/>
                <w:color w:val="auto"/>
              </w:rPr>
              <w:t>N/A¹</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N/A¹</w:t>
            </w:r>
          </w:p>
        </w:tc>
      </w:tr>
      <w:tr>
        <w:trPr>
          <w:trHeight w:val="246"/>
        </w:trPr>
        <w:tc>
          <w:tcPr>
            <w:tcW w:w="4140" w:type="dxa"/>
            <w:vAlign w:val="bottom"/>
            <w:gridSpan w:val="2"/>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8"/>
        </w:trPr>
        <w:tc>
          <w:tcPr>
            <w:tcW w:w="414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Weighted average basic shares outstanding</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65,013,517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N/A¹</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18"/>
        </w:trPr>
        <w:tc>
          <w:tcPr>
            <w:tcW w:w="4140" w:type="dxa"/>
            <w:vAlign w:val="bottom"/>
            <w:gridSpan w:val="2"/>
          </w:tcPr>
          <w:p>
            <w:pPr>
              <w:ind w:left="120"/>
              <w:spacing w:after="0"/>
              <w:rPr>
                <w:sz w:val="20"/>
                <w:szCs w:val="20"/>
                <w:color w:val="auto"/>
              </w:rPr>
            </w:pPr>
            <w:r>
              <w:rPr>
                <w:rFonts w:ascii="Arial" w:cs="Arial" w:eastAsia="Arial" w:hAnsi="Arial"/>
                <w:sz w:val="17"/>
                <w:szCs w:val="17"/>
                <w:color w:val="auto"/>
              </w:rPr>
              <w:t>Weighted average diluted shares outstanding</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66,813,417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ind w:left="1020"/>
              <w:spacing w:after="0"/>
              <w:rPr>
                <w:sz w:val="20"/>
                <w:szCs w:val="20"/>
                <w:color w:val="auto"/>
              </w:rPr>
            </w:pPr>
            <w:r>
              <w:rPr>
                <w:rFonts w:ascii="Arial" w:cs="Arial" w:eastAsia="Arial" w:hAnsi="Arial"/>
                <w:sz w:val="17"/>
                <w:szCs w:val="17"/>
                <w:color w:val="auto"/>
              </w:rPr>
              <w:t>N/A¹</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-3731260</wp:posOffset>
            </wp:positionV>
            <wp:extent cx="57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08" w:lineRule="exact"/>
        <w:rPr>
          <w:sz w:val="20"/>
          <w:szCs w:val="20"/>
          <w:color w:val="auto"/>
        </w:rPr>
      </w:pPr>
    </w:p>
    <w:p>
      <w:pPr>
        <w:jc w:val="both"/>
        <w:ind w:firstLine="3"/>
        <w:spacing w:after="0"/>
        <w:tabs>
          <w:tab w:leader="none" w:pos="77"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for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tcPr>
          <w:p>
            <w:pPr>
              <w:spacing w:after="0"/>
              <w:rPr>
                <w:sz w:val="14"/>
                <w:szCs w:val="14"/>
                <w:color w:val="auto"/>
              </w:rPr>
            </w:pPr>
          </w:p>
        </w:tc>
        <w:tc>
          <w:tcPr>
            <w:tcW w:w="1840" w:type="dxa"/>
            <w:vAlign w:val="bottom"/>
            <w:tcBorders>
              <w:top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Common Stock</w:t>
            </w:r>
          </w:p>
        </w:tc>
        <w:tc>
          <w:tcPr>
            <w:tcW w:w="174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9"/>
              </w:rPr>
              <w:t>Total WM</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840" w:type="dxa"/>
            <w:vAlign w:val="bottom"/>
            <w:gridSpan w:val="3"/>
          </w:tcPr>
          <w:p>
            <w:pPr>
              <w:ind w:left="640"/>
              <w:spacing w:after="0" w:line="129" w:lineRule="exact"/>
              <w:rPr>
                <w:sz w:val="20"/>
                <w:szCs w:val="20"/>
                <w:color w:val="auto"/>
              </w:rPr>
            </w:pPr>
            <w:r>
              <w:rPr>
                <w:rFonts w:ascii="Arial" w:cs="Arial" w:eastAsia="Arial" w:hAnsi="Arial"/>
                <w:sz w:val="14"/>
                <w:szCs w:val="14"/>
                <w:b w:val="1"/>
                <w:bCs w:val="1"/>
                <w:color w:val="auto"/>
              </w:rPr>
              <w:t>Class A</w:t>
            </w:r>
          </w:p>
        </w:tc>
        <w:tc>
          <w:tcPr>
            <w:tcW w:w="1740" w:type="dxa"/>
            <w:vAlign w:val="bottom"/>
            <w:gridSpan w:val="3"/>
          </w:tcPr>
          <w:p>
            <w:pPr>
              <w:ind w:left="600"/>
              <w:spacing w:after="0" w:line="129" w:lineRule="exact"/>
              <w:rPr>
                <w:sz w:val="20"/>
                <w:szCs w:val="20"/>
                <w:color w:val="auto"/>
              </w:rPr>
            </w:pPr>
            <w:r>
              <w:rPr>
                <w:rFonts w:ascii="Arial" w:cs="Arial" w:eastAsia="Arial" w:hAnsi="Arial"/>
                <w:sz w:val="14"/>
                <w:szCs w:val="14"/>
                <w:b w:val="1"/>
                <w:bCs w:val="1"/>
                <w:color w:val="auto"/>
              </w:rPr>
              <w:t>Class V</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95"/>
              </w:rPr>
              <w:t>Technology, Inc.</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9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ind w:left="100"/>
              <w:spacing w:after="0" w:line="116"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4"/>
                <w:szCs w:val="4"/>
                <w:color w:val="auto"/>
              </w:rPr>
            </w:pPr>
          </w:p>
        </w:tc>
        <w:tc>
          <w:tcPr>
            <w:tcW w:w="820" w:type="dxa"/>
            <w:vAlign w:val="bottom"/>
            <w:gridSpan w:val="2"/>
            <w:vMerge w:val="restart"/>
          </w:tcPr>
          <w:p>
            <w:pPr>
              <w:ind w:left="40"/>
              <w:spacing w:after="0" w:line="116"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00"/>
              <w:spacing w:after="0" w:line="116" w:lineRule="exact"/>
              <w:rPr>
                <w:sz w:val="20"/>
                <w:szCs w:val="20"/>
                <w:color w:val="auto"/>
              </w:rPr>
            </w:pPr>
            <w:r>
              <w:rPr>
                <w:rFonts w:ascii="Arial" w:cs="Arial" w:eastAsia="Arial" w:hAnsi="Arial"/>
                <w:sz w:val="13"/>
                <w:szCs w:val="13"/>
                <w:b w:val="1"/>
                <w:bCs w:val="1"/>
                <w:color w:val="auto"/>
                <w:w w:val="95"/>
              </w:rPr>
              <w:t>Stockholders'</w:t>
            </w:r>
          </w:p>
        </w:tc>
        <w:tc>
          <w:tcPr>
            <w:tcW w:w="920" w:type="dxa"/>
            <w:vAlign w:val="bottom"/>
            <w:gridSpan w:val="3"/>
            <w:vMerge w:val="restart"/>
          </w:tcPr>
          <w:p>
            <w:pPr>
              <w:jc w:val="center"/>
              <w:ind w:right="120"/>
              <w:spacing w:after="0" w:line="116" w:lineRule="exact"/>
              <w:rPr>
                <w:sz w:val="20"/>
                <w:szCs w:val="20"/>
                <w:color w:val="auto"/>
              </w:rPr>
            </w:pPr>
            <w:r>
              <w:rPr>
                <w:rFonts w:ascii="Arial" w:cs="Arial" w:eastAsia="Arial" w:hAnsi="Arial"/>
                <w:sz w:val="13"/>
                <w:szCs w:val="13"/>
                <w:b w:val="1"/>
                <w:bCs w:val="1"/>
                <w:color w:val="auto"/>
                <w:w w:val="95"/>
              </w:rPr>
              <w:t>controlling</w:t>
            </w:r>
          </w:p>
        </w:tc>
        <w:tc>
          <w:tcPr>
            <w:tcW w:w="120" w:type="dxa"/>
            <w:vAlign w:val="bottom"/>
          </w:tcPr>
          <w:p>
            <w:pPr>
              <w:spacing w:after="0"/>
              <w:rPr>
                <w:sz w:val="4"/>
                <w:szCs w:val="4"/>
                <w:color w:val="auto"/>
              </w:rPr>
            </w:pPr>
          </w:p>
        </w:tc>
        <w:tc>
          <w:tcPr>
            <w:tcW w:w="820" w:type="dxa"/>
            <w:vAlign w:val="bottom"/>
            <w:gridSpan w:val="2"/>
            <w:vMerge w:val="restart"/>
          </w:tcPr>
          <w:p>
            <w:pPr>
              <w:jc w:val="center"/>
              <w:ind w:right="220"/>
              <w:spacing w:after="0" w:line="116" w:lineRule="exact"/>
              <w:rPr>
                <w:sz w:val="20"/>
                <w:szCs w:val="20"/>
                <w:color w:val="auto"/>
              </w:rPr>
            </w:pPr>
            <w:r>
              <w:rPr>
                <w:rFonts w:ascii="Arial" w:cs="Arial" w:eastAsia="Arial" w:hAnsi="Arial"/>
                <w:sz w:val="13"/>
                <w:szCs w:val="13"/>
                <w:b w:val="1"/>
                <w:bCs w:val="1"/>
                <w:color w:val="auto"/>
                <w:w w:val="98"/>
              </w:rPr>
              <w:t>Members’</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960" w:type="dxa"/>
            <w:vAlign w:val="bottom"/>
          </w:tcPr>
          <w:p>
            <w:pPr>
              <w:spacing w:after="0"/>
              <w:rPr>
                <w:sz w:val="3"/>
                <w:szCs w:val="3"/>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9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79"/>
        </w:trPr>
        <w:tc>
          <w:tcPr>
            <w:tcW w:w="19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5"/>
              </w:rPr>
              <w:t>As of December 31, 2018</w:t>
            </w:r>
          </w:p>
        </w:tc>
        <w:tc>
          <w:tcPr>
            <w:tcW w:w="9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30,124</w:t>
            </w: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Distributions</w:t>
            </w:r>
          </w:p>
        </w:tc>
        <w:tc>
          <w:tcPr>
            <w:tcW w:w="980" w:type="dxa"/>
            <w:vAlign w:val="bottom"/>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(15,382)</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rPr>
              <w:t>Repurchase of Class B</w:t>
            </w:r>
          </w:p>
        </w:tc>
        <w:tc>
          <w:tcPr>
            <w:tcW w:w="980" w:type="dxa"/>
            <w:vAlign w:val="bottom"/>
            <w:vMerge w:val="restart"/>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Units</w:t>
            </w:r>
          </w:p>
        </w:tc>
        <w:tc>
          <w:tcPr>
            <w:tcW w:w="98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Net loss</w:t>
            </w:r>
          </w:p>
        </w:tc>
        <w:tc>
          <w:tcPr>
            <w:tcW w:w="980" w:type="dxa"/>
            <w:vAlign w:val="bottom"/>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1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5"/>
              </w:rPr>
              <w:t>As of December 31, 2019</w:t>
            </w:r>
          </w:p>
        </w:tc>
        <w:tc>
          <w:tcPr>
            <w:tcW w:w="9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12,800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12,800</w:t>
            </w: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Distributions</w:t>
            </w:r>
          </w:p>
        </w:tc>
        <w:tc>
          <w:tcPr>
            <w:tcW w:w="980" w:type="dxa"/>
            <w:vAlign w:val="bottom"/>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(21,953)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(21,953)</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rPr>
              <w:t>Repurchase of Class B</w:t>
            </w:r>
          </w:p>
        </w:tc>
        <w:tc>
          <w:tcPr>
            <w:tcW w:w="980" w:type="dxa"/>
            <w:vAlign w:val="bottom"/>
            <w:vMerge w:val="restart"/>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Units</w:t>
            </w:r>
          </w:p>
        </w:tc>
        <w:tc>
          <w:tcPr>
            <w:tcW w:w="98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980" w:type="dxa"/>
            <w:vAlign w:val="bottom"/>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38,830</w:t>
            </w:r>
          </w:p>
        </w:tc>
        <w:tc>
          <w:tcPr>
            <w:tcW w:w="0" w:type="dxa"/>
            <w:vAlign w:val="bottom"/>
          </w:tcPr>
          <w:p>
            <w:pPr>
              <w:spacing w:after="0"/>
              <w:rPr>
                <w:sz w:val="1"/>
                <w:szCs w:val="1"/>
                <w:color w:val="auto"/>
              </w:rPr>
            </w:pPr>
          </w:p>
        </w:tc>
      </w:tr>
      <w:tr>
        <w:trPr>
          <w:trHeight w:val="21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5"/>
              </w:rPr>
              <w:t>As of December 31, 2020</w:t>
            </w:r>
          </w:p>
        </w:tc>
        <w:tc>
          <w:tcPr>
            <w:tcW w:w="9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29,271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29,271</w:t>
            </w:r>
          </w:p>
        </w:tc>
        <w:tc>
          <w:tcPr>
            <w:tcW w:w="0" w:type="dxa"/>
            <w:vAlign w:val="bottom"/>
          </w:tcPr>
          <w:p>
            <w:pPr>
              <w:spacing w:after="0"/>
              <w:rPr>
                <w:sz w:val="1"/>
                <w:szCs w:val="1"/>
                <w:color w:val="auto"/>
              </w:rPr>
            </w:pPr>
          </w:p>
        </w:tc>
      </w:tr>
      <w:tr>
        <w:trPr>
          <w:trHeight w:val="168"/>
        </w:trPr>
        <w:tc>
          <w:tcPr>
            <w:tcW w:w="1960" w:type="dxa"/>
            <w:vAlign w:val="bottom"/>
          </w:tcPr>
          <w:p>
            <w:pPr>
              <w:ind w:left="120"/>
              <w:spacing w:after="0" w:line="168" w:lineRule="exact"/>
              <w:rPr>
                <w:sz w:val="20"/>
                <w:szCs w:val="20"/>
                <w:color w:val="auto"/>
              </w:rPr>
            </w:pPr>
            <w:r>
              <w:rPr>
                <w:rFonts w:ascii="Arial" w:cs="Arial" w:eastAsia="Arial" w:hAnsi="Arial"/>
                <w:sz w:val="17"/>
                <w:szCs w:val="17"/>
                <w:color w:val="auto"/>
              </w:rPr>
              <w:t>Stock-based</w:t>
            </w:r>
          </w:p>
        </w:tc>
        <w:tc>
          <w:tcPr>
            <w:tcW w:w="980" w:type="dxa"/>
            <w:vAlign w:val="bottom"/>
            <w:vMerge w:val="restart"/>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9,570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9,570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20,853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30,423</w:t>
            </w: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compensation</w:t>
            </w:r>
          </w:p>
        </w:tc>
        <w:tc>
          <w:tcPr>
            <w:tcW w:w="9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Distributions</w:t>
            </w:r>
          </w:p>
        </w:tc>
        <w:tc>
          <w:tcPr>
            <w:tcW w:w="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(18,998)</w:t>
            </w:r>
          </w:p>
        </w:tc>
        <w:tc>
          <w:tcPr>
            <w:tcW w:w="0" w:type="dxa"/>
            <w:vAlign w:val="bottom"/>
          </w:tcPr>
          <w:p>
            <w:pPr>
              <w:spacing w:after="0"/>
              <w:rPr>
                <w:sz w:val="1"/>
                <w:szCs w:val="1"/>
                <w:color w:val="auto"/>
              </w:rPr>
            </w:pPr>
          </w:p>
        </w:tc>
      </w:tr>
      <w:tr>
        <w:trPr>
          <w:trHeight w:val="168"/>
        </w:trPr>
        <w:tc>
          <w:tcPr>
            <w:tcW w:w="1960" w:type="dxa"/>
            <w:vAlign w:val="bottom"/>
          </w:tcPr>
          <w:p>
            <w:pPr>
              <w:ind w:left="120"/>
              <w:spacing w:after="0" w:line="168" w:lineRule="exact"/>
              <w:rPr>
                <w:sz w:val="20"/>
                <w:szCs w:val="20"/>
                <w:color w:val="auto"/>
              </w:rPr>
            </w:pPr>
            <w:r>
              <w:rPr>
                <w:rFonts w:ascii="Arial" w:cs="Arial" w:eastAsia="Arial" w:hAnsi="Arial"/>
                <w:sz w:val="17"/>
                <w:szCs w:val="17"/>
                <w:color w:val="auto"/>
              </w:rPr>
              <w:t>Repurchase of Class B</w:t>
            </w:r>
          </w:p>
        </w:tc>
        <w:tc>
          <w:tcPr>
            <w:tcW w:w="980" w:type="dxa"/>
            <w:vAlign w:val="bottom"/>
            <w:vMerge w:val="restart"/>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(5,565)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(5,565)</w:t>
            </w: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Units</w:t>
            </w:r>
          </w:p>
        </w:tc>
        <w:tc>
          <w:tcPr>
            <w:tcW w:w="9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rPr>
              <w:t>Proceeds and shares</w:t>
            </w: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issued in the Business</w:t>
            </w:r>
          </w:p>
        </w:tc>
        <w:tc>
          <w:tcPr>
            <w:tcW w:w="9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63,738,563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65,502,347</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w w:val="91"/>
              </w:rPr>
              <w:t>(20,118)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(19,119)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(44,928)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(20,674)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(84,721)</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Combination (Note 6)</w:t>
            </w:r>
          </w:p>
        </w:tc>
        <w:tc>
          <w:tcPr>
            <w:tcW w:w="9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120"/>
              <w:spacing w:after="0" w:line="168" w:lineRule="exact"/>
              <w:rPr>
                <w:sz w:val="20"/>
                <w:szCs w:val="20"/>
                <w:color w:val="auto"/>
              </w:rPr>
            </w:pPr>
            <w:r>
              <w:rPr>
                <w:rFonts w:ascii="Arial" w:cs="Arial" w:eastAsia="Arial" w:hAnsi="Arial"/>
                <w:sz w:val="17"/>
                <w:szCs w:val="17"/>
                <w:color w:val="auto"/>
              </w:rPr>
              <w:t>Issuance of common</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120"/>
              <w:spacing w:after="0" w:line="167" w:lineRule="exact"/>
              <w:rPr>
                <w:sz w:val="20"/>
                <w:szCs w:val="20"/>
                <w:color w:val="auto"/>
              </w:rPr>
            </w:pPr>
            <w:r>
              <w:rPr>
                <w:rFonts w:ascii="Arial" w:cs="Arial" w:eastAsia="Arial" w:hAnsi="Arial"/>
                <w:sz w:val="17"/>
                <w:szCs w:val="17"/>
                <w:color w:val="auto"/>
              </w:rPr>
              <w:t>stock for acquisitions</w:t>
            </w:r>
          </w:p>
        </w:tc>
        <w:tc>
          <w:tcPr>
            <w:tcW w:w="980" w:type="dxa"/>
            <w:vAlign w:val="bottom"/>
            <w:vMerge w:val="restart"/>
          </w:tcPr>
          <w:p>
            <w:pPr>
              <w:ind w:left="120"/>
              <w:spacing w:after="0"/>
              <w:rPr>
                <w:sz w:val="20"/>
                <w:szCs w:val="20"/>
                <w:color w:val="auto"/>
              </w:rPr>
            </w:pPr>
            <w:r>
              <w:rPr>
                <w:rFonts w:ascii="Arial" w:cs="Arial" w:eastAsia="Arial" w:hAnsi="Arial"/>
                <w:sz w:val="17"/>
                <w:szCs w:val="17"/>
                <w:color w:val="auto"/>
              </w:rPr>
              <w:t>1,938,798</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960" w:type="dxa"/>
            <w:vAlign w:val="bottom"/>
            <w:vMerge w:val="restart"/>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12,721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12,722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16,590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29,312</w:t>
            </w:r>
          </w:p>
        </w:tc>
        <w:tc>
          <w:tcPr>
            <w:tcW w:w="0" w:type="dxa"/>
            <w:vAlign w:val="bottom"/>
          </w:tcPr>
          <w:p>
            <w:pPr>
              <w:spacing w:after="0"/>
              <w:rPr>
                <w:sz w:val="1"/>
                <w:szCs w:val="1"/>
                <w:color w:val="auto"/>
              </w:rPr>
            </w:pPr>
          </w:p>
        </w:tc>
      </w:tr>
      <w:tr>
        <w:trPr>
          <w:trHeight w:val="218"/>
        </w:trPr>
        <w:tc>
          <w:tcPr>
            <w:tcW w:w="1960" w:type="dxa"/>
            <w:vAlign w:val="bottom"/>
          </w:tcPr>
          <w:p>
            <w:pPr>
              <w:ind w:left="120"/>
              <w:spacing w:after="0"/>
              <w:rPr>
                <w:sz w:val="20"/>
                <w:szCs w:val="20"/>
                <w:color w:val="auto"/>
              </w:rPr>
            </w:pPr>
            <w:r>
              <w:rPr>
                <w:rFonts w:ascii="Arial" w:cs="Arial" w:eastAsia="Arial" w:hAnsi="Arial"/>
                <w:sz w:val="17"/>
                <w:szCs w:val="17"/>
                <w:color w:val="auto"/>
              </w:rPr>
              <w:t>(Note 7)</w:t>
            </w:r>
          </w:p>
        </w:tc>
        <w:tc>
          <w:tcPr>
            <w:tcW w:w="9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152,218</w:t>
            </w: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rPr>
                <w:sz w:val="20"/>
                <w:szCs w:val="20"/>
                <w:color w:val="auto"/>
              </w:rPr>
            </w:pPr>
            <w:r>
              <w:rPr>
                <w:rFonts w:ascii="Arial" w:cs="Arial" w:eastAsia="Arial" w:hAnsi="Arial"/>
                <w:sz w:val="17"/>
                <w:szCs w:val="17"/>
                <w:b w:val="1"/>
                <w:bCs w:val="1"/>
                <w:color w:val="auto"/>
                <w:w w:val="95"/>
              </w:rPr>
              <w:t>As of December 31, 2021</w:t>
            </w:r>
          </w:p>
        </w:tc>
        <w:tc>
          <w:tcPr>
            <w:tcW w:w="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94"/>
              </w:rPr>
              <w:t>65,677,361 $</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92"/>
              </w:rPr>
              <w:t>65,502,347 $</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2,173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61,369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63,556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68,384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131,940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354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440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40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CONSOLIDATED STATEMENTS OF CASH FLOWS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80" w:type="dxa"/>
            <w:vAlign w:val="bottom"/>
            <w:gridSpan w:val="2"/>
          </w:tcPr>
          <w:p>
            <w:pPr>
              <w:jc w:val="center"/>
              <w:ind w:left="1414"/>
              <w:spacing w:after="0"/>
              <w:rPr>
                <w:sz w:val="20"/>
                <w:szCs w:val="20"/>
                <w:color w:val="auto"/>
              </w:rPr>
            </w:pPr>
            <w:r>
              <w:rPr>
                <w:rFonts w:ascii="Arial" w:cs="Arial" w:eastAsia="Arial" w:hAnsi="Arial"/>
                <w:sz w:val="17"/>
                <w:szCs w:val="17"/>
                <w:b w:val="1"/>
                <w:bCs w:val="1"/>
                <w:color w:val="auto"/>
                <w:w w:val="90"/>
              </w:rPr>
              <w:t>(In thousands)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0"/>
              </w:rPr>
              <w:t>Years Ended December 31,</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2019</w:t>
            </w:r>
          </w:p>
        </w:tc>
      </w:tr>
      <w:tr>
        <w:trPr>
          <w:trHeight w:val="19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8"/>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Net income (loss)</w:t>
            </w:r>
          </w:p>
        </w:tc>
        <w:tc>
          <w:tcPr>
            <w:tcW w:w="268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152,218</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38,830</w:t>
            </w:r>
          </w:p>
        </w:tc>
        <w:tc>
          <w:tcPr>
            <w:tcW w:w="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169"/>
        </w:trPr>
        <w:tc>
          <w:tcPr>
            <w:tcW w:w="622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7"/>
                <w:szCs w:val="17"/>
                <w:color w:val="auto"/>
              </w:rPr>
              <w:t>Adjustments to reconcile net income (loss) to net cash provided by operating</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activities: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Depreciation and amortization</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5,162</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Fair value of warrant liability</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Impairment loss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Deferred tax asset</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18"/>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w:t>
            </w: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(611)</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(3,344)</w:t>
            </w: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7,374</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rent</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r>
      <w:tr>
        <w:trPr>
          <w:trHeight w:val="218"/>
        </w:trPr>
        <w:tc>
          <w:tcPr>
            <w:tcW w:w="3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Deferred revenue</w:t>
            </w:r>
          </w:p>
        </w:tc>
        <w:tc>
          <w:tcPr>
            <w:tcW w:w="20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r>
      <w:tr>
        <w:trPr>
          <w:trHeight w:val="21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23,092</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38,620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6,295</w:t>
            </w:r>
          </w:p>
        </w:tc>
      </w:tr>
      <w:tr>
        <w:trPr>
          <w:trHeight w:val="226"/>
        </w:trPr>
        <w:tc>
          <w:tcPr>
            <w:tcW w:w="1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Purchases of property and equipment</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(5,129)</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paid for acquisitions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Cash paid for other investments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(30,435)</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(5,129)</w:t>
            </w:r>
          </w:p>
        </w:tc>
      </w:tr>
      <w:tr>
        <w:trPr>
          <w:trHeight w:val="226"/>
        </w:trPr>
        <w:tc>
          <w:tcPr>
            <w:tcW w:w="1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Proceeds from business combination</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79,969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Net repayments of secured line of credit</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w:t>
            </w:r>
          </w:p>
        </w:tc>
      </w:tr>
      <w:tr>
        <w:trPr>
          <w:trHeight w:val="218"/>
        </w:trPr>
        <w:tc>
          <w:tcPr>
            <w:tcW w:w="3540" w:type="dxa"/>
            <w:vAlign w:val="bottom"/>
            <w:gridSpan w:val="2"/>
          </w:tcPr>
          <w:p>
            <w:pPr>
              <w:ind w:left="220"/>
              <w:spacing w:after="0"/>
              <w:rPr>
                <w:sz w:val="20"/>
                <w:szCs w:val="20"/>
                <w:color w:val="auto"/>
              </w:rPr>
            </w:pPr>
            <w:r>
              <w:rPr>
                <w:rFonts w:ascii="Arial" w:cs="Arial" w:eastAsia="Arial" w:hAnsi="Arial"/>
                <w:sz w:val="17"/>
                <w:szCs w:val="17"/>
                <w:color w:val="auto"/>
              </w:rPr>
              <w:t>Payment of note payable</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Distributions</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(15,382)</w:t>
            </w:r>
          </w:p>
        </w:tc>
      </w:tr>
      <w:tr>
        <w:trPr>
          <w:trHeight w:val="218"/>
        </w:trPr>
        <w:tc>
          <w:tcPr>
            <w:tcW w:w="3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Repurchase of Class B Units</w:t>
            </w:r>
          </w:p>
        </w:tc>
        <w:tc>
          <w:tcPr>
            <w:tcW w:w="20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w:t>
            </w:r>
          </w:p>
        </w:tc>
      </w:tr>
      <w:tr>
        <w:trPr>
          <w:trHeight w:val="21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Net cash provided by (used in) financing activities</w:t>
            </w:r>
          </w:p>
        </w:tc>
        <w:tc>
          <w:tcPr>
            <w:tcW w:w="2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55,201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(22,358)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(21,969)</w:t>
            </w:r>
          </w:p>
        </w:tc>
      </w:tr>
      <w:tr>
        <w:trPr>
          <w:trHeight w:val="226"/>
        </w:trPr>
        <w:tc>
          <w:tcPr>
            <w:tcW w:w="1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increase (decrease) in cash</w:t>
            </w:r>
          </w:p>
        </w:tc>
        <w:tc>
          <w:tcPr>
            <w:tcW w:w="2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(20,803)</w:t>
            </w:r>
          </w:p>
        </w:tc>
      </w:tr>
      <w:tr>
        <w:trPr>
          <w:trHeight w:val="218"/>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 beginning of period</w:t>
            </w:r>
          </w:p>
        </w:tc>
        <w:tc>
          <w:tcPr>
            <w:tcW w:w="20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19,919</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25,771</w:t>
            </w:r>
          </w:p>
        </w:tc>
      </w:tr>
      <w:tr>
        <w:trPr>
          <w:trHeight w:val="23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 end of period</w:t>
            </w:r>
          </w:p>
        </w:tc>
        <w:tc>
          <w:tcPr>
            <w:tcW w:w="26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67,777</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-5091430</wp:posOffset>
            </wp:positionV>
            <wp:extent cx="5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290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5020" w:type="dxa"/>
            <w:vAlign w:val="bottom"/>
            <w:gridSpan w:val="5"/>
          </w:tcPr>
          <w:p>
            <w:pPr>
              <w:jc w:val="center"/>
              <w:ind w:left="334"/>
              <w:spacing w:after="0"/>
              <w:rPr>
                <w:sz w:val="20"/>
                <w:szCs w:val="20"/>
                <w:color w:val="auto"/>
              </w:rPr>
            </w:pPr>
            <w:r>
              <w:rPr>
                <w:rFonts w:ascii="Arial" w:cs="Arial" w:eastAsia="Arial" w:hAnsi="Arial"/>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20" w:type="dxa"/>
            <w:vAlign w:val="bottom"/>
            <w:gridSpan w:val="5"/>
          </w:tcPr>
          <w:p>
            <w:pPr>
              <w:jc w:val="center"/>
              <w:ind w:left="334"/>
              <w:spacing w:after="0"/>
              <w:rPr>
                <w:sz w:val="20"/>
                <w:szCs w:val="20"/>
                <w:color w:val="auto"/>
              </w:rPr>
            </w:pPr>
            <w:r>
              <w:rPr>
                <w:rFonts w:ascii="Arial" w:cs="Arial" w:eastAsia="Arial" w:hAnsi="Arial"/>
                <w:sz w:val="17"/>
                <w:szCs w:val="17"/>
                <w:b w:val="1"/>
                <w:bCs w:val="1"/>
                <w:color w:val="auto"/>
              </w:rPr>
              <w:t>CONSOLIDATED STATEMENTS OF CASH FLOWS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300" w:type="dxa"/>
            <w:vAlign w:val="bottom"/>
            <w:gridSpan w:val="2"/>
          </w:tcPr>
          <w:p>
            <w:pPr>
              <w:jc w:val="center"/>
              <w:ind w:left="2074"/>
              <w:spacing w:after="0"/>
              <w:rPr>
                <w:sz w:val="20"/>
                <w:szCs w:val="20"/>
                <w:color w:val="auto"/>
              </w:rPr>
            </w:pPr>
            <w:r>
              <w:rPr>
                <w:rFonts w:ascii="Arial" w:cs="Arial" w:eastAsia="Arial" w:hAnsi="Arial"/>
                <w:sz w:val="17"/>
                <w:szCs w:val="17"/>
                <w:b w:val="1"/>
                <w:bCs w:val="1"/>
                <w:color w:val="auto"/>
                <w:w w:val="90"/>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300" w:type="dxa"/>
            <w:vAlign w:val="bottom"/>
            <w:gridSpan w:val="2"/>
          </w:tcPr>
          <w:p>
            <w:pPr>
              <w:jc w:val="center"/>
              <w:ind w:left="2054"/>
              <w:spacing w:after="0"/>
              <w:rPr>
                <w:sz w:val="20"/>
                <w:szCs w:val="20"/>
                <w:color w:val="auto"/>
              </w:rPr>
            </w:pPr>
            <w:r>
              <w:rPr>
                <w:rFonts w:ascii="Arial" w:cs="Arial" w:eastAsia="Arial" w:hAnsi="Arial"/>
                <w:sz w:val="17"/>
                <w:szCs w:val="17"/>
                <w:b w:val="1"/>
                <w:bCs w:val="1"/>
                <w:color w:val="auto"/>
                <w:w w:val="92"/>
              </w:rPr>
              <w:t>(Continued)</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0"/>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199"/>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8"/>
        </w:trPr>
        <w:tc>
          <w:tcPr>
            <w:tcW w:w="2900" w:type="dxa"/>
            <w:vAlign w:val="bottom"/>
            <w:gridSpan w:val="2"/>
          </w:tcPr>
          <w:p>
            <w:pPr>
              <w:ind w:left="120"/>
              <w:spacing w:after="0"/>
              <w:rPr>
                <w:sz w:val="20"/>
                <w:szCs w:val="20"/>
                <w:color w:val="auto"/>
              </w:rPr>
            </w:pPr>
            <w:r>
              <w:rPr>
                <w:rFonts w:ascii="Arial" w:cs="Arial" w:eastAsia="Arial" w:hAnsi="Arial"/>
                <w:sz w:val="17"/>
                <w:szCs w:val="17"/>
                <w:color w:val="auto"/>
              </w:rPr>
              <w:t>Cash paid during the year for:</w:t>
            </w:r>
          </w:p>
        </w:tc>
        <w:tc>
          <w:tcPr>
            <w:tcW w:w="2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w:t>
            </w:r>
          </w:p>
        </w:tc>
        <w:tc>
          <w:tcPr>
            <w:tcW w:w="3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18"/>
        </w:trPr>
        <w:tc>
          <w:tcPr>
            <w:tcW w:w="2900" w:type="dxa"/>
            <w:vAlign w:val="bottom"/>
            <w:gridSpan w:val="2"/>
          </w:tcPr>
          <w:p>
            <w:pPr>
              <w:ind w:left="120"/>
              <w:spacing w:after="0"/>
              <w:rPr>
                <w:sz w:val="20"/>
                <w:szCs w:val="20"/>
                <w:color w:val="auto"/>
              </w:rPr>
            </w:pPr>
            <w:r>
              <w:rPr>
                <w:rFonts w:ascii="Arial" w:cs="Arial" w:eastAsia="Arial" w:hAnsi="Arial"/>
                <w:sz w:val="17"/>
                <w:szCs w:val="17"/>
                <w:color w:val="auto"/>
              </w:rPr>
              <w:t>Income taxes</w:t>
            </w:r>
          </w:p>
        </w:tc>
        <w:tc>
          <w:tcPr>
            <w:tcW w:w="3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242</w:t>
            </w:r>
          </w:p>
        </w:tc>
        <w:tc>
          <w:tcPr>
            <w:tcW w:w="5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1,336</w:t>
            </w:r>
          </w:p>
        </w:tc>
        <w:tc>
          <w:tcPr>
            <w:tcW w:w="8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46"/>
        </w:trPr>
        <w:tc>
          <w:tcPr>
            <w:tcW w:w="1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-711835</wp:posOffset>
            </wp:positionV>
            <wp:extent cx="5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Supplemental disclosures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670" cy="139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340" w:type="dxa"/>
            <w:vAlign w:val="bottom"/>
          </w:tcPr>
          <w:p>
            <w:pPr>
              <w:spacing w:after="0"/>
              <w:rPr>
                <w:sz w:val="20"/>
                <w:szCs w:val="20"/>
                <w:color w:val="auto"/>
              </w:rPr>
            </w:pPr>
            <w:r>
              <w:rPr>
                <w:rFonts w:ascii="Arial" w:cs="Arial" w:eastAsia="Arial" w:hAnsi="Arial"/>
                <w:sz w:val="17"/>
                <w:szCs w:val="17"/>
                <w:color w:val="auto"/>
              </w:rPr>
              <w:t>Warranty liability assumed from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5340" w:type="dxa"/>
            <w:vAlign w:val="bottom"/>
          </w:tcPr>
          <w:p>
            <w:pPr>
              <w:spacing w:after="0" w:line="170" w:lineRule="exact"/>
              <w:rPr>
                <w:sz w:val="20"/>
                <w:szCs w:val="20"/>
                <w:color w:val="auto"/>
              </w:rPr>
            </w:pPr>
            <w:r>
              <w:rPr>
                <w:rFonts w:ascii="Arial" w:cs="Arial" w:eastAsia="Arial" w:hAnsi="Arial"/>
                <w:sz w:val="17"/>
                <w:szCs w:val="17"/>
                <w:color w:val="auto"/>
              </w:rPr>
              <w:t>Tax receivable agreement liability recognized in connection with the</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7"/>
                <w:szCs w:val="17"/>
                <w:color w:val="auto"/>
              </w:rPr>
              <w:t>Business Combination</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7"/>
                <w:szCs w:val="17"/>
                <w:color w:val="auto"/>
                <w:w w:val="92"/>
              </w:rPr>
              <w:t>Deferred tax assets recognized in connection with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7"/>
                <w:szCs w:val="17"/>
                <w:color w:val="auto"/>
              </w:rPr>
              <w:t>Other assets assumed from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7"/>
                <w:szCs w:val="17"/>
                <w:color w:val="auto"/>
              </w:rPr>
              <w:t>Issuance of equity for acquisitions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7"/>
                <w:szCs w:val="17"/>
                <w:color w:val="auto"/>
              </w:rPr>
              <w:t>Holdback liability recognized in connection with acquisition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7"/>
                <w:szCs w:val="17"/>
                <w:color w:val="auto"/>
              </w:rPr>
              <w:t>Accrued liabilities assumed in connection with acquisition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20"/>
                <w:szCs w:val="20"/>
                <w:color w:val="auto"/>
              </w:rPr>
            </w:pPr>
            <w:r>
              <w:rPr>
                <w:rFonts w:ascii="Arial" w:cs="Arial" w:eastAsia="Arial" w:hAnsi="Arial"/>
                <w:sz w:val="17"/>
                <w:szCs w:val="17"/>
                <w:color w:val="auto"/>
              </w:rPr>
              <w:t>Stock-based compensation capitalized for software development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-833120</wp:posOffset>
            </wp:positionV>
            <wp:extent cx="7138670"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7138670" cy="139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7138670"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right"/>
              <w:ind w:right="14"/>
              <w:spacing w:after="0"/>
              <w:rPr>
                <w:sz w:val="20"/>
                <w:szCs w:val="20"/>
                <w:color w:val="auto"/>
              </w:rPr>
            </w:pPr>
            <w:r>
              <w:rPr>
                <w:rFonts w:ascii="Arial" w:cs="Arial" w:eastAsia="Arial" w:hAnsi="Arial"/>
                <w:sz w:val="17"/>
                <w:szCs w:val="17"/>
                <w:color w:val="auto"/>
                <w:w w:val="87"/>
              </w:rPr>
              <w:t>193,978</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387"/>
        </w:trPr>
        <w:tc>
          <w:tcPr>
            <w:tcW w:w="660" w:type="dxa"/>
            <w:vAlign w:val="bottom"/>
          </w:tcPr>
          <w:p>
            <w:pPr>
              <w:jc w:val="right"/>
              <w:ind w:right="14"/>
              <w:spacing w:after="0"/>
              <w:rPr>
                <w:sz w:val="20"/>
                <w:szCs w:val="20"/>
                <w:color w:val="auto"/>
              </w:rPr>
            </w:pPr>
            <w:r>
              <w:rPr>
                <w:rFonts w:ascii="Arial" w:cs="Arial" w:eastAsia="Arial" w:hAnsi="Arial"/>
                <w:sz w:val="17"/>
                <w:szCs w:val="17"/>
                <w:color w:val="auto"/>
                <w:w w:val="87"/>
              </w:rPr>
              <w:t>128,567</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219"/>
        </w:trPr>
        <w:tc>
          <w:tcPr>
            <w:tcW w:w="660" w:type="dxa"/>
            <w:vAlign w:val="bottom"/>
          </w:tcPr>
          <w:p>
            <w:pPr>
              <w:jc w:val="right"/>
              <w:ind w:right="14"/>
              <w:spacing w:after="0"/>
              <w:rPr>
                <w:sz w:val="20"/>
                <w:szCs w:val="20"/>
                <w:color w:val="auto"/>
              </w:rPr>
            </w:pPr>
            <w:r>
              <w:rPr>
                <w:rFonts w:ascii="Arial" w:cs="Arial" w:eastAsia="Arial" w:hAnsi="Arial"/>
                <w:sz w:val="17"/>
                <w:szCs w:val="17"/>
                <w:color w:val="auto"/>
                <w:w w:val="87"/>
              </w:rPr>
              <w:t>151,255</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219"/>
        </w:trPr>
        <w:tc>
          <w:tcPr>
            <w:tcW w:w="660" w:type="dxa"/>
            <w:vAlign w:val="bottom"/>
          </w:tcPr>
          <w:p>
            <w:pPr>
              <w:jc w:val="right"/>
              <w:ind w:right="14"/>
              <w:spacing w:after="0"/>
              <w:rPr>
                <w:sz w:val="20"/>
                <w:szCs w:val="20"/>
                <w:color w:val="auto"/>
              </w:rPr>
            </w:pPr>
            <w:r>
              <w:rPr>
                <w:rFonts w:ascii="Arial" w:cs="Arial" w:eastAsia="Arial" w:hAnsi="Arial"/>
                <w:sz w:val="17"/>
                <w:szCs w:val="17"/>
                <w:color w:val="auto"/>
              </w:rPr>
              <w:t>1,053</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219"/>
        </w:trPr>
        <w:tc>
          <w:tcPr>
            <w:tcW w:w="660" w:type="dxa"/>
            <w:vAlign w:val="bottom"/>
          </w:tcPr>
          <w:p>
            <w:pPr>
              <w:jc w:val="right"/>
              <w:ind w:right="14"/>
              <w:spacing w:after="0"/>
              <w:rPr>
                <w:sz w:val="20"/>
                <w:szCs w:val="20"/>
                <w:color w:val="auto"/>
              </w:rPr>
            </w:pPr>
            <w:r>
              <w:rPr>
                <w:rFonts w:ascii="Arial" w:cs="Arial" w:eastAsia="Arial" w:hAnsi="Arial"/>
                <w:sz w:val="17"/>
                <w:szCs w:val="17"/>
                <w:color w:val="auto"/>
              </w:rPr>
              <w:t>29,312</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219"/>
        </w:trPr>
        <w:tc>
          <w:tcPr>
            <w:tcW w:w="660" w:type="dxa"/>
            <w:vAlign w:val="bottom"/>
          </w:tcPr>
          <w:p>
            <w:pPr>
              <w:jc w:val="right"/>
              <w:ind w:right="14"/>
              <w:spacing w:after="0"/>
              <w:rPr>
                <w:sz w:val="20"/>
                <w:szCs w:val="20"/>
                <w:color w:val="auto"/>
              </w:rPr>
            </w:pPr>
            <w:r>
              <w:rPr>
                <w:rFonts w:ascii="Arial" w:cs="Arial" w:eastAsia="Arial" w:hAnsi="Arial"/>
                <w:sz w:val="17"/>
                <w:szCs w:val="17"/>
                <w:color w:val="auto"/>
              </w:rPr>
              <w:t>1,000</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219"/>
        </w:trPr>
        <w:tc>
          <w:tcPr>
            <w:tcW w:w="660" w:type="dxa"/>
            <w:vAlign w:val="bottom"/>
          </w:tcPr>
          <w:p>
            <w:pPr>
              <w:jc w:val="right"/>
              <w:ind w:right="14"/>
              <w:spacing w:after="0"/>
              <w:rPr>
                <w:sz w:val="20"/>
                <w:szCs w:val="20"/>
                <w:color w:val="auto"/>
              </w:rPr>
            </w:pPr>
            <w:r>
              <w:rPr>
                <w:rFonts w:ascii="Arial" w:cs="Arial" w:eastAsia="Arial" w:hAnsi="Arial"/>
                <w:sz w:val="17"/>
                <w:szCs w:val="17"/>
                <w:color w:val="auto"/>
              </w:rPr>
              <w:t>100</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660" w:type="dxa"/>
            <w:vAlign w:val="bottom"/>
          </w:tcPr>
          <w:p>
            <w:pPr>
              <w:jc w:val="right"/>
              <w:ind w:right="14"/>
              <w:spacing w:after="0"/>
              <w:rPr>
                <w:sz w:val="20"/>
                <w:szCs w:val="20"/>
                <w:color w:val="auto"/>
              </w:rPr>
            </w:pPr>
            <w:r>
              <w:rPr>
                <w:rFonts w:ascii="Arial" w:cs="Arial" w:eastAsia="Arial" w:hAnsi="Arial"/>
                <w:sz w:val="17"/>
                <w:szCs w:val="17"/>
                <w:color w:val="auto"/>
              </w:rPr>
              <w:t>1,099</w:t>
            </w:r>
          </w:p>
        </w:tc>
        <w:tc>
          <w:tcPr>
            <w:tcW w:w="9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20" w:type="dxa"/>
            <w:vAlign w:val="bottom"/>
          </w:tcPr>
          <w:p>
            <w:pPr>
              <w:ind w:left="7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bl>
    <w:p>
      <w:pPr>
        <w:spacing w:after="0" w:line="200" w:lineRule="exact"/>
        <w:rPr>
          <w:sz w:val="20"/>
          <w:szCs w:val="20"/>
          <w:color w:val="auto"/>
        </w:rPr>
      </w:pPr>
    </w:p>
    <w:p>
      <w:pPr>
        <w:sectPr>
          <w:pgSz w:w="11900" w:h="16838" w:orient="portrait"/>
          <w:cols w:equalWidth="0" w:num="2">
            <w:col w:w="6000" w:space="720"/>
            <w:col w:w="4520"/>
          </w:cols>
          <w:pgMar w:left="320" w:top="215" w:right="3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24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19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19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98" w:lineRule="exact"/>
        <w:rPr>
          <w:sz w:val="20"/>
          <w:szCs w:val="20"/>
          <w:color w:val="auto"/>
        </w:rPr>
      </w:pPr>
    </w:p>
    <w:p>
      <w:pPr>
        <w:ind w:left="340" w:hanging="337"/>
        <w:spacing w:after="0"/>
        <w:tabs>
          <w:tab w:leader="none" w:pos="34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20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Accordingly, for accounting purposes, the Reverse Recapitalization was treated as the equivalent of Legacy WMH issuing stock for the net assets of Silver Spike, accompanied by a recapitalization.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Legacy WMH was determined to be the accounting acquirer based on evaluation of the following facts and circumstances:</w:t>
      </w:r>
    </w:p>
    <w:p>
      <w:pPr>
        <w:spacing w:after="0" w:line="22" w:lineRule="exact"/>
        <w:rPr>
          <w:sz w:val="20"/>
          <w:szCs w:val="20"/>
          <w:color w:val="auto"/>
        </w:rPr>
      </w:pPr>
    </w:p>
    <w:p>
      <w:pPr>
        <w:ind w:left="1240" w:hanging="309"/>
        <w:spacing w:after="0" w:line="253"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Legacy WMH Class A Unit holders, through their ownership of the Class V Common Stock, have the greatest voting interest in the Company with over 50% of the voting interest;</w:t>
      </w:r>
    </w:p>
    <w:p>
      <w:pPr>
        <w:ind w:left="1240" w:hanging="3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Legacy WMH selected the majority of the new board of directors of the Company;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Legacy WMH senior management is the senior management of the Company;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Legacy WMH is the larger entity based on historical operating activity and has the larger employee base.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Thus, the financial statements included in this annual report reflect (i) the historical operating results of Legacy WMH prior to the Business Combination;</w:t>
      </w:r>
    </w:p>
    <w:p>
      <w:pPr>
        <w:spacing w:after="0" w:line="33" w:lineRule="exact"/>
        <w:rPr>
          <w:sz w:val="20"/>
          <w:szCs w:val="20"/>
          <w:color w:val="auto"/>
        </w:rPr>
      </w:pPr>
    </w:p>
    <w:p>
      <w:pPr>
        <w:ind w:firstLine="3"/>
        <w:spacing w:after="0" w:line="266" w:lineRule="auto"/>
        <w:tabs>
          <w:tab w:leader="none" w:pos="2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4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8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The Company follows the guidance in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its financial assets and liabilities that are re-measured and reported at fair value at each reporting period.</w:t>
      </w:r>
    </w:p>
    <w:p>
      <w:pPr>
        <w:spacing w:after="0" w:line="19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8" w:lineRule="exact"/>
        <w:rPr>
          <w:sz w:val="20"/>
          <w:szCs w:val="20"/>
          <w:color w:val="auto"/>
        </w:rPr>
      </w:pPr>
    </w:p>
    <w:p>
      <w:pPr>
        <w:ind w:left="780" w:hanging="313"/>
        <w:spacing w:after="0" w:line="27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 w:lineRule="exact"/>
        <w:rPr>
          <w:rFonts w:ascii="Arial" w:cs="Arial" w:eastAsia="Arial" w:hAnsi="Arial"/>
          <w:sz w:val="17"/>
          <w:szCs w:val="17"/>
          <w:color w:val="auto"/>
        </w:rPr>
      </w:pPr>
    </w:p>
    <w:p>
      <w:pPr>
        <w:ind w:left="780" w:hanging="313"/>
        <w:spacing w:after="0" w:line="27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9" w:lineRule="exact"/>
        <w:rPr>
          <w:rFonts w:ascii="Arial" w:cs="Arial" w:eastAsia="Arial" w:hAnsi="Arial"/>
          <w:sz w:val="17"/>
          <w:szCs w:val="17"/>
          <w:color w:val="auto"/>
        </w:rPr>
      </w:pPr>
    </w:p>
    <w:p>
      <w:pPr>
        <w:ind w:left="780" w:hanging="313"/>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Level 3: Unobservable inputs based on the Company assessment of the assumptions that market participants would use in pricing the asset or liability.</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receivable is recorded at the invoiced amount and does not bear interest.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Prior to the accounting adoption, the Company reserved an allowance for all balances outstanding in excess of ninety days.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changes in the allowance for doubtful accounts: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beginning of year</w:t>
            </w:r>
          </w:p>
        </w:tc>
        <w:tc>
          <w:tcPr>
            <w:tcW w:w="3900" w:type="dxa"/>
            <w:vAlign w:val="bottom"/>
            <w:gridSpan w:val="2"/>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color w:val="auto"/>
              </w:rPr>
              <w:t>Addition to allowance</w:t>
            </w:r>
          </w:p>
        </w:tc>
        <w:tc>
          <w:tcPr>
            <w:tcW w:w="3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 net of recoveries</w:t>
            </w:r>
          </w:p>
        </w:tc>
        <w:tc>
          <w:tcPr>
            <w:tcW w:w="30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7"/>
                <w:szCs w:val="17"/>
                <w:color w:val="auto"/>
              </w:rPr>
              <w:t>Allowance, end of year</w:t>
            </w:r>
          </w:p>
        </w:tc>
        <w:tc>
          <w:tcPr>
            <w:tcW w:w="3900" w:type="dxa"/>
            <w:vAlign w:val="bottom"/>
            <w:gridSpan w:val="2"/>
          </w:tcPr>
          <w:p>
            <w:pPr>
              <w:jc w:val="right"/>
              <w:ind w:right="6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5,169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914</w:t>
            </w:r>
          </w:p>
        </w:tc>
      </w:tr>
      <w:tr>
        <w:trPr>
          <w:trHeight w:val="20"/>
        </w:trPr>
        <w:tc>
          <w:tcPr>
            <w:tcW w:w="3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854"/>
        </w:trPr>
        <w:tc>
          <w:tcPr>
            <w:tcW w:w="3760" w:type="dxa"/>
            <w:vAlign w:val="bottom"/>
          </w:tcPr>
          <w:p>
            <w:pPr>
              <w:spacing w:after="0"/>
              <w:rPr>
                <w:sz w:val="24"/>
                <w:szCs w:val="24"/>
                <w:color w:val="auto"/>
              </w:rPr>
            </w:pPr>
          </w:p>
        </w:tc>
        <w:tc>
          <w:tcPr>
            <w:tcW w:w="3900" w:type="dxa"/>
            <w:vAlign w:val="bottom"/>
            <w:gridSpan w:val="2"/>
          </w:tcPr>
          <w:p>
            <w:pPr>
              <w:jc w:val="right"/>
              <w:ind w:right="1794"/>
              <w:spacing w:after="0"/>
              <w:rPr>
                <w:sz w:val="20"/>
                <w:szCs w:val="20"/>
                <w:color w:val="auto"/>
              </w:rPr>
            </w:pPr>
            <w:r>
              <w:rPr>
                <w:rFonts w:ascii="Arial" w:cs="Arial" w:eastAsia="Arial" w:hAnsi="Arial"/>
                <w:sz w:val="17"/>
                <w:szCs w:val="17"/>
                <w:color w:val="auto"/>
              </w:rPr>
              <w:t>F-12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0"/>
        </w:trPr>
        <w:tc>
          <w:tcPr>
            <w:tcW w:w="37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Equity Security</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are accounted for at cost, less any impairment, plus or minus changes resulting from observable price changes in orderly 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20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43"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 xml:space="preserve">Effective January 1, 2021, the Company accounts for its leases under ASC 842 - </w:t>
      </w:r>
      <w:r>
        <w:rPr>
          <w:rFonts w:ascii="Arial" w:cs="Arial" w:eastAsia="Arial" w:hAnsi="Arial"/>
          <w:sz w:val="15"/>
          <w:szCs w:val="15"/>
          <w:i w:val="1"/>
          <w:iCs w:val="1"/>
          <w:color w:val="auto"/>
        </w:rPr>
        <w:t>Leases</w:t>
      </w:r>
      <w:r>
        <w:rPr>
          <w:rFonts w:ascii="Arial" w:cs="Arial" w:eastAsia="Arial" w:hAnsi="Arial"/>
          <w:sz w:val="15"/>
          <w:szCs w:val="15"/>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1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Company continues to account for leases in the prior period financial statements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assumed 12,499,993 Public Warrants and 7,000,000 Private Placement Warrants (together, the “Warrants”) upon the Closing, all of which</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were issued in connection with Silver Spike’s initial public offering and entitle the holder to purchase one share of Class A Common Stock at an exercise price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at $11.50 per share. All of the Warrants remained outstanding as of December 31, 2021. The Public Warrants are publicly traded and are exercisable for cash</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unless certain conditions occur, such as the failure to have an effective registration statement related to the shares issuable upon exercise or redemption by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 under certain conditions, at which time the warrants may be cashless exercised. The Private Placement Warrants are transferable, assignable or salable in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certain limited exceptions. The Private Placement Warrants are exercisable for cash or on a cashless basis, at the holder’s option, and are non-redeemable so long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as they are held by the initial purchasers or their permitted transferees. If the Private Placement Warrants are held by someone other than the initial purchasers or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their permitted transferees, the Private Placement Warrants will cease to be Private Placement Warrants, and become Public Warrants and be redeemable by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Company and exercisable by such holders on the same basis as the other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Public Warrants.</w:t>
      </w:r>
    </w:p>
    <w:p>
      <w:pPr>
        <w:spacing w:after="0" w:line="232"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19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Deferred 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13"/>
        </w:trPr>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r>
      <w:tr>
        <w:trPr>
          <w:trHeight w:val="30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recognized over time</w:t>
            </w:r>
            <w:r>
              <w:rPr>
                <w:rFonts w:ascii="Arial" w:cs="Arial" w:eastAsia="Arial" w:hAnsi="Arial"/>
                <w:sz w:val="22"/>
                <w:szCs w:val="22"/>
                <w:color w:val="auto"/>
                <w:vertAlign w:val="superscript"/>
              </w:rPr>
              <w:t>(1)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143,490</w:t>
            </w:r>
          </w:p>
        </w:tc>
      </w:tr>
      <w:tr>
        <w:trPr>
          <w:trHeight w:val="322"/>
        </w:trPr>
        <w:tc>
          <w:tcPr>
            <w:tcW w:w="6780" w:type="dxa"/>
            <w:vAlign w:val="bottom"/>
          </w:tcPr>
          <w:p>
            <w:pPr>
              <w:ind w:left="20"/>
              <w:spacing w:after="0"/>
              <w:rPr>
                <w:sz w:val="20"/>
                <w:szCs w:val="20"/>
                <w:color w:val="auto"/>
              </w:rPr>
            </w:pPr>
            <w:r>
              <w:rPr>
                <w:rFonts w:ascii="Arial" w:cs="Arial" w:eastAsia="Arial" w:hAnsi="Arial"/>
                <w:sz w:val="17"/>
                <w:szCs w:val="17"/>
                <w:color w:val="auto"/>
              </w:rPr>
              <w:t>Revenues recognized at a point in time</w:t>
            </w:r>
            <w:r>
              <w:rPr>
                <w:rFonts w:ascii="Arial" w:cs="Arial" w:eastAsia="Arial" w:hAnsi="Arial"/>
                <w:sz w:val="22"/>
                <w:szCs w:val="22"/>
                <w:color w:val="auto"/>
                <w:vertAlign w:val="superscript"/>
              </w:rPr>
              <w:t>(2)</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742</w:t>
            </w:r>
          </w:p>
        </w:tc>
      </w:tr>
      <w:tr>
        <w:trPr>
          <w:trHeight w:val="237"/>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10" w:lineRule="exact"/>
        <w:rPr>
          <w:sz w:val="20"/>
          <w:szCs w:val="20"/>
          <w:color w:val="auto"/>
        </w:rPr>
      </w:pPr>
    </w:p>
    <w:p>
      <w:pPr>
        <w:ind w:left="300" w:hanging="297"/>
        <w:spacing w:after="0"/>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ind w:left="300" w:hanging="297"/>
        <w:spacing w:after="0"/>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U.S. and foreign revenues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13"/>
        </w:trPr>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revenues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132,077</w:t>
            </w:r>
          </w:p>
        </w:tc>
      </w:tr>
      <w:tr>
        <w:trPr>
          <w:trHeight w:val="218"/>
        </w:trPr>
        <w:tc>
          <w:tcPr>
            <w:tcW w:w="6780" w:type="dxa"/>
            <w:vAlign w:val="bottom"/>
          </w:tcPr>
          <w:p>
            <w:pPr>
              <w:ind w:left="20"/>
              <w:spacing w:after="0"/>
              <w:rPr>
                <w:sz w:val="20"/>
                <w:szCs w:val="20"/>
                <w:color w:val="auto"/>
              </w:rPr>
            </w:pPr>
            <w:r>
              <w:rPr>
                <w:rFonts w:ascii="Arial" w:cs="Arial" w:eastAsia="Arial" w:hAnsi="Arial"/>
                <w:sz w:val="17"/>
                <w:szCs w:val="17"/>
                <w:color w:val="auto"/>
              </w:rPr>
              <w:t>Foreign revenues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31,418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12,155</w:t>
            </w:r>
          </w:p>
        </w:tc>
      </w:tr>
      <w:tr>
        <w:trPr>
          <w:trHeight w:val="238"/>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-466090</wp:posOffset>
            </wp:positionV>
            <wp:extent cx="5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7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cost of revenue primarily consists of web hosting, internet service costs, and credit card processing costs.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Costs</w:t>
      </w:r>
    </w:p>
    <w:p>
      <w:pPr>
        <w:spacing w:after="0" w:line="243"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 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20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Other expense consists primarily of transaction costs related to the warrants, political contributions, interest expense, legal settlements, financing fees and other tax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and its subsidiaries operate in one business segment.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19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20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Prior to December 31, 2021, the Company was an “emerging growth company” (EGC) as defined in the Jumpstart Our Business Startups Act, (JOBS Act), and elected to take advantage of certain exemptions from various 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3"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198"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198"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196"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20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4"/>
          <w:szCs w:val="14"/>
          <w:b w:val="1"/>
          <w:bCs w:val="1"/>
          <w:color w:val="auto"/>
        </w:rPr>
        <w:t>Leases</w:t>
      </w:r>
    </w:p>
    <w:p>
      <w:pPr>
        <w:spacing w:after="0" w:line="24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lease related costs, net for the year ended December 31, 2021 are as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6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Year Ended December 31,</w:t>
            </w:r>
          </w:p>
        </w:tc>
      </w:tr>
      <w:tr>
        <w:trPr>
          <w:trHeight w:val="219"/>
        </w:trPr>
        <w:tc>
          <w:tcPr>
            <w:tcW w:w="9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r>
      <w:tr>
        <w:trPr>
          <w:trHeight w:val="212"/>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cost</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w:t>
            </w:r>
          </w:p>
        </w:tc>
      </w:tr>
      <w:tr>
        <w:trPr>
          <w:trHeight w:val="213"/>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cost</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11,446</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cost</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38"/>
        </w:trPr>
        <w:tc>
          <w:tcPr>
            <w:tcW w:w="9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lease cost, net</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11,534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60" w:type="dxa"/>
            <w:vAlign w:val="bottom"/>
          </w:tcPr>
          <w:p>
            <w:pPr>
              <w:ind w:left="460"/>
              <w:spacing w:after="0"/>
              <w:rPr>
                <w:sz w:val="20"/>
                <w:szCs w:val="20"/>
                <w:color w:val="auto"/>
              </w:rPr>
            </w:pPr>
            <w:r>
              <w:rPr>
                <w:rFonts w:ascii="Arial" w:cs="Arial" w:eastAsia="Arial" w:hAnsi="Arial"/>
                <w:sz w:val="17"/>
                <w:szCs w:val="17"/>
                <w:color w:val="auto"/>
                <w:w w:val="96"/>
              </w:rPr>
              <w:t>As of December 31, 2021, future minimum payments for the next five years and thereafter are as follows (in thousands):</w:t>
            </w: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27"/>
        </w:trPr>
        <w:tc>
          <w:tcPr>
            <w:tcW w:w="9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jc w:val="right"/>
              <w:ind w:right="574"/>
              <w:spacing w:after="0"/>
              <w:rPr>
                <w:sz w:val="20"/>
                <w:szCs w:val="20"/>
                <w:color w:val="auto"/>
              </w:rPr>
            </w:pPr>
            <w:r>
              <w:rPr>
                <w:rFonts w:ascii="Arial" w:cs="Arial" w:eastAsia="Arial" w:hAnsi="Arial"/>
                <w:sz w:val="17"/>
                <w:szCs w:val="17"/>
                <w:b w:val="1"/>
                <w:bCs w:val="1"/>
                <w:color w:val="auto"/>
              </w:rPr>
              <w:t>Operating</w:t>
            </w:r>
          </w:p>
        </w:tc>
      </w:tr>
      <w:tr>
        <w:trPr>
          <w:trHeight w:val="219"/>
        </w:trPr>
        <w:tc>
          <w:tcPr>
            <w:tcW w:w="9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Leases</w:t>
            </w:r>
          </w:p>
        </w:tc>
      </w:tr>
      <w:tr>
        <w:trPr>
          <w:trHeight w:val="19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 Ending December 31,</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2022</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9,597</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9,405</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2026</w:t>
            </w: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5,408</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24,325</w:t>
            </w:r>
          </w:p>
        </w:tc>
      </w:tr>
      <w:tr>
        <w:trPr>
          <w:trHeight w:val="211"/>
        </w:trPr>
        <w:tc>
          <w:tcPr>
            <w:tcW w:w="9160" w:type="dxa"/>
            <w:vAlign w:val="bottom"/>
          </w:tcPr>
          <w:p>
            <w:pPr>
              <w:ind w:left="120"/>
              <w:spacing w:after="0"/>
              <w:rPr>
                <w:sz w:val="20"/>
                <w:szCs w:val="20"/>
                <w:color w:val="auto"/>
              </w:rPr>
            </w:pPr>
            <w:r>
              <w:rPr>
                <w:rFonts w:ascii="Arial" w:cs="Arial" w:eastAsia="Arial" w:hAnsi="Arial"/>
                <w:sz w:val="17"/>
                <w:szCs w:val="17"/>
                <w:color w:val="auto"/>
              </w:rPr>
              <w:t>Total</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64,463</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discount</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(19,623)</w:t>
            </w:r>
          </w:p>
        </w:tc>
      </w:tr>
      <w:tr>
        <w:trPr>
          <w:trHeight w:val="213"/>
        </w:trPr>
        <w:tc>
          <w:tcPr>
            <w:tcW w:w="9160" w:type="dxa"/>
            <w:vAlign w:val="bottom"/>
          </w:tcPr>
          <w:p>
            <w:pPr>
              <w:ind w:left="120"/>
              <w:spacing w:after="0"/>
              <w:rPr>
                <w:sz w:val="20"/>
                <w:szCs w:val="20"/>
                <w:color w:val="auto"/>
              </w:rPr>
            </w:pPr>
            <w:r>
              <w:rPr>
                <w:rFonts w:ascii="Arial" w:cs="Arial" w:eastAsia="Arial" w:hAnsi="Arial"/>
                <w:sz w:val="17"/>
                <w:szCs w:val="17"/>
                <w:color w:val="auto"/>
              </w:rPr>
              <w:t>Operating lease liabilities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44,840</w:t>
            </w: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8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Fair Value Measurements</w:t>
      </w:r>
    </w:p>
    <w:p>
      <w:pPr>
        <w:spacing w:after="0" w:line="24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91"/>
              </w:rPr>
              <w:t>Level</w:t>
            </w:r>
          </w:p>
        </w:tc>
        <w:tc>
          <w:tcPr>
            <w:tcW w:w="220" w:type="dxa"/>
            <w:vAlign w:val="bottom"/>
          </w:tcPr>
          <w:p>
            <w:pPr>
              <w:spacing w:after="0"/>
              <w:rPr>
                <w:sz w:val="19"/>
                <w:szCs w:val="19"/>
                <w:color w:val="auto"/>
              </w:rPr>
            </w:pPr>
          </w:p>
        </w:tc>
        <w:tc>
          <w:tcPr>
            <w:tcW w:w="1860" w:type="dxa"/>
            <w:vAlign w:val="bottom"/>
          </w:tcPr>
          <w:p>
            <w:pPr>
              <w:jc w:val="right"/>
              <w:ind w:right="254"/>
              <w:spacing w:after="0"/>
              <w:rPr>
                <w:sz w:val="20"/>
                <w:szCs w:val="20"/>
                <w:color w:val="auto"/>
              </w:rPr>
            </w:pPr>
            <w:r>
              <w:rPr>
                <w:rFonts w:ascii="Arial" w:cs="Arial" w:eastAsia="Arial" w:hAnsi="Arial"/>
                <w:sz w:val="17"/>
                <w:szCs w:val="17"/>
                <w:b w:val="1"/>
                <w:bCs w:val="1"/>
                <w:color w:val="auto"/>
                <w:w w:val="97"/>
              </w:rPr>
              <w:t>December 31, 2021</w:t>
            </w:r>
          </w:p>
        </w:tc>
        <w:tc>
          <w:tcPr>
            <w:tcW w:w="0" w:type="dxa"/>
            <w:vAlign w:val="bottom"/>
          </w:tcPr>
          <w:p>
            <w:pPr>
              <w:spacing w:after="0"/>
              <w:rPr>
                <w:sz w:val="1"/>
                <w:szCs w:val="1"/>
                <w:color w:val="auto"/>
              </w:rPr>
            </w:pPr>
          </w:p>
        </w:tc>
      </w:tr>
      <w:tr>
        <w:trPr>
          <w:trHeight w:val="20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6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Warrant liability – Public Warrants</w:t>
            </w:r>
          </w:p>
        </w:tc>
        <w:tc>
          <w:tcPr>
            <w:tcW w:w="1440" w:type="dxa"/>
            <w:vAlign w:val="bottom"/>
          </w:tcPr>
          <w:p>
            <w:pPr>
              <w:jc w:val="center"/>
              <w:ind w:right="554"/>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16,750</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 liability – Private Placement Warrants</w:t>
            </w:r>
          </w:p>
        </w:tc>
        <w:tc>
          <w:tcPr>
            <w:tcW w:w="1440" w:type="dxa"/>
            <w:vAlign w:val="bottom"/>
            <w:shd w:val="clear" w:color="auto" w:fill="CCEEFF"/>
          </w:tcPr>
          <w:p>
            <w:pPr>
              <w:jc w:val="center"/>
              <w:ind w:right="554"/>
              <w:spacing w:after="0"/>
              <w:rPr>
                <w:sz w:val="20"/>
                <w:szCs w:val="20"/>
                <w:color w:val="auto"/>
              </w:rPr>
            </w:pPr>
            <w:r>
              <w:rPr>
                <w:rFonts w:ascii="Arial" w:cs="Arial" w:eastAsia="Arial" w:hAnsi="Arial"/>
                <w:sz w:val="17"/>
                <w:szCs w:val="17"/>
                <w:color w:val="auto"/>
                <w:w w:val="84"/>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10,710</w:t>
            </w:r>
          </w:p>
        </w:tc>
        <w:tc>
          <w:tcPr>
            <w:tcW w:w="0" w:type="dxa"/>
            <w:vAlign w:val="bottom"/>
          </w:tcPr>
          <w:p>
            <w:pPr>
              <w:spacing w:after="0"/>
              <w:rPr>
                <w:sz w:val="1"/>
                <w:szCs w:val="1"/>
                <w:color w:val="auto"/>
              </w:rPr>
            </w:pPr>
          </w:p>
        </w:tc>
      </w:tr>
      <w:tr>
        <w:trPr>
          <w:trHeight w:val="213"/>
        </w:trPr>
        <w:tc>
          <w:tcPr>
            <w:tcW w:w="7620" w:type="dxa"/>
            <w:vAlign w:val="bottom"/>
            <w:gridSpan w:val="2"/>
          </w:tcPr>
          <w:p>
            <w:pPr>
              <w:ind w:left="120"/>
              <w:spacing w:after="0"/>
              <w:rPr>
                <w:sz w:val="20"/>
                <w:szCs w:val="20"/>
                <w:color w:val="auto"/>
              </w:rPr>
            </w:pPr>
            <w:r>
              <w:rPr>
                <w:rFonts w:ascii="Arial" w:cs="Arial" w:eastAsia="Arial" w:hAnsi="Arial"/>
                <w:sz w:val="17"/>
                <w:szCs w:val="17"/>
                <w:color w:val="auto"/>
              </w:rPr>
              <w:t>Total warrant liability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460"/>
              <w:spacing w:after="0"/>
              <w:rPr>
                <w:sz w:val="20"/>
                <w:szCs w:val="20"/>
                <w:color w:val="auto"/>
              </w:rPr>
            </w:pPr>
            <w:r>
              <w:rPr>
                <w:rFonts w:ascii="Arial" w:cs="Arial" w:eastAsia="Arial" w:hAnsi="Arial"/>
                <w:sz w:val="17"/>
                <w:szCs w:val="17"/>
                <w:color w:val="auto"/>
                <w:w w:val="95"/>
              </w:rPr>
              <w:t>The following tables summarize the changes in the fair value of the warrant liabilities (in thousands):</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762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-931545</wp:posOffset>
            </wp:positionV>
            <wp:extent cx="5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4373245</wp:posOffset>
            </wp:positionH>
            <wp:positionV relativeFrom="paragraph">
              <wp:posOffset>-931545</wp:posOffset>
            </wp:positionV>
            <wp:extent cx="5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Arial" w:cs="Arial" w:eastAsia="Arial" w:hAnsi="Arial"/>
                <w:sz w:val="17"/>
                <w:szCs w:val="17"/>
                <w:b w:val="1"/>
                <w:bCs w:val="1"/>
                <w:color w:val="auto"/>
                <w:w w:val="91"/>
              </w:rPr>
              <w:t>Year Ended December 31, 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2"/>
              </w:rPr>
              <w:t>Public Warrants</w:t>
            </w:r>
          </w:p>
        </w:tc>
        <w:tc>
          <w:tcPr>
            <w:tcW w:w="100" w:type="dxa"/>
            <w:vAlign w:val="bottom"/>
            <w:vMerge w:val="restart"/>
          </w:tcPr>
          <w:p>
            <w:pPr>
              <w:spacing w:after="0"/>
              <w:rPr>
                <w:sz w:val="14"/>
                <w:szCs w:val="14"/>
                <w:color w:val="auto"/>
              </w:rPr>
            </w:pPr>
          </w:p>
        </w:tc>
        <w:tc>
          <w:tcPr>
            <w:tcW w:w="1520" w:type="dxa"/>
            <w:vAlign w:val="bottom"/>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1"/>
              </w:rPr>
              <w:t>Private Placement</w:t>
            </w:r>
          </w:p>
        </w:tc>
        <w:tc>
          <w:tcPr>
            <w:tcW w:w="340" w:type="dxa"/>
            <w:vAlign w:val="bottom"/>
          </w:tcPr>
          <w:p>
            <w:pPr>
              <w:spacing w:after="0"/>
              <w:rPr>
                <w:sz w:val="14"/>
                <w:szCs w:val="14"/>
                <w:color w:val="auto"/>
              </w:rPr>
            </w:pPr>
          </w:p>
        </w:tc>
        <w:tc>
          <w:tcPr>
            <w:tcW w:w="108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Warrant</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4"/>
              </w:rPr>
              <w:t>Warrants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1"/>
              </w:rPr>
              <w:t>Liabilities</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7"/>
                <w:szCs w:val="17"/>
                <w:color w:val="auto"/>
              </w:rPr>
              <w:t>Warrant liability acquired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193,978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inputs or other assumptions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(166,518)</w:t>
            </w:r>
          </w:p>
        </w:tc>
        <w:tc>
          <w:tcPr>
            <w:tcW w:w="0" w:type="dxa"/>
            <w:vAlign w:val="bottom"/>
          </w:tcPr>
          <w:p>
            <w:pPr>
              <w:spacing w:after="0"/>
              <w:rPr>
                <w:sz w:val="1"/>
                <w:szCs w:val="1"/>
                <w:color w:val="auto"/>
              </w:rPr>
            </w:pPr>
          </w:p>
        </w:tc>
      </w:tr>
      <w:tr>
        <w:trPr>
          <w:trHeight w:val="213"/>
        </w:trPr>
        <w:tc>
          <w:tcPr>
            <w:tcW w:w="6780" w:type="dxa"/>
            <w:vAlign w:val="bottom"/>
          </w:tcPr>
          <w:p>
            <w:pPr>
              <w:ind w:left="120"/>
              <w:spacing w:after="0"/>
              <w:rPr>
                <w:sz w:val="20"/>
                <w:szCs w:val="20"/>
                <w:color w:val="auto"/>
              </w:rPr>
            </w:pPr>
            <w:r>
              <w:rPr>
                <w:rFonts w:ascii="Arial" w:cs="Arial" w:eastAsia="Arial" w:hAnsi="Arial"/>
                <w:sz w:val="17"/>
                <w:szCs w:val="17"/>
                <w:color w:val="auto"/>
              </w:rPr>
              <w:t>Fair value,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-605155</wp:posOffset>
            </wp:positionV>
            <wp:extent cx="5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Warrants</w:t>
      </w:r>
    </w:p>
    <w:p>
      <w:pPr>
        <w:spacing w:after="0" w:line="24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Placement Warrants</w:t>
      </w:r>
    </w:p>
    <w:p>
      <w:pPr>
        <w:spacing w:after="0" w:line="243"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inputs at their measurement dates: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Arial" w:cs="Arial" w:eastAsia="Arial" w:hAnsi="Arial"/>
                <w:sz w:val="17"/>
                <w:szCs w:val="17"/>
                <w:b w:val="1"/>
                <w:bCs w:val="1"/>
                <w:color w:val="auto"/>
              </w:rPr>
              <w:t>December 31, 2021</w:t>
            </w: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Arial" w:cs="Arial" w:eastAsia="Arial" w:hAnsi="Arial"/>
                <w:sz w:val="17"/>
                <w:szCs w:val="17"/>
                <w:b w:val="1"/>
                <w:bCs w:val="1"/>
                <w:color w:val="auto"/>
              </w:rPr>
              <w:t>June 16, 2021</w:t>
            </w:r>
          </w:p>
        </w:tc>
      </w:tr>
      <w:tr>
        <w:trPr>
          <w:trHeight w:val="21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 price</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11.50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11.50</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Stock price</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00" w:type="dxa"/>
            <w:vAlign w:val="bottom"/>
          </w:tcPr>
          <w:p>
            <w:pPr>
              <w:jc w:val="right"/>
              <w:ind w:right="134"/>
              <w:spacing w:after="0"/>
              <w:rPr>
                <w:sz w:val="20"/>
                <w:szCs w:val="20"/>
                <w:color w:val="auto"/>
              </w:rPr>
            </w:pPr>
            <w:r>
              <w:rPr>
                <w:rFonts w:ascii="Arial" w:cs="Arial" w:eastAsia="Arial" w:hAnsi="Arial"/>
                <w:sz w:val="17"/>
                <w:szCs w:val="17"/>
                <w:color w:val="auto"/>
              </w:rPr>
              <w:t>5.98</w:t>
            </w:r>
          </w:p>
        </w:tc>
        <w:tc>
          <w:tcPr>
            <w:tcW w:w="8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14"/>
              <w:spacing w:after="0"/>
              <w:rPr>
                <w:sz w:val="20"/>
                <w:szCs w:val="20"/>
                <w:color w:val="auto"/>
              </w:rPr>
            </w:pPr>
            <w:r>
              <w:rPr>
                <w:rFonts w:ascii="Arial" w:cs="Arial" w:eastAsia="Arial" w:hAnsi="Arial"/>
                <w:sz w:val="17"/>
                <w:szCs w:val="17"/>
                <w:color w:val="auto"/>
              </w:rPr>
              <w:t>20.55</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60.0 %</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Term (years)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0.89 %</w:t>
            </w: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20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changes in the volatility would result in a significant lower or higher fair value measurement, respectively.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fair value of the Private Placement Warrants was $10.7 million and $93.2 million as of December 31, 2021 and June 16, 2021, respectively.</w:t>
      </w:r>
    </w:p>
    <w:p>
      <w:pPr>
        <w:spacing w:after="0" w:line="25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The Warrants were accounted for as liabilities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transfers in or out of Level 3 from other levels in the fair value hierarchy.</w:t>
      </w:r>
    </w:p>
    <w:p>
      <w:pPr>
        <w:spacing w:after="0" w:line="237" w:lineRule="exact"/>
        <w:rPr>
          <w:sz w:val="20"/>
          <w:szCs w:val="20"/>
          <w:color w:val="auto"/>
        </w:rPr>
      </w:pPr>
    </w:p>
    <w:p>
      <w:pPr>
        <w:ind w:left="340" w:hanging="337"/>
        <w:spacing w:after="0"/>
        <w:tabs>
          <w:tab w:leader="none" w:pos="3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discussed in Note 1, on June 16, 2021, the Company consummated the Business Combination pursuant to the Merger Agreement.</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Closing, the following occurred:</w:t>
      </w:r>
    </w:p>
    <w:p>
      <w:pPr>
        <w:spacing w:after="0" w:line="243"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Silver Spike was domesticated and continues as a Delaware corporation, changing its name to “WM Technology, Inc.”</w:t>
      </w:r>
    </w:p>
    <w:p>
      <w:pPr>
        <w:spacing w:after="0" w:line="24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line="279"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190" w:lineRule="exact"/>
        <w:rPr>
          <w:rFonts w:ascii="Arial" w:cs="Arial" w:eastAsia="Arial" w:hAnsi="Arial"/>
          <w:sz w:val="17"/>
          <w:szCs w:val="17"/>
          <w:color w:val="auto"/>
        </w:rPr>
      </w:pPr>
    </w:p>
    <w:p>
      <w:pPr>
        <w:jc w:val="both"/>
        <w:ind w:left="620" w:hanging="307"/>
        <w:spacing w:after="0" w:line="292" w:lineRule="auto"/>
        <w:tabs>
          <w:tab w:leader="none" w:pos="61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Arial" w:cs="Arial" w:eastAsia="Arial" w:hAnsi="Arial"/>
          <w:sz w:val="15"/>
          <w:szCs w:val="15"/>
          <w:color w:val="auto"/>
        </w:rPr>
      </w:pPr>
      <w:r>
        <w:rPr>
          <w:rFonts w:ascii="Arial" w:cs="Arial" w:eastAsia="Arial" w:hAnsi="Arial"/>
          <w:sz w:val="17"/>
          <w:szCs w:val="17"/>
          <w:color w:val="auto"/>
        </w:rPr>
        <w:t>(d) the aggregate amount of transaction expenses incurred by the parties to the Business Combination Agreement.</w:t>
      </w:r>
    </w:p>
    <w:p>
      <w:pPr>
        <w:spacing w:after="0" w:line="232" w:lineRule="exact"/>
        <w:rPr>
          <w:rFonts w:ascii="Arial" w:cs="Arial" w:eastAsia="Arial" w:hAnsi="Arial"/>
          <w:sz w:val="15"/>
          <w:szCs w:val="15"/>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transferred $455.2 million to the Legacy WMH equity holders as cash consideration.</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Legacy WMH equity holders retained an aggregate of 65,502,347 Class A Units and 25,896,042 Class P Units.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issued 65,502,347 shares of Class V Common Stock to Class A Unit holders, representing the same number of Class A Units retained by the Legacy WMH equity holders.</w:t>
      </w:r>
    </w:p>
    <w:p>
      <w:pPr>
        <w:spacing w:after="0" w:line="190" w:lineRule="exact"/>
        <w:rPr>
          <w:rFonts w:ascii="Arial" w:cs="Arial" w:eastAsia="Arial" w:hAnsi="Arial"/>
          <w:sz w:val="17"/>
          <w:szCs w:val="17"/>
          <w:color w:val="auto"/>
        </w:rPr>
      </w:pPr>
    </w:p>
    <w:p>
      <w:pPr>
        <w:jc w:val="both"/>
        <w:ind w:left="620" w:hanging="307"/>
        <w:spacing w:after="0" w:line="302" w:lineRule="auto"/>
        <w:tabs>
          <w:tab w:leader="none" w:pos="61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178"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1"/>
              </w:rPr>
              <w:t>Business Combination</w:t>
            </w:r>
          </w:p>
        </w:tc>
        <w:tc>
          <w:tcPr>
            <w:tcW w:w="0" w:type="dxa"/>
            <w:vAlign w:val="bottom"/>
          </w:tcPr>
          <w:p>
            <w:pPr>
              <w:spacing w:after="0"/>
              <w:rPr>
                <w:sz w:val="1"/>
                <w:szCs w:val="1"/>
                <w:color w:val="auto"/>
              </w:rPr>
            </w:pP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 Silver Spike trust and cash, net of redemptions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254,203</w:t>
            </w:r>
          </w:p>
        </w:tc>
        <w:tc>
          <w:tcPr>
            <w:tcW w:w="0" w:type="dxa"/>
            <w:vAlign w:val="bottom"/>
          </w:tcPr>
          <w:p>
            <w:pPr>
              <w:spacing w:after="0"/>
              <w:rPr>
                <w:sz w:val="1"/>
                <w:szCs w:val="1"/>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Cash - PIPE Financing</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325,000</w:t>
            </w: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cash consideration paid to Legacy WMH equity holders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(455,182)</w:t>
            </w:r>
          </w:p>
        </w:tc>
        <w:tc>
          <w:tcPr>
            <w:tcW w:w="0" w:type="dxa"/>
            <w:vAlign w:val="bottom"/>
          </w:tcPr>
          <w:p>
            <w:pPr>
              <w:spacing w:after="0"/>
              <w:rPr>
                <w:sz w:val="1"/>
                <w:szCs w:val="1"/>
                <w:color w:val="auto"/>
              </w:rPr>
            </w:pP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transaction costs and advisory fees</w:t>
            </w: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(44,052)</w:t>
            </w:r>
          </w:p>
        </w:tc>
        <w:tc>
          <w:tcPr>
            <w:tcW w:w="0" w:type="dxa"/>
            <w:vAlign w:val="bottom"/>
          </w:tcPr>
          <w:p>
            <w:pPr>
              <w:spacing w:after="0"/>
              <w:rPr>
                <w:sz w:val="1"/>
                <w:szCs w:val="1"/>
                <w:color w:val="auto"/>
              </w:rPr>
            </w:pPr>
          </w:p>
        </w:tc>
      </w:tr>
      <w:tr>
        <w:trPr>
          <w:trHeight w:val="213"/>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proceeds from the Business Combination</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79,969</w:t>
            </w:r>
          </w:p>
        </w:tc>
        <w:tc>
          <w:tcPr>
            <w:tcW w:w="0" w:type="dxa"/>
            <w:vAlign w:val="bottom"/>
          </w:tcPr>
          <w:p>
            <w:pPr>
              <w:spacing w:after="0"/>
              <w:rPr>
                <w:sz w:val="1"/>
                <w:szCs w:val="1"/>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Less: initial fair value of warrant liability recognized in the Business Combination</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(193,978)</w:t>
            </w: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transaction costs allocated to Warrants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0" w:type="dxa"/>
            <w:vAlign w:val="bottom"/>
          </w:tcPr>
          <w:p>
            <w:pPr>
              <w:spacing w:after="0"/>
              <w:rPr>
                <w:sz w:val="1"/>
                <w:szCs w:val="1"/>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Add: non-cash assets assumed from Silver Spike</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deferred tax asset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151,255</w:t>
            </w:r>
          </w:p>
        </w:tc>
        <w:tc>
          <w:tcPr>
            <w:tcW w:w="0" w:type="dxa"/>
            <w:vAlign w:val="bottom"/>
          </w:tcPr>
          <w:p>
            <w:pPr>
              <w:spacing w:after="0"/>
              <w:rPr>
                <w:sz w:val="1"/>
                <w:szCs w:val="1"/>
                <w:color w:val="auto"/>
              </w:rPr>
            </w:pP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tax receivable agreement liability</w:t>
            </w: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(128,567)</w:t>
            </w:r>
          </w:p>
        </w:tc>
        <w:tc>
          <w:tcPr>
            <w:tcW w:w="0" w:type="dxa"/>
            <w:vAlign w:val="bottom"/>
          </w:tcPr>
          <w:p>
            <w:pPr>
              <w:spacing w:after="0"/>
              <w:rPr>
                <w:sz w:val="1"/>
                <w:szCs w:val="1"/>
                <w:color w:val="auto"/>
              </w:rPr>
            </w:pPr>
          </w:p>
        </w:tc>
      </w:tr>
      <w:tr>
        <w:trPr>
          <w:trHeight w:val="238"/>
        </w:trPr>
        <w:tc>
          <w:tcPr>
            <w:tcW w:w="9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adjustment to total equity from the Business Combination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(84,721)</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The number of shares of common stock issued immediately following the Closing: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9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Number of Shares</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outstanding prior to the Business Combination</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24,998,575</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redemption of shares of Silver Spike’s Class A common stock</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10,012</w:t>
            </w:r>
          </w:p>
        </w:tc>
      </w:tr>
      <w:tr>
        <w:trPr>
          <w:trHeight w:val="213"/>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Shares of Silver Spike’s Class A common stock</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24,988,563</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Shares of Class A Common Stock held by Silver Spike’s Sponsor</w:t>
            </w:r>
          </w:p>
        </w:tc>
        <w:tc>
          <w:tcPr>
            <w:tcW w:w="2080" w:type="dxa"/>
            <w:vAlign w:val="bottom"/>
          </w:tcPr>
          <w:p>
            <w:pPr>
              <w:jc w:val="right"/>
              <w:spacing w:after="0"/>
              <w:rPr>
                <w:sz w:val="20"/>
                <w:szCs w:val="20"/>
                <w:color w:val="auto"/>
              </w:rPr>
            </w:pPr>
            <w:r>
              <w:rPr>
                <w:rFonts w:ascii="Arial" w:cs="Arial" w:eastAsia="Arial" w:hAnsi="Arial"/>
                <w:sz w:val="17"/>
                <w:szCs w:val="17"/>
                <w:color w:val="auto"/>
              </w:rPr>
              <w:t>6,250,000</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Class A Common Stock issued in the PIPE Financing</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32,500,000</w:t>
            </w:r>
          </w:p>
        </w:tc>
      </w:tr>
      <w:tr>
        <w:trPr>
          <w:trHeight w:val="211"/>
        </w:trPr>
        <w:tc>
          <w:tcPr>
            <w:tcW w:w="9160" w:type="dxa"/>
            <w:vAlign w:val="bottom"/>
          </w:tcPr>
          <w:p>
            <w:pPr>
              <w:ind w:left="120"/>
              <w:spacing w:after="0"/>
              <w:rPr>
                <w:sz w:val="20"/>
                <w:szCs w:val="20"/>
                <w:color w:val="auto"/>
              </w:rPr>
            </w:pPr>
            <w:r>
              <w:rPr>
                <w:rFonts w:ascii="Arial" w:cs="Arial" w:eastAsia="Arial" w:hAnsi="Arial"/>
                <w:sz w:val="17"/>
                <w:szCs w:val="17"/>
                <w:color w:val="auto"/>
              </w:rPr>
              <w:t>Shares of Class A Common Stock issued in the Business Combination</w:t>
            </w:r>
          </w:p>
        </w:tc>
        <w:tc>
          <w:tcPr>
            <w:tcW w:w="2080" w:type="dxa"/>
            <w:vAlign w:val="bottom"/>
          </w:tcPr>
          <w:p>
            <w:pPr>
              <w:jc w:val="right"/>
              <w:spacing w:after="0"/>
              <w:rPr>
                <w:sz w:val="20"/>
                <w:szCs w:val="20"/>
                <w:color w:val="auto"/>
              </w:rPr>
            </w:pPr>
            <w:r>
              <w:rPr>
                <w:rFonts w:ascii="Arial" w:cs="Arial" w:eastAsia="Arial" w:hAnsi="Arial"/>
                <w:sz w:val="17"/>
                <w:szCs w:val="17"/>
                <w:color w:val="auto"/>
              </w:rPr>
              <w:t>63,738,563</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Class V Common Stock issued to Legacy WMH equity holders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65,502,347</w:t>
            </w:r>
          </w:p>
        </w:tc>
      </w:tr>
      <w:tr>
        <w:trPr>
          <w:trHeight w:val="213"/>
        </w:trPr>
        <w:tc>
          <w:tcPr>
            <w:tcW w:w="9160" w:type="dxa"/>
            <w:vAlign w:val="bottom"/>
          </w:tcPr>
          <w:p>
            <w:pPr>
              <w:ind w:left="120"/>
              <w:spacing w:after="0"/>
              <w:rPr>
                <w:sz w:val="20"/>
                <w:szCs w:val="20"/>
                <w:color w:val="auto"/>
              </w:rPr>
            </w:pPr>
            <w:r>
              <w:rPr>
                <w:rFonts w:ascii="Arial" w:cs="Arial" w:eastAsia="Arial" w:hAnsi="Arial"/>
                <w:sz w:val="17"/>
                <w:szCs w:val="17"/>
                <w:color w:val="auto"/>
              </w:rPr>
              <w:t>Total shares of common stock issued in the Business Combination</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129,240,910</w:t>
            </w:r>
          </w:p>
        </w:tc>
      </w:tr>
      <w:tr>
        <w:trPr>
          <w:trHeight w:val="20"/>
        </w:trPr>
        <w:tc>
          <w:tcPr>
            <w:tcW w:w="9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6"/>
          <w:szCs w:val="16"/>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8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7.</w:t>
        <w:tab/>
        <w:t>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Sprout</w:t>
      </w:r>
    </w:p>
    <w:p>
      <w:pPr>
        <w:spacing w:after="0" w:line="23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97"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19,186</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 and Liabilities Assumed: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acquired:</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160" w:type="dxa"/>
            <w:vAlign w:val="bottom"/>
          </w:tcPr>
          <w:p>
            <w:pPr>
              <w:ind w:left="120"/>
              <w:spacing w:after="0"/>
              <w:rPr>
                <w:sz w:val="20"/>
                <w:szCs w:val="20"/>
                <w:color w:val="auto"/>
              </w:rPr>
            </w:pPr>
            <w:r>
              <w:rPr>
                <w:rFonts w:ascii="Arial" w:cs="Arial" w:eastAsia="Arial" w:hAnsi="Arial"/>
                <w:sz w:val="17"/>
                <w:szCs w:val="17"/>
                <w:color w:val="auto"/>
              </w:rPr>
              <w:t>Software technology</w:t>
            </w: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name</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18"/>
        </w:trPr>
        <w:tc>
          <w:tcPr>
            <w:tcW w:w="9160" w:type="dxa"/>
            <w:vAlign w:val="bottom"/>
          </w:tcPr>
          <w:p>
            <w:pPr>
              <w:ind w:left="120"/>
              <w:spacing w:after="0"/>
              <w:rPr>
                <w:sz w:val="20"/>
                <w:szCs w:val="20"/>
                <w:color w:val="auto"/>
              </w:rPr>
            </w:pPr>
            <w:r>
              <w:rPr>
                <w:rFonts w:ascii="Arial" w:cs="Arial" w:eastAsia="Arial" w:hAnsi="Arial"/>
                <w:sz w:val="17"/>
                <w:szCs w:val="17"/>
                <w:color w:val="auto"/>
              </w:rPr>
              <w:t>Customer relationships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1,410</w:t>
            </w: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26,686</w:t>
            </w:r>
          </w:p>
        </w:tc>
        <w:tc>
          <w:tcPr>
            <w:tcW w:w="0" w:type="dxa"/>
            <w:vAlign w:val="bottom"/>
          </w:tcPr>
          <w:p>
            <w:pPr>
              <w:spacing w:after="0"/>
              <w:rPr>
                <w:sz w:val="1"/>
                <w:szCs w:val="1"/>
                <w:color w:val="auto"/>
              </w:rPr>
            </w:pPr>
          </w:p>
        </w:tc>
      </w:tr>
      <w:tr>
        <w:trPr>
          <w:trHeight w:val="211"/>
        </w:trPr>
        <w:tc>
          <w:tcPr>
            <w:tcW w:w="916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31,286</w:t>
            </w:r>
          </w:p>
        </w:tc>
        <w:tc>
          <w:tcPr>
            <w:tcW w:w="0" w:type="dxa"/>
            <w:vAlign w:val="bottom"/>
          </w:tcPr>
          <w:p>
            <w:pPr>
              <w:spacing w:after="0"/>
              <w:rPr>
                <w:sz w:val="1"/>
                <w:szCs w:val="1"/>
                <w:color w:val="auto"/>
              </w:rPr>
            </w:pPr>
          </w:p>
        </w:tc>
      </w:tr>
      <w:tr>
        <w:trPr>
          <w:trHeight w:val="246"/>
        </w:trPr>
        <w:tc>
          <w:tcPr>
            <w:tcW w:w="9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3"/>
        </w:trPr>
        <w:tc>
          <w:tcPr>
            <w:tcW w:w="9160" w:type="dxa"/>
            <w:vAlign w:val="bottom"/>
          </w:tcPr>
          <w:p>
            <w:pPr>
              <w:ind w:left="20"/>
              <w:spacing w:after="0"/>
              <w:rPr>
                <w:sz w:val="20"/>
                <w:szCs w:val="20"/>
                <w:color w:val="auto"/>
              </w:rPr>
            </w:pPr>
            <w:r>
              <w:rPr>
                <w:rFonts w:ascii="Arial" w:cs="Arial" w:eastAsia="Arial" w:hAnsi="Arial"/>
                <w:sz w:val="17"/>
                <w:szCs w:val="17"/>
                <w:color w:val="auto"/>
              </w:rPr>
              <w:t>Total net assets acquired</w:t>
            </w: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12" w:lineRule="exact"/>
        <w:rPr>
          <w:sz w:val="20"/>
          <w:szCs w:val="20"/>
          <w:color w:val="auto"/>
        </w:rPr>
      </w:pPr>
    </w:p>
    <w:p>
      <w:pPr>
        <w:ind w:left="320" w:hanging="317"/>
        <w:spacing w:after="0" w:line="235" w:lineRule="auto"/>
        <w:tabs>
          <w:tab w:leader="none" w:pos="31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Transport Logistics Holding</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201"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Cash consideration </w:t>
            </w:r>
            <w:r>
              <w:rPr>
                <w:rFonts w:ascii="Arial" w:cs="Arial" w:eastAsia="Arial" w:hAnsi="Arial"/>
                <w:sz w:val="22"/>
                <w:szCs w:val="22"/>
                <w:color w:val="auto"/>
                <w:vertAlign w:val="superscript"/>
              </w:rPr>
              <w:t>(1)</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(2)</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10,126</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technology</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14,648</w:t>
            </w:r>
          </w:p>
        </w:tc>
        <w:tc>
          <w:tcPr>
            <w:tcW w:w="0" w:type="dxa"/>
            <w:vAlign w:val="bottom"/>
          </w:tcPr>
          <w:p>
            <w:pPr>
              <w:spacing w:after="0"/>
              <w:rPr>
                <w:sz w:val="1"/>
                <w:szCs w:val="1"/>
                <w:color w:val="auto"/>
              </w:rPr>
            </w:pPr>
          </w:p>
        </w:tc>
      </w:tr>
      <w:tr>
        <w:trPr>
          <w:trHeight w:val="238"/>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acquired</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ind w:left="300" w:hanging="297"/>
        <w:spacing w:after="0" w:line="236" w:lineRule="auto"/>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holdback of $1.0 million recorded within other current liabilities on the Company’s consolidated balance sheets.</w:t>
      </w:r>
    </w:p>
    <w:p>
      <w:pPr>
        <w:ind w:left="320" w:hanging="317"/>
        <w:spacing w:after="0" w:line="235" w:lineRule="auto"/>
        <w:tabs>
          <w:tab w:leader="none" w:pos="31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9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Arial" w:cs="Arial" w:eastAsia="Arial" w:hAnsi="Arial"/>
                <w:sz w:val="17"/>
                <w:szCs w:val="17"/>
                <w:b w:val="1"/>
                <w:bCs w:val="1"/>
                <w:color w:val="auto"/>
              </w:rPr>
              <w:t>8.   Goodwill and Intangible Assets</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8"/>
        </w:trPr>
        <w:tc>
          <w:tcPr>
            <w:tcW w:w="9160" w:type="dxa"/>
            <w:vAlign w:val="bottom"/>
          </w:tcPr>
          <w:p>
            <w:pPr>
              <w:ind w:left="620"/>
              <w:spacing w:after="0"/>
              <w:rPr>
                <w:sz w:val="20"/>
                <w:szCs w:val="20"/>
                <w:color w:val="auto"/>
              </w:rPr>
            </w:pPr>
            <w:r>
              <w:rPr>
                <w:rFonts w:ascii="Arial" w:cs="Arial" w:eastAsia="Arial" w:hAnsi="Arial"/>
                <w:sz w:val="17"/>
                <w:szCs w:val="17"/>
                <w:color w:val="auto"/>
              </w:rPr>
              <w:t>A summary of changes in goodwill for the year ended December 31, 2021 is as follows (in thousands):</w:t>
            </w: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2"/>
        </w:trPr>
        <w:tc>
          <w:tcPr>
            <w:tcW w:w="91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Goodwill</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Acquisition of Sprout</w:t>
            </w: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26,686</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TLH</w:t>
            </w: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14,648</w:t>
            </w:r>
          </w:p>
        </w:tc>
      </w:tr>
      <w:tr>
        <w:trPr>
          <w:trHeight w:val="213"/>
        </w:trPr>
        <w:tc>
          <w:tcPr>
            <w:tcW w:w="916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45,295</w:t>
            </w:r>
          </w:p>
        </w:tc>
      </w:tr>
      <w:tr>
        <w:trPr>
          <w:trHeight w:val="20"/>
        </w:trPr>
        <w:tc>
          <w:tcPr>
            <w:tcW w:w="9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for the periods presented below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8"/>
          </w:tcPr>
          <w:p>
            <w:pPr>
              <w:ind w:left="1220"/>
              <w:spacing w:after="0"/>
              <w:rPr>
                <w:sz w:val="20"/>
                <w:szCs w:val="20"/>
                <w:color w:val="auto"/>
              </w:rPr>
            </w:pPr>
            <w:r>
              <w:rPr>
                <w:rFonts w:ascii="Arial" w:cs="Arial" w:eastAsia="Arial" w:hAnsi="Arial"/>
                <w:sz w:val="17"/>
                <w:szCs w:val="17"/>
                <w:b w:val="1"/>
                <w:bCs w:val="1"/>
                <w:color w:val="auto"/>
              </w:rPr>
              <w:t>December 31, 2021</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0"/>
              </w:rPr>
              <w:t>Weighted 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4"/>
              </w:rPr>
              <w:t>Amortization Period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4"/>
            <w:vMerge w:val="restart"/>
          </w:tcPr>
          <w:p>
            <w:pPr>
              <w:ind w:left="60"/>
              <w:spacing w:after="0"/>
              <w:rPr>
                <w:sz w:val="20"/>
                <w:szCs w:val="20"/>
                <w:color w:val="auto"/>
              </w:rPr>
            </w:pPr>
            <w:r>
              <w:rPr>
                <w:rFonts w:ascii="Arial" w:cs="Arial" w:eastAsia="Arial" w:hAnsi="Arial"/>
                <w:sz w:val="17"/>
                <w:szCs w:val="17"/>
                <w:b w:val="1"/>
                <w:bCs w:val="1"/>
                <w:color w:val="auto"/>
                <w:w w:val="99"/>
              </w:rPr>
              <w:t>Gross Intangible Assets</w:t>
            </w:r>
          </w:p>
        </w:tc>
        <w:tc>
          <w:tcPr>
            <w:tcW w:w="2120" w:type="dxa"/>
            <w:vAlign w:val="bottom"/>
            <w:gridSpan w:val="5"/>
            <w:vMerge w:val="restart"/>
          </w:tcPr>
          <w:p>
            <w:pPr>
              <w:ind w:left="20"/>
              <w:spacing w:after="0"/>
              <w:rPr>
                <w:sz w:val="20"/>
                <w:szCs w:val="20"/>
                <w:color w:val="auto"/>
              </w:rPr>
            </w:pPr>
            <w:r>
              <w:rPr>
                <w:rFonts w:ascii="Arial" w:cs="Arial" w:eastAsia="Arial" w:hAnsi="Arial"/>
                <w:sz w:val="17"/>
                <w:szCs w:val="17"/>
                <w:b w:val="1"/>
                <w:bCs w:val="1"/>
                <w:color w:val="auto"/>
                <w:w w:val="96"/>
              </w:rPr>
              <w:t>Accumulated Amortization</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w w:val="91"/>
              </w:rPr>
              <w:t>Net Intangible Assets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90"/>
              </w:rPr>
              <w:t>(Years)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gridSpan w:val="4"/>
            <w:vMerge w:val="continue"/>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20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14.3</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7"/>
                <w:szCs w:val="17"/>
                <w:color w:val="auto"/>
              </w:rPr>
              <w:t>Software technology</w:t>
            </w:r>
          </w:p>
        </w:tc>
        <w:tc>
          <w:tcPr>
            <w:tcW w:w="2020" w:type="dxa"/>
            <w:vAlign w:val="bottom"/>
            <w:gridSpan w:val="2"/>
          </w:tcPr>
          <w:p>
            <w:pPr>
              <w:jc w:val="center"/>
              <w:spacing w:after="0"/>
              <w:rPr>
                <w:sz w:val="20"/>
                <w:szCs w:val="20"/>
                <w:color w:val="auto"/>
              </w:rPr>
            </w:pPr>
            <w:r>
              <w:rPr>
                <w:rFonts w:ascii="Arial" w:cs="Arial" w:eastAsia="Arial" w:hAnsi="Arial"/>
                <w:sz w:val="17"/>
                <w:szCs w:val="17"/>
                <w:color w:val="auto"/>
                <w:w w:val="92"/>
              </w:rPr>
              <w:t>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6,691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(3,222)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3,469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3.4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2020" w:type="dxa"/>
            <w:vAlign w:val="bottom"/>
            <w:gridSpan w:val="2"/>
          </w:tcPr>
          <w:p>
            <w:pPr>
              <w:jc w:val="center"/>
              <w:spacing w:after="0"/>
              <w:rPr>
                <w:sz w:val="20"/>
                <w:szCs w:val="20"/>
                <w:color w:val="auto"/>
              </w:rPr>
            </w:pPr>
            <w:r>
              <w:rPr>
                <w:rFonts w:ascii="Arial" w:cs="Arial" w:eastAsia="Arial" w:hAnsi="Arial"/>
                <w:sz w:val="17"/>
                <w:szCs w:val="17"/>
                <w:color w:val="auto"/>
                <w:w w:val="90"/>
              </w:rPr>
              <w:t>10.4</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8"/>
          </w:tcPr>
          <w:p>
            <w:pPr>
              <w:ind w:left="1240"/>
              <w:spacing w:after="0"/>
              <w:rPr>
                <w:sz w:val="20"/>
                <w:szCs w:val="20"/>
                <w:color w:val="auto"/>
              </w:rPr>
            </w:pPr>
            <w:r>
              <w:rPr>
                <w:rFonts w:ascii="Arial" w:cs="Arial" w:eastAsia="Arial" w:hAnsi="Arial"/>
                <w:sz w:val="17"/>
                <w:szCs w:val="17"/>
                <w:b w:val="1"/>
                <w:bCs w:val="1"/>
                <w:color w:val="auto"/>
              </w:rPr>
              <w:t>December 31, 2020</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8"/>
              </w:rPr>
              <w:t>Weighted 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vMerge w:val="restart"/>
          </w:tcPr>
          <w:p>
            <w:pPr>
              <w:ind w:left="220"/>
              <w:spacing w:after="0"/>
              <w:rPr>
                <w:sz w:val="20"/>
                <w:szCs w:val="20"/>
                <w:color w:val="auto"/>
              </w:rPr>
            </w:pPr>
            <w:r>
              <w:rPr>
                <w:rFonts w:ascii="Arial" w:cs="Arial" w:eastAsia="Arial" w:hAnsi="Arial"/>
                <w:sz w:val="17"/>
                <w:szCs w:val="17"/>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4"/>
              </w:rPr>
              <w:t>Amortization Period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94"/>
              </w:rPr>
              <w:t>Gross Intangible Assets</w:t>
            </w:r>
          </w:p>
        </w:tc>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2"/>
              </w:rPr>
              <w:t>Net Intangible Assets</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(Years)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Amortization</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Trade and domain names</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15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7,255</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(3,556)</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3,699</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Software technology</w:t>
            </w:r>
          </w:p>
        </w:tc>
        <w:tc>
          <w:tcPr>
            <w:tcW w:w="20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84"/>
              </w:rPr>
              <w:t>9.4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3,469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(2,663)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13.2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10,724</w:t>
            </w: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(6,219)</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color w:val="auto"/>
        </w:rPr>
        <w:t>Amortization expense for intangible assets was $1.3 million, $0.9 million and $3.4 million for the years ended December 31, 2021, 2020 and 2019, respectively.</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future amortization expense of intangible assets as of December 31, 2021 is as follows (in thousands):</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18415</wp:posOffset>
            </wp:positionV>
            <wp:extent cx="6805930" cy="139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Years ended December 31,</w:t>
      </w:r>
    </w:p>
    <w:p>
      <w:pPr>
        <w:spacing w:after="0" w:line="24" w:lineRule="exact"/>
        <w:rPr>
          <w:sz w:val="20"/>
          <w:szCs w:val="20"/>
          <w:color w:val="auto"/>
        </w:rPr>
      </w:pPr>
    </w:p>
    <w:p>
      <w:pPr>
        <w:ind w:left="1260"/>
        <w:spacing w:after="0"/>
        <w:tabs>
          <w:tab w:leader="none" w:pos="9840" w:val="left"/>
        </w:tabs>
        <w:rPr>
          <w:sz w:val="20"/>
          <w:szCs w:val="20"/>
          <w:color w:val="auto"/>
        </w:rPr>
      </w:pPr>
      <w:r>
        <w:rPr>
          <w:rFonts w:ascii="Arial" w:cs="Arial" w:eastAsia="Arial" w:hAnsi="Arial"/>
          <w:sz w:val="17"/>
          <w:szCs w:val="17"/>
          <w:color w:val="auto"/>
        </w:rPr>
        <w:t>2022</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2023</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2025</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5855335</wp:posOffset>
            </wp:positionH>
            <wp:positionV relativeFrom="paragraph">
              <wp:posOffset>14605</wp:posOffset>
            </wp:positionV>
            <wp:extent cx="1345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 w:lineRule="exact"/>
        <w:rPr>
          <w:sz w:val="20"/>
          <w:szCs w:val="20"/>
          <w:color w:val="auto"/>
        </w:rPr>
      </w:pPr>
    </w:p>
    <w:p>
      <w:pPr>
        <w:ind w:left="9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5855335</wp:posOffset>
            </wp:positionH>
            <wp:positionV relativeFrom="paragraph">
              <wp:posOffset>14605</wp:posOffset>
            </wp:positionV>
            <wp:extent cx="13455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39370</wp:posOffset>
            </wp:positionV>
            <wp:extent cx="13455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3" w:lineRule="exact"/>
        <w:rPr>
          <w:sz w:val="20"/>
          <w:szCs w:val="20"/>
          <w:color w:val="auto"/>
        </w:rPr>
      </w:pPr>
    </w:p>
    <w:p>
      <w:pPr>
        <w:ind w:left="340" w:hanging="337"/>
        <w:spacing w:after="0"/>
        <w:tabs>
          <w:tab w:leader="none" w:pos="3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liabilities as of December 31, 2021 and 2020 consisted of the following (in thousands):</w:t>
      </w:r>
    </w:p>
    <w:p>
      <w:pPr>
        <w:spacing w:after="0" w:line="276"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6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2021</w:t>
            </w:r>
          </w:p>
        </w:tc>
        <w:tc>
          <w:tcPr>
            <w:tcW w:w="2040" w:type="dxa"/>
            <w:vAlign w:val="bottom"/>
          </w:tcPr>
          <w:p>
            <w:pPr>
              <w:jc w:val="right"/>
              <w:spacing w:after="0"/>
              <w:rPr>
                <w:sz w:val="20"/>
                <w:szCs w:val="20"/>
                <w:color w:val="auto"/>
              </w:rPr>
            </w:pPr>
            <w:r>
              <w:rPr>
                <w:rFonts w:ascii="Arial" w:cs="Arial" w:eastAsia="Arial" w:hAnsi="Arial"/>
                <w:sz w:val="17"/>
                <w:szCs w:val="17"/>
                <w:b w:val="1"/>
                <w:bCs w:val="1"/>
                <w:color w:val="auto"/>
              </w:rPr>
              <w:t>December 31, 2</w:t>
            </w:r>
          </w:p>
        </w:tc>
      </w:tr>
      <w:tr>
        <w:trPr>
          <w:trHeight w:val="213"/>
        </w:trPr>
        <w:tc>
          <w:tcPr>
            <w:tcW w:w="60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payable</w:t>
            </w:r>
          </w:p>
        </w:tc>
        <w:tc>
          <w:tcPr>
            <w:tcW w:w="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4,298</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234"/>
              <w:spacing w:after="0"/>
              <w:rPr>
                <w:sz w:val="20"/>
                <w:szCs w:val="20"/>
                <w:color w:val="auto"/>
              </w:rPr>
            </w:pPr>
            <w:r>
              <w:rPr>
                <w:rFonts w:ascii="Arial" w:cs="Arial" w:eastAsia="Arial" w:hAnsi="Arial"/>
                <w:sz w:val="17"/>
                <w:szCs w:val="17"/>
                <w:color w:val="auto"/>
              </w:rPr>
              <w:t>$</w:t>
            </w:r>
          </w:p>
        </w:tc>
      </w:tr>
      <w:tr>
        <w:trPr>
          <w:trHeight w:val="218"/>
        </w:trPr>
        <w:tc>
          <w:tcPr>
            <w:tcW w:w="6020" w:type="dxa"/>
            <w:vAlign w:val="bottom"/>
          </w:tcPr>
          <w:p>
            <w:pPr>
              <w:ind w:left="640"/>
              <w:spacing w:after="0"/>
              <w:rPr>
                <w:sz w:val="20"/>
                <w:szCs w:val="20"/>
                <w:color w:val="auto"/>
              </w:rPr>
            </w:pPr>
            <w:r>
              <w:rPr>
                <w:rFonts w:ascii="Arial" w:cs="Arial" w:eastAsia="Arial" w:hAnsi="Arial"/>
                <w:sz w:val="17"/>
                <w:szCs w:val="17"/>
                <w:color w:val="auto"/>
              </w:rPr>
              <w:t>Accrued employee expenses</w:t>
            </w:r>
          </w:p>
        </w:tc>
        <w:tc>
          <w:tcPr>
            <w:tcW w:w="8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10,088</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9"/>
        </w:trPr>
        <w:tc>
          <w:tcPr>
            <w:tcW w:w="6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accrued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8,769</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r>
      <w:tr>
        <w:trPr>
          <w:trHeight w:val="212"/>
        </w:trPr>
        <w:tc>
          <w:tcPr>
            <w:tcW w:w="6020" w:type="dxa"/>
            <w:vAlign w:val="bottom"/>
          </w:tcPr>
          <w:p>
            <w:pPr>
              <w:spacing w:after="0"/>
              <w:rPr>
                <w:sz w:val="18"/>
                <w:szCs w:val="18"/>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23,155</w:t>
            </w:r>
          </w:p>
        </w:tc>
        <w:tc>
          <w:tcPr>
            <w:tcW w:w="100" w:type="dxa"/>
            <w:vAlign w:val="bottom"/>
          </w:tcPr>
          <w:p>
            <w:pPr>
              <w:spacing w:after="0"/>
              <w:rPr>
                <w:sz w:val="18"/>
                <w:szCs w:val="18"/>
                <w:color w:val="auto"/>
              </w:rPr>
            </w:pPr>
          </w:p>
        </w:tc>
        <w:tc>
          <w:tcPr>
            <w:tcW w:w="2040" w:type="dxa"/>
            <w:vAlign w:val="bottom"/>
            <w:tcBorders>
              <w:bottom w:val="single" w:sz="8" w:color="auto"/>
            </w:tcBorders>
          </w:tcPr>
          <w:p>
            <w:pPr>
              <w:jc w:val="right"/>
              <w:ind w:right="1234"/>
              <w:spacing w:after="0"/>
              <w:rPr>
                <w:sz w:val="20"/>
                <w:szCs w:val="20"/>
                <w:color w:val="auto"/>
              </w:rPr>
            </w:pPr>
            <w:r>
              <w:rPr>
                <w:rFonts w:ascii="Arial" w:cs="Arial" w:eastAsia="Arial" w:hAnsi="Arial"/>
                <w:sz w:val="17"/>
                <w:szCs w:val="17"/>
                <w:color w:val="auto"/>
              </w:rPr>
              <w:t>$</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-605155</wp:posOffset>
            </wp:positionV>
            <wp:extent cx="5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-605155</wp:posOffset>
            </wp:positionV>
            <wp:extent cx="5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71" w:lineRule="exact"/>
        <w:rPr>
          <w:sz w:val="20"/>
          <w:szCs w:val="20"/>
          <w:color w:val="auto"/>
        </w:rPr>
      </w:pPr>
    </w:p>
    <w:p>
      <w:pPr>
        <w:ind w:left="420" w:hanging="417"/>
        <w:spacing w:after="0"/>
        <w:tabs>
          <w:tab w:leader="none" w:pos="42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Warrant Liability</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2021, there were 12,499,993 Public Warrants outstanding and 7,000,000 Private Placement Warrants outstanding.</w:t>
      </w:r>
    </w:p>
    <w:p>
      <w:pPr>
        <w:spacing w:after="0" w:line="243" w:lineRule="exact"/>
        <w:rPr>
          <w:sz w:val="20"/>
          <w:szCs w:val="20"/>
          <w:color w:val="auto"/>
        </w:rPr>
      </w:pPr>
    </w:p>
    <w:p>
      <w:pPr>
        <w:jc w:val="both"/>
        <w:ind w:right="100" w:firstLine="464"/>
        <w:spacing w:after="0" w:line="283" w:lineRule="auto"/>
        <w:rPr>
          <w:sz w:val="20"/>
          <w:szCs w:val="20"/>
          <w:color w:val="auto"/>
        </w:rPr>
      </w:pPr>
      <w:r>
        <w:rPr>
          <w:rFonts w:ascii="Arial" w:cs="Arial" w:eastAsia="Arial" w:hAnsi="Arial"/>
          <w:sz w:val="16"/>
          <w:szCs w:val="16"/>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189" w:lineRule="exact"/>
        <w:rPr>
          <w:sz w:val="20"/>
          <w:szCs w:val="20"/>
          <w:color w:val="auto"/>
        </w:rPr>
      </w:pPr>
    </w:p>
    <w:p>
      <w:pPr>
        <w:jc w:val="both"/>
        <w:ind w:right="100" w:firstLine="464"/>
        <w:spacing w:after="0" w:line="259" w:lineRule="auto"/>
        <w:rPr>
          <w:sz w:val="20"/>
          <w:szCs w:val="20"/>
          <w:color w:val="auto"/>
        </w:rPr>
      </w:pPr>
      <w:r>
        <w:rPr>
          <w:rFonts w:ascii="Arial" w:cs="Arial" w:eastAsia="Arial" w:hAnsi="Arial"/>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09" w:lineRule="exact"/>
        <w:rPr>
          <w:sz w:val="20"/>
          <w:szCs w:val="20"/>
          <w:color w:val="auto"/>
        </w:rPr>
      </w:pPr>
    </w:p>
    <w:p>
      <w:pPr>
        <w:jc w:val="both"/>
        <w:ind w:right="100" w:firstLine="464"/>
        <w:spacing w:after="0" w:line="257" w:lineRule="auto"/>
        <w:rPr>
          <w:sz w:val="20"/>
          <w:szCs w:val="20"/>
          <w:color w:val="auto"/>
        </w:rPr>
      </w:pPr>
      <w:r>
        <w:rPr>
          <w:rFonts w:ascii="Arial" w:cs="Arial" w:eastAsia="Arial" w:hAnsi="Arial"/>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1" w:name="page102"/>
    <w:bookmarkEnd w:id="10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holders other than Silver Spike Sponsor or its permitted transferees, the Private Placement Warrants will be redeemable by the Company and exercisable by the holders on the same basis as the Public Warrants.</w:t>
      </w:r>
    </w:p>
    <w:p>
      <w:pPr>
        <w:spacing w:after="0" w:line="19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may exercise its redemption right even if it is unable to register or qualify the underlying securities for sale under all applicable state securities laws.</w:t>
      </w:r>
    </w:p>
    <w:p>
      <w:pPr>
        <w:spacing w:after="0" w:line="19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209"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concluded the Public Warrants and Private Placement Warrants, or the Warrants, meet the definition of a derivative under ASC 815-</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 described in Note 2) and are recorded as liabilities. Upon the Closing, the fair value of the Warrants was recorded on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The fair value of the Warrants was remeasured as of December 31, 2021, resulting in a non-cash change in fair Warrant liabilities of $166.5 million in the consolidated statements of operations for the year ended December 31, 2021.</w:t>
      </w:r>
    </w:p>
    <w:p>
      <w:pPr>
        <w:spacing w:after="0" w:line="198" w:lineRule="exact"/>
        <w:rPr>
          <w:sz w:val="20"/>
          <w:szCs w:val="20"/>
          <w:color w:val="auto"/>
        </w:rPr>
      </w:pPr>
    </w:p>
    <w:p>
      <w:pPr>
        <w:ind w:left="420" w:hanging="417"/>
        <w:spacing w:after="0"/>
        <w:tabs>
          <w:tab w:leader="none" w:pos="42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liabilities, subject to prior distribution rights of preferred stock or any class or series of stock having a preference over the shares of Class A Common Stock, then outstanding, if any.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V 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holders of the Class V Common Stock will not participate in any dividends declared by the Company’s board of directors.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Class V Common Stock are not entitled to receive any of the Company’s assets.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Issuance and Retirement of Class V Common Stock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203" w:lineRule="exact"/>
        <w:rPr>
          <w:sz w:val="20"/>
          <w:szCs w:val="20"/>
          <w:color w:val="auto"/>
        </w:rPr>
      </w:pPr>
    </w:p>
    <w:p>
      <w:pPr>
        <w:ind w:left="440" w:hanging="437"/>
        <w:spacing w:after="0"/>
        <w:tabs>
          <w:tab w:leader="none" w:pos="4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WM Holding Company, LLC Equity Incentive Plan</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19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60" w:type="dxa"/>
            <w:vAlign w:val="bottom"/>
          </w:tcPr>
          <w:p>
            <w:pPr>
              <w:ind w:left="620"/>
              <w:spacing w:after="0"/>
              <w:rPr>
                <w:sz w:val="20"/>
                <w:szCs w:val="20"/>
                <w:color w:val="auto"/>
              </w:rPr>
            </w:pPr>
            <w:r>
              <w:rPr>
                <w:rFonts w:ascii="Arial" w:cs="Arial" w:eastAsia="Arial" w:hAnsi="Arial"/>
                <w:sz w:val="17"/>
                <w:szCs w:val="17"/>
                <w:color w:val="auto"/>
              </w:rPr>
              <w:t>A summary of the Class P Unit activity for the periods presented is as follows:</w:t>
            </w:r>
          </w:p>
        </w:tc>
        <w:tc>
          <w:tcPr>
            <w:tcW w:w="2080" w:type="dxa"/>
            <w:vAlign w:val="bottom"/>
          </w:tcPr>
          <w:p>
            <w:pPr>
              <w:spacing w:after="0"/>
              <w:rPr>
                <w:sz w:val="18"/>
                <w:szCs w:val="18"/>
                <w:color w:val="auto"/>
              </w:rPr>
            </w:pPr>
          </w:p>
        </w:tc>
      </w:tr>
      <w:tr>
        <w:trPr>
          <w:trHeight w:val="710"/>
        </w:trPr>
        <w:tc>
          <w:tcPr>
            <w:tcW w:w="916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Number of Units</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A-3 and Class B Units, December 31, 2018</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245,371</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Granted</w:t>
            </w:r>
          </w:p>
        </w:tc>
        <w:tc>
          <w:tcPr>
            <w:tcW w:w="2080" w:type="dxa"/>
            <w:vAlign w:val="bottom"/>
          </w:tcPr>
          <w:p>
            <w:pPr>
              <w:jc w:val="right"/>
              <w:spacing w:after="0"/>
              <w:rPr>
                <w:sz w:val="20"/>
                <w:szCs w:val="20"/>
                <w:color w:val="auto"/>
              </w:rPr>
            </w:pPr>
            <w:r>
              <w:rPr>
                <w:rFonts w:ascii="Arial" w:cs="Arial" w:eastAsia="Arial" w:hAnsi="Arial"/>
                <w:sz w:val="17"/>
                <w:szCs w:val="17"/>
                <w:color w:val="auto"/>
              </w:rPr>
              <w:t>25,990</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Cancellations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(7,284)</w:t>
            </w:r>
          </w:p>
        </w:tc>
      </w:tr>
      <w:tr>
        <w:trPr>
          <w:trHeight w:val="211"/>
        </w:trPr>
        <w:tc>
          <w:tcPr>
            <w:tcW w:w="9160" w:type="dxa"/>
            <w:vAlign w:val="bottom"/>
          </w:tcPr>
          <w:p>
            <w:pPr>
              <w:ind w:left="20"/>
              <w:spacing w:after="0"/>
              <w:rPr>
                <w:sz w:val="20"/>
                <w:szCs w:val="20"/>
                <w:color w:val="auto"/>
              </w:rPr>
            </w:pPr>
            <w:r>
              <w:rPr>
                <w:rFonts w:ascii="Arial" w:cs="Arial" w:eastAsia="Arial" w:hAnsi="Arial"/>
                <w:sz w:val="17"/>
                <w:szCs w:val="17"/>
                <w:color w:val="auto"/>
              </w:rPr>
              <w:t>Outstanding Class A-3 and Class B Units, December 31, 2019</w:t>
            </w:r>
          </w:p>
        </w:tc>
        <w:tc>
          <w:tcPr>
            <w:tcW w:w="2080" w:type="dxa"/>
            <w:vAlign w:val="bottom"/>
          </w:tcPr>
          <w:p>
            <w:pPr>
              <w:jc w:val="right"/>
              <w:spacing w:after="0"/>
              <w:rPr>
                <w:sz w:val="20"/>
                <w:szCs w:val="20"/>
                <w:color w:val="auto"/>
              </w:rPr>
            </w:pPr>
            <w:r>
              <w:rPr>
                <w:rFonts w:ascii="Arial" w:cs="Arial" w:eastAsia="Arial" w:hAnsi="Arial"/>
                <w:sz w:val="17"/>
                <w:szCs w:val="17"/>
                <w:color w:val="auto"/>
              </w:rPr>
              <w:t>264,077</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14,250</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Repurchase</w:t>
            </w:r>
          </w:p>
        </w:tc>
        <w:tc>
          <w:tcPr>
            <w:tcW w:w="2080" w:type="dxa"/>
            <w:vAlign w:val="bottom"/>
          </w:tcPr>
          <w:p>
            <w:pPr>
              <w:jc w:val="right"/>
              <w:spacing w:after="0"/>
              <w:rPr>
                <w:sz w:val="20"/>
                <w:szCs w:val="20"/>
                <w:color w:val="auto"/>
              </w:rPr>
            </w:pPr>
            <w:r>
              <w:rPr>
                <w:rFonts w:ascii="Arial" w:cs="Arial" w:eastAsia="Arial" w:hAnsi="Arial"/>
                <w:sz w:val="17"/>
                <w:szCs w:val="17"/>
                <w:color w:val="auto"/>
              </w:rPr>
              <w:t>(1,900)</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Cancellations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(1,611)</w:t>
            </w:r>
          </w:p>
        </w:tc>
      </w:tr>
      <w:tr>
        <w:trPr>
          <w:trHeight w:val="211"/>
        </w:trPr>
        <w:tc>
          <w:tcPr>
            <w:tcW w:w="9160" w:type="dxa"/>
            <w:vAlign w:val="bottom"/>
          </w:tcPr>
          <w:p>
            <w:pPr>
              <w:ind w:left="20"/>
              <w:spacing w:after="0"/>
              <w:rPr>
                <w:sz w:val="20"/>
                <w:szCs w:val="20"/>
                <w:color w:val="auto"/>
              </w:rPr>
            </w:pPr>
            <w:r>
              <w:rPr>
                <w:rFonts w:ascii="Arial" w:cs="Arial" w:eastAsia="Arial" w:hAnsi="Arial"/>
                <w:sz w:val="17"/>
                <w:szCs w:val="17"/>
                <w:color w:val="auto"/>
              </w:rPr>
              <w:t>Outstanding Class A-3 and Class B Units, December 31, 2020</w:t>
            </w:r>
          </w:p>
        </w:tc>
        <w:tc>
          <w:tcPr>
            <w:tcW w:w="2080" w:type="dxa"/>
            <w:vAlign w:val="bottom"/>
          </w:tcPr>
          <w:p>
            <w:pPr>
              <w:jc w:val="right"/>
              <w:spacing w:after="0"/>
              <w:rPr>
                <w:sz w:val="20"/>
                <w:szCs w:val="20"/>
                <w:color w:val="auto"/>
              </w:rPr>
            </w:pPr>
            <w:r>
              <w:rPr>
                <w:rFonts w:ascii="Arial" w:cs="Arial" w:eastAsia="Arial" w:hAnsi="Arial"/>
                <w:sz w:val="17"/>
                <w:szCs w:val="17"/>
                <w:color w:val="auto"/>
              </w:rPr>
              <w:t>274,816</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(8,279)</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Cancellations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(4,288)</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A-3 and Class B Units, June 15, 2021 (Pre-Business Combination)</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262,249</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Class A-3 Units outstanding exchanged for Class A Units in connection with the Business Combination</w:t>
            </w:r>
          </w:p>
        </w:tc>
        <w:tc>
          <w:tcPr>
            <w:tcW w:w="2080" w:type="dxa"/>
            <w:vAlign w:val="bottom"/>
          </w:tcPr>
          <w:p>
            <w:pPr>
              <w:jc w:val="right"/>
              <w:spacing w:after="0"/>
              <w:rPr>
                <w:sz w:val="20"/>
                <w:szCs w:val="20"/>
                <w:color w:val="auto"/>
              </w:rPr>
            </w:pPr>
            <w:r>
              <w:rPr>
                <w:rFonts w:ascii="Arial" w:cs="Arial" w:eastAsia="Arial" w:hAnsi="Arial"/>
                <w:sz w:val="17"/>
                <w:szCs w:val="17"/>
                <w:color w:val="auto"/>
              </w:rPr>
              <w:t>(53,333)</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Recapitalization in connection with the Business Combination</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25,687,126</w:t>
            </w:r>
          </w:p>
        </w:tc>
      </w:tr>
      <w:tr>
        <w:trPr>
          <w:trHeight w:val="211"/>
        </w:trPr>
        <w:tc>
          <w:tcPr>
            <w:tcW w:w="9160" w:type="dxa"/>
            <w:vAlign w:val="bottom"/>
          </w:tcPr>
          <w:p>
            <w:pPr>
              <w:ind w:left="20"/>
              <w:spacing w:after="0"/>
              <w:rPr>
                <w:sz w:val="20"/>
                <w:szCs w:val="20"/>
                <w:color w:val="auto"/>
              </w:rPr>
            </w:pPr>
            <w:r>
              <w:rPr>
                <w:rFonts w:ascii="Arial" w:cs="Arial" w:eastAsia="Arial" w:hAnsi="Arial"/>
                <w:sz w:val="17"/>
                <w:szCs w:val="17"/>
                <w:color w:val="auto"/>
              </w:rPr>
              <w:t>Outstanding Class P Units, June 16, 2021</w:t>
            </w:r>
          </w:p>
        </w:tc>
        <w:tc>
          <w:tcPr>
            <w:tcW w:w="2080" w:type="dxa"/>
            <w:vAlign w:val="bottom"/>
          </w:tcPr>
          <w:p>
            <w:pPr>
              <w:jc w:val="right"/>
              <w:spacing w:after="0"/>
              <w:rPr>
                <w:sz w:val="20"/>
                <w:szCs w:val="20"/>
                <w:color w:val="auto"/>
              </w:rPr>
            </w:pPr>
            <w:r>
              <w:rPr>
                <w:rFonts w:ascii="Arial" w:cs="Arial" w:eastAsia="Arial" w:hAnsi="Arial"/>
                <w:sz w:val="17"/>
                <w:szCs w:val="17"/>
                <w:color w:val="auto"/>
              </w:rPr>
              <w:t>25,896,042</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Cancellations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(235,513)</w:t>
            </w:r>
          </w:p>
        </w:tc>
      </w:tr>
      <w:tr>
        <w:trPr>
          <w:trHeight w:val="213"/>
        </w:trPr>
        <w:tc>
          <w:tcPr>
            <w:tcW w:w="9160" w:type="dxa"/>
            <w:vAlign w:val="bottom"/>
          </w:tcPr>
          <w:p>
            <w:pPr>
              <w:ind w:left="20"/>
              <w:spacing w:after="0"/>
              <w:rPr>
                <w:sz w:val="20"/>
                <w:szCs w:val="20"/>
                <w:color w:val="auto"/>
              </w:rPr>
            </w:pPr>
            <w:r>
              <w:rPr>
                <w:rFonts w:ascii="Arial" w:cs="Arial" w:eastAsia="Arial" w:hAnsi="Arial"/>
                <w:sz w:val="17"/>
                <w:szCs w:val="17"/>
                <w:color w:val="auto"/>
              </w:rPr>
              <w:t>Outstanding Class P Units, December 31, 2021</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25,660,529</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36"/>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December 31, 2021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23,685,659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WM Technology, Inc. Equity Incentive Plan</w:t>
      </w:r>
    </w:p>
    <w:p>
      <w:pPr>
        <w:spacing w:after="0" w:line="24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restricted stock unit (“RSU”) activity for the year ended December 31, 2021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210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Number of RSUs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54"/>
              <w:spacing w:after="0"/>
              <w:rPr>
                <w:sz w:val="20"/>
                <w:szCs w:val="20"/>
                <w:color w:val="auto"/>
              </w:rPr>
            </w:pPr>
            <w:r>
              <w:rPr>
                <w:rFonts w:ascii="Arial" w:cs="Arial" w:eastAsia="Arial" w:hAnsi="Arial"/>
                <w:sz w:val="17"/>
                <w:szCs w:val="17"/>
                <w:b w:val="1"/>
                <w:bCs w:val="1"/>
                <w:color w:val="auto"/>
                <w:w w:val="91"/>
              </w:rPr>
              <w:t>Weighted-average Grant</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December 31, 2020</w:t>
            </w:r>
          </w:p>
        </w:tc>
        <w:tc>
          <w:tcPr>
            <w:tcW w:w="2100" w:type="dxa"/>
            <w:vAlign w:val="bottom"/>
            <w:shd w:val="clear" w:color="auto" w:fill="CCEEFF"/>
          </w:tcPr>
          <w:p>
            <w:pPr>
              <w:ind w:left="186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920" w:type="dxa"/>
            <w:vAlign w:val="bottom"/>
          </w:tcPr>
          <w:p>
            <w:pPr>
              <w:ind w:left="20"/>
              <w:spacing w:after="0"/>
              <w:rPr>
                <w:sz w:val="20"/>
                <w:szCs w:val="20"/>
                <w:color w:val="auto"/>
              </w:rPr>
            </w:pPr>
            <w:r>
              <w:rPr>
                <w:rFonts w:ascii="Arial" w:cs="Arial" w:eastAsia="Arial" w:hAnsi="Arial"/>
                <w:sz w:val="17"/>
                <w:szCs w:val="17"/>
                <w:color w:val="auto"/>
              </w:rPr>
              <w:t>Granted</w:t>
            </w:r>
          </w:p>
        </w:tc>
        <w:tc>
          <w:tcPr>
            <w:tcW w:w="2100" w:type="dxa"/>
            <w:vAlign w:val="bottom"/>
          </w:tcPr>
          <w:p>
            <w:pPr>
              <w:ind w:left="1400"/>
              <w:spacing w:after="0"/>
              <w:rPr>
                <w:sz w:val="20"/>
                <w:szCs w:val="20"/>
                <w:color w:val="auto"/>
              </w:rPr>
            </w:pPr>
            <w:r>
              <w:rPr>
                <w:rFonts w:ascii="Arial" w:cs="Arial" w:eastAsia="Arial" w:hAnsi="Arial"/>
                <w:sz w:val="17"/>
                <w:szCs w:val="17"/>
                <w:color w:val="auto"/>
                <w:w w:val="89"/>
              </w:rPr>
              <w:t>6,581,369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100" w:type="dxa"/>
            <w:vAlign w:val="bottom"/>
            <w:shd w:val="clear" w:color="auto" w:fill="CCEEFF"/>
          </w:tcPr>
          <w:p>
            <w:pPr>
              <w:ind w:left="1400"/>
              <w:spacing w:after="0"/>
              <w:rPr>
                <w:sz w:val="20"/>
                <w:szCs w:val="20"/>
                <w:color w:val="auto"/>
              </w:rPr>
            </w:pPr>
            <w:r>
              <w:rPr>
                <w:rFonts w:ascii="Arial" w:cs="Arial" w:eastAsia="Arial" w:hAnsi="Arial"/>
                <w:sz w:val="17"/>
                <w:szCs w:val="17"/>
                <w:color w:val="auto"/>
                <w:w w:val="93"/>
              </w:rPr>
              <w:t>(568,826)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10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w w:val="93"/>
              </w:rPr>
              <w:t>(182,662)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2021</w:t>
            </w:r>
          </w:p>
        </w:tc>
        <w:tc>
          <w:tcPr>
            <w:tcW w:w="21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w w:val="89"/>
              </w:rPr>
              <w:t>5,829,881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ind w:left="620"/>
              <w:spacing w:after="0"/>
              <w:rPr>
                <w:sz w:val="20"/>
                <w:szCs w:val="20"/>
                <w:color w:val="auto"/>
              </w:rPr>
            </w:pPr>
            <w:r>
              <w:rPr>
                <w:rFonts w:ascii="Arial" w:cs="Arial" w:eastAsia="Arial" w:hAnsi="Arial"/>
                <w:sz w:val="17"/>
                <w:szCs w:val="17"/>
                <w:color w:val="auto"/>
              </w:rPr>
              <w:t>A summary of the PSU activity for the year ended December 31, 2021 is as follows: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6920" w:type="dxa"/>
            <w:vAlign w:val="bottom"/>
          </w:tcPr>
          <w:p>
            <w:pPr>
              <w:spacing w:after="0"/>
              <w:rPr>
                <w:sz w:val="24"/>
                <w:szCs w:val="24"/>
                <w:color w:val="auto"/>
              </w:rPr>
            </w:pPr>
          </w:p>
        </w:tc>
        <w:tc>
          <w:tcPr>
            <w:tcW w:w="210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Number of PSUs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jc w:val="right"/>
              <w:ind w:right="54"/>
              <w:spacing w:after="0"/>
              <w:rPr>
                <w:sz w:val="20"/>
                <w:szCs w:val="20"/>
                <w:color w:val="auto"/>
              </w:rPr>
            </w:pPr>
            <w:r>
              <w:rPr>
                <w:rFonts w:ascii="Arial" w:cs="Arial" w:eastAsia="Arial" w:hAnsi="Arial"/>
                <w:sz w:val="17"/>
                <w:szCs w:val="17"/>
                <w:b w:val="1"/>
                <w:bCs w:val="1"/>
                <w:color w:val="auto"/>
                <w:w w:val="91"/>
              </w:rPr>
              <w:t>Weighted-average Grant</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December 31, 2020</w:t>
            </w:r>
          </w:p>
        </w:tc>
        <w:tc>
          <w:tcPr>
            <w:tcW w:w="2100" w:type="dxa"/>
            <w:vAlign w:val="bottom"/>
            <w:shd w:val="clear" w:color="auto" w:fill="CCEEFF"/>
          </w:tcPr>
          <w:p>
            <w:pPr>
              <w:ind w:left="186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920" w:type="dxa"/>
            <w:vAlign w:val="bottom"/>
          </w:tcPr>
          <w:p>
            <w:pPr>
              <w:ind w:left="20"/>
              <w:spacing w:after="0"/>
              <w:rPr>
                <w:sz w:val="20"/>
                <w:szCs w:val="20"/>
                <w:color w:val="auto"/>
              </w:rPr>
            </w:pPr>
            <w:r>
              <w:rPr>
                <w:rFonts w:ascii="Arial" w:cs="Arial" w:eastAsia="Arial" w:hAnsi="Arial"/>
                <w:sz w:val="17"/>
                <w:szCs w:val="17"/>
                <w:color w:val="auto"/>
              </w:rPr>
              <w:t>Granted</w:t>
            </w:r>
          </w:p>
        </w:tc>
        <w:tc>
          <w:tcPr>
            <w:tcW w:w="2100" w:type="dxa"/>
            <w:vAlign w:val="bottom"/>
          </w:tcPr>
          <w:p>
            <w:pPr>
              <w:jc w:val="right"/>
              <w:spacing w:after="0"/>
              <w:rPr>
                <w:sz w:val="20"/>
                <w:szCs w:val="20"/>
                <w:color w:val="auto"/>
              </w:rPr>
            </w:pPr>
            <w:r>
              <w:rPr>
                <w:rFonts w:ascii="Arial" w:cs="Arial" w:eastAsia="Arial" w:hAnsi="Arial"/>
                <w:sz w:val="17"/>
                <w:szCs w:val="17"/>
                <w:color w:val="auto"/>
              </w:rPr>
              <w:t>2,437,500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100" w:type="dxa"/>
            <w:vAlign w:val="bottom"/>
            <w:shd w:val="clear" w:color="auto" w:fill="CCEEFF"/>
          </w:tcPr>
          <w:p>
            <w:pPr>
              <w:ind w:left="186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100" w:type="dxa"/>
            <w:vAlign w:val="bottom"/>
            <w:tcBorders>
              <w:bottom w:val="single" w:sz="8" w:color="auto"/>
            </w:tcBorders>
          </w:tcPr>
          <w:p>
            <w:pPr>
              <w:ind w:left="18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2021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2,437,500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recorded stock-based compensation cost related to the Class P Units, RSUs and PSUs in the following expense categories on the accompanying consolidated statements of operations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6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Year Ended December 31,</w:t>
            </w:r>
          </w:p>
        </w:tc>
      </w:tr>
      <w:tr>
        <w:trPr>
          <w:trHeight w:val="219"/>
        </w:trPr>
        <w:tc>
          <w:tcPr>
            <w:tcW w:w="9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r>
      <w:tr>
        <w:trPr>
          <w:trHeight w:val="212"/>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6,021</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5,103</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18,200</w:t>
            </w:r>
          </w:p>
        </w:tc>
      </w:tr>
      <w:tr>
        <w:trPr>
          <w:trHeight w:val="211"/>
        </w:trPr>
        <w:tc>
          <w:tcPr>
            <w:tcW w:w="9160" w:type="dxa"/>
            <w:vAlign w:val="bottom"/>
          </w:tcPr>
          <w:p>
            <w:pPr>
              <w:ind w:left="120"/>
              <w:spacing w:after="0"/>
              <w:rPr>
                <w:sz w:val="20"/>
                <w:szCs w:val="20"/>
                <w:color w:val="auto"/>
              </w:rPr>
            </w:pPr>
            <w:r>
              <w:rPr>
                <w:rFonts w:ascii="Arial" w:cs="Arial" w:eastAsia="Arial" w:hAnsi="Arial"/>
                <w:sz w:val="17"/>
                <w:szCs w:val="17"/>
                <w:color w:val="auto"/>
              </w:rPr>
              <w:t>Total stock-based compensation expense</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29,324</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capitalized to software development</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w:t>
            </w:r>
          </w:p>
        </w:tc>
      </w:tr>
      <w:tr>
        <w:trPr>
          <w:trHeight w:val="213"/>
        </w:trPr>
        <w:tc>
          <w:tcPr>
            <w:tcW w:w="9160" w:type="dxa"/>
            <w:vAlign w:val="bottom"/>
          </w:tcPr>
          <w:p>
            <w:pPr>
              <w:ind w:left="220"/>
              <w:spacing w:after="0"/>
              <w:rPr>
                <w:sz w:val="20"/>
                <w:szCs w:val="20"/>
                <w:color w:val="auto"/>
              </w:rPr>
            </w:pPr>
            <w:r>
              <w:rPr>
                <w:rFonts w:ascii="Arial" w:cs="Arial" w:eastAsia="Arial" w:hAnsi="Arial"/>
                <w:sz w:val="17"/>
                <w:szCs w:val="17"/>
                <w:color w:val="auto"/>
              </w:rPr>
              <w:t>Total stock-based compensation cost</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30,423</w:t>
            </w:r>
          </w:p>
        </w:tc>
      </w:tr>
      <w:tr>
        <w:trPr>
          <w:trHeight w:val="20"/>
        </w:trPr>
        <w:tc>
          <w:tcPr>
            <w:tcW w:w="9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hanging="437"/>
        <w:spacing w:after="0"/>
        <w:tabs>
          <w:tab w:leader="none" w:pos="4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6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Year Ended December 31,</w:t>
            </w:r>
          </w:p>
        </w:tc>
      </w:tr>
      <w:tr>
        <w:trPr>
          <w:trHeight w:val="219"/>
        </w:trPr>
        <w:tc>
          <w:tcPr>
            <w:tcW w:w="9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r>
      <w:tr>
        <w:trPr>
          <w:trHeight w:val="19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152,218</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WMH LLC prior to the Business Combination</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15,078</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net income attributable to noncontrolling interests after the Business Combination</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76,757</w:t>
            </w:r>
          </w:p>
        </w:tc>
      </w:tr>
      <w:tr>
        <w:trPr>
          <w:trHeight w:val="213"/>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WM Technology, Inc. - basic</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60,383</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fair value change of Public and Private Placement Warrants, net of amounts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72,483</w:t>
            </w:r>
          </w:p>
        </w:tc>
      </w:tr>
      <w:tr>
        <w:trPr>
          <w:trHeight w:val="213"/>
        </w:trPr>
        <w:tc>
          <w:tcPr>
            <w:tcW w:w="9160" w:type="dxa"/>
            <w:vAlign w:val="bottom"/>
          </w:tcPr>
          <w:p>
            <w:pPr>
              <w:ind w:left="120"/>
              <w:spacing w:after="0"/>
              <w:rPr>
                <w:sz w:val="20"/>
                <w:szCs w:val="20"/>
                <w:color w:val="auto"/>
              </w:rPr>
            </w:pPr>
            <w:r>
              <w:rPr>
                <w:rFonts w:ascii="Arial" w:cs="Arial" w:eastAsia="Arial" w:hAnsi="Arial"/>
                <w:sz w:val="17"/>
                <w:szCs w:val="17"/>
                <w:color w:val="auto"/>
              </w:rPr>
              <w:t>Net loss attributable to WM Technology, Inc. - diluted</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(12,100)</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5"/>
        </w:trPr>
        <w:tc>
          <w:tcPr>
            <w:tcW w:w="91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4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Weighted average Class A Common Stock outstanding - basic</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65,013,517</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effect of dilutive securities: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Public Warrants¹</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1,153,782</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 Placement Warrants¹</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646,118</w:t>
            </w:r>
          </w:p>
        </w:tc>
      </w:tr>
      <w:tr>
        <w:trPr>
          <w:trHeight w:val="213"/>
        </w:trPr>
        <w:tc>
          <w:tcPr>
            <w:tcW w:w="9160" w:type="dxa"/>
            <w:vAlign w:val="bottom"/>
          </w:tcPr>
          <w:p>
            <w:pPr>
              <w:ind w:left="120"/>
              <w:spacing w:after="0"/>
              <w:rPr>
                <w:sz w:val="20"/>
                <w:szCs w:val="20"/>
                <w:color w:val="auto"/>
              </w:rPr>
            </w:pPr>
            <w:r>
              <w:rPr>
                <w:rFonts w:ascii="Arial" w:cs="Arial" w:eastAsia="Arial" w:hAnsi="Arial"/>
                <w:sz w:val="17"/>
                <w:szCs w:val="17"/>
                <w:color w:val="auto"/>
              </w:rPr>
              <w:t>Weighted average Class A Common Stock outstanding - diluted</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66,813,417</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1"/>
        </w:trPr>
        <w:tc>
          <w:tcPr>
            <w:tcW w:w="9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9"/>
        </w:trPr>
        <w:tc>
          <w:tcPr>
            <w:tcW w:w="9160" w:type="dxa"/>
            <w:vAlign w:val="bottom"/>
          </w:tcPr>
          <w:p>
            <w:pPr>
              <w:ind w:left="20"/>
              <w:spacing w:after="0"/>
              <w:rPr>
                <w:sz w:val="20"/>
                <w:szCs w:val="20"/>
                <w:color w:val="auto"/>
              </w:rPr>
            </w:pPr>
            <w:r>
              <w:rPr>
                <w:rFonts w:ascii="Arial" w:cs="Arial" w:eastAsia="Arial" w:hAnsi="Arial"/>
                <w:sz w:val="17"/>
                <w:szCs w:val="17"/>
                <w:b w:val="1"/>
                <w:bCs w:val="1"/>
                <w:color w:val="auto"/>
              </w:rPr>
              <w:t>Net income (loss) per share of Class A Common Stock:</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per share of Class A Common Stock - basic</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0.93</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9160" w:type="dxa"/>
            <w:vAlign w:val="bottom"/>
          </w:tcPr>
          <w:p>
            <w:pPr>
              <w:ind w:left="20"/>
              <w:spacing w:after="0" w:line="191" w:lineRule="exact"/>
              <w:rPr>
                <w:sz w:val="20"/>
                <w:szCs w:val="20"/>
                <w:color w:val="auto"/>
              </w:rPr>
            </w:pPr>
            <w:r>
              <w:rPr>
                <w:rFonts w:ascii="Arial" w:cs="Arial" w:eastAsia="Arial" w:hAnsi="Arial"/>
                <w:sz w:val="17"/>
                <w:szCs w:val="17"/>
                <w:color w:val="auto"/>
              </w:rPr>
              <w:t>Net loss per share of Class A Common Stock - diluted</w:t>
            </w:r>
          </w:p>
        </w:tc>
        <w:tc>
          <w:tcPr>
            <w:tcW w:w="480" w:type="dxa"/>
            <w:vAlign w:val="bottom"/>
            <w:tcBorders>
              <w:bottom w:val="single" w:sz="8" w:color="auto"/>
            </w:tcBorders>
          </w:tcPr>
          <w:p>
            <w:pPr>
              <w:jc w:val="right"/>
              <w:ind w:right="294"/>
              <w:spacing w:after="0" w:line="191" w:lineRule="exact"/>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(0.18)</w:t>
            </w:r>
          </w:p>
        </w:tc>
      </w:tr>
      <w:tr>
        <w:trPr>
          <w:trHeight w:val="20"/>
        </w:trPr>
        <w:tc>
          <w:tcPr>
            <w:tcW w:w="9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¹Calculated using the treasury stock method.</w:t>
      </w:r>
    </w:p>
    <w:p>
      <w:pPr>
        <w:spacing w:after="0" w:line="23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excluded the following securities from its computation of diluted shares outstanding, as their effect would have been anti-dilutive: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6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w w:val="94"/>
              </w:rPr>
              <w:t>Year Ended December 31,</w:t>
            </w:r>
          </w:p>
        </w:tc>
      </w:tr>
      <w:tr>
        <w:trPr>
          <w:trHeight w:val="219"/>
        </w:trPr>
        <w:tc>
          <w:tcPr>
            <w:tcW w:w="916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r>
      <w:tr>
        <w:trPr>
          <w:trHeight w:val="212"/>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Units</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65,502,347</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2080" w:type="dxa"/>
            <w:vAlign w:val="bottom"/>
          </w:tcPr>
          <w:p>
            <w:pPr>
              <w:jc w:val="right"/>
              <w:spacing w:after="0"/>
              <w:rPr>
                <w:sz w:val="20"/>
                <w:szCs w:val="20"/>
                <w:color w:val="auto"/>
              </w:rPr>
            </w:pPr>
            <w:r>
              <w:rPr>
                <w:rFonts w:ascii="Arial" w:cs="Arial" w:eastAsia="Arial" w:hAnsi="Arial"/>
                <w:sz w:val="17"/>
                <w:szCs w:val="17"/>
                <w:color w:val="auto"/>
              </w:rPr>
              <w:t>25,660,529</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RSUs</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6,398,707</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PSUs</w:t>
            </w:r>
          </w:p>
        </w:tc>
        <w:tc>
          <w:tcPr>
            <w:tcW w:w="2080" w:type="dxa"/>
            <w:vAlign w:val="bottom"/>
          </w:tcPr>
          <w:p>
            <w:pPr>
              <w:jc w:val="right"/>
              <w:spacing w:after="0"/>
              <w:rPr>
                <w:sz w:val="20"/>
                <w:szCs w:val="20"/>
                <w:color w:val="auto"/>
              </w:rPr>
            </w:pPr>
            <w:r>
              <w:rPr>
                <w:rFonts w:ascii="Arial" w:cs="Arial" w:eastAsia="Arial" w:hAnsi="Arial"/>
                <w:sz w:val="17"/>
                <w:szCs w:val="17"/>
                <w:color w:val="auto"/>
              </w:rPr>
              <w:t>2,437,500</w:t>
            </w:r>
          </w:p>
        </w:tc>
      </w:tr>
    </w:tbl>
    <w:p>
      <w:pPr>
        <w:spacing w:after="0" w:line="305" w:lineRule="exact"/>
        <w:rPr>
          <w:sz w:val="20"/>
          <w:szCs w:val="20"/>
          <w:color w:val="auto"/>
        </w:rPr>
      </w:pPr>
    </w:p>
    <w:p>
      <w:pPr>
        <w:ind w:left="440" w:hanging="437"/>
        <w:spacing w:after="0"/>
        <w:tabs>
          <w:tab w:leader="none" w:pos="4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36"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198"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6"/>
          <w:szCs w:val="16"/>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income (loss) before taxes are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96"/>
              </w:rPr>
              <w:t>Years Ended December 31,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3"/>
        </w:trPr>
        <w:tc>
          <w:tcPr>
            <w:tcW w:w="48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2019</w:t>
            </w: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34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w:t>
            </w:r>
          </w:p>
        </w:tc>
      </w:tr>
      <w:tr>
        <w:trPr>
          <w:trHeight w:val="21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5,098</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r>
    </w:tbl>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provision for (benefit from) income taxes are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96"/>
              </w:rPr>
              <w:t>Years Ended December 31,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2019</w:t>
            </w: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8"/>
        </w:trPr>
        <w:tc>
          <w:tcPr>
            <w:tcW w:w="4820" w:type="dxa"/>
            <w:vAlign w:val="bottom"/>
          </w:tcPr>
          <w:p>
            <w:pPr>
              <w:ind w:left="120"/>
              <w:spacing w:after="0"/>
              <w:rPr>
                <w:sz w:val="20"/>
                <w:szCs w:val="20"/>
                <w:color w:val="auto"/>
              </w:rPr>
            </w:pPr>
            <w:r>
              <w:rPr>
                <w:rFonts w:ascii="Arial" w:cs="Arial" w:eastAsia="Arial" w:hAnsi="Arial"/>
                <w:sz w:val="17"/>
                <w:szCs w:val="17"/>
                <w:color w:val="auto"/>
              </w:rPr>
              <w:t>Federal</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State</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Foreign</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1,321</w:t>
            </w:r>
          </w:p>
        </w:tc>
      </w:tr>
      <w:tr>
        <w:trPr>
          <w:trHeight w:val="213"/>
        </w:trPr>
        <w:tc>
          <w:tcPr>
            <w:tcW w:w="4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r>
      <w:tr>
        <w:trPr>
          <w:trHeight w:val="218"/>
        </w:trPr>
        <w:tc>
          <w:tcPr>
            <w:tcW w:w="4820" w:type="dxa"/>
            <w:vAlign w:val="bottom"/>
          </w:tcPr>
          <w:p>
            <w:pPr>
              <w:ind w:left="20"/>
              <w:spacing w:after="0"/>
              <w:rPr>
                <w:sz w:val="20"/>
                <w:szCs w:val="20"/>
                <w:color w:val="auto"/>
              </w:rPr>
            </w:pPr>
            <w:r>
              <w:rPr>
                <w:rFonts w:ascii="Arial" w:cs="Arial" w:eastAsia="Arial" w:hAnsi="Arial"/>
                <w:sz w:val="17"/>
                <w:szCs w:val="17"/>
                <w:color w:val="auto"/>
              </w:rPr>
              <w:t>Deferred</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0"/>
        </w:trPr>
        <w:tc>
          <w:tcPr>
            <w:tcW w:w="4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Federal</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820" w:type="dxa"/>
            <w:vAlign w:val="bottom"/>
          </w:tcPr>
          <w:p>
            <w:pPr>
              <w:ind w:left="120"/>
              <w:spacing w:after="0"/>
              <w:rPr>
                <w:sz w:val="20"/>
                <w:szCs w:val="20"/>
                <w:color w:val="auto"/>
              </w:rPr>
            </w:pPr>
            <w:r>
              <w:rPr>
                <w:rFonts w:ascii="Arial" w:cs="Arial" w:eastAsia="Arial" w:hAnsi="Arial"/>
                <w:sz w:val="17"/>
                <w:szCs w:val="17"/>
                <w:color w:val="auto"/>
              </w:rPr>
              <w:t>State</w:t>
            </w: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tax (benefit) expense</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8"/>
          <w:szCs w:val="18"/>
          <w:color w:val="auto"/>
        </w:rPr>
        <w:t>The change in the Company’s income tax expense from 2020 to 2021 is due to the Business Combination and settlement of a foreign income tax examination. In 2020, the Company was only subject to minimal LLC entity-level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foreign taxes, whereas in 2021 the Company was also subject to U.S. federal and state income taxes on its allocable share of any taxable income or loss generated subsequent to the Business Combination.</w:t>
      </w:r>
    </w:p>
    <w:p>
      <w:pPr>
        <w:spacing w:after="0" w:line="186"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8"/>
          <w:szCs w:val="18"/>
          <w:color w:val="auto"/>
        </w:rPr>
        <w:t>The actual income tax expense differs from the expected amount computed by applying the federal statutory corporate tax rate of 21 percent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Years Ended December 31,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13"/>
        </w:trPr>
        <w:tc>
          <w:tcPr>
            <w:tcW w:w="45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2019</w:t>
            </w:r>
          </w:p>
        </w:tc>
      </w:tr>
      <w:tr>
        <w:trPr>
          <w:trHeight w:val="212"/>
        </w:trPr>
        <w:tc>
          <w:tcPr>
            <w:tcW w:w="4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Federal statutory rate</w:t>
            </w:r>
          </w:p>
        </w:tc>
        <w:tc>
          <w:tcPr>
            <w:tcW w:w="134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31,844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8,154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199</w:t>
            </w:r>
          </w:p>
        </w:tc>
      </w:tr>
      <w:tr>
        <w:trPr>
          <w:trHeight w:val="218"/>
        </w:trPr>
        <w:tc>
          <w:tcPr>
            <w:tcW w:w="4540" w:type="dxa"/>
            <w:vAlign w:val="bottom"/>
          </w:tcPr>
          <w:p>
            <w:pPr>
              <w:ind w:left="60"/>
              <w:spacing w:after="0"/>
              <w:rPr>
                <w:sz w:val="20"/>
                <w:szCs w:val="20"/>
                <w:color w:val="auto"/>
              </w:rPr>
            </w:pPr>
            <w:r>
              <w:rPr>
                <w:rFonts w:ascii="Arial" w:cs="Arial" w:eastAsia="Arial" w:hAnsi="Arial"/>
                <w:sz w:val="17"/>
                <w:szCs w:val="17"/>
                <w:color w:val="auto"/>
              </w:rPr>
              <w:t>State blended statutory rate</w:t>
            </w:r>
          </w:p>
        </w:tc>
        <w:tc>
          <w:tcPr>
            <w:tcW w:w="134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7"/>
                <w:szCs w:val="17"/>
                <w:color w:val="auto"/>
              </w:rPr>
              <w:t>8,497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ind w:right="114"/>
              <w:spacing w:after="0"/>
              <w:rPr>
                <w:sz w:val="20"/>
                <w:szCs w:val="20"/>
                <w:color w:val="auto"/>
              </w:rPr>
            </w:pPr>
            <w:r>
              <w:rPr>
                <w:rFonts w:ascii="Arial" w:cs="Arial" w:eastAsia="Arial" w:hAnsi="Arial"/>
                <w:sz w:val="17"/>
                <w:szCs w:val="17"/>
                <w:color w:val="auto"/>
              </w:rPr>
              <w:t>2,176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53</w:t>
            </w:r>
          </w:p>
        </w:tc>
      </w:tr>
      <w:tr>
        <w:trPr>
          <w:trHeight w:val="220"/>
        </w:trPr>
        <w:tc>
          <w:tcPr>
            <w:tcW w:w="4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LLC flow-through structure</w:t>
            </w:r>
          </w:p>
        </w:tc>
        <w:tc>
          <w:tcPr>
            <w:tcW w:w="1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(10,340)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(252)</w:t>
            </w:r>
          </w:p>
        </w:tc>
      </w:tr>
      <w:tr>
        <w:trPr>
          <w:trHeight w:val="218"/>
        </w:trPr>
        <w:tc>
          <w:tcPr>
            <w:tcW w:w="4540" w:type="dxa"/>
            <w:vAlign w:val="bottom"/>
          </w:tcPr>
          <w:p>
            <w:pPr>
              <w:ind w:left="60"/>
              <w:spacing w:after="0"/>
              <w:rPr>
                <w:sz w:val="20"/>
                <w:szCs w:val="20"/>
                <w:color w:val="auto"/>
              </w:rPr>
            </w:pPr>
            <w:r>
              <w:rPr>
                <w:rFonts w:ascii="Arial" w:cs="Arial" w:eastAsia="Arial" w:hAnsi="Arial"/>
                <w:sz w:val="17"/>
                <w:szCs w:val="17"/>
                <w:color w:val="auto"/>
              </w:rPr>
              <w:t>Income taxed to owners of noncontrolling interests</w:t>
            </w:r>
          </w:p>
        </w:tc>
        <w:tc>
          <w:tcPr>
            <w:tcW w:w="134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7"/>
                <w:szCs w:val="17"/>
                <w:color w:val="auto"/>
                <w:w w:val="94"/>
              </w:rPr>
              <w:t>(21,762)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impact</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227</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1,321</w:t>
            </w:r>
          </w:p>
        </w:tc>
      </w:tr>
      <w:tr>
        <w:trPr>
          <w:trHeight w:val="218"/>
        </w:trPr>
        <w:tc>
          <w:tcPr>
            <w:tcW w:w="4540" w:type="dxa"/>
            <w:vAlign w:val="bottom"/>
          </w:tcPr>
          <w:p>
            <w:pPr>
              <w:ind w:left="60"/>
              <w:spacing w:after="0"/>
              <w:rPr>
                <w:sz w:val="20"/>
                <w:szCs w:val="20"/>
                <w:color w:val="auto"/>
              </w:rPr>
            </w:pPr>
            <w:r>
              <w:rPr>
                <w:rFonts w:ascii="Arial" w:cs="Arial" w:eastAsia="Arial" w:hAnsi="Arial"/>
                <w:sz w:val="17"/>
                <w:szCs w:val="17"/>
                <w:color w:val="auto"/>
              </w:rPr>
              <w:t>Change in fair value of warrant liability</w:t>
            </w:r>
          </w:p>
        </w:tc>
        <w:tc>
          <w:tcPr>
            <w:tcW w:w="134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7"/>
                <w:szCs w:val="17"/>
                <w:color w:val="auto"/>
                <w:w w:val="94"/>
              </w:rPr>
              <w:t>(19,669)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4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permanent items</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901</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4540" w:type="dxa"/>
            <w:vAlign w:val="bottom"/>
          </w:tcPr>
          <w:p>
            <w:pPr>
              <w:ind w:left="60"/>
              <w:spacing w:after="0"/>
              <w:rPr>
                <w:sz w:val="20"/>
                <w:szCs w:val="20"/>
                <w:color w:val="auto"/>
              </w:rPr>
            </w:pPr>
            <w:r>
              <w:rPr>
                <w:rFonts w:ascii="Arial" w:cs="Arial" w:eastAsia="Arial" w:hAnsi="Arial"/>
                <w:sz w:val="17"/>
                <w:szCs w:val="17"/>
                <w:color w:val="auto"/>
              </w:rPr>
              <w:t>R&amp;D credit</w:t>
            </w:r>
          </w:p>
        </w:tc>
        <w:tc>
          <w:tcPr>
            <w:tcW w:w="134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7"/>
                <w:szCs w:val="17"/>
                <w:color w:val="auto"/>
              </w:rPr>
              <w:t>(751)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19"/>
        </w:trPr>
        <w:tc>
          <w:tcPr>
            <w:tcW w:w="4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Change in valuation allowance</w:t>
            </w:r>
          </w:p>
        </w:tc>
        <w:tc>
          <w:tcPr>
            <w:tcW w:w="1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112</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3"/>
        </w:trPr>
        <w:tc>
          <w:tcPr>
            <w:tcW w:w="4540" w:type="dxa"/>
            <w:vAlign w:val="bottom"/>
          </w:tcPr>
          <w:p>
            <w:pPr>
              <w:ind w:left="20"/>
              <w:spacing w:after="0"/>
              <w:rPr>
                <w:sz w:val="20"/>
                <w:szCs w:val="20"/>
                <w:color w:val="auto"/>
              </w:rPr>
            </w:pPr>
            <w:r>
              <w:rPr>
                <w:rFonts w:ascii="Arial" w:cs="Arial" w:eastAsia="Arial" w:hAnsi="Arial"/>
                <w:sz w:val="17"/>
                <w:szCs w:val="17"/>
                <w:color w:val="auto"/>
              </w:rPr>
              <w:t>Total income tax (benefit) expense</w:t>
            </w:r>
          </w:p>
        </w:tc>
        <w:tc>
          <w:tcPr>
            <w:tcW w:w="1340" w:type="dxa"/>
            <w:vAlign w:val="bottom"/>
          </w:tcPr>
          <w:p>
            <w:pPr>
              <w:jc w:val="right"/>
              <w:ind w:right="11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74"/>
              <w:spacing w:after="0"/>
              <w:rPr>
                <w:sz w:val="20"/>
                <w:szCs w:val="20"/>
                <w:color w:val="auto"/>
              </w:rPr>
            </w:pPr>
            <w:r>
              <w:rPr>
                <w:rFonts w:ascii="Arial" w:cs="Arial" w:eastAsia="Arial" w:hAnsi="Arial"/>
                <w:sz w:val="17"/>
                <w:szCs w:val="17"/>
                <w:color w:val="auto"/>
              </w:rPr>
              <w:t>(601)</w:t>
            </w:r>
          </w:p>
        </w:tc>
        <w:tc>
          <w:tcPr>
            <w:tcW w:w="220" w:type="dxa"/>
            <w:vAlign w:val="bottom"/>
          </w:tcPr>
          <w:p>
            <w:pPr>
              <w:spacing w:after="0"/>
              <w:rPr>
                <w:sz w:val="18"/>
                <w:szCs w:val="18"/>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1,321</w:t>
            </w:r>
          </w:p>
        </w:tc>
      </w:tr>
      <w:tr>
        <w:trPr>
          <w:trHeight w:val="45"/>
        </w:trPr>
        <w:tc>
          <w:tcPr>
            <w:tcW w:w="45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r>
      <w:tr>
        <w:trPr>
          <w:trHeight w:val="211"/>
        </w:trPr>
        <w:tc>
          <w:tcPr>
            <w:tcW w:w="454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7"/>
                <w:szCs w:val="17"/>
                <w:color w:val="auto"/>
              </w:rPr>
              <w:t>Effective tax rate</w:t>
            </w:r>
          </w:p>
        </w:tc>
        <w:tc>
          <w:tcPr>
            <w:tcW w:w="1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20"/>
              <w:spacing w:after="0" w:line="191" w:lineRule="exact"/>
              <w:rPr>
                <w:sz w:val="20"/>
                <w:szCs w:val="20"/>
                <w:color w:val="auto"/>
              </w:rPr>
            </w:pPr>
            <w:r>
              <w:rPr>
                <w:rFonts w:ascii="Arial" w:cs="Arial" w:eastAsia="Arial" w:hAnsi="Arial"/>
                <w:sz w:val="17"/>
                <w:szCs w:val="17"/>
                <w:color w:val="auto"/>
              </w:rPr>
              <w:t>(0.40)% —</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gridSpan w:val="2"/>
            <w:shd w:val="clear" w:color="auto" w:fill="CCEEFF"/>
          </w:tcPr>
          <w:p>
            <w:pPr>
              <w:ind w:left="1240"/>
              <w:spacing w:after="0" w:line="191" w:lineRule="exact"/>
              <w:rPr>
                <w:sz w:val="20"/>
                <w:szCs w:val="20"/>
                <w:color w:val="auto"/>
              </w:rPr>
            </w:pPr>
            <w:r>
              <w:rPr>
                <w:rFonts w:ascii="Arial" w:cs="Arial" w:eastAsia="Arial" w:hAnsi="Arial"/>
                <w:sz w:val="17"/>
                <w:szCs w:val="17"/>
                <w:color w:val="auto"/>
              </w:rPr>
              <w:t>— %</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139.64 %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503"/>
        </w:trPr>
        <w:tc>
          <w:tcPr>
            <w:tcW w:w="5880" w:type="dxa"/>
            <w:vAlign w:val="bottom"/>
            <w:gridSpan w:val="2"/>
          </w:tcPr>
          <w:p>
            <w:pPr>
              <w:ind w:left="620"/>
              <w:spacing w:after="0"/>
              <w:rPr>
                <w:sz w:val="20"/>
                <w:szCs w:val="20"/>
                <w:color w:val="auto"/>
              </w:rPr>
            </w:pPr>
            <w:r>
              <w:rPr>
                <w:rFonts w:ascii="Arial" w:cs="Arial" w:eastAsia="Arial" w:hAnsi="Arial"/>
                <w:sz w:val="18"/>
                <w:szCs w:val="18"/>
                <w:color w:val="auto"/>
                <w:w w:val="90"/>
              </w:rPr>
              <w:t>The significant components of the net deferred tax assets are as follows: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1"/>
        </w:trPr>
        <w:tc>
          <w:tcPr>
            <w:tcW w:w="45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7"/>
              </w:rPr>
              <w:t>December 31, 2021</w:t>
            </w: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8"/>
        </w:trPr>
        <w:tc>
          <w:tcPr>
            <w:tcW w:w="4540" w:type="dxa"/>
            <w:vAlign w:val="bottom"/>
          </w:tcPr>
          <w:p>
            <w:pPr>
              <w:ind w:left="120"/>
              <w:spacing w:after="0"/>
              <w:rPr>
                <w:sz w:val="20"/>
                <w:szCs w:val="20"/>
                <w:color w:val="auto"/>
              </w:rPr>
            </w:pPr>
            <w:r>
              <w:rPr>
                <w:rFonts w:ascii="Arial" w:cs="Arial" w:eastAsia="Arial" w:hAnsi="Arial"/>
                <w:sz w:val="17"/>
                <w:szCs w:val="17"/>
                <w:color w:val="auto"/>
              </w:rPr>
              <w:t>Investment in partnership</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112,543</w:t>
            </w:r>
          </w:p>
        </w:tc>
      </w:tr>
      <w:tr>
        <w:trPr>
          <w:trHeight w:val="220"/>
        </w:trPr>
        <w:tc>
          <w:tcPr>
            <w:tcW w:w="45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receivable agreement</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34,203</w:t>
            </w:r>
          </w:p>
        </w:tc>
      </w:tr>
      <w:tr>
        <w:trPr>
          <w:trHeight w:val="218"/>
        </w:trPr>
        <w:tc>
          <w:tcPr>
            <w:tcW w:w="4540" w:type="dxa"/>
            <w:vAlign w:val="bottom"/>
          </w:tcPr>
          <w:p>
            <w:pPr>
              <w:ind w:left="120"/>
              <w:spacing w:after="0"/>
              <w:rPr>
                <w:sz w:val="20"/>
                <w:szCs w:val="20"/>
                <w:color w:val="auto"/>
              </w:rPr>
            </w:pPr>
            <w:r>
              <w:rPr>
                <w:rFonts w:ascii="Arial" w:cs="Arial" w:eastAsia="Arial" w:hAnsi="Arial"/>
                <w:sz w:val="17"/>
                <w:szCs w:val="17"/>
                <w:color w:val="auto"/>
              </w:rPr>
              <w:t>Net operating loss carryovers</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4,694</w:t>
            </w:r>
          </w:p>
        </w:tc>
      </w:tr>
      <w:tr>
        <w:trPr>
          <w:trHeight w:val="220"/>
        </w:trPr>
        <w:tc>
          <w:tcPr>
            <w:tcW w:w="45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credit carryovers</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r>
      <w:tr>
        <w:trPr>
          <w:trHeight w:val="218"/>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13"/>
        </w:trPr>
        <w:tc>
          <w:tcPr>
            <w:tcW w:w="4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deferred tax asset</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152,209</w:t>
            </w:r>
          </w:p>
        </w:tc>
      </w:tr>
      <w:tr>
        <w:trPr>
          <w:trHeight w:val="218"/>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valuation allowance</w:t>
            </w:r>
          </w:p>
        </w:tc>
        <w:tc>
          <w:tcPr>
            <w:tcW w:w="13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w:t>
            </w:r>
          </w:p>
        </w:tc>
        <w:tc>
          <w:tcPr>
            <w:tcW w:w="1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152,097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19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189"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6"/>
          <w:szCs w:val="16"/>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loss is in California, for which there is a temporary suspension of the utilization of net operating loss carryforwards through 2022.</w:t>
      </w:r>
    </w:p>
    <w:p>
      <w:pPr>
        <w:jc w:val="both"/>
        <w:ind w:firstLine="619"/>
        <w:spacing w:after="0" w:line="272" w:lineRule="auto"/>
        <w:rPr>
          <w:sz w:val="20"/>
          <w:szCs w:val="20"/>
          <w:color w:val="auto"/>
        </w:rPr>
      </w:pPr>
      <w:r>
        <w:rPr>
          <w:rFonts w:ascii="Arial" w:cs="Arial" w:eastAsia="Arial" w:hAnsi="Arial"/>
          <w:sz w:val="15"/>
          <w:szCs w:val="15"/>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73"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19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The Company follows the provisions of FASB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60" w:type="dxa"/>
            <w:vAlign w:val="bottom"/>
          </w:tcPr>
          <w:p>
            <w:pPr>
              <w:ind w:left="620"/>
              <w:spacing w:after="0"/>
              <w:rPr>
                <w:sz w:val="20"/>
                <w:szCs w:val="20"/>
                <w:color w:val="auto"/>
              </w:rPr>
            </w:pPr>
            <w:r>
              <w:rPr>
                <w:rFonts w:ascii="Arial" w:cs="Arial" w:eastAsia="Arial" w:hAnsi="Arial"/>
                <w:sz w:val="17"/>
                <w:szCs w:val="17"/>
                <w:color w:val="auto"/>
              </w:rPr>
              <w:t>The following table reflects changes in the unrecognized tax benefits since January 1, 2021 (in thousands):</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65"/>
        </w:trPr>
        <w:tc>
          <w:tcPr>
            <w:tcW w:w="9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7"/>
              </w:rPr>
              <w:t>December 31, 2021</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amount of unrecognized tax benefits as of the beginning of the period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9160" w:type="dxa"/>
            <w:vAlign w:val="bottom"/>
          </w:tcPr>
          <w:p>
            <w:pPr>
              <w:ind w:left="120"/>
              <w:spacing w:after="0"/>
              <w:rPr>
                <w:sz w:val="20"/>
                <w:szCs w:val="20"/>
                <w:color w:val="auto"/>
              </w:rPr>
            </w:pPr>
            <w:r>
              <w:rPr>
                <w:rFonts w:ascii="Arial" w:cs="Arial" w:eastAsia="Arial" w:hAnsi="Arial"/>
                <w:sz w:val="17"/>
                <w:szCs w:val="17"/>
                <w:color w:val="auto"/>
              </w:rPr>
              <w:t>Decreases related to prior year tax provisions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Increases related to current year tax provisions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13"/>
        </w:trPr>
        <w:tc>
          <w:tcPr>
            <w:tcW w:w="9160" w:type="dxa"/>
            <w:vAlign w:val="bottom"/>
          </w:tcPr>
          <w:p>
            <w:pPr>
              <w:ind w:left="20"/>
              <w:spacing w:after="0"/>
              <w:rPr>
                <w:sz w:val="20"/>
                <w:szCs w:val="20"/>
                <w:color w:val="auto"/>
              </w:rPr>
            </w:pPr>
            <w:r>
              <w:rPr>
                <w:rFonts w:ascii="Arial" w:cs="Arial" w:eastAsia="Arial" w:hAnsi="Arial"/>
                <w:sz w:val="17"/>
                <w:szCs w:val="17"/>
                <w:color w:val="auto"/>
              </w:rPr>
              <w:t>Gross amount of unrecognized tax benefits as of the end of the period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0"/>
        </w:trPr>
        <w:tc>
          <w:tcPr>
            <w:tcW w:w="9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6"/>
          <w:szCs w:val="16"/>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217"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182"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240"/>
          </w:cols>
          <w:pgMar w:left="320" w:top="12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w:t>
      </w:r>
    </w:p>
    <w:p>
      <w:pPr>
        <w:spacing w:after="0" w:line="249"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following summary of the material terms of our securities is not intended to be a complete summary of the rights and preferences of such securities, and is qualified by reference to our Certificate of Incorporation, our Bylaws and the documents related to our Warrants (defined below)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and Outstanding Stock</w:t>
      </w:r>
    </w:p>
    <w:p>
      <w:pPr>
        <w:spacing w:after="0" w:line="24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Certificate of Incorporation authorizes the issuance of 2,075,000,000 shares of capital stock, consisting of (x) 1,500,000,000 shares of our Class A Common Stock, par value $0.0001 per share (“Class A Common Stock”), (y) 500,000,000 shares of our Class V Common Stock, par value $0.0001 per share (“Class V Common Stock”)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 Common Stock</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Voting </w:t>
      </w:r>
      <w:r>
        <w:rPr>
          <w:rFonts w:ascii="Arial" w:cs="Arial" w:eastAsia="Arial" w:hAnsi="Arial"/>
          <w:sz w:val="17"/>
          <w:szCs w:val="17"/>
          <w:i w:val="1"/>
          <w:iCs w:val="1"/>
          <w:color w:val="auto"/>
        </w:rPr>
        <w:t>Rights</w:t>
      </w:r>
    </w:p>
    <w:p>
      <w:pPr>
        <w:spacing w:after="0" w:line="243"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Dividend </w:t>
      </w:r>
      <w:r>
        <w:rPr>
          <w:rFonts w:ascii="Arial" w:cs="Arial" w:eastAsia="Arial" w:hAnsi="Arial"/>
          <w:sz w:val="17"/>
          <w:szCs w:val="17"/>
          <w:i w:val="1"/>
          <w:iCs w:val="1"/>
          <w:color w:val="auto"/>
        </w:rPr>
        <w:t>Rights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Rights </w:t>
      </w:r>
      <w:r>
        <w:rPr>
          <w:rFonts w:ascii="Arial" w:cs="Arial" w:eastAsia="Arial" w:hAnsi="Arial"/>
          <w:sz w:val="17"/>
          <w:szCs w:val="17"/>
          <w:i w:val="1"/>
          <w:iCs w:val="1"/>
          <w:color w:val="auto"/>
        </w:rPr>
        <w:t>upon Liquidation, Dissolution and Winding-Up</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Preemptive </w:t>
      </w:r>
      <w:r>
        <w:rPr>
          <w:rFonts w:ascii="Arial" w:cs="Arial" w:eastAsia="Arial" w:hAnsi="Arial"/>
          <w:sz w:val="17"/>
          <w:szCs w:val="17"/>
          <w:i w:val="1"/>
          <w:iCs w:val="1"/>
          <w:color w:val="auto"/>
        </w:rPr>
        <w:t>or Other Rights</w:t>
      </w:r>
    </w:p>
    <w:p>
      <w:pPr>
        <w:spacing w:after="0" w:line="24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Class V Common Stock</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Voting </w:t>
      </w:r>
      <w:r>
        <w:rPr>
          <w:rFonts w:ascii="Arial" w:cs="Arial" w:eastAsia="Arial" w:hAnsi="Arial"/>
          <w:sz w:val="17"/>
          <w:szCs w:val="17"/>
          <w:i w:val="1"/>
          <w:iCs w:val="1"/>
          <w:color w:val="auto"/>
        </w:rPr>
        <w:t>Rights</w:t>
      </w:r>
    </w:p>
    <w:p>
      <w:pPr>
        <w:spacing w:after="0" w:line="243"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Dividend </w:t>
      </w:r>
      <w:r>
        <w:rPr>
          <w:rFonts w:ascii="Arial" w:cs="Arial" w:eastAsia="Arial" w:hAnsi="Arial"/>
          <w:sz w:val="17"/>
          <w:szCs w:val="17"/>
          <w:i w:val="1"/>
          <w:iCs w:val="1"/>
          <w:color w:val="auto"/>
        </w:rPr>
        <w:t>Rights</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holders of the Class V Common Stock will not participate in any dividends declared by our board of directors.</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Rights </w:t>
      </w:r>
      <w:r>
        <w:rPr>
          <w:rFonts w:ascii="Arial" w:cs="Arial" w:eastAsia="Arial" w:hAnsi="Arial"/>
          <w:sz w:val="17"/>
          <w:szCs w:val="17"/>
          <w:i w:val="1"/>
          <w:iCs w:val="1"/>
          <w:color w:val="auto"/>
        </w:rPr>
        <w:t>upon Liquidation, Dissolution and Winding-Up</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Class V Common Stock are not entitled to receive any of our assets.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Preemptive </w:t>
      </w:r>
      <w:r>
        <w:rPr>
          <w:rFonts w:ascii="Arial" w:cs="Arial" w:eastAsia="Arial" w:hAnsi="Arial"/>
          <w:sz w:val="17"/>
          <w:szCs w:val="17"/>
          <w:i w:val="1"/>
          <w:iCs w:val="1"/>
          <w:color w:val="auto"/>
        </w:rPr>
        <w:t>or Other Rights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Issuance </w:t>
      </w:r>
      <w:r>
        <w:rPr>
          <w:rFonts w:ascii="Arial" w:cs="Arial" w:eastAsia="Arial" w:hAnsi="Arial"/>
          <w:sz w:val="17"/>
          <w:szCs w:val="17"/>
          <w:i w:val="1"/>
          <w:iCs w:val="1"/>
          <w:color w:val="auto"/>
        </w:rPr>
        <w:t>and Retirement of Class V Common Stock</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representing limited liability company interests of WM Holding Company, LLC,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 Holding Company, LLC.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49"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provided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ectPr>
          <w:pgSz w:w="11900" w:h="16838" w:orient="portrait"/>
          <w:cols w:equalWidth="0" w:num="1">
            <w:col w:w="11240"/>
          </w:cols>
          <w:pgMar w:left="320" w:top="1359" w:right="339" w:bottom="1440" w:gutter="0" w:footer="0" w:header="0"/>
        </w:sectPr>
      </w:pPr>
    </w:p>
    <w:bookmarkStart w:id="112" w:name="page113"/>
    <w:bookmarkEnd w:id="112"/>
    <w:p>
      <w:pPr>
        <w:jc w:val="both"/>
        <w:ind w:firstLine="464"/>
        <w:spacing w:after="0" w:line="279"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WM Technology, Inc.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Warrants</w:t>
      </w:r>
    </w:p>
    <w:p>
      <w:pPr>
        <w:spacing w:after="0" w:line="243"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6"/>
          <w:szCs w:val="16"/>
          <w:color w:val="auto"/>
        </w:rPr>
        <w:t>Each whole public warrants originally issued in the initial public offering of Silver Spike Acquisition Corp (“Silver Spike”) (the “Public Warrants”) entitles the registered holder to purchase one share of Class A Common Stock at a price of $11.50 per share, subject to adjustment as discussed below, at any time commencing 30 days after June 16, 2021 (the “Closing Date”), provided that we have an effective registration statement under the Securities Act of 1933, as amended,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(the “Warrant Agreement”), dated August 7, 2019, between the Company and Continental Stock Transfer &amp; Trust Company, as warrant agent (the “Warrant Agent”)).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Date, at 5:00 p.m., New York City time, or earlier upon redemption or liquidation.</w:t>
      </w:r>
    </w:p>
    <w:p>
      <w:pPr>
        <w:spacing w:after="0" w:line="202"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187"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We filed with the U.S. Securities and Exchange Commission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redeem the Public Warrants for redemption:</w:t>
      </w:r>
    </w:p>
    <w:p>
      <w:pPr>
        <w:spacing w:after="0" w:line="62" w:lineRule="exact"/>
        <w:rPr>
          <w:sz w:val="20"/>
          <w:szCs w:val="20"/>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whole and not in part;</w:t>
      </w:r>
    </w:p>
    <w:p>
      <w:pPr>
        <w:sectPr>
          <w:pgSz w:w="11900" w:h="16838" w:orient="portrait"/>
          <w:cols w:equalWidth="0" w:num="1">
            <w:col w:w="11240"/>
          </w:cols>
          <w:pgMar w:left="320" w:top="1365" w:right="339" w:bottom="1440" w:gutter="0" w:footer="0" w:header="0"/>
        </w:sectPr>
      </w:pPr>
    </w:p>
    <w:bookmarkStart w:id="113" w:name="page114"/>
    <w:bookmarkEnd w:id="113"/>
    <w:p>
      <w:pPr>
        <w:ind w:left="620" w:hanging="307"/>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at a price of $0.01 per Public Warrant;</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6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20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19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20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6"/>
          <w:szCs w:val="16"/>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Spike’s sponsor (“Silver Spike Sponsor”) and its permitted transferees would still be entitled to exercise the warrants that were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208"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20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w:t>
      </w:r>
    </w:p>
    <w:p>
      <w:pPr>
        <w:sectPr>
          <w:pgSz w:w="11900" w:h="16838" w:orient="portrait"/>
          <w:cols w:equalWidth="0" w:num="1">
            <w:col w:w="11240"/>
          </w:cols>
          <w:pgMar w:left="320" w:top="1416" w:right="339" w:bottom="1440" w:gutter="0" w:footer="0" w:header="0"/>
        </w:sectPr>
      </w:pPr>
    </w:p>
    <w:bookmarkStart w:id="114" w:name="page115"/>
    <w:bookmarkEnd w:id="114"/>
    <w:p>
      <w:pPr>
        <w:jc w:val="both"/>
        <w:spacing w:after="0" w:line="257" w:lineRule="auto"/>
        <w:rPr>
          <w:sz w:val="20"/>
          <w:szCs w:val="20"/>
          <w:color w:val="auto"/>
        </w:rPr>
      </w:pPr>
      <w:r>
        <w:rPr>
          <w:rFonts w:ascii="Arial" w:cs="Arial" w:eastAsia="Arial" w:hAnsi="Arial"/>
          <w:sz w:val="17"/>
          <w:szCs w:val="17"/>
          <w:color w:val="auto"/>
        </w:rPr>
        <w:t>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21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20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20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w:t>
      </w:r>
    </w:p>
    <w:p>
      <w:pPr>
        <w:sectPr>
          <w:pgSz w:w="11900" w:h="16838" w:orient="portrait"/>
          <w:cols w:equalWidth="0" w:num="1">
            <w:col w:w="11240"/>
          </w:cols>
          <w:pgMar w:left="320" w:top="1365" w:right="339" w:bottom="1440" w:gutter="0" w:footer="0" w:header="0"/>
        </w:sectPr>
      </w:pPr>
    </w:p>
    <w:bookmarkStart w:id="115" w:name="page116"/>
    <w:bookmarkEnd w:id="115"/>
    <w:p>
      <w:pPr>
        <w:jc w:val="both"/>
        <w:spacing w:after="0" w:line="266" w:lineRule="auto"/>
        <w:rPr>
          <w:sz w:val="20"/>
          <w:szCs w:val="20"/>
          <w:color w:val="auto"/>
        </w:rPr>
      </w:pPr>
      <w:r>
        <w:rPr>
          <w:rFonts w:ascii="Arial" w:cs="Arial" w:eastAsia="Arial" w:hAnsi="Arial"/>
          <w:sz w:val="17"/>
          <w:szCs w:val="17"/>
          <w:color w:val="auto"/>
        </w:rPr>
        <w:t>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20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Placement Warrants</w:t>
      </w:r>
    </w:p>
    <w:p>
      <w:pPr>
        <w:spacing w:after="0" w:line="24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Date,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21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4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We have not paid any cash dividends on Silver Spike’s then issued and outstanding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our common stock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Restrictions</w:t>
      </w:r>
    </w:p>
    <w:p>
      <w:pPr>
        <w:spacing w:after="0" w:line="249"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Pursuant to the letter agreement entered into between Silver Spike and Silver Spike Sponsor, after the Closing Date and subject to certain exceptions, the Sponsor is contractually restricted from selling or transferring any of its shares of Class A Common Stock until the earlier of (A) one year after the Closing Date or</w:t>
      </w:r>
    </w:p>
    <w:p>
      <w:pPr>
        <w:spacing w:after="0" w:line="1" w:lineRule="exact"/>
        <w:rPr>
          <w:sz w:val="20"/>
          <w:szCs w:val="20"/>
          <w:color w:val="auto"/>
        </w:rPr>
      </w:pPr>
    </w:p>
    <w:p>
      <w:pPr>
        <w:jc w:val="both"/>
        <w:ind w:firstLine="3"/>
        <w:spacing w:after="0" w:line="283" w:lineRule="auto"/>
        <w:tabs>
          <w:tab w:leader="none" w:pos="272"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subsequent to the Closing Date,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Closing Date or (y) the date following the completion of the Closing Date on which we complete a liquidation, merger,</w:t>
      </w:r>
    </w:p>
    <w:p>
      <w:pPr>
        <w:sectPr>
          <w:pgSz w:w="11900" w:h="16838" w:orient="portrait"/>
          <w:cols w:equalWidth="0" w:num="1">
            <w:col w:w="11240"/>
          </w:cols>
          <w:pgMar w:left="320" w:top="1365" w:right="339" w:bottom="1440" w:gutter="0" w:footer="0" w:header="0"/>
        </w:sectPr>
      </w:pPr>
    </w:p>
    <w:bookmarkStart w:id="116" w:name="page117"/>
    <w:bookmarkEnd w:id="116"/>
    <w:p>
      <w:pPr>
        <w:jc w:val="both"/>
        <w:spacing w:after="0" w:line="258" w:lineRule="auto"/>
        <w:rPr>
          <w:sz w:val="20"/>
          <w:szCs w:val="20"/>
          <w:color w:val="auto"/>
        </w:rPr>
      </w:pPr>
      <w:r>
        <w:rPr>
          <w:rFonts w:ascii="Arial" w:cs="Arial" w:eastAsia="Arial" w:hAnsi="Arial"/>
          <w:sz w:val="17"/>
          <w:szCs w:val="17"/>
          <w:color w:val="auto"/>
        </w:rPr>
        <w:t>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holders of the Class A Units and Class P units representing limited liability company interests of WM Holding Company, LLC (the “Class P Units” and together with the Class A Units, the “Units”) are contractually restricted from selling or transferring any of their respective shares of common stock until 180 days after the Closing Date. See the section entitled “Certain Relationships and Related Party Transactions” for lock-up restrictions on our securities under an exchange agreement the Unit holders entered into on the Closing Date (the “Exchange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Provisions of Delaware Law</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Special </w:t>
      </w:r>
      <w:r>
        <w:rPr>
          <w:rFonts w:ascii="Arial" w:cs="Arial" w:eastAsia="Arial" w:hAnsi="Arial"/>
          <w:sz w:val="17"/>
          <w:szCs w:val="17"/>
          <w:i w:val="1"/>
          <w:iCs w:val="1"/>
          <w:color w:val="auto"/>
        </w:rPr>
        <w:t>Meetings of Stockholders</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the chairperson of our board of directors, (ii) our Chief Executive Officer or the President if the chairperson of our board of directors is unavailable, or (iii) our board of directors pursuant to a resolution adopted by a majority of the total number of authorized directors (whether or not there exist any vacancies in previously authorized directorships at the time any such resolution is presented to our board of directors for adoption).</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Advance </w:t>
      </w:r>
      <w:r>
        <w:rPr>
          <w:rFonts w:ascii="Arial" w:cs="Arial" w:eastAsia="Arial" w:hAnsi="Arial"/>
          <w:sz w:val="17"/>
          <w:szCs w:val="17"/>
          <w:i w:val="1"/>
          <w:iCs w:val="1"/>
          <w:color w:val="auto"/>
        </w:rPr>
        <w:t>Notice Requirements for Stockholder Proposals and Director Nominations</w:t>
      </w:r>
    </w:p>
    <w:p>
      <w:pPr>
        <w:spacing w:after="0" w:line="243"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90th day nor earlier than the open of business on the 120th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120th day prior to such annual meeting and no later than the close of business on the latter of the 90th day prior to such annual meeting or the 10th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Authorized </w:t>
      </w:r>
      <w:r>
        <w:rPr>
          <w:rFonts w:ascii="Arial" w:cs="Arial" w:eastAsia="Arial" w:hAnsi="Arial"/>
          <w:sz w:val="17"/>
          <w:szCs w:val="17"/>
          <w:i w:val="1"/>
          <w:iCs w:val="1"/>
          <w:color w:val="auto"/>
        </w:rPr>
        <w:t>but Unissued Shares</w:t>
      </w:r>
    </w:p>
    <w:p>
      <w:pPr>
        <w:spacing w:after="0" w:line="24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Exclusive </w:t>
      </w:r>
      <w:r>
        <w:rPr>
          <w:rFonts w:ascii="Arial" w:cs="Arial" w:eastAsia="Arial" w:hAnsi="Arial"/>
          <w:sz w:val="17"/>
          <w:szCs w:val="17"/>
          <w:i w:val="1"/>
          <w:iCs w:val="1"/>
          <w:color w:val="auto"/>
        </w:rPr>
        <w:t>Forum Selection</w:t>
      </w:r>
    </w:p>
    <w:p>
      <w:pPr>
        <w:spacing w:after="0" w:line="243"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w:t>
      </w:r>
    </w:p>
    <w:p>
      <w:pPr>
        <w:sectPr>
          <w:pgSz w:w="11900" w:h="16838" w:orient="portrait"/>
          <w:cols w:equalWidth="0" w:num="1">
            <w:col w:w="11240"/>
          </w:cols>
          <w:pgMar w:left="320" w:top="1365" w:right="339" w:bottom="1440" w:gutter="0" w:footer="0" w:header="0"/>
        </w:sectPr>
      </w:pPr>
    </w:p>
    <w:bookmarkStart w:id="117" w:name="page118"/>
    <w:bookmarkEnd w:id="117"/>
    <w:p>
      <w:pPr>
        <w:jc w:val="both"/>
        <w:spacing w:after="0" w:line="272" w:lineRule="auto"/>
        <w:rPr>
          <w:sz w:val="20"/>
          <w:szCs w:val="20"/>
          <w:color w:val="auto"/>
        </w:rPr>
      </w:pPr>
      <w:r>
        <w:rPr>
          <w:rFonts w:ascii="Arial" w:cs="Arial" w:eastAsia="Arial" w:hAnsi="Arial"/>
          <w:sz w:val="16"/>
          <w:szCs w:val="16"/>
          <w:color w:val="auto"/>
        </w:rPr>
        <w:t>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Securities Exchange Act of 1934, as amended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w:t>
      </w:r>
      <w:r>
        <w:rPr>
          <w:rFonts w:ascii="Arial" w:cs="Arial" w:eastAsia="Arial" w:hAnsi="Arial"/>
          <w:sz w:val="17"/>
          <w:szCs w:val="17"/>
          <w:i w:val="1"/>
          <w:iCs w:val="1"/>
          <w:color w:val="auto"/>
        </w:rPr>
        <w:t>203 of the Delaware General Corporation Law</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opt out of Section 203 of the DGCL under our Certificate of Incorporation.</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Limitation </w:t>
      </w:r>
      <w:r>
        <w:rPr>
          <w:rFonts w:ascii="Arial" w:cs="Arial" w:eastAsia="Arial" w:hAnsi="Arial"/>
          <w:sz w:val="17"/>
          <w:szCs w:val="17"/>
          <w:i w:val="1"/>
          <w:iCs w:val="1"/>
          <w:color w:val="auto"/>
        </w:rPr>
        <w:t>on Liability and Indemnification of Directors and Officers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0" w:lineRule="exact"/>
        <w:rPr>
          <w:sz w:val="20"/>
          <w:szCs w:val="20"/>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derives an improper personal benefit;</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any act or omission not in good faith or that involves intentional misconduct or a knowing violation of law;</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any unlawful payment of dividends or redemption of shares; or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any breach of a director’s duty of loyalty to the corporation or its stockholders.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9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18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0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maintain a directors’ and officers’ insurance policy pursuant to which our directors and officers are insured against liability for actions taken in their capacities as directors and officers. We believe these provisions in</w:t>
      </w:r>
    </w:p>
    <w:p>
      <w:pPr>
        <w:sectPr>
          <w:pgSz w:w="11900" w:h="16838" w:orient="portrait"/>
          <w:cols w:equalWidth="0" w:num="1">
            <w:col w:w="11240"/>
          </w:cols>
          <w:pgMar w:left="320" w:top="1365" w:right="33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color w:val="auto"/>
        </w:rPr>
        <w:t>our Certificate of Incorporation and the Bylaws and these indemnification agreements are necessary to attract and retain qualified persons as directors and officers.</w:t>
      </w:r>
    </w:p>
    <w:p>
      <w:pPr>
        <w:spacing w:after="0" w:line="26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4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20" w:lineRule="exact"/>
        <w:rPr>
          <w:sz w:val="20"/>
          <w:szCs w:val="20"/>
          <w:color w:val="auto"/>
        </w:rPr>
      </w:pPr>
    </w:p>
    <w:p>
      <w:pPr>
        <w:ind w:left="620" w:hanging="30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Closing Date, we ceased to be a shell company.</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20" w:lineRule="exact"/>
        <w:rPr>
          <w:sz w:val="20"/>
          <w:szCs w:val="20"/>
          <w:color w:val="auto"/>
        </w:rPr>
      </w:pPr>
    </w:p>
    <w:p>
      <w:pPr>
        <w:ind w:left="620" w:hanging="30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one percent (1%) of the total number of shares of Class A Common Stock then outstanding; or</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Class A Common Stock during the four calendar weeks preceding the filing of a notice on Form 144 with respect to the sale.</w:t>
      </w:r>
    </w:p>
    <w:p>
      <w:pPr>
        <w:spacing w:after="0" w:line="19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Sales by our affiliates under Rule 144 will also be limited by manner of sale provisions and notice requirements and to the availability of current public information about 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Warrant Agent and Registrar</w:t>
      </w:r>
    </w:p>
    <w:p>
      <w:pPr>
        <w:spacing w:after="0" w:line="249"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transfer agent, warrant agent and registrar for our Class A Common Stock, Class V Common Stock and Warrants is Continental Stock Transfer &amp; Trust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Securities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Class A Common Stock and Public Warrants are listed on Nasdaq under the symbols “MAPS” and “MAPW,” respectively.</w:t>
      </w:r>
    </w:p>
    <w:p>
      <w:pPr>
        <w:sectPr>
          <w:pgSz w:w="11900" w:h="16838" w:orient="portrait"/>
          <w:cols w:equalWidth="0" w:num="1">
            <w:col w:w="11240"/>
          </w:cols>
          <w:pgMar w:left="320" w:top="1365" w:right="339" w:bottom="1440" w:gutter="0" w:footer="0" w:header="0"/>
        </w:sectPr>
      </w:pPr>
    </w:p>
    <w:bookmarkStart w:id="119" w:name="page120"/>
    <w:bookmarkEnd w:id="119"/>
    <w:p>
      <w:pPr>
        <w:ind w:left="10080"/>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WM Technology,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Non-Employee Director Compensation Policy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Approved and Adopted by the Board of Directors: June 16, 2021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Effective June 16, 2021</w:t>
      </w:r>
    </w:p>
    <w:p>
      <w:pPr>
        <w:spacing w:after="0" w:line="205" w:lineRule="exact"/>
        <w:rPr>
          <w:sz w:val="20"/>
          <w:szCs w:val="20"/>
          <w:color w:val="auto"/>
        </w:rPr>
      </w:pPr>
    </w:p>
    <w:p>
      <w:pPr>
        <w:ind w:right="80"/>
        <w:spacing w:after="0" w:line="226" w:lineRule="auto"/>
        <w:rPr>
          <w:sz w:val="20"/>
          <w:szCs w:val="20"/>
          <w:color w:val="auto"/>
        </w:rPr>
      </w:pPr>
      <w:r>
        <w:rPr>
          <w:rFonts w:ascii="Arial" w:cs="Arial" w:eastAsia="Arial" w:hAnsi="Arial"/>
          <w:sz w:val="21"/>
          <w:szCs w:val="21"/>
          <w:color w:val="auto"/>
        </w:rPr>
        <w:t>The purpose of this Non-Employee Director Compensation Policy (the “</w:t>
      </w:r>
      <w:r>
        <w:rPr>
          <w:rFonts w:ascii="Arial" w:cs="Arial" w:eastAsia="Arial" w:hAnsi="Arial"/>
          <w:sz w:val="21"/>
          <w:szCs w:val="21"/>
          <w:u w:val="single" w:color="auto"/>
          <w:color w:val="auto"/>
        </w:rPr>
        <w:t>Policy</w:t>
      </w:r>
      <w:r>
        <w:rPr>
          <w:rFonts w:ascii="Arial" w:cs="Arial" w:eastAsia="Arial" w:hAnsi="Arial"/>
          <w:sz w:val="21"/>
          <w:szCs w:val="21"/>
          <w:color w:val="auto"/>
        </w:rPr>
        <w:t>”) of WM Technology,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is to provide a total compensation package that enables the Company to attract and retain, on a long-term basis, high-caliber directors who are not employees or officers of the Company or its subsidiaries (“</w:t>
      </w:r>
      <w:r>
        <w:rPr>
          <w:rFonts w:ascii="Arial" w:cs="Arial" w:eastAsia="Arial" w:hAnsi="Arial"/>
          <w:sz w:val="21"/>
          <w:szCs w:val="21"/>
          <w:u w:val="single" w:color="auto"/>
          <w:color w:val="auto"/>
        </w:rPr>
        <w:t>Outside Directors</w:t>
      </w:r>
      <w:r>
        <w:rPr>
          <w:rFonts w:ascii="Arial" w:cs="Arial" w:eastAsia="Arial" w:hAnsi="Arial"/>
          <w:sz w:val="21"/>
          <w:szCs w:val="21"/>
          <w:color w:val="auto"/>
        </w:rPr>
        <w:t>”). An Outside Director may decline all or any portion of his or her compensation by giving notice to the Company prior to the date cash may be paid or equity awards are to be granted, as the case may be.</w:t>
      </w:r>
    </w:p>
    <w:p>
      <w:pPr>
        <w:spacing w:after="0" w:line="191" w:lineRule="exact"/>
        <w:rPr>
          <w:sz w:val="20"/>
          <w:szCs w:val="20"/>
          <w:color w:val="auto"/>
        </w:rPr>
      </w:pPr>
    </w:p>
    <w:p>
      <w:pPr>
        <w:spacing w:after="0" w:line="228" w:lineRule="auto"/>
        <w:rPr>
          <w:sz w:val="20"/>
          <w:szCs w:val="20"/>
          <w:color w:val="auto"/>
        </w:rPr>
      </w:pPr>
      <w:r>
        <w:rPr>
          <w:rFonts w:ascii="Arial" w:cs="Arial" w:eastAsia="Arial" w:hAnsi="Arial"/>
          <w:sz w:val="21"/>
          <w:szCs w:val="21"/>
          <w:color w:val="auto"/>
        </w:rPr>
        <w:t>In furtherance of the purpose stated above, all Outside Directors who will continue as a member of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following the closing of the Company’s business combination with Silver Spike Acquisition Corp. (the “</w:t>
      </w:r>
      <w:r>
        <w:rPr>
          <w:rFonts w:ascii="Arial" w:cs="Arial" w:eastAsia="Arial" w:hAnsi="Arial"/>
          <w:sz w:val="21"/>
          <w:szCs w:val="21"/>
          <w:u w:val="single" w:color="auto"/>
          <w:color w:val="auto"/>
        </w:rPr>
        <w:t>Closing</w:t>
      </w:r>
      <w:r>
        <w:rPr>
          <w:rFonts w:ascii="Arial" w:cs="Arial" w:eastAsia="Arial" w:hAnsi="Arial"/>
          <w:sz w:val="21"/>
          <w:szCs w:val="21"/>
          <w:color w:val="auto"/>
        </w:rPr>
        <w:t>”) shall receive, as compensation for services provided to the Company, (a) the cash retainers set forth below and (b) a grant of restricted stock units as set forth below.</w:t>
      </w:r>
    </w:p>
    <w:p>
      <w:pPr>
        <w:spacing w:after="0" w:line="185" w:lineRule="exact"/>
        <w:rPr>
          <w:sz w:val="20"/>
          <w:szCs w:val="20"/>
          <w:color w:val="auto"/>
        </w:rPr>
      </w:pPr>
    </w:p>
    <w:p>
      <w:pPr>
        <w:ind w:left="1300" w:hanging="678"/>
        <w:spacing w:after="0"/>
        <w:tabs>
          <w:tab w:leader="none" w:pos="1300"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Cash Retainers</w:t>
      </w:r>
    </w:p>
    <w:p>
      <w:pPr>
        <w:spacing w:after="0" w:line="216" w:lineRule="exact"/>
        <w:rPr>
          <w:sz w:val="20"/>
          <w:szCs w:val="20"/>
          <w:color w:val="auto"/>
        </w:rPr>
      </w:pPr>
    </w:p>
    <w:p>
      <w:pPr>
        <w:jc w:val="both"/>
        <w:ind w:right="360"/>
        <w:spacing w:after="0" w:line="232" w:lineRule="auto"/>
        <w:rPr>
          <w:sz w:val="20"/>
          <w:szCs w:val="20"/>
          <w:color w:val="auto"/>
        </w:rPr>
      </w:pPr>
      <w:r>
        <w:rPr>
          <w:rFonts w:ascii="Arial" w:cs="Arial" w:eastAsia="Arial" w:hAnsi="Arial"/>
          <w:sz w:val="21"/>
          <w:szCs w:val="21"/>
          <w:color w:val="auto"/>
        </w:rPr>
        <w:t>Outside Directors are eligible to receive the annual cash retainers in the amounts and subject to the terms and conditions as set forth below. All payments shall be made in arrears on the last business day of each fiscal quarter in which the Outside Director’s service occurred. All annual cash retainers are vested upon payment.</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For the fiscal year in which the Closing occurs, each annual retainer set forth below will be pro- rated based on the days remaining in the fiscal year in which the Closing occurs, with the pro-rated amount paid for the fiscal quarter in which the Closing occurs, and regular full quarterly payments thereafter. If, following the Closing, an Outside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Outside Director provides the service, and regular full quarterly payments thereafter.</w:t>
      </w:r>
    </w:p>
    <w:p>
      <w:pPr>
        <w:spacing w:after="0" w:line="190" w:lineRule="exact"/>
        <w:rPr>
          <w:sz w:val="20"/>
          <w:szCs w:val="20"/>
          <w:color w:val="auto"/>
        </w:rPr>
      </w:pPr>
    </w:p>
    <w:p>
      <w:pPr>
        <w:ind w:right="420" w:firstLine="622"/>
        <w:spacing w:after="0" w:line="239" w:lineRule="auto"/>
        <w:tabs>
          <w:tab w:leader="none" w:pos="1054"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Annual Retainer for Board Membership</w:t>
      </w:r>
      <w:r>
        <w:rPr>
          <w:rFonts w:ascii="Arial" w:cs="Arial" w:eastAsia="Arial" w:hAnsi="Arial"/>
          <w:sz w:val="21"/>
          <w:szCs w:val="21"/>
          <w:color w:val="auto"/>
        </w:rPr>
        <w:t>: $50,000 for general availability and participation in meetings and conference calls of our Board.</w:t>
      </w:r>
    </w:p>
    <w:p>
      <w:pPr>
        <w:spacing w:after="0" w:line="189" w:lineRule="exact"/>
        <w:rPr>
          <w:rFonts w:ascii="Arial" w:cs="Arial" w:eastAsia="Arial" w:hAnsi="Arial"/>
          <w:sz w:val="21"/>
          <w:szCs w:val="21"/>
          <w:color w:val="auto"/>
        </w:rPr>
      </w:pPr>
    </w:p>
    <w:p>
      <w:pPr>
        <w:ind w:left="1060" w:hanging="438"/>
        <w:spacing w:after="0"/>
        <w:tabs>
          <w:tab w:leader="none" w:pos="106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Retainers for Committee Membership</w:t>
      </w:r>
      <w:r>
        <w:rPr>
          <w:rFonts w:ascii="Arial" w:cs="Arial" w:eastAsia="Arial" w:hAnsi="Arial"/>
          <w:sz w:val="21"/>
          <w:szCs w:val="21"/>
          <w:color w:val="auto"/>
        </w:rPr>
        <w:t>:</w:t>
      </w:r>
    </w:p>
    <w:p>
      <w:pPr>
        <w:spacing w:after="0" w:line="210"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Audit Committee Chairperson: $20,000</w:t>
      </w:r>
    </w:p>
    <w:p>
      <w:pPr>
        <w:spacing w:after="0" w:line="300"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Audit Committee member (other than Chairperson): $8,000</w:t>
      </w:r>
    </w:p>
    <w:p>
      <w:pPr>
        <w:spacing w:after="0" w:line="171"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Compensation Committee Chairperson: $12,000</w:t>
      </w:r>
    </w:p>
    <w:p>
      <w:pPr>
        <w:spacing w:after="0" w:line="158"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Compensation Committee member (other than Chairperson): $5,000</w:t>
      </w:r>
    </w:p>
    <w:p>
      <w:pPr>
        <w:spacing w:after="0" w:line="132"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Nominating and Corporate Governance Committee Chairperson: $7,500</w:t>
      </w:r>
    </w:p>
    <w:p>
      <w:pPr>
        <w:sectPr>
          <w:pgSz w:w="11900" w:h="16838" w:orient="portrait"/>
          <w:cols w:equalWidth="0" w:num="1">
            <w:col w:w="11240"/>
          </w:cols>
          <w:pgMar w:left="320" w:top="782" w:right="3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21"/>
          <w:szCs w:val="21"/>
          <w:color w:val="auto"/>
        </w:rPr>
        <w:t>Nominating and Corporate Governance Committee member (other than Chairperson): $3,500</w:t>
      </w:r>
    </w:p>
    <w:p>
      <w:pPr>
        <w:spacing w:after="0" w:line="287" w:lineRule="exact"/>
        <w:rPr>
          <w:sz w:val="20"/>
          <w:szCs w:val="20"/>
          <w:color w:val="auto"/>
        </w:rPr>
      </w:pPr>
    </w:p>
    <w:p>
      <w:pPr>
        <w:ind w:left="1060" w:hanging="438"/>
        <w:spacing w:after="0"/>
        <w:tabs>
          <w:tab w:leader="none" w:pos="106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 for Chairperson of our Board of Directors (if an Outside Director)</w:t>
      </w:r>
      <w:r>
        <w:rPr>
          <w:rFonts w:ascii="Arial" w:cs="Arial" w:eastAsia="Arial" w:hAnsi="Arial"/>
          <w:sz w:val="21"/>
          <w:szCs w:val="21"/>
          <w:color w:val="auto"/>
        </w:rPr>
        <w:t>: $20,000</w:t>
      </w:r>
    </w:p>
    <w:p>
      <w:pPr>
        <w:spacing w:after="0" w:line="209" w:lineRule="exact"/>
        <w:rPr>
          <w:rFonts w:ascii="Arial" w:cs="Arial" w:eastAsia="Arial" w:hAnsi="Arial"/>
          <w:sz w:val="21"/>
          <w:szCs w:val="21"/>
          <w:color w:val="auto"/>
        </w:rPr>
      </w:pPr>
    </w:p>
    <w:p>
      <w:pPr>
        <w:ind w:left="1060" w:hanging="438"/>
        <w:spacing w:after="0"/>
        <w:tabs>
          <w:tab w:leader="none" w:pos="106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 for Lead Independent Director</w:t>
      </w:r>
      <w:r>
        <w:rPr>
          <w:rFonts w:ascii="Arial" w:cs="Arial" w:eastAsia="Arial" w:hAnsi="Arial"/>
          <w:sz w:val="19"/>
          <w:szCs w:val="19"/>
          <w:color w:val="auto"/>
        </w:rPr>
        <w:t>: $15,000 for serving as lead independent director of our Board</w:t>
      </w:r>
    </w:p>
    <w:p>
      <w:pPr>
        <w:spacing w:after="0" w:line="1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of Directors.</w:t>
      </w:r>
    </w:p>
    <w:p>
      <w:pPr>
        <w:spacing w:after="0" w:line="186" w:lineRule="exact"/>
        <w:rPr>
          <w:sz w:val="20"/>
          <w:szCs w:val="20"/>
          <w:color w:val="auto"/>
        </w:rPr>
      </w:pPr>
    </w:p>
    <w:p>
      <w:pPr>
        <w:ind w:left="1320" w:hanging="698"/>
        <w:spacing w:after="0"/>
        <w:tabs>
          <w:tab w:leader="none" w:pos="1320"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Equity Retainers</w:t>
      </w:r>
    </w:p>
    <w:p>
      <w:pPr>
        <w:spacing w:after="0" w:line="216" w:lineRule="exact"/>
        <w:rPr>
          <w:sz w:val="20"/>
          <w:szCs w:val="20"/>
          <w:color w:val="auto"/>
        </w:rPr>
      </w:pPr>
    </w:p>
    <w:p>
      <w:pPr>
        <w:ind w:firstLine="622"/>
        <w:spacing w:after="0" w:line="247" w:lineRule="auto"/>
        <w:tabs>
          <w:tab w:leader="none" w:pos="110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Initial Grant</w:t>
      </w:r>
      <w:r>
        <w:rPr>
          <w:rFonts w:ascii="Arial" w:cs="Arial" w:eastAsia="Arial" w:hAnsi="Arial"/>
          <w:sz w:val="19"/>
          <w:szCs w:val="19"/>
          <w:color w:val="auto"/>
        </w:rPr>
        <w:t>. Effective upon the Closing, without any further action of the Board or Compensation Committee of the Board, each Outside Director who is elected or appointed for the first time to be an Outside Director will automatically, upon the date of his or her initial election or appointment to be an Outside Director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will receive an initial, one- time grant of restricted stock units (the “</w:t>
      </w:r>
      <w:r>
        <w:rPr>
          <w:rFonts w:ascii="Arial" w:cs="Arial" w:eastAsia="Arial" w:hAnsi="Arial"/>
          <w:sz w:val="19"/>
          <w:szCs w:val="19"/>
          <w:u w:val="single" w:color="auto"/>
          <w:color w:val="auto"/>
        </w:rPr>
        <w:t>Initial Grant</w:t>
      </w:r>
      <w:r>
        <w:rPr>
          <w:rFonts w:ascii="Arial" w:cs="Arial" w:eastAsia="Arial" w:hAnsi="Arial"/>
          <w:sz w:val="19"/>
          <w:szCs w:val="19"/>
          <w:color w:val="auto"/>
        </w:rPr>
        <w:t>”) with an aggregate value of approximately $400,000, that vests in three equal annual installments over three years from the Commencement Date. For the avoidance of doubt, the Initial Grant may only be granted once to any Outside Director. Notwithstanding the foregoing, no Initial Grant will be made until a Form S-8 Registration Statement has been filed by the Company in respect of the shares available for issuance under the Plan (as defined below), in which case the Commencement Date will remain the date of the Outside Director’s initial election or appointment.</w:t>
      </w:r>
    </w:p>
    <w:p>
      <w:pPr>
        <w:spacing w:after="0" w:line="186" w:lineRule="exact"/>
        <w:rPr>
          <w:rFonts w:ascii="Arial" w:cs="Arial" w:eastAsia="Arial" w:hAnsi="Arial"/>
          <w:sz w:val="19"/>
          <w:szCs w:val="19"/>
          <w:color w:val="auto"/>
        </w:rPr>
      </w:pPr>
    </w:p>
    <w:p>
      <w:pPr>
        <w:ind w:right="140" w:firstLine="622"/>
        <w:spacing w:after="0" w:line="238" w:lineRule="auto"/>
        <w:tabs>
          <w:tab w:leader="none" w:pos="106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Annual Grant</w:t>
      </w:r>
      <w:r>
        <w:rPr>
          <w:rFonts w:ascii="Arial" w:cs="Arial" w:eastAsia="Arial" w:hAnsi="Arial"/>
          <w:sz w:val="20"/>
          <w:szCs w:val="20"/>
          <w:color w:val="auto"/>
        </w:rPr>
        <w:t>. Without any further action of the Board or Compensation Committee of the Board, at the close of business on the date of each annual meeting of the Company’s stockholders (the “</w:t>
      </w:r>
      <w:r>
        <w:rPr>
          <w:rFonts w:ascii="Arial" w:cs="Arial" w:eastAsia="Arial" w:hAnsi="Arial"/>
          <w:sz w:val="20"/>
          <w:szCs w:val="20"/>
          <w:u w:val="single" w:color="auto"/>
          <w:color w:val="auto"/>
        </w:rPr>
        <w:t>Annual Meeting Date</w:t>
      </w:r>
      <w:r>
        <w:rPr>
          <w:rFonts w:ascii="Arial" w:cs="Arial" w:eastAsia="Arial" w:hAnsi="Arial"/>
          <w:sz w:val="20"/>
          <w:szCs w:val="20"/>
          <w:color w:val="auto"/>
        </w:rPr>
        <w:t>”), each Outside Director who will continue as a member of the Board following such Annual Meeting Date will receive a grant of restricted stock units on the Annual Meeting Date (the “</w:t>
      </w:r>
      <w:r>
        <w:rPr>
          <w:rFonts w:ascii="Arial" w:cs="Arial" w:eastAsia="Arial" w:hAnsi="Arial"/>
          <w:sz w:val="20"/>
          <w:szCs w:val="20"/>
          <w:u w:val="single" w:color="auto"/>
          <w:color w:val="auto"/>
        </w:rPr>
        <w:t>Annual Grant</w:t>
      </w:r>
      <w:r>
        <w:rPr>
          <w:rFonts w:ascii="Arial" w:cs="Arial" w:eastAsia="Arial" w:hAnsi="Arial"/>
          <w:sz w:val="20"/>
          <w:szCs w:val="20"/>
          <w:color w:val="auto"/>
        </w:rPr>
        <w:t>”) with an aggregate value of approximately $200,000, that vests in full on the earlier of (i) the first anniversary of the grant date or (ii) the next Annual Meeting Date.</w:t>
      </w:r>
    </w:p>
    <w:p>
      <w:pPr>
        <w:spacing w:after="0" w:line="182" w:lineRule="exact"/>
        <w:rPr>
          <w:sz w:val="20"/>
          <w:szCs w:val="20"/>
          <w:color w:val="auto"/>
        </w:rPr>
      </w:pPr>
    </w:p>
    <w:p>
      <w:pPr>
        <w:ind w:left="1320" w:hanging="698"/>
        <w:spacing w:after="0"/>
        <w:tabs>
          <w:tab w:leader="none" w:pos="132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w:t>
      </w:r>
    </w:p>
    <w:p>
      <w:pPr>
        <w:spacing w:after="0" w:line="216" w:lineRule="exact"/>
        <w:rPr>
          <w:sz w:val="20"/>
          <w:szCs w:val="20"/>
          <w:color w:val="auto"/>
        </w:rPr>
      </w:pPr>
    </w:p>
    <w:p>
      <w:pPr>
        <w:ind w:right="440"/>
        <w:spacing w:after="0" w:line="239" w:lineRule="auto"/>
        <w:rPr>
          <w:sz w:val="20"/>
          <w:szCs w:val="20"/>
          <w:color w:val="auto"/>
        </w:rPr>
      </w:pPr>
      <w:r>
        <w:rPr>
          <w:rFonts w:ascii="Arial" w:cs="Arial" w:eastAsia="Arial" w:hAnsi="Arial"/>
          <w:sz w:val="21"/>
          <w:szCs w:val="21"/>
          <w:color w:val="auto"/>
        </w:rPr>
        <w:t>All grants of equity retainer awards to Outside Directors pursuant to this Policy will be automatic and nondiscretionary and will be made in accordance with the following provisions:</w:t>
      </w:r>
    </w:p>
    <w:p>
      <w:pPr>
        <w:spacing w:after="0" w:line="189" w:lineRule="exact"/>
        <w:rPr>
          <w:sz w:val="20"/>
          <w:szCs w:val="20"/>
          <w:color w:val="auto"/>
        </w:rPr>
      </w:pPr>
    </w:p>
    <w:p>
      <w:pPr>
        <w:ind w:right="560" w:firstLine="622"/>
        <w:spacing w:after="0" w:line="239" w:lineRule="auto"/>
        <w:tabs>
          <w:tab w:leader="none" w:pos="1054"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Plan</w:t>
      </w:r>
      <w:r>
        <w:rPr>
          <w:rFonts w:ascii="Arial" w:cs="Arial" w:eastAsia="Arial" w:hAnsi="Arial"/>
          <w:sz w:val="21"/>
          <w:szCs w:val="21"/>
          <w:color w:val="auto"/>
        </w:rPr>
        <w:t>. The grants of equity retainer awards to Outside Directors will be made pursuant to the Company’s 2021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ind w:right="60" w:firstLine="622"/>
        <w:spacing w:after="0" w:line="238" w:lineRule="auto"/>
        <w:tabs>
          <w:tab w:leader="none" w:pos="106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Value</w:t>
      </w:r>
      <w:r>
        <w:rPr>
          <w:rFonts w:ascii="Arial" w:cs="Arial" w:eastAsia="Arial" w:hAnsi="Arial"/>
          <w:sz w:val="20"/>
          <w:szCs w:val="20"/>
          <w:color w:val="auto"/>
        </w:rPr>
        <w:t>. For purposes of this Policy, the number of restricted stock units granted to an Outside Director hereunder shall be equal to the closing market price on the Nasdaq Stock Market (or such other market on which the Company’s Class A common stock is then principally listed) of one share of the Company’s Class A common stock on the day prior to the effective date of the grant. If the value of each grant of restricted stock units is denominated in dollars, the number of shares of restricted stock units that are granted pursuant to each award shall be rounded down to the nearest whole share.</w:t>
      </w:r>
    </w:p>
    <w:p>
      <w:pPr>
        <w:spacing w:after="0" w:line="187" w:lineRule="exact"/>
        <w:rPr>
          <w:rFonts w:ascii="Arial" w:cs="Arial" w:eastAsia="Arial" w:hAnsi="Arial"/>
          <w:sz w:val="20"/>
          <w:szCs w:val="20"/>
          <w:color w:val="auto"/>
        </w:rPr>
      </w:pPr>
    </w:p>
    <w:p>
      <w:pPr>
        <w:ind w:right="140" w:firstLine="622"/>
        <w:spacing w:after="0" w:line="228" w:lineRule="auto"/>
        <w:tabs>
          <w:tab w:leader="none" w:pos="1054"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Revisions</w:t>
      </w:r>
      <w:r>
        <w:rPr>
          <w:rFonts w:ascii="Arial" w:cs="Arial" w:eastAsia="Arial" w:hAnsi="Arial"/>
          <w:sz w:val="21"/>
          <w:szCs w:val="21"/>
          <w:color w:val="auto"/>
        </w:rPr>
        <w:t>. The Board and/or the Compensation Committee in its discretion may change and otherwise revise the terms of awards to be granted under this Policy, including, without limitation, the number of shares subject thereto, for awards of the same or different type granted on or after the date the Board and/or the Compensation Committee determines to make any such change or revision.</w:t>
      </w:r>
    </w:p>
    <w:p>
      <w:pPr>
        <w:spacing w:after="0" w:line="191" w:lineRule="exact"/>
        <w:rPr>
          <w:rFonts w:ascii="Arial" w:cs="Arial" w:eastAsia="Arial" w:hAnsi="Arial"/>
          <w:sz w:val="21"/>
          <w:szCs w:val="21"/>
          <w:color w:val="auto"/>
        </w:rPr>
      </w:pPr>
    </w:p>
    <w:p>
      <w:pPr>
        <w:ind w:right="40" w:firstLine="622"/>
        <w:spacing w:after="0" w:line="232" w:lineRule="auto"/>
        <w:tabs>
          <w:tab w:leader="none" w:pos="106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Vesting; Change in Control Acceleration</w:t>
      </w:r>
      <w:r>
        <w:rPr>
          <w:rFonts w:ascii="Arial" w:cs="Arial" w:eastAsia="Arial" w:hAnsi="Arial"/>
          <w:sz w:val="21"/>
          <w:szCs w:val="21"/>
          <w:color w:val="auto"/>
        </w:rPr>
        <w:t>. All vesting is subject to the Outside Director’s Continuous Service (as defined in the Plan) through the applicable vesting date. Notwithstanding the foregoing vesting schedule, for each Outside Director who remains in Continuous Service with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814" w:right="339" w:bottom="1440" w:gutter="0" w:footer="0" w:header="0"/>
        </w:sectPr>
      </w:pPr>
    </w:p>
    <w:bookmarkStart w:id="121" w:name="page122"/>
    <w:bookmarkEnd w:id="121"/>
    <w:p>
      <w:pPr>
        <w:ind w:right="260"/>
        <w:spacing w:after="0" w:line="290" w:lineRule="auto"/>
        <w:rPr>
          <w:sz w:val="20"/>
          <w:szCs w:val="20"/>
          <w:color w:val="auto"/>
        </w:rPr>
      </w:pPr>
      <w:r>
        <w:rPr>
          <w:rFonts w:ascii="Arial" w:cs="Arial" w:eastAsia="Arial" w:hAnsi="Arial"/>
          <w:sz w:val="19"/>
          <w:szCs w:val="19"/>
          <w:color w:val="auto"/>
        </w:rPr>
        <w:t>Company until immediately prior to the closing of a Change in Control (as defined in the Plan), the equity retainer awards granted to Outside Directors pursuant to this Policy shall become 100% vested immediately prior to the closing of such Change in Control.</w:t>
      </w:r>
    </w:p>
    <w:p>
      <w:pPr>
        <w:spacing w:after="0" w:line="142" w:lineRule="exact"/>
        <w:rPr>
          <w:sz w:val="20"/>
          <w:szCs w:val="20"/>
          <w:color w:val="auto"/>
        </w:rPr>
      </w:pPr>
    </w:p>
    <w:p>
      <w:pPr>
        <w:ind w:right="20" w:firstLine="622"/>
        <w:spacing w:after="0" w:line="232" w:lineRule="auto"/>
        <w:tabs>
          <w:tab w:leader="none" w:pos="1054"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Remaining Terms</w:t>
      </w:r>
      <w:r>
        <w:rPr>
          <w:rFonts w:ascii="Arial" w:cs="Arial" w:eastAsia="Arial" w:hAnsi="Arial"/>
          <w:sz w:val="21"/>
          <w:szCs w:val="21"/>
          <w:color w:val="auto"/>
        </w:rPr>
        <w:t>. The remaining terms and conditions of each restricted stock unit, including transferability, will be as set forth in the Company’s standard restricted stock unit award agreement, in the applicable form adopted from time to time by the Board or the Compensation Committee of the Board.</w:t>
      </w:r>
    </w:p>
    <w:p>
      <w:pPr>
        <w:spacing w:after="0" w:line="183"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u w:val="single" w:color="auto"/>
          <w:color w:val="auto"/>
        </w:rPr>
        <w:t>Expenses</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will reimburse all reasonable out-of-pocket travel expenses incurred by Outside Directors in attending meetings of the Board or any Committee thereof; provided, that the Outside Director timely submits to the Company appropriate documentation substantiating such expenses in accordance with the Company’s travel and expense policy, as in effect from time to time.</w:t>
      </w:r>
    </w:p>
    <w:p>
      <w:pPr>
        <w:spacing w:after="0" w:line="154" w:lineRule="exact"/>
        <w:rPr>
          <w:sz w:val="20"/>
          <w:szCs w:val="20"/>
          <w:color w:val="auto"/>
        </w:rPr>
      </w:pPr>
    </w:p>
    <w:p>
      <w:pPr>
        <w:ind w:left="1280" w:hanging="658"/>
        <w:spacing w:after="0"/>
        <w:tabs>
          <w:tab w:leader="none" w:pos="128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Maximum Annual Compensation</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aggregate value of all compensation granted or paid, as applicable, to any individual for service as an Outside Director with respect to any calendar year, including equity awards granted and cash fees paid by the Company to such Outside Director, will not exceed (i) $750,000 in total value or (ii) in the event such Outside Director is first appointed or elected to the Board during any calendar year, $1,000,000 in total value, in each case calculating the value of any equity awards based on the grant date fair value of such equity awards for financial reporting purposes (or such other limit as may be set forth in Section 3(d) of the Plan or any similar provision of a successor plan). The foregoing limitation shall commence with the first calendar year that begins following the Closing.</w:t>
      </w:r>
    </w:p>
    <w:p>
      <w:pPr>
        <w:spacing w:after="0" w:line="175"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u w:val="single" w:color="auto"/>
          <w:color w:val="auto"/>
        </w:rPr>
        <w:t>Administration</w:t>
      </w:r>
    </w:p>
    <w:p>
      <w:pPr>
        <w:spacing w:after="0" w:line="216" w:lineRule="exact"/>
        <w:rPr>
          <w:sz w:val="20"/>
          <w:szCs w:val="20"/>
          <w:color w:val="auto"/>
        </w:rPr>
      </w:pPr>
    </w:p>
    <w:p>
      <w:pPr>
        <w:ind w:right="320"/>
        <w:spacing w:after="0" w:line="265" w:lineRule="auto"/>
        <w:rPr>
          <w:sz w:val="20"/>
          <w:szCs w:val="20"/>
          <w:color w:val="auto"/>
        </w:rPr>
      </w:pPr>
      <w:r>
        <w:rPr>
          <w:rFonts w:ascii="Arial" w:cs="Arial" w:eastAsia="Arial" w:hAnsi="Arial"/>
          <w:sz w:val="19"/>
          <w:szCs w:val="19"/>
          <w:color w:val="auto"/>
        </w:rPr>
        <w:t>The Board, or Compensation Committee of the Board, will administer the Policy. The Board or the Compensation Committee of the Board will have the sole discretion and authority to administer, interpret, amend and terminate the Policy, and the decisions of the Board or the Compensation Committee of the Board will be final and binding on all persons having an interest in the Policy.</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20"/>
          </w:cols>
          <w:pgMar w:left="320" w:top="737" w:right="3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79"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Legal Name</w:t>
            </w:r>
          </w:p>
        </w:tc>
        <w:tc>
          <w:tcPr>
            <w:tcW w:w="5200" w:type="dxa"/>
            <w:vAlign w:val="bottom"/>
            <w:tcBorders>
              <w:bottom w:val="single" w:sz="8" w:color="auto"/>
            </w:tcBorders>
          </w:tcPr>
          <w:p>
            <w:pPr>
              <w:ind w:left="1100"/>
              <w:spacing w:after="0"/>
              <w:rPr>
                <w:sz w:val="20"/>
                <w:szCs w:val="20"/>
                <w:color w:val="auto"/>
              </w:rPr>
            </w:pPr>
            <w:r>
              <w:rPr>
                <w:rFonts w:ascii="Arial" w:cs="Arial" w:eastAsia="Arial" w:hAnsi="Arial"/>
                <w:sz w:val="17"/>
                <w:szCs w:val="17"/>
                <w:b w:val="1"/>
                <w:bCs w:val="1"/>
                <w:color w:val="auto"/>
              </w:rPr>
              <w:t>Jurisdiction of Organization</w:t>
            </w:r>
          </w:p>
        </w:tc>
      </w:tr>
      <w:tr>
        <w:trPr>
          <w:trHeight w:val="211"/>
        </w:trPr>
        <w:tc>
          <w:tcPr>
            <w:tcW w:w="4180" w:type="dxa"/>
            <w:vAlign w:val="bottom"/>
          </w:tcPr>
          <w:p>
            <w:pPr>
              <w:spacing w:after="0"/>
              <w:rPr>
                <w:sz w:val="20"/>
                <w:szCs w:val="20"/>
                <w:color w:val="auto"/>
              </w:rPr>
            </w:pPr>
            <w:r>
              <w:rPr>
                <w:rFonts w:ascii="Arial" w:cs="Arial" w:eastAsia="Arial" w:hAnsi="Arial"/>
                <w:sz w:val="17"/>
                <w:szCs w:val="17"/>
                <w:color w:val="auto"/>
              </w:rPr>
              <w:t>WM Holding Company,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Weedmaps Spain, S.L.U.</w:t>
            </w:r>
          </w:p>
        </w:tc>
        <w:tc>
          <w:tcPr>
            <w:tcW w:w="5200" w:type="dxa"/>
            <w:vAlign w:val="bottom"/>
          </w:tcPr>
          <w:p>
            <w:pPr>
              <w:ind w:left="1100"/>
              <w:spacing w:after="0"/>
              <w:rPr>
                <w:sz w:val="20"/>
                <w:szCs w:val="20"/>
                <w:color w:val="auto"/>
              </w:rPr>
            </w:pPr>
            <w:r>
              <w:rPr>
                <w:rFonts w:ascii="Arial" w:cs="Arial" w:eastAsia="Arial" w:hAnsi="Arial"/>
                <w:sz w:val="17"/>
                <w:szCs w:val="17"/>
                <w:color w:val="auto"/>
              </w:rPr>
              <w:t>Spain</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Weedmaps Germany GmbH</w:t>
            </w:r>
          </w:p>
        </w:tc>
        <w:tc>
          <w:tcPr>
            <w:tcW w:w="5200" w:type="dxa"/>
            <w:vAlign w:val="bottom"/>
          </w:tcPr>
          <w:p>
            <w:pPr>
              <w:ind w:left="1100"/>
              <w:spacing w:after="0"/>
              <w:rPr>
                <w:sz w:val="20"/>
                <w:szCs w:val="20"/>
                <w:color w:val="auto"/>
              </w:rPr>
            </w:pPr>
            <w:r>
              <w:rPr>
                <w:rFonts w:ascii="Arial" w:cs="Arial" w:eastAsia="Arial" w:hAnsi="Arial"/>
                <w:sz w:val="17"/>
                <w:szCs w:val="17"/>
                <w:color w:val="auto"/>
              </w:rPr>
              <w:t>Germany</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Ghost Management Group,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GMG Holdco, Inc.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Weedmaps Media,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Discovery Opco,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Enterprise,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Marketplace,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Canada Holdings, Inc.</w:t>
            </w:r>
          </w:p>
        </w:tc>
        <w:tc>
          <w:tcPr>
            <w:tcW w:w="5200" w:type="dxa"/>
            <w:vAlign w:val="bottom"/>
          </w:tcPr>
          <w:p>
            <w:pPr>
              <w:ind w:left="1100"/>
              <w:spacing w:after="0"/>
              <w:rPr>
                <w:sz w:val="20"/>
                <w:szCs w:val="20"/>
                <w:color w:val="auto"/>
              </w:rPr>
            </w:pPr>
            <w:r>
              <w:rPr>
                <w:rFonts w:ascii="Arial" w:cs="Arial" w:eastAsia="Arial" w:hAnsi="Arial"/>
                <w:sz w:val="17"/>
                <w:szCs w:val="17"/>
                <w:color w:val="auto"/>
              </w:rPr>
              <w:t>British Columbia</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Museum,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Teal,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Retail,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Grow One Software (Canada), Inc.</w:t>
            </w:r>
          </w:p>
        </w:tc>
        <w:tc>
          <w:tcPr>
            <w:tcW w:w="5200" w:type="dxa"/>
            <w:vAlign w:val="bottom"/>
          </w:tcPr>
          <w:p>
            <w:pPr>
              <w:ind w:left="1100"/>
              <w:spacing w:after="0"/>
              <w:rPr>
                <w:sz w:val="20"/>
                <w:szCs w:val="20"/>
                <w:color w:val="auto"/>
              </w:rPr>
            </w:pPr>
            <w:r>
              <w:rPr>
                <w:rFonts w:ascii="Arial" w:cs="Arial" w:eastAsia="Arial" w:hAnsi="Arial"/>
                <w:sz w:val="17"/>
                <w:szCs w:val="17"/>
                <w:color w:val="auto"/>
              </w:rPr>
              <w:t>British Columbia</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Transport Logistics Holding Company,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Loyalty,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WM In-Store Solutions,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Canncurrent,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Deliver Green,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Livery Desk,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r>
        <w:trPr>
          <w:trHeight w:val="219"/>
        </w:trPr>
        <w:tc>
          <w:tcPr>
            <w:tcW w:w="4180" w:type="dxa"/>
            <w:vAlign w:val="bottom"/>
          </w:tcPr>
          <w:p>
            <w:pPr>
              <w:spacing w:after="0"/>
              <w:rPr>
                <w:sz w:val="20"/>
                <w:szCs w:val="20"/>
                <w:color w:val="auto"/>
              </w:rPr>
            </w:pPr>
            <w:r>
              <w:rPr>
                <w:rFonts w:ascii="Arial" w:cs="Arial" w:eastAsia="Arial" w:hAnsi="Arial"/>
                <w:sz w:val="17"/>
                <w:szCs w:val="17"/>
                <w:color w:val="auto"/>
              </w:rPr>
              <w:t>Terra Tracker, LLC</w:t>
            </w:r>
          </w:p>
        </w:tc>
        <w:tc>
          <w:tcPr>
            <w:tcW w:w="5200" w:type="dxa"/>
            <w:vAlign w:val="bottom"/>
          </w:tcPr>
          <w:p>
            <w:pPr>
              <w:ind w:left="110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0300"/>
          </w:cols>
          <w:pgMar w:left="126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4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consent to the incorporation by reference in Registration Statements No. 333-259072 on Form S-8 and Nos. 333-261466 and 333-257774 on Form S-1 of WM Technology, Inc. of our report dated February 25, 2022, relating to the consolidated financial statements of WM Technology, Inc., appearing in this Annual Report on Form 10-K of WM Technology, Inc. for the year ended December 31, 2021.</w:t>
      </w: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color w:val="auto"/>
        </w:rPr>
        <w:t>/s/ Baker Tilly US, LLP</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Irvine, California</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February 25, 2022</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Christopher Beals, certify that: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Annual Report on Form 10-K of WM Technology Inc.;</w:t>
      </w:r>
    </w:p>
    <w:p>
      <w:pPr>
        <w:spacing w:after="0" w:line="2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90" w:lineRule="exact"/>
        <w:rPr>
          <w:sz w:val="20"/>
          <w:szCs w:val="20"/>
          <w:color w:val="auto"/>
        </w:rPr>
      </w:pPr>
    </w:p>
    <w:p>
      <w:pPr>
        <w:jc w:val="both"/>
        <w:ind w:left="320" w:hanging="317"/>
        <w:spacing w:after="0" w:line="266" w:lineRule="auto"/>
        <w:tabs>
          <w:tab w:leader="none" w:pos="317"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300" w:hanging="297"/>
        <w:spacing w:after="0"/>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42" w:lineRule="exact"/>
        <w:rPr>
          <w:rFonts w:ascii="Arial" w:cs="Arial" w:eastAsia="Arial" w:hAnsi="Arial"/>
          <w:sz w:val="17"/>
          <w:szCs w:val="17"/>
          <w:color w:val="auto"/>
        </w:rPr>
      </w:pPr>
    </w:p>
    <w:p>
      <w:pPr>
        <w:ind w:left="320" w:hanging="317"/>
        <w:spacing w:after="0" w:line="279" w:lineRule="auto"/>
        <w:tabs>
          <w:tab w:leader="none" w:pos="317" w:val="left"/>
        </w:tabs>
        <w:numPr>
          <w:ilvl w:val="0"/>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4" w:val="left"/>
        </w:tabs>
        <w:numPr>
          <w:ilvl w:val="0"/>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320" w:hanging="317"/>
        <w:spacing w:after="0" w:line="279" w:lineRule="auto"/>
        <w:tabs>
          <w:tab w:leader="none" w:pos="4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317"/>
        <w:spacing w:after="0" w:line="279" w:lineRule="auto"/>
        <w:tabs>
          <w:tab w:leader="none" w:pos="531"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tabs>
          <w:tab w:leader="none" w:pos="840" w:val="left"/>
          <w:tab w:leader="none" w:pos="6880" w:val="left"/>
          <w:tab w:leader="none" w:pos="75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1054100</wp:posOffset>
            </wp:positionV>
            <wp:extent cx="23247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Christopher Beals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359" w:right="339" w:bottom="892" w:gutter="0" w:footer="0" w:header="0"/>
        </w:sectPr>
      </w:pPr>
    </w:p>
    <w:p>
      <w:pPr>
        <w:spacing w:after="0" w:line="200" w:lineRule="exact"/>
        <w:rPr>
          <w:sz w:val="20"/>
          <w:szCs w:val="20"/>
          <w:color w:val="auto"/>
        </w:rPr>
      </w:pPr>
    </w:p>
    <w:p>
      <w:pPr>
        <w:spacing w:after="0" w:line="339"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359" w:right="339" w:bottom="892" w:gutter="0" w:footer="0" w:header="0"/>
          <w:type w:val="continuous"/>
        </w:sectPr>
      </w:pPr>
    </w:p>
    <w:bookmarkStart w:id="125" w:name="page126"/>
    <w:bookmarkEnd w:id="1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Arden Lee, certify that: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Annual Report on Form 10-K of WM Technology Inc.;</w:t>
      </w:r>
    </w:p>
    <w:p>
      <w:pPr>
        <w:spacing w:after="0" w:line="2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90" w:lineRule="exact"/>
        <w:rPr>
          <w:sz w:val="20"/>
          <w:szCs w:val="20"/>
          <w:color w:val="auto"/>
        </w:rPr>
      </w:pPr>
    </w:p>
    <w:p>
      <w:pPr>
        <w:jc w:val="both"/>
        <w:ind w:left="320" w:hanging="317"/>
        <w:spacing w:after="0" w:line="266" w:lineRule="auto"/>
        <w:tabs>
          <w:tab w:leader="none" w:pos="3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300" w:hanging="297"/>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42" w:lineRule="exact"/>
        <w:rPr>
          <w:rFonts w:ascii="Arial" w:cs="Arial" w:eastAsia="Arial" w:hAnsi="Arial"/>
          <w:sz w:val="17"/>
          <w:szCs w:val="17"/>
          <w:color w:val="auto"/>
        </w:rPr>
      </w:pPr>
    </w:p>
    <w:p>
      <w:pPr>
        <w:ind w:left="320" w:hanging="317"/>
        <w:spacing w:after="0" w:line="279" w:lineRule="auto"/>
        <w:tabs>
          <w:tab w:leader="none" w:pos="3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320" w:hanging="317"/>
        <w:spacing w:after="0" w:line="279" w:lineRule="auto"/>
        <w:tabs>
          <w:tab w:leader="none" w:pos="488"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317"/>
        <w:spacing w:after="0" w:line="279" w:lineRule="auto"/>
        <w:tabs>
          <w:tab w:leader="none" w:pos="531"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1054100</wp:posOffset>
            </wp:positionV>
            <wp:extent cx="23247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Arden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7640"/>
        <w:spacing w:after="0"/>
        <w:rPr>
          <w:sz w:val="20"/>
          <w:szCs w:val="20"/>
          <w:color w:val="auto"/>
        </w:rPr>
      </w:pPr>
      <w:r>
        <w:rPr>
          <w:rFonts w:ascii="Arial" w:cs="Arial" w:eastAsia="Arial" w:hAnsi="Arial"/>
          <w:sz w:val="16"/>
          <w:szCs w:val="16"/>
          <w:i w:val="1"/>
          <w:iCs w:val="1"/>
          <w:color w:val="auto"/>
        </w:rPr>
        <w:t>(Principal Financial Officer and Principal</w:t>
      </w:r>
    </w:p>
    <w:p>
      <w:pPr>
        <w:spacing w:after="0" w:line="33"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Accounting Officer)</w:t>
      </w:r>
    </w:p>
    <w:p>
      <w:pPr>
        <w:sectPr>
          <w:pgSz w:w="11900" w:h="16838" w:orient="portrait"/>
          <w:cols w:equalWidth="0" w:num="1">
            <w:col w:w="11240"/>
          </w:cols>
          <w:pgMar w:left="320" w:top="1359" w:right="339" w:bottom="1440" w:gutter="0" w:footer="0" w:header="0"/>
          <w:type w:val="continuous"/>
        </w:sectPr>
      </w:pPr>
    </w:p>
    <w:bookmarkStart w:id="127" w:name="page128"/>
    <w:bookmarkEnd w:id="127"/>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CHIEF EXECUTIVE OFFICER AND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 Christopher Beals, the Chief Executive Officer of WM Technology, Inc., certify, pursuant to 18 U.S.C. Section 1350, as adopted pursuant to Section 906 of the Sarbanes-Oxley Act of 2002, that the Annual Report on Form 10-K of WM Technology, Inc. for the annual period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9"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55880</wp:posOffset>
            </wp:positionV>
            <wp:extent cx="23247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Christopher Beals</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Executive Officer</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 Arden Lee, the Chief Financial Officer of WM Technology, Inc., certify, pursuant to 18 U.S.C. Section 1350, as adopted pursuant to Section 906 of the Sarbanes-Oxley Act of 2002, that the Annual Report on Form 10-K of WM Technology, Inc. for the annual period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9"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55880</wp:posOffset>
            </wp:positionV>
            <wp:extent cx="23247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Arden Lee</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Financial Officer</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22"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Accounting Officer)</w:t>
      </w:r>
    </w:p>
    <w:p>
      <w:pPr>
        <w:spacing w:after="0" w:line="200" w:lineRule="exact"/>
        <w:rPr>
          <w:sz w:val="20"/>
          <w:szCs w:val="20"/>
          <w:color w:val="auto"/>
        </w:rPr>
      </w:pPr>
    </w:p>
    <w:p>
      <w:pPr>
        <w:spacing w:after="0" w:line="380" w:lineRule="exact"/>
        <w:rPr>
          <w:sz w:val="20"/>
          <w:szCs w:val="20"/>
          <w:color w:val="auto"/>
        </w:rPr>
      </w:pPr>
    </w:p>
    <w:p>
      <w:pPr>
        <w:jc w:val="both"/>
        <w:ind w:left="60"/>
        <w:spacing w:after="0" w:line="262" w:lineRule="auto"/>
        <w:rPr>
          <w:sz w:val="20"/>
          <w:szCs w:val="20"/>
          <w:color w:val="auto"/>
        </w:rPr>
      </w:pPr>
      <w:r>
        <w:rPr>
          <w:rFonts w:ascii="Arial" w:cs="Arial" w:eastAsia="Arial" w:hAnsi="Arial"/>
          <w:sz w:val="17"/>
          <w:szCs w:val="17"/>
          <w:color w:val="auto"/>
        </w:rPr>
        <w:t>This certification accompanies the Annual Report on Form 10-K of WM Technology, Inc. for the annual period ended December 31, 2021, is not deemed filed with the Securities and Exchange Commission and is not to be incorporated by reference into any filing of WM Technology, Inc. under the Securities Act of 1933, as amended, or the Securities Exchange Act of 1934, as amended (whether made before or after the date of such Annual Report on Form 10-K), irrespective of any general incorporation language contained in such filing.</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lvl w:ilvl="1">
      <w:lvlJc w:val="left"/>
      <w:lvlText w:val="◦"/>
      <w:numFmt w:val="bullet"/>
      <w:start w:val="1"/>
    </w:lvl>
  </w:abstractNum>
  <w:abstractNum w:abstractNumId="8">
    <w:nsid w:val="2463B9EA"/>
    <w:multiLevelType w:val="hybridMultilevel"/>
    <w:lvl w:ilvl="0">
      <w:lvlJc w:val="left"/>
      <w:lvlText w:val="•"/>
      <w:numFmt w:val="bullet"/>
      <w:start w:val="1"/>
    </w:lvl>
    <w:lvl w:ilvl="1">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¹"/>
      <w:numFmt w:val="bullet"/>
      <w:start w:val="1"/>
    </w:lvl>
  </w:abstractNum>
  <w:abstractNum w:abstractNumId="23">
    <w:nsid w:val="4B588F54"/>
    <w:multiLevelType w:val="hybridMultilevel"/>
    <w:lvl w:ilvl="0">
      <w:lvlJc w:val="left"/>
      <w:lvlText w:val="¹"/>
      <w:numFmt w:val="bullet"/>
      <w:start w:val="1"/>
    </w:lvl>
  </w:abstractNum>
  <w:abstractNum w:abstractNumId="24">
    <w:nsid w:val="542289EC"/>
    <w:multiLevelType w:val="hybridMultilevel"/>
    <w:lvl w:ilvl="0">
      <w:lvlJc w:val="left"/>
      <w:lvlText w:val="¹"/>
      <w:numFmt w:val="bullet"/>
      <w:start w:val="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decimal"/>
      <w:start w:val="3"/>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2"/>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¹"/>
      <w:numFmt w:val="bullet"/>
      <w:start w:val="1"/>
    </w:lvl>
  </w:abstractNum>
  <w:abstractNum w:abstractNumId="33">
    <w:nsid w:val="1BA026FA"/>
    <w:multiLevelType w:val="hybridMultilevel"/>
    <w:lvl w:ilvl="0">
      <w:lvlJc w:val="left"/>
      <w:lvlText w:val="%1."/>
      <w:numFmt w:val="decimal"/>
      <w:start w:val="2"/>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lowerRoman"/>
      <w:start w:val="2"/>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6"/>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9"/>
    </w:lvl>
  </w:abstractNum>
  <w:abstractNum w:abstractNumId="44">
    <w:nsid w:val="39386575"/>
    <w:multiLevelType w:val="hybridMultilevel"/>
    <w:lvl w:ilvl="0">
      <w:lvlJc w:val="left"/>
      <w:lvlText w:val="%1."/>
      <w:numFmt w:val="decimal"/>
      <w:start w:val="10"/>
    </w:lvl>
  </w:abstractNum>
  <w:abstractNum w:abstractNumId="45">
    <w:nsid w:val="1CF10FD8"/>
    <w:multiLevelType w:val="hybridMultilevel"/>
    <w:lvl w:ilvl="0">
      <w:lvlJc w:val="left"/>
      <w:lvlText w:val="%1."/>
      <w:numFmt w:val="decimal"/>
      <w:start w:val="11"/>
    </w:lvl>
  </w:abstractNum>
  <w:abstractNum w:abstractNumId="46">
    <w:nsid w:val="180115BE"/>
    <w:multiLevelType w:val="hybridMultilevel"/>
    <w:lvl w:ilvl="0">
      <w:lvlJc w:val="left"/>
      <w:lvlText w:val="%1."/>
      <w:numFmt w:val="decimal"/>
      <w:start w:val="12"/>
    </w:lvl>
  </w:abstractNum>
  <w:abstractNum w:abstractNumId="47">
    <w:nsid w:val="235BA861"/>
    <w:multiLevelType w:val="hybridMultilevel"/>
    <w:lvl w:ilvl="0">
      <w:lvlJc w:val="left"/>
      <w:lvlText w:val="%1."/>
      <w:numFmt w:val="decimal"/>
      <w:start w:val="13"/>
    </w:lvl>
  </w:abstractNum>
  <w:abstractNum w:abstractNumId="48">
    <w:nsid w:val="47398C89"/>
    <w:multiLevelType w:val="hybridMultilevel"/>
    <w:lvl w:ilvl="0">
      <w:lvlJc w:val="left"/>
      <w:lvlText w:val="%1."/>
      <w:numFmt w:val="decimal"/>
      <w:start w:val="14"/>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upperLetter"/>
      <w:start w:val="2"/>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upperLetter"/>
      <w:start w:val="9"/>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upperLetter"/>
      <w:start w:val="35"/>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upperLetter"/>
      <w:start w:val="6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5"/>
    </w:lvl>
  </w:abstractNum>
  <w:abstractNum w:abstractNumId="63">
    <w:nsid w:val="1DBABF00"/>
    <w:multiLevelType w:val="hybridMultilevel"/>
    <w:lvl w:ilvl="0">
      <w:lvlJc w:val="left"/>
      <w:lvlText w:val="%1."/>
      <w:numFmt w:val="upperLetter"/>
      <w:start w:val="22"/>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1"/>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6"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82" Type="http://schemas.openxmlformats.org/officeDocument/2006/relationships/hyperlink" Target="https://www.sec.gov/Archives/edgar/data/1779474/000114036121021785/brhc10025756_ex3-1.htm" TargetMode="External"/><Relationship Id="rId83" Type="http://schemas.openxmlformats.org/officeDocument/2006/relationships/hyperlink" Target="https://www.sec.gov/Archives/edgar/data/1779474/000114036121021785/brhc10025756_ex3-2.htm" TargetMode="External"/><Relationship Id="rId84" Type="http://schemas.openxmlformats.org/officeDocument/2006/relationships/hyperlink" Target="https://www.sec.gov/Archives/edgar/data/1779474/000114036121021785/brhc10025756_ex4-1.htm" TargetMode="External"/><Relationship Id="rId85" Type="http://schemas.openxmlformats.org/officeDocument/2006/relationships/hyperlink" Target="https://www.sec.gov/Archives/edgar/data/1779474/000114036121021785/brhc10025756_ex4-2.htm" TargetMode="External"/><Relationship Id="rId86" Type="http://schemas.openxmlformats.org/officeDocument/2006/relationships/hyperlink" Target="https://www.sec.gov/Archives/edgar/data/1779474/000095010319010751/dp111173_ex0401.htm" TargetMode="External"/><Relationship Id="rId87" Type="http://schemas.openxmlformats.org/officeDocument/2006/relationships/hyperlink" Target="https://www.sec.gov/Archives/edgar/data/1779474/000114036121021785/brhc10025756_ex10-1.htm" TargetMode="External"/><Relationship Id="rId92" Type="http://schemas.openxmlformats.org/officeDocument/2006/relationships/hyperlink" Target="https://www.sec.gov/Archives/edgar/data/1779474/000114036121021785/brhc10025756_ex10-2.htm" TargetMode="External"/><Relationship Id="rId93" Type="http://schemas.openxmlformats.org/officeDocument/2006/relationships/hyperlink" Target="https://www.sec.gov/Archives/edgar/data/1779474/000114036121021785/brhc10025756_ex10-3.htm" TargetMode="External"/><Relationship Id="rId94" Type="http://schemas.openxmlformats.org/officeDocument/2006/relationships/hyperlink" Target="https://www.sec.gov/Archives/edgar/data/1779474/000095010320024045/dp142700_ex1001.htm" TargetMode="External"/><Relationship Id="rId95" Type="http://schemas.openxmlformats.org/officeDocument/2006/relationships/hyperlink" Target="https://www.sec.gov/Archives/edgar/data/1779474/000114036121021785/brhc10025756_ex10-5.htm" TargetMode="External"/><Relationship Id="rId97" Type="http://schemas.openxmlformats.org/officeDocument/2006/relationships/hyperlink" Target="https://www.sec.gov/Archives/edgar/data/1779474/000114036121021785/brhc10025756_ex10-6.htm" TargetMode="External"/><Relationship Id="rId98" Type="http://schemas.openxmlformats.org/officeDocument/2006/relationships/hyperlink" Target="https://www.sec.gov/Archives/edgar/data/1779474/000114036121021785/brhc10025756_ex10-7.htm" TargetMode="External"/><Relationship Id="rId101" Type="http://schemas.openxmlformats.org/officeDocument/2006/relationships/hyperlink" Target="https://www.sec.gov/Archives/edgar/data/1779474/000114036121021785/brhc10025756_ex10-7a.htm" TargetMode="External"/><Relationship Id="rId102" Type="http://schemas.openxmlformats.org/officeDocument/2006/relationships/hyperlink" Target="https://www.sec.gov/Archives/edgar/data/1779474/000114036121021785/brhc10025756_ex10-7b.htm" TargetMode="External"/><Relationship Id="rId103" Type="http://schemas.openxmlformats.org/officeDocument/2006/relationships/hyperlink" Target="https://www.sec.gov/Archives/edgar/data/1779474/000114036121021785/brhc10025756_ex10-8.htm" TargetMode="External"/><Relationship Id="rId104" Type="http://schemas.openxmlformats.org/officeDocument/2006/relationships/hyperlink" Target="https://www.sec.gov/Archives/edgar/data/1779474/000114036121021785/brhc10025756_ex10-9.htm" TargetMode="External"/><Relationship Id="rId105" Type="http://schemas.openxmlformats.org/officeDocument/2006/relationships/hyperlink" Target="https://www.sec.gov/Archives/edgar/data/1779474/000114036121021785/brhc10025756_ex10-10.htm" TargetMode="External"/><Relationship Id="rId106" Type="http://schemas.openxmlformats.org/officeDocument/2006/relationships/hyperlink" Target="https://www.sec.gov/Archives/edgar/data/1779474/000114036121021785/brhc10025756_ex10-11.htm" TargetMode="External"/><Relationship Id="rId109" Type="http://schemas.openxmlformats.org/officeDocument/2006/relationships/hyperlink" Target="https://www.sec.gov/Archives/edgar/data/1779474/000114036121021785/brhc10025756_ex10-12.htm" TargetMode="External"/><Relationship Id="rId110" Type="http://schemas.openxmlformats.org/officeDocument/2006/relationships/hyperlink" Target="https://www.sec.gov/Archives/edgar/data/1779474/000114036121021785/brhc10025756_ex10-13.htm" TargetMode="External"/><Relationship Id="rId111" Type="http://schemas.openxmlformats.org/officeDocument/2006/relationships/hyperlink" Target="https://www.sec.gov/Archives/edgar/data/1779474/000114036121021785/brhc10025756_ex10-14.htm" TargetMode="External"/><Relationship Id="rId112" Type="http://schemas.openxmlformats.org/officeDocument/2006/relationships/hyperlink" Target="https://www.sec.gov/Archives/edgar/data/1779474/000114036121021785/brhc10025756_ex10-15.htm" TargetMode="External"/><Relationship Id="rId113" Type="http://schemas.openxmlformats.org/officeDocument/2006/relationships/hyperlink" Target="https://www.sec.gov/Archives/edgar/data/1779474/000114036121021785/brhc10025756_ex10-16.htm" TargetMode="External"/><Relationship Id="rId114" Type="http://schemas.openxmlformats.org/officeDocument/2006/relationships/hyperlink" Target="https://www.sec.gov/Archives/edgar/data/1779474/000114036121021785/brhc10025756_ex10-17.htm" TargetMode="External"/><Relationship Id="rId115" Type="http://schemas.openxmlformats.org/officeDocument/2006/relationships/hyperlink" Target="https://www.sec.gov/Archives/edgar/data/1779474/000177947421000027/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2022-02-25T16:14:33Z</dcterms:created>
  <dcterms:modified xsi:type="dcterms:W3CDTF">2022-02-25T16:14:33Z</dcterms:modified>
</cp:coreProperties>
</file>