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6"/>
        </w:rPr>
        <w:t>For the transition period from ____</w:t>
      </w:r>
      <w:r>
        <w:rPr>
          <w:color w:val="000000"/>
          <w:shd w:fill="FFFFFF" w:val="clear"/>
        </w:rPr>
        <w:t xml:space="preserve"> </w:t>
      </w:r>
      <w:r>
        <w:rPr>
          <w:rFonts w:ascii="Times New Roman;sans-serif" w:hAnsi="Times New Roman;sans-serif"/>
          <w:b/>
          <w:color w:val="000000"/>
          <w:sz w:val="16"/>
          <w:shd w:fill="FFFFFF" w:val="clear"/>
        </w:rPr>
        <w:t>to ____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001-39021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w:t>
      </w:r>
    </w:p>
    <w:p>
      <w:pPr>
        <w:pStyle w:val="TextBody"/>
        <w:bidi w:val="0"/>
        <w:spacing w:lineRule="auto" w:line="288" w:before="200" w:after="283"/>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w:t>
      </w:r>
    </w:p>
    <w:tbl>
      <w:tblPr>
        <w:tblW w:w="7286"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736"/>
        <w:gridCol w:w="736"/>
        <w:gridCol w:w="1198"/>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98-1605615</w:t>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41 Discovery</w:t>
            </w:r>
          </w:p>
          <w:p>
            <w:pPr>
              <w:pStyle w:val="TableContents"/>
              <w:bidi w:val="0"/>
              <w:spacing w:lineRule="auto" w:line="268"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firstLine="45"/>
              <w:jc w:val="center"/>
              <w:rPr/>
            </w:pPr>
            <w:r>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92618</w:t>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(844) 933-3627</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 telephone number, including area code)</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385"/>
        <w:gridCol w:w="1982"/>
        <w:gridCol w:w="2008"/>
        <w:gridCol w:w="408"/>
        <w:gridCol w:w="403"/>
        <w:gridCol w:w="405"/>
        <w:gridCol w:w="764"/>
        <w:gridCol w:w="764"/>
        <w:gridCol w:w="1086"/>
      </w:tblGrid>
      <w:tr>
        <w:trPr/>
        <w:tc>
          <w:tcPr>
            <w:tcW w:w="2385"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6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MAPS</w:t>
            </w:r>
          </w:p>
        </w:tc>
        <w:tc>
          <w:tcPr>
            <w:tcW w:w="2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63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Warrants, each whole warrant exercisable for one share of Class A Common Stock at an exercise price of $11.50 per share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MAPSW</w:t>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Act).     Yes   ☐     No  ☒</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August 4, 2023, there were 93,415,644 shares of the registrant’s Class A common stock outstanding and 55,486,361 shares of Class V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WM TECHNOLOGY,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7"/>
        <w:gridCol w:w="252"/>
        <w:gridCol w:w="253"/>
        <w:gridCol w:w="2943"/>
        <w:gridCol w:w="2943"/>
        <w:gridCol w:w="2953"/>
        <w:gridCol w:w="167"/>
        <w:gridCol w:w="167"/>
        <w:gridCol w:w="240"/>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0">
              <w:r>
                <w:rPr>
                  <w:rStyle w:val="InternetLink"/>
                  <w:rFonts w:ascii="Times New Roman;sans-serif" w:hAnsi="Times New Roman;sans-serif"/>
                  <w:b w:val="false"/>
                  <w:color w:val="0000FF"/>
                  <w:sz w:val="20"/>
                  <w:u w:val="single"/>
                </w:rPr>
                <w:t>Forward-Looking Statements</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
              <w:r>
                <w:rPr>
                  <w:rStyle w:val="InternetLink"/>
                  <w:rFonts w:ascii="Times New Roman;sans-serif" w:hAnsi="Times New Roman;sans-serif"/>
                  <w:b/>
                  <w:strike w:val="false"/>
                  <w:dstrike w:val="false"/>
                  <w:color w:val="000000"/>
                  <w:sz w:val="20"/>
                  <w:u w:val="none"/>
                  <w:effect w:val="none"/>
                </w:rPr>
                <w:t>Part I -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2</w:t>
            </w:r>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6">
              <w:r>
                <w:rPr>
                  <w:rStyle w:val="InternetLink"/>
                  <w:rFonts w:ascii="Times New Roman;sans-serif" w:hAnsi="Times New Roman;sans-serif"/>
                  <w:b w:val="false"/>
                  <w:color w:val="0000EE"/>
                  <w:sz w:val="20"/>
                  <w:u w:val="single"/>
                </w:rPr>
                <w:t>Item 1.</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EE"/>
                <w:sz w:val="20"/>
                <w:u w:val="single"/>
              </w:rPr>
              <w:t xml:space="preserve">Condensed Consolidated </w:t>
            </w:r>
            <w:hyperlink w:anchor="if92b72f766ff49739551e1bb9e78a81c_16">
              <w:r>
                <w:rPr>
                  <w:rStyle w:val="InternetLink"/>
                  <w:rFonts w:ascii="Times New Roman;sans-serif" w:hAnsi="Times New Roman;sans-serif"/>
                  <w:b w:val="false"/>
                  <w:color w:val="000080"/>
                  <w:sz w:val="20"/>
                  <w:u w:val="single"/>
                </w:rPr>
                <w:t>Financial Statements</w:t>
              </w:r>
            </w:hyperlink>
            <w:r>
              <w:rPr>
                <w:rFonts w:ascii="Times New Roman;sans-serif" w:hAnsi="Times New Roman;sans-serif"/>
                <w:b w:val="false"/>
                <w:color w:val="0000EE"/>
                <w:sz w:val="20"/>
                <w:u w:val="single"/>
              </w:rPr>
              <w:t xml:space="preserve"> (Unaudited)</w:t>
            </w:r>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6">
              <w:r>
                <w:rPr>
                  <w:rStyle w:val="InternetLink"/>
                  <w:rFonts w:ascii="Times New Roman;sans-serif" w:hAnsi="Times New Roman;sans-serif"/>
                  <w:b w:val="false"/>
                  <w:color w:val="0000EE"/>
                  <w:sz w:val="20"/>
                  <w:u w:val="single"/>
                </w:rPr>
                <w:t>3</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b72f766ff49739551e1bb9e78a81c_19">
              <w:r>
                <w:rPr>
                  <w:rStyle w:val="InternetLink"/>
                  <w:rFonts w:ascii="Times New Roman;sans-serif" w:hAnsi="Times New Roman;sans-serif"/>
                  <w:b w:val="false"/>
                  <w:color w:val="000080"/>
                  <w:sz w:val="20"/>
                  <w:u w:val="single"/>
                </w:rPr>
                <w:t>Condensed Consolidated Balance Sheet</w:t>
              </w:r>
            </w:hyperlink>
            <w:r>
              <w:rPr>
                <w:rFonts w:ascii="Times New Roman;sans-serif" w:hAnsi="Times New Roman;sans-serif"/>
                <w:b w:val="false"/>
                <w:color w:val="0000EE"/>
                <w:sz w:val="20"/>
                <w:u w:val="single"/>
              </w:rPr>
              <w:t>s as of June 30, 2023 and December 31, 2022</w:t>
            </w:r>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9">
              <w:r>
                <w:rPr>
                  <w:rStyle w:val="InternetLink"/>
                  <w:rFonts w:ascii="Times New Roman;sans-serif" w:hAnsi="Times New Roman;sans-serif"/>
                  <w:b w:val="false"/>
                  <w:color w:val="0000EE"/>
                  <w:sz w:val="20"/>
                  <w:u w:val="single"/>
                </w:rPr>
                <w:t>3</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22">
              <w:r>
                <w:rPr>
                  <w:rStyle w:val="InternetLink"/>
                  <w:rFonts w:ascii="Times New Roman;sans-serif" w:hAnsi="Times New Roman;sans-serif"/>
                  <w:b w:val="false"/>
                  <w:color w:val="000080"/>
                  <w:sz w:val="20"/>
                  <w:u w:val="single"/>
                </w:rPr>
                <w:t>Condensed Consolidated Statements of Operations f</w:t>
              </w:r>
            </w:hyperlink>
            <w:r>
              <w:rPr>
                <w:rFonts w:ascii="Times New Roman;sans-serif" w:hAnsi="Times New Roman;sans-serif"/>
                <w:b w:val="false"/>
                <w:color w:val="0000EE"/>
                <w:sz w:val="20"/>
                <w:u w:val="single"/>
              </w:rPr>
              <w:t>or the Three and Six Months Ended June 30, 2023 and 2022</w:t>
            </w:r>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22">
              <w:r>
                <w:rPr>
                  <w:rStyle w:val="InternetLink"/>
                  <w:rFonts w:ascii="Times New Roman;sans-serif" w:hAnsi="Times New Roman;sans-serif"/>
                  <w:b w:val="false"/>
                  <w:color w:val="0000EE"/>
                  <w:sz w:val="20"/>
                  <w:u w:val="single"/>
                </w:rPr>
                <w:t>4</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25">
              <w:r>
                <w:rPr>
                  <w:rStyle w:val="InternetLink"/>
                  <w:rFonts w:ascii="Times New Roman;sans-serif" w:hAnsi="Times New Roman;sans-serif"/>
                  <w:b w:val="false"/>
                  <w:color w:val="000080"/>
                  <w:sz w:val="20"/>
                  <w:u w:val="single"/>
                </w:rPr>
                <w:t>Condensed Consolidated Statements of Equit</w:t>
              </w:r>
            </w:hyperlink>
            <w:r>
              <w:rPr>
                <w:rFonts w:ascii="Times New Roman;sans-serif" w:hAnsi="Times New Roman;sans-serif"/>
                <w:b w:val="false"/>
                <w:color w:val="0000EE"/>
                <w:sz w:val="20"/>
                <w:u w:val="single"/>
              </w:rPr>
              <w:t xml:space="preserve">y </w:t>
            </w:r>
            <w:hyperlink w:anchor="if92b72f766ff49739551e1bb9e78a81c_22">
              <w:r>
                <w:rPr>
                  <w:rStyle w:val="InternetLink"/>
                  <w:rFonts w:ascii="Times New Roman;sans-serif" w:hAnsi="Times New Roman;sans-serif"/>
                  <w:b w:val="false"/>
                  <w:color w:val="000080"/>
                  <w:sz w:val="20"/>
                  <w:u w:val="single"/>
                </w:rPr>
                <w:t>f</w:t>
              </w:r>
            </w:hyperlink>
            <w:r>
              <w:rPr>
                <w:rFonts w:ascii="Times New Roman;sans-serif" w:hAnsi="Times New Roman;sans-serif"/>
                <w:b w:val="false"/>
                <w:color w:val="0000EE"/>
                <w:sz w:val="20"/>
                <w:u w:val="single"/>
              </w:rPr>
              <w:t>or the Three and Six Months Ended June 30, 2023 and 2022</w:t>
            </w:r>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25">
              <w:r>
                <w:rPr>
                  <w:rStyle w:val="InternetLink"/>
                  <w:rFonts w:ascii="Times New Roman;sans-serif" w:hAnsi="Times New Roman;sans-serif"/>
                  <w:b w:val="false"/>
                  <w:color w:val="0000EE"/>
                  <w:sz w:val="20"/>
                  <w:u w:val="single"/>
                </w:rPr>
                <w:t>5</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28">
              <w:r>
                <w:rPr>
                  <w:rStyle w:val="InternetLink"/>
                  <w:rFonts w:ascii="Times New Roman;sans-serif" w:hAnsi="Times New Roman;sans-serif"/>
                  <w:b w:val="false"/>
                  <w:color w:val="000080"/>
                  <w:sz w:val="20"/>
                  <w:u w:val="single"/>
                </w:rPr>
                <w:t xml:space="preserve">Condensed Consolidated Statements of Cash Flows </w:t>
              </w:r>
            </w:hyperlink>
            <w:r>
              <w:rPr>
                <w:rFonts w:ascii="Times New Roman;sans-serif" w:hAnsi="Times New Roman;sans-serif"/>
                <w:b w:val="false"/>
                <w:color w:val="0000EE"/>
                <w:sz w:val="20"/>
                <w:u w:val="single"/>
              </w:rPr>
              <w:t>for the Six Months Ended June 30, 2023 and 2022</w:t>
            </w:r>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28">
              <w:r>
                <w:rPr>
                  <w:rStyle w:val="InternetLink"/>
                  <w:rFonts w:ascii="Times New Roman;sans-serif" w:hAnsi="Times New Roman;sans-serif"/>
                  <w:b w:val="false"/>
                  <w:color w:val="0000EE"/>
                  <w:sz w:val="20"/>
                  <w:u w:val="single"/>
                </w:rPr>
                <w:t>7</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31">
              <w:r>
                <w:rPr>
                  <w:rStyle w:val="InternetLink"/>
                  <w:rFonts w:ascii="Times New Roman;sans-serif" w:hAnsi="Times New Roman;sans-serif"/>
                  <w:b w:val="false"/>
                  <w:color w:val="0000EE"/>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31">
              <w:r>
                <w:rPr>
                  <w:rStyle w:val="InternetLink"/>
                  <w:rFonts w:ascii="Times New Roman;sans-serif" w:hAnsi="Times New Roman;sans-serif"/>
                  <w:b w:val="false"/>
                  <w:color w:val="0000EE"/>
                  <w:sz w:val="20"/>
                  <w:u w:val="single"/>
                </w:rPr>
                <w:t>9</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79">
              <w:r>
                <w:rPr>
                  <w:rStyle w:val="InternetLink"/>
                  <w:rFonts w:ascii="Times New Roman;sans-serif" w:hAnsi="Times New Roman;sans-serif"/>
                  <w:b w:val="false"/>
                  <w:color w:val="0000EE"/>
                  <w:sz w:val="20"/>
                  <w:u w:val="single"/>
                </w:rPr>
                <w:t>Item 2.</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79">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79">
              <w:r>
                <w:rPr>
                  <w:rStyle w:val="InternetLink"/>
                  <w:rFonts w:ascii="Times New Roman;sans-serif" w:hAnsi="Times New Roman;sans-serif"/>
                  <w:b w:val="false"/>
                  <w:color w:val="0000EE"/>
                  <w:sz w:val="20"/>
                  <w:u w:val="single"/>
                </w:rPr>
                <w:t>30</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b72f766ff49739551e1bb9e78a81c_112">
              <w:r>
                <w:rPr>
                  <w:rStyle w:val="InternetLink"/>
                  <w:rFonts w:ascii="Times New Roman;sans-serif" w:hAnsi="Times New Roman;sans-serif"/>
                  <w:b w:val="false"/>
                  <w:color w:val="0000EE"/>
                  <w:sz w:val="20"/>
                  <w:u w:val="single"/>
                </w:rPr>
                <w:t>Item 3.</w:t>
              </w:r>
            </w:hyperlink>
          </w:p>
        </w:tc>
        <w:tc>
          <w:tcPr>
            <w:tcW w:w="8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b72f766ff49739551e1bb9e78a81c_112">
              <w:r>
                <w:rPr>
                  <w:rStyle w:val="InternetLink"/>
                  <w:rFonts w:ascii="Times New Roman;sans-serif" w:hAnsi="Times New Roman;sans-serif"/>
                  <w:b w:val="false"/>
                  <w:color w:val="0000EE"/>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12">
              <w:r>
                <w:rPr>
                  <w:rStyle w:val="InternetLink"/>
                  <w:rFonts w:ascii="Times New Roman;sans-serif" w:hAnsi="Times New Roman;sans-serif"/>
                  <w:b w:val="false"/>
                  <w:color w:val="0000EE"/>
                  <w:sz w:val="20"/>
                  <w:u w:val="single"/>
                </w:rPr>
                <w:t>47</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15">
              <w:r>
                <w:rPr>
                  <w:rStyle w:val="InternetLink"/>
                  <w:rFonts w:ascii="Times New Roman;sans-serif" w:hAnsi="Times New Roman;sans-serif"/>
                  <w:b w:val="false"/>
                  <w:color w:val="0000EE"/>
                  <w:sz w:val="20"/>
                  <w:u w:val="single"/>
                </w:rPr>
                <w:t>Item 4.</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15">
              <w:r>
                <w:rPr>
                  <w:rStyle w:val="InternetLink"/>
                  <w:rFonts w:ascii="Times New Roman;sans-serif" w:hAnsi="Times New Roman;sans-serif"/>
                  <w:b w:val="false"/>
                  <w:color w:val="0000EE"/>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15">
              <w:r>
                <w:rPr>
                  <w:rStyle w:val="InternetLink"/>
                  <w:rFonts w:ascii="Times New Roman;sans-serif" w:hAnsi="Times New Roman;sans-serif"/>
                  <w:b w:val="false"/>
                  <w:color w:val="0000EE"/>
                  <w:sz w:val="20"/>
                  <w:u w:val="single"/>
                </w:rPr>
                <w:t>47</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18">
              <w:r>
                <w:rPr>
                  <w:rStyle w:val="InternetLink"/>
                  <w:rFonts w:ascii="Times New Roman;sans-serif" w:hAnsi="Times New Roman;sans-serif"/>
                  <w:b/>
                  <w:strike w:val="false"/>
                  <w:dstrike w:val="false"/>
                  <w:color w:val="000000"/>
                  <w:sz w:val="20"/>
                  <w:u w:val="none"/>
                  <w:effect w:val="non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18">
              <w:r>
                <w:rPr>
                  <w:rStyle w:val="InternetLink"/>
                  <w:rFonts w:ascii="Times New Roman;sans-serif" w:hAnsi="Times New Roman;sans-serif"/>
                  <w:b w:val="false"/>
                  <w:color w:val="0000EE"/>
                  <w:sz w:val="20"/>
                  <w:u w:val="single"/>
                </w:rPr>
                <w:t>49</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21">
              <w:r>
                <w:rPr>
                  <w:rStyle w:val="InternetLink"/>
                  <w:rFonts w:ascii="Times New Roman;sans-serif" w:hAnsi="Times New Roman;sans-serif"/>
                  <w:b w:val="false"/>
                  <w:color w:val="0000EE"/>
                  <w:sz w:val="20"/>
                  <w:u w:val="single"/>
                </w:rPr>
                <w:t>Item 1.</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21">
              <w:r>
                <w:rPr>
                  <w:rStyle w:val="InternetLink"/>
                  <w:rFonts w:ascii="Times New Roman;sans-serif" w:hAnsi="Times New Roman;sans-serif"/>
                  <w:b w:val="false"/>
                  <w:color w:val="0000EE"/>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21">
              <w:r>
                <w:rPr>
                  <w:rStyle w:val="InternetLink"/>
                  <w:rFonts w:ascii="Times New Roman;sans-serif" w:hAnsi="Times New Roman;sans-serif"/>
                  <w:b w:val="false"/>
                  <w:color w:val="0000EE"/>
                  <w:sz w:val="20"/>
                  <w:u w:val="single"/>
                </w:rPr>
                <w:t>49</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24">
              <w:r>
                <w:rPr>
                  <w:rStyle w:val="InternetLink"/>
                  <w:rFonts w:ascii="Times New Roman;sans-serif" w:hAnsi="Times New Roman;sans-serif"/>
                  <w:b w:val="false"/>
                  <w:color w:val="0000EE"/>
                  <w:sz w:val="20"/>
                  <w:u w:val="single"/>
                </w:rPr>
                <w:t>Item 1A.</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24">
              <w:r>
                <w:rPr>
                  <w:rStyle w:val="InternetLink"/>
                  <w:rFonts w:ascii="Times New Roman;sans-serif" w:hAnsi="Times New Roman;sans-serif"/>
                  <w:b w:val="false"/>
                  <w:color w:val="0000EE"/>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24">
              <w:r>
                <w:rPr>
                  <w:rStyle w:val="InternetLink"/>
                  <w:rFonts w:ascii="Times New Roman;sans-serif" w:hAnsi="Times New Roman;sans-serif"/>
                  <w:b w:val="false"/>
                  <w:color w:val="0000EE"/>
                  <w:sz w:val="20"/>
                  <w:u w:val="single"/>
                </w:rPr>
                <w:t>49</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27">
              <w:r>
                <w:rPr>
                  <w:rStyle w:val="InternetLink"/>
                  <w:rFonts w:ascii="Times New Roman;sans-serif" w:hAnsi="Times New Roman;sans-serif"/>
                  <w:b w:val="false"/>
                  <w:color w:val="0000EE"/>
                  <w:sz w:val="20"/>
                  <w:u w:val="single"/>
                </w:rPr>
                <w:t>Item 2.</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27">
              <w:r>
                <w:rPr>
                  <w:rStyle w:val="InternetLink"/>
                  <w:rFonts w:ascii="Times New Roman;sans-serif" w:hAnsi="Times New Roman;sans-serif"/>
                  <w:b w:val="false"/>
                  <w:color w:val="0000EE"/>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27">
              <w:r>
                <w:rPr>
                  <w:rStyle w:val="InternetLink"/>
                  <w:rFonts w:ascii="Times New Roman;sans-serif" w:hAnsi="Times New Roman;sans-serif"/>
                  <w:b w:val="false"/>
                  <w:color w:val="0000EE"/>
                  <w:sz w:val="20"/>
                  <w:u w:val="single"/>
                </w:rPr>
                <w:t>50</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0">
              <w:r>
                <w:rPr>
                  <w:rStyle w:val="InternetLink"/>
                  <w:rFonts w:ascii="Times New Roman;sans-serif" w:hAnsi="Times New Roman;sans-serif"/>
                  <w:b w:val="false"/>
                  <w:color w:val="0000EE"/>
                  <w:sz w:val="20"/>
                  <w:u w:val="single"/>
                </w:rPr>
                <w:t>Item 3.</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0">
              <w:r>
                <w:rPr>
                  <w:rStyle w:val="InternetLink"/>
                  <w:rFonts w:ascii="Times New Roman;sans-serif" w:hAnsi="Times New Roman;sans-serif"/>
                  <w:b w:val="false"/>
                  <w:color w:val="0000EE"/>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30">
              <w:r>
                <w:rPr>
                  <w:rStyle w:val="InternetLink"/>
                  <w:rFonts w:ascii="Times New Roman;sans-serif" w:hAnsi="Times New Roman;sans-serif"/>
                  <w:b w:val="false"/>
                  <w:color w:val="0000EE"/>
                  <w:sz w:val="20"/>
                  <w:u w:val="single"/>
                </w:rPr>
                <w:t>50</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3">
              <w:r>
                <w:rPr>
                  <w:rStyle w:val="InternetLink"/>
                  <w:rFonts w:ascii="Times New Roman;sans-serif" w:hAnsi="Times New Roman;sans-serif"/>
                  <w:b w:val="false"/>
                  <w:color w:val="0000EE"/>
                  <w:sz w:val="20"/>
                  <w:u w:val="single"/>
                </w:rPr>
                <w:t>Item 4.</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3">
              <w:r>
                <w:rPr>
                  <w:rStyle w:val="InternetLink"/>
                  <w:rFonts w:ascii="Times New Roman;sans-serif" w:hAnsi="Times New Roman;sans-serif"/>
                  <w:b w:val="false"/>
                  <w:color w:val="0000EE"/>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33">
              <w:r>
                <w:rPr>
                  <w:rStyle w:val="InternetLink"/>
                  <w:rFonts w:ascii="Times New Roman;sans-serif" w:hAnsi="Times New Roman;sans-serif"/>
                  <w:b w:val="false"/>
                  <w:color w:val="0000EE"/>
                  <w:sz w:val="20"/>
                  <w:u w:val="single"/>
                </w:rPr>
                <w:t>50</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6">
              <w:r>
                <w:rPr>
                  <w:rStyle w:val="InternetLink"/>
                  <w:rFonts w:ascii="Times New Roman;sans-serif" w:hAnsi="Times New Roman;sans-serif"/>
                  <w:b w:val="false"/>
                  <w:color w:val="0000EE"/>
                  <w:sz w:val="20"/>
                  <w:u w:val="single"/>
                </w:rPr>
                <w:t>Item 5.</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6">
              <w:r>
                <w:rPr>
                  <w:rStyle w:val="InternetLink"/>
                  <w:rFonts w:ascii="Times New Roman;sans-serif" w:hAnsi="Times New Roman;sans-serif"/>
                  <w:b w:val="false"/>
                  <w:color w:val="0000EE"/>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36">
              <w:r>
                <w:rPr>
                  <w:rStyle w:val="InternetLink"/>
                  <w:rFonts w:ascii="Times New Roman;sans-serif" w:hAnsi="Times New Roman;sans-serif"/>
                  <w:b w:val="false"/>
                  <w:color w:val="0000EE"/>
                  <w:sz w:val="20"/>
                  <w:u w:val="single"/>
                </w:rPr>
                <w:t>50</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9">
              <w:r>
                <w:rPr>
                  <w:rStyle w:val="InternetLink"/>
                  <w:rFonts w:ascii="Times New Roman;sans-serif" w:hAnsi="Times New Roman;sans-serif"/>
                  <w:b w:val="false"/>
                  <w:color w:val="0000EE"/>
                  <w:sz w:val="20"/>
                  <w:u w:val="single"/>
                </w:rPr>
                <w:t>Item 6.</w:t>
              </w:r>
            </w:hyperlink>
          </w:p>
        </w:tc>
        <w:tc>
          <w:tcPr>
            <w:tcW w:w="88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39">
              <w:r>
                <w:rPr>
                  <w:rStyle w:val="InternetLink"/>
                  <w:rFonts w:ascii="Times New Roman;sans-serif" w:hAnsi="Times New Roman;sans-serif"/>
                  <w:b w:val="false"/>
                  <w:color w:val="0000EE"/>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39">
              <w:r>
                <w:rPr>
                  <w:rStyle w:val="InternetLink"/>
                  <w:rFonts w:ascii="Times New Roman;sans-serif" w:hAnsi="Times New Roman;sans-serif"/>
                  <w:b w:val="false"/>
                  <w:color w:val="0000EE"/>
                  <w:sz w:val="20"/>
                  <w:u w:val="single"/>
                </w:rPr>
                <w:t>51</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f92b72f766ff49739551e1bb9e78a81c_142">
              <w:r>
                <w:rPr>
                  <w:rStyle w:val="InternetLink"/>
                  <w:rFonts w:ascii="Times New Roman;sans-serif" w:hAnsi="Times New Roman;sans-serif"/>
                  <w:b w:val="false"/>
                  <w:color w:val="0000EE"/>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f92b72f766ff49739551e1bb9e78a81c_142">
              <w:r>
                <w:rPr>
                  <w:rStyle w:val="InternetLink"/>
                  <w:rFonts w:ascii="Times New Roman;sans-serif" w:hAnsi="Times New Roman;sans-serif"/>
                  <w:b w:val="false"/>
                  <w:color w:val="0000EE"/>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120"/>
        <w:jc w:val="both"/>
        <w:rPr/>
      </w:pPr>
      <w:r>
        <w:rPr/>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financial and business performance, including key business metrics and any underlying assumptions thereunder;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market opportunity and our ability to acquire new clients and retain existing clients;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expectations and timing related to commercial product launches;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success of our go-to-market strategy;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scale our business and expand our offerings;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competitive advantages and growth strategies;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future capital requirements and sources and uses of cash;</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obtain funding for our future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impact of the material weakness in our internal controls and our ability to remediate this material weakness on the timing we anticipate, or at all;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the outcome of any known and unknown litigation and regulatory proceedings;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domestic and foreign business, market, financial, political and legal conditions;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macroeconomic conditions, including but not limited to health crises like the COVID-19 pandemic, inflation, uncertain credit and global financial markets, recent and potential future disruptions in access to bank deposits or lending commitments due to bank failures and geopolitical events, including the military conflict between Russia and Ukraine;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future global, regional or local economic and market conditions affecting the cannabis industry;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development, effects and enforcement of and changes to laws and regulations, including with respect to the cannabis industry;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successfully capitalize on new and existing cannabis markets, including our ability to successfully monetize our solutions in those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manage future growth;</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effectively anticipate and address changes in the end-user market in the cannabis industry;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develop new products and solutions, bring them to market in a timely manner and make enhancements to our platform and our ability to maintain and grow our two-sided marketplace, including our ability to acquire and retain paying clients;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effects of competition on our future business;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success in retaining or recruiting, or changes required in, officers, key employees or directors;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cyber-attacks and security vulnerabilities;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possibility that we may be adversely affected by other economic, business or competitive factors.</w:t>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2022, filed with the SEC on March 16, 2023.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forward-looking statements may not be achieved or occur, and actual results, events, or circumstances could differ materially from those described in the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712"/>
        <w:gridCol w:w="2138"/>
        <w:gridCol w:w="2108"/>
        <w:gridCol w:w="109"/>
        <w:gridCol w:w="109"/>
        <w:gridCol w:w="109"/>
        <w:gridCol w:w="219"/>
        <w:gridCol w:w="859"/>
        <w:gridCol w:w="113"/>
        <w:gridCol w:w="109"/>
        <w:gridCol w:w="109"/>
        <w:gridCol w:w="109"/>
        <w:gridCol w:w="247"/>
        <w:gridCol w:w="970"/>
        <w:gridCol w:w="185"/>
      </w:tblGrid>
      <w:tr>
        <w:trPr/>
        <w:tc>
          <w:tcPr>
            <w:tcW w:w="271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$0.0001 par value; 75,000,000 shares authorized; no shares issued and outstanding at June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$0.0001 par value; 1,500,000,000 shares authorized; 93,415,644 shares issued and outstanding at June 30, 2023 and 92,062,468 shares issued and 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 - $0.0001 par value; 500,000,000 shares authorized, 55,486,361 shares issued and outstanding at June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WM Technology,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114,777 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1716"/>
        <w:gridCol w:w="1330"/>
        <w:gridCol w:w="1347"/>
        <w:gridCol w:w="244"/>
        <w:gridCol w:w="837"/>
        <w:gridCol w:w="113"/>
        <w:gridCol w:w="113"/>
        <w:gridCol w:w="113"/>
        <w:gridCol w:w="113"/>
        <w:gridCol w:w="244"/>
        <w:gridCol w:w="837"/>
        <w:gridCol w:w="113"/>
        <w:gridCol w:w="109"/>
        <w:gridCol w:w="109"/>
        <w:gridCol w:w="109"/>
        <w:gridCol w:w="244"/>
        <w:gridCol w:w="837"/>
        <w:gridCol w:w="109"/>
        <w:gridCol w:w="109"/>
        <w:gridCol w:w="109"/>
        <w:gridCol w:w="109"/>
        <w:gridCol w:w="219"/>
        <w:gridCol w:w="862"/>
        <w:gridCol w:w="160"/>
      </w:tblGrid>
      <w:tr>
        <w:trPr/>
        <w:tc>
          <w:tcPr>
            <w:tcW w:w="17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WM Technology, Inc.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92,851,349 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86,425,352 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79,476,383 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93,622,582 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87,230,850 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79,476,383 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1660" w:type="dxa"/>
        <w:jc w:val="center"/>
        <w:tblInd w:w="0" w:type="dxa"/>
        <w:tblLayout w:type="fixed"/>
        <w:tblCellMar>
          <w:top w:w="28" w:type="dxa"/>
          <w:left w:w="28" w:type="dxa"/>
          <w:bottom w:w="28" w:type="dxa"/>
          <w:right w:w="28" w:type="dxa"/>
        </w:tblCellMar>
      </w:tblPr>
      <w:tblGrid>
        <w:gridCol w:w="402"/>
        <w:gridCol w:w="354"/>
        <w:gridCol w:w="355"/>
        <w:gridCol w:w="304"/>
        <w:gridCol w:w="304"/>
        <w:gridCol w:w="308"/>
        <w:gridCol w:w="196"/>
        <w:gridCol w:w="241"/>
        <w:gridCol w:w="109"/>
        <w:gridCol w:w="109"/>
        <w:gridCol w:w="109"/>
        <w:gridCol w:w="109"/>
        <w:gridCol w:w="304"/>
        <w:gridCol w:w="304"/>
        <w:gridCol w:w="308"/>
        <w:gridCol w:w="196"/>
        <w:gridCol w:w="241"/>
        <w:gridCol w:w="109"/>
        <w:gridCol w:w="109"/>
        <w:gridCol w:w="109"/>
        <w:gridCol w:w="109"/>
        <w:gridCol w:w="196"/>
        <w:gridCol w:w="646"/>
        <w:gridCol w:w="109"/>
        <w:gridCol w:w="109"/>
        <w:gridCol w:w="109"/>
        <w:gridCol w:w="109"/>
        <w:gridCol w:w="213"/>
        <w:gridCol w:w="719"/>
        <w:gridCol w:w="119"/>
        <w:gridCol w:w="109"/>
        <w:gridCol w:w="109"/>
        <w:gridCol w:w="109"/>
        <w:gridCol w:w="225"/>
        <w:gridCol w:w="744"/>
        <w:gridCol w:w="127"/>
        <w:gridCol w:w="109"/>
        <w:gridCol w:w="109"/>
        <w:gridCol w:w="109"/>
        <w:gridCol w:w="237"/>
        <w:gridCol w:w="891"/>
        <w:gridCol w:w="133"/>
        <w:gridCol w:w="109"/>
        <w:gridCol w:w="109"/>
        <w:gridCol w:w="109"/>
        <w:gridCol w:w="109"/>
        <w:gridCol w:w="109"/>
        <w:gridCol w:w="196"/>
        <w:gridCol w:w="73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6" w:type="dxa"/>
            <w:gridSpan w:val="4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2023</w:t>
            </w:r>
          </w:p>
        </w:tc>
        <w:tc>
          <w:tcPr>
            <w:tcW w:w="1413"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b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br/>
              <w:t>Class 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92,062,468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55,486,361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(54,620)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vesting of restricted stock units, net of shares withheld for taxes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475,510</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Class P Unit exchange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35,488</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92,573,466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55,486,361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(57,095)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vesting of restricted stock units, net of shares withheld for taxes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842,178</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93,415,644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55,486,361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(55,869)</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99,978 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11801" w:type="dxa"/>
        <w:jc w:val="center"/>
        <w:tblInd w:w="0" w:type="dxa"/>
        <w:tblLayout w:type="fixed"/>
        <w:tblCellMar>
          <w:top w:w="28" w:type="dxa"/>
          <w:left w:w="28" w:type="dxa"/>
          <w:bottom w:w="28" w:type="dxa"/>
          <w:right w:w="28" w:type="dxa"/>
        </w:tblCellMar>
      </w:tblPr>
      <w:tblGrid>
        <w:gridCol w:w="402"/>
        <w:gridCol w:w="354"/>
        <w:gridCol w:w="355"/>
        <w:gridCol w:w="304"/>
        <w:gridCol w:w="304"/>
        <w:gridCol w:w="308"/>
        <w:gridCol w:w="196"/>
        <w:gridCol w:w="241"/>
        <w:gridCol w:w="109"/>
        <w:gridCol w:w="109"/>
        <w:gridCol w:w="109"/>
        <w:gridCol w:w="109"/>
        <w:gridCol w:w="480"/>
        <w:gridCol w:w="481"/>
        <w:gridCol w:w="196"/>
        <w:gridCol w:w="196"/>
        <w:gridCol w:w="241"/>
        <w:gridCol w:w="109"/>
        <w:gridCol w:w="109"/>
        <w:gridCol w:w="109"/>
        <w:gridCol w:w="109"/>
        <w:gridCol w:w="196"/>
        <w:gridCol w:w="646"/>
        <w:gridCol w:w="109"/>
        <w:gridCol w:w="109"/>
        <w:gridCol w:w="109"/>
        <w:gridCol w:w="109"/>
        <w:gridCol w:w="196"/>
        <w:gridCol w:w="646"/>
        <w:gridCol w:w="109"/>
        <w:gridCol w:w="109"/>
        <w:gridCol w:w="109"/>
        <w:gridCol w:w="109"/>
        <w:gridCol w:w="206"/>
        <w:gridCol w:w="774"/>
        <w:gridCol w:w="116"/>
        <w:gridCol w:w="109"/>
        <w:gridCol w:w="109"/>
        <w:gridCol w:w="109"/>
        <w:gridCol w:w="259"/>
        <w:gridCol w:w="856"/>
        <w:gridCol w:w="146"/>
        <w:gridCol w:w="109"/>
        <w:gridCol w:w="109"/>
        <w:gridCol w:w="109"/>
        <w:gridCol w:w="109"/>
        <w:gridCol w:w="109"/>
        <w:gridCol w:w="196"/>
        <w:gridCol w:w="73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4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2022</w:t>
            </w:r>
          </w:p>
        </w:tc>
        <w:tc>
          <w:tcPr>
            <w:tcW w:w="1413"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b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br/>
              <w:t>Class 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As of December 31, 2021 </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65,677,361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65,502,347 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68,384 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vesting of restricted stock units, net of shares withheld for taxes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879,284</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4,721,706</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Class A Unit exchange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4,295,574</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(4,295,574)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Class P Unit exchange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7,525,045</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warrants exercised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Tax Receivable Agreement due</w:t>
              <w:br/>
              <w:t>to exchanges of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March 31, 2022</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83,098,990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61,206,773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91,460 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57,511 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vesting of restricted stock units, net of shares withheld for taxes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543,118</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Tax Receivable Agreement due</w:t>
              <w:br/>
              <w:t>to exchanges of Class A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Class A Unit exchange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4,740,760</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(4,740,760)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Class P Unit exchange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453,460</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2022</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88,836,328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56,466,013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118,317 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59,607 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714" w:type="dxa"/>
        <w:jc w:val="center"/>
        <w:tblInd w:w="0" w:type="dxa"/>
        <w:tblLayout w:type="fixed"/>
        <w:tblCellMar>
          <w:top w:w="28" w:type="dxa"/>
          <w:left w:w="28" w:type="dxa"/>
          <w:bottom w:w="28" w:type="dxa"/>
          <w:right w:w="28" w:type="dxa"/>
        </w:tblCellMar>
      </w:tblPr>
      <w:tblGrid>
        <w:gridCol w:w="2597"/>
        <w:gridCol w:w="2286"/>
        <w:gridCol w:w="2302"/>
        <w:gridCol w:w="211"/>
        <w:gridCol w:w="721"/>
        <w:gridCol w:w="109"/>
        <w:gridCol w:w="109"/>
        <w:gridCol w:w="109"/>
        <w:gridCol w:w="109"/>
        <w:gridCol w:w="211"/>
        <w:gridCol w:w="796"/>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 holdback release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insurance premium financing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related party note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20" w:after="120"/>
        <w:jc w:val="left"/>
        <w:rPr/>
      </w:pPr>
      <w:r>
        <w:rPr/>
      </w:r>
    </w:p>
    <w:p>
      <w:pPr>
        <w:pStyle w:val="TextBody"/>
        <w:bidi w:val="0"/>
        <w:spacing w:before="120" w:after="120"/>
        <w:jc w:val="center"/>
        <w:rPr/>
      </w:pPr>
      <w:r>
        <w:rPr/>
      </w:r>
    </w:p>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8443" w:type="dxa"/>
        <w:jc w:val="center"/>
        <w:tblInd w:w="0" w:type="dxa"/>
        <w:tblLayout w:type="fixed"/>
        <w:tblCellMar>
          <w:top w:w="28" w:type="dxa"/>
          <w:left w:w="28" w:type="dxa"/>
          <w:bottom w:w="28" w:type="dxa"/>
          <w:right w:w="28" w:type="dxa"/>
        </w:tblCellMar>
      </w:tblPr>
      <w:tblGrid>
        <w:gridCol w:w="2178"/>
        <w:gridCol w:w="1914"/>
        <w:gridCol w:w="1923"/>
        <w:gridCol w:w="233"/>
        <w:gridCol w:w="515"/>
        <w:gridCol w:w="120"/>
        <w:gridCol w:w="120"/>
        <w:gridCol w:w="120"/>
        <w:gridCol w:w="120"/>
        <w:gridCol w:w="233"/>
        <w:gridCol w:w="797"/>
        <w:gridCol w:w="170"/>
      </w:tblGrid>
      <w:tr>
        <w:trPr/>
        <w:tc>
          <w:tcPr>
            <w:tcW w:w="2178"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capitalized for software development</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premium financing</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equity for acquisitions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Holdback liability recognized in connection with the acquisition</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assets included in accounts payable and accrued expenses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assumed in connection with acquisition</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    Business and Organization</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U.S. territories and Canadian legalized cannabis markets. The Company’s comprehensive business-to-consumer (“B2C”) and business-to-business (“B2B”) suite of products afford cannabis retailers and brands of all sizes integrated tools to compliantly run their businesses and to reach, convert, and retain consumers. </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of its user base is highly valuable to the Company’s clients and results in clients paying for its services.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Weedmaps for Business, the Company’s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Strategically reach prospective cannabis consumers.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Manage pickup, delivery and inventory in compliance with local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Help improve the customer experience by creating online browsing and ordering functionality on a brand or retailer (including delivery) operator’s website and by extending that functionality in-store with kiosks.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Foster customer loyalty and re-engage with segments of consumers.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Leverage the Weedmaps for Business products in conjunction with any other preferred software solutions via integrations and application programming interfaces (“APIs”).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Make informed marketing and merchandising decisions using performance analytics and consumer and brand insights to promote products to specific consumer groups.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Company’s current subscription package includes: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Store: Customizable online store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WM Insights: An insights and analytics platform for clients leveraging data across the Weedmaps marketplace and software solutions. For retailers,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offers other add-on products for additional fees,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WM Ads: Ad solutions on the Weedmaps marketplace designed for clients to amplify their businesses and reach more highly engaged cannabis consumers throughout their buying journey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Featured Listings: Premium placement ad solutions on high visibility locations on the Weedmaps marketplace (desktop and mobile) to amplify the Company’s clients’ businesses and maximize clients’ listings and deal presence.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Deals: Discount and promotion pricing tools that let clients strategically reach prospective price-conscious cannabis customers with deals or discounts to drive conversion. In some jurisdictions, it is required by applicable law to showcase discounts.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Other WM Ads solutions:</w:t>
      </w:r>
      <w:r>
        <w:rPr>
          <w:color w:val="000000"/>
        </w:rPr>
        <w:t xml:space="preserve"> </w:t>
      </w:r>
      <w:r>
        <w:rPr>
          <w:rFonts w:ascii="Times New Roman;sans-serif" w:hAnsi="Times New Roman;sans-serif"/>
          <w:b w:val="false"/>
          <w:color w:val="000000"/>
          <w:sz w:val="20"/>
        </w:rPr>
        <w:t>Includes banner ads and promotion tiles on our marketplace as well as banner ads that can be tied to keyword searches. These products provide clients with targeted ad solutions in highly visible slots across our digital surfaces.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WM AdSuite: Omni-channel (on and off platform) marketing solution with access to the Weedmaps marketplace and cannabis-friendly off marketplace outlets including certain publishers, out-of-home units in addition to other media solutions. These campaigns leverage proprietary first-party Weedmaps data to target verified cannabis consumers.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CRM: Customer relationship management software allowing clients to reach new consumers, build loyalty, and grow revenue with our compliant app, text and marketing tools. The tools also allow for retargeting and re-engagement of cannabis consumers.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Dispatch: Compliant, automated and optimized logistics and fulfillment last-mile delivery software (including driver apps) that helps clients manage their delivery fleets. This product streamlines the delivery experience from in-store to front-door.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WM Screens: In-store digital menu signage and kiosk solution and media management tool enabling clients to enhance the in-store experience, impact omnichannel retail and centralize operations with revenue-driving and customizable digital signage. </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charges a monthly fee to retailer, delivery and brand clients for access to its subscription package, which includes WM Listings, WM Orders, WM Store, WM Connectors and WM Insights. Depending on the market, the other add-on products are available for additional fees.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its Weedmaps for Business suite in the United States, and currently offers some of its Weedmaps for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national law. As of June 30, 2023,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actively operated in over 30 U.S. states and territories that have adult-use and/or medical-use regulations in place. The Company defines actively operated markets as those U.S. states or territories with greater than $1,000 monthly revenue.</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mission is to power a transparent and inclusive global cannabis economy. The Company’s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a strong belief in the importance of enabling safe, legal access to cannabis for consumers worldwide. The Company believes it offers the only comprehensive software platform that allows cannabis retailers to reach their target audience, quickly and cost effectively, addressing a wide range of needs. The Company is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2022, filed with the SEC on March 16, 2023. The condensed financial statements of the Company include all adjustments of a normal recurring nature which, in the opinion of management, are necessary for a fair statement of the Company’s financial position as of June 30, 2023, and results of its operations and its cash flows for the interim periods presented. The results of operations for the three and six months ended June 30, 2023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2023 and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estimates made by management include, among others, the allowance for expected credit losses, the useful lives of long-lived assets, income taxes, website and internal-use software development costs, leases, valuation of goodwill and other intangible assets, valuation of warrant liability, deferred tax assets and the related valuation allowance, TRA (as defined below) liability, revenue recognition, stock-based compensation and the recognition and disclosure of contingent liabilities.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Twenty-three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geographic concentration of the Company’s clients makes the Company vulnerable to a downturn in the local market area. Historically, the Company’s business operations have been located primarily in the State of California, and for the six months ended June 30, 2023, approximately 54% of the Company’s revenue originated in California.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follows the guidance in Accounting Standards Codification (“ASC”) 820 -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for its financial assets and liabilities that are re-measured and reported at fair value at each reporting period. See Note 4 for additional information on liabilities measured at fair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Level 3: Unobservable inputs based on the Company assessment of the assumptions that market participants would use in pricing the asset or liability.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recorded at the invoiced amount and does not bear interest.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accounting guidance, the Company measures credit losses on its trade accounts receivable using the current expected credit loss model under ASC 326 </w:t>
      </w:r>
      <w:r>
        <w:rPr>
          <w:rFonts w:ascii="Times New Roman;sans-serif" w:hAnsi="Times New Roman;sans-serif"/>
          <w:b w:val="false"/>
          <w:i/>
          <w:color w:val="000000"/>
          <w:sz w:val="20"/>
        </w:rPr>
        <w:t>Financial Instruments – Credit Losses</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expected credit losses on a pool basis for trade receivables that have similar risk characteristics. For trade receivables that do not share similar risk characteristics, the allowance for doubtful accounts is calculated on an individual basis. Risk characteristics relevant to the Company’s accounts receivable include balance of customer account and aging status.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 balances are written off against the allowance when it is determined that it is probable that the receivable will not be recovered. The Company had allowance for doubtful account balances of $9.2 million and $12.2 million as of June 30, 2023 and December 31, 2022, respectively. </w:t>
      </w:r>
    </w:p>
    <w:p>
      <w:pPr>
        <w:pStyle w:val="TextBody"/>
        <w:bidi w:val="0"/>
        <w:spacing w:before="120" w:after="283"/>
        <w:ind w:left="0" w:right="0" w:firstLine="540"/>
        <w:jc w:val="both"/>
        <w:rPr/>
      </w:pPr>
      <w:r>
        <w:rPr/>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allowance for doubtful accounts:</w:t>
      </w:r>
    </w:p>
    <w:p>
      <w:pPr>
        <w:pStyle w:val="TextBody"/>
        <w:bidi w:val="0"/>
        <w:spacing w:before="0" w:after="0"/>
        <w:ind w:left="0" w:right="0" w:firstLine="540"/>
        <w:jc w:val="both"/>
        <w:rPr/>
      </w:pPr>
      <w:r>
        <w:rPr/>
      </w:r>
    </w:p>
    <w:tbl>
      <w:tblPr>
        <w:tblW w:w="8065" w:type="dxa"/>
        <w:jc w:val="left"/>
        <w:tblInd w:w="0" w:type="dxa"/>
        <w:tblLayout w:type="fixed"/>
        <w:tblCellMar>
          <w:top w:w="28" w:type="dxa"/>
          <w:left w:w="28" w:type="dxa"/>
          <w:bottom w:w="28" w:type="dxa"/>
          <w:right w:w="28" w:type="dxa"/>
        </w:tblCellMar>
      </w:tblPr>
      <w:tblGrid>
        <w:gridCol w:w="977"/>
        <w:gridCol w:w="860"/>
        <w:gridCol w:w="862"/>
        <w:gridCol w:w="234"/>
        <w:gridCol w:w="802"/>
        <w:gridCol w:w="121"/>
        <w:gridCol w:w="121"/>
        <w:gridCol w:w="121"/>
        <w:gridCol w:w="121"/>
        <w:gridCol w:w="234"/>
        <w:gridCol w:w="686"/>
        <w:gridCol w:w="121"/>
        <w:gridCol w:w="109"/>
        <w:gridCol w:w="109"/>
        <w:gridCol w:w="109"/>
        <w:gridCol w:w="213"/>
        <w:gridCol w:w="727"/>
        <w:gridCol w:w="110"/>
        <w:gridCol w:w="110"/>
        <w:gridCol w:w="110"/>
        <w:gridCol w:w="110"/>
        <w:gridCol w:w="213"/>
        <w:gridCol w:w="621"/>
        <w:gridCol w:w="110"/>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beginning of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allowance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net of recoveries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end of period</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Equity Securities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Investments in equity securities that do not have a readily determinable fair value and qualify for the measurement alternative for equity investments provided in ASC 321, </w:t>
      </w:r>
      <w:r>
        <w:rPr>
          <w:rFonts w:ascii="Times New Roman;sans-serif" w:hAnsi="Times New Roman;sans-serif"/>
          <w:b w:val="false"/>
          <w:i/>
          <w:color w:val="000000"/>
          <w:sz w:val="20"/>
        </w:rPr>
        <w:t>Investments – Equity Securities</w:t>
      </w:r>
      <w:r>
        <w:rPr>
          <w:color w:val="000000"/>
        </w:rPr>
        <w:t xml:space="preserve"> </w:t>
      </w:r>
      <w:r>
        <w:rPr>
          <w:rFonts w:ascii="Times New Roman;sans-serif" w:hAnsi="Times New Roman;sans-serif"/>
          <w:b w:val="false"/>
          <w:color w:val="000000"/>
          <w:sz w:val="20"/>
        </w:rPr>
        <w:t>are accounted for at cost, less any impairment, plus or minus changes resulting from observable price changes in orderly transactions for an identical or similar investment of the same issuer. As of June 30, 2023 and December 31, 2022, the carrying value of the Company’s investments in equity securities without a readily determinable fair value was $3.5 million, which is recorded within other assets on the Company’s condensed consolidated balance sheets.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general and administrative expenses in the accompanying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No impairments to investments in equity securities were recorded during the three and six months ended June 30, 2023 and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six months ended June 30, 2023 and 2022.</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consists of the excess of the purchase price over the fair value of identifiable net assets of businesses acquired. Goodwill is reviewed for impairment each year using a qualitative or quantitative process that is performed at least annually or whenever events or circumstances indicate a likely reduction in the fair value of a reporting unit below its carrying amount. The Company has concluded that it has one reporting unit.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the annual impairment analysis on December 31 in order to provide management time to complete the analysis prior to year-end. Prior to performing the quantitative evaluation, an assessment of qualitative factors may be performed to determine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No goodwill or intangible asset impairment charges were recorded for the three and six months ended June 30, 2023 and 2022.</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costs, net, for the three months ended June 30, 2023 and 2022 were $2.2 million and $2.3 million, respectively. Total lease costs, net, for the six months ended June 30, 2023 and 2022 were $4.4 million and $4.8 million,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Sublease rental income is recognized as a reduction to the related lease expense on a straight-line basis over the sublease term. For the three months ended June 30, 2023 and 2022, contra rent expense was $0.5 million and $0.4 million, respectively. For the six months ended June 30, 2023 and 2022, contra rent expense was $1.1 million and $0.8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recognized no impairment charge related to ROU assets. During the three and six months ended June 30, 2022, the Company recognized an impairment charge of $0.6 million related to certain ROU assets reducing the carrying values of the lease assets to their estimated fair values. The fair values were estimated using an income approach based on management’s forecast of future cash flows expected to be derived based on the sublease market rent. The impairment charges are included in general and administrative expenses in the condensed consolidated statements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Warrant Liability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June 30,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pStyle w:val="TextBody"/>
        <w:bidi w:val="0"/>
        <w:spacing w:lineRule="auto" w:line="288" w:before="120" w:after="120"/>
        <w:ind w:left="0" w:right="0" w:firstLine="540"/>
        <w:jc w:val="both"/>
        <w:rPr/>
      </w:pPr>
      <w:r>
        <w:rPr>
          <w:rFonts w:ascii="Times New Roman;sans-serif" w:hAnsi="Times New Roman;sans-serif"/>
          <w:b w:val="false"/>
          <w:color w:val="000000"/>
          <w:sz w:val="20"/>
        </w:rPr>
        <w:t>The Company evaluated the Warrants under ASC 815-40</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additional tax basis and a corresponding TRA liability of 85% of the expected benefit. The remaining 15% is recorded to additional paid-in capital.</w:t>
      </w:r>
    </w:p>
    <w:p>
      <w:pPr>
        <w:pStyle w:val="TextBody"/>
        <w:bidi w:val="0"/>
        <w:spacing w:lineRule="auto" w:line="288" w:before="120" w:after="120"/>
        <w:ind w:left="0" w:right="0" w:firstLine="540"/>
        <w:jc w:val="both"/>
        <w:rPr/>
      </w:pPr>
      <w:r>
        <w:rPr>
          <w:rFonts w:ascii="Times New Roman;sans-serif" w:hAnsi="Times New Roman;sans-serif"/>
          <w:b w:val="false"/>
          <w:color w:val="000000"/>
          <w:sz w:val="20"/>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on the condensed consolidated statements of operations. As of June 30, 2023 and December 31, 2022, the TRA liability was $1.1 million and $0.5 million, respectively. During the three and six months ended June 30, 2023, the Company recognized a loss of $0.5 million and $0.6 million, respectively, related to the remeasurement of its TRA liability. See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below for information related to the Company’s allowance against its net deferred tax assets.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derived primarily from monthly subscriptions and additional offerings for access to the Company’s Weedmaps marketplace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For clients that pay in advance for listing and other services, the Company records deferred revenue and recognizes revenue over the applicable subscription term.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Weedmaps for Business subscriptions, which include access to the Weedmaps marketplace and certain SaaS solutions. As add-ons for additional fees, the Company offers other products, including featured listings, placements, promoted deals, nearby listings, other display advertising, client relationship management, digital menu, and delivery and logistics services. The Company’s Weedmaps for Business subscriptions generally have one-month terms that automatically renew unless notice of cancellation is provided in advance.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Weedmaps for Business includes access to WM Listings, WM Orders, WM Store, WM Connectors and WM Insights. Featured and deal listings include the featured listings and WM Deals products. Other ad solutions include certain advertising products on and off the Weedmaps marketplace, including WM AdSuite. Additional SaaS subscriptions include WM CRM, WM Dispatch and WM Screens. These subscriptions are typically monthly in nature. For a description of these solutions, see the “Business and Organization” section.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net revenues information (in thousands):</w:t>
      </w:r>
    </w:p>
    <w:tbl>
      <w:tblPr>
        <w:tblW w:w="9586" w:type="dxa"/>
        <w:jc w:val="left"/>
        <w:tblInd w:w="0" w:type="dxa"/>
        <w:tblLayout w:type="fixed"/>
        <w:tblCellMar>
          <w:top w:w="28" w:type="dxa"/>
          <w:left w:w="28" w:type="dxa"/>
          <w:bottom w:w="28" w:type="dxa"/>
          <w:right w:w="28" w:type="dxa"/>
        </w:tblCellMar>
      </w:tblPr>
      <w:tblGrid>
        <w:gridCol w:w="1476"/>
        <w:gridCol w:w="1298"/>
        <w:gridCol w:w="1306"/>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82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Weedmaps for Business and other SaaS solutions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Featured and deal listings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 solutions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consists of billings or payments received in advance of revenue recognition from subscription offerings, as described above, and is recognized as the revenue recognition criteria are met. Deferred revenue balance as of June 30, 2023 and December 31, 2022 was $6.7 million and $6.3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revenues during the periods presented were recognized over time, as opposed to at a point in time. Substantially all of the Company’s revenue was generated in the United States during the periods presented.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 (Exclusive of Depreciation and Amortization)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cost of revenue primarily consists of web hosting, internet service costs, credit card processing costs and inventory costs related to multi-media offerings.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 Development Costs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Advertising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cost of advertising in the period incurred. Advertising expense totaled $3.5 million and $5.4 million for the three months ended June 30, 2023 and 2022, respectively, and $4.6 million and $10.3 million for the six months ended June 30, 2023 and 2022, respectively, and are included in sales and marketing expense in the accompanying condensed consolidated statements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non-employee stock-based transactions using the fair value of the consideration received (i.e., the value of the goods or services) or the fair value of the equity instruments issued, whichever is more reliably measurable.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Employee Benefit Plan</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401(k) saving plan is a tax-qualified deferred compensation arrangement under Section 401(k) of the Internal Revenue Code. Under the Company’s 401(k) plan, participating U.S. employees may contribute a portion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eligible earnings, subject to applicable U.S. Internal Revenue Service and plan limits. The Company matches up to 3.5% of the employee’s eligible compensation, vested upon two years of service. For the three months ended June 30, 2023 and 2022, the Company recognized an expense of $0.4 million and $0.6 million, respectively, and for the six months ended June 30, 2023 and 2022, the Company recognized an expense of $0.9 million and $1.2 million, respectively, related to employer contributions for the Company’s 401(k) plan.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change in fair value of warrant liability and TRA liability remeasurement. Other expense, net consists primarily of political contributions, interest income, interest expense, financing fees and other tax related expenses.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weight of all available evidence, both positive and negative, the Company determined during the three months ended December 31, 2022 that a full valuation allowance was required against its net deferred tax assets.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the time. The Company maintains an existing valuation allowance until enough positive evidence exists to support its reversal. Payment under the TRA liability was not probable resulting from the full valuation allowance and accordingly, substantially all of the TRA liability was reversed. As of June 30, 2023 and December 31, 2022, the TRA liability was $1.1 million and $0.5 million,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ended June 30, 2023, the Company recorded zero income tax provision due to the impact of the full valuation allowance on its net deferred assets. For the three and six ended June 30, 2022, the Company recorded an income tax benefit of $1.3 million and $3.1 million, respectively. The income tax benefit for three and six ended June 30, 2022 was the result of the tax benefit of the Company's pro rata share of losses and tax credits flowing through from WMH LLC.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the Company acquired additional interests in WMH, LLC (“LLC Interests”) in connection with the exchange of LLC Interests, and activity relating to the Company’s stock compensation plan. The Company recognized a deferred tax asset in the amount of $28.1 million associated with the basis difference in its investment in WMH, LLC upon acquisition of these LLC Interests, some of which are related to the additional tax basis increases generated from expected future payments under the TRA, some of which are partially offset by the TRA liability amount of $14.2 million, and these amounts were recorded through equity.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operate in one business segment.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Earnings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is computed by dividing net income (loss) attributable to WM Technology, Inc. by the weighted-average number of shares of Class A Common Stock outstanding during the period.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11 for additional information on dilutive securities.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As of June 30, 2023, the Company had cash balances that exceeded the FDIC limit with four financial institutions. Management believes that the risk of loss is not significant and has not experienced any losses in such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3.    Commitments and Contingencies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Litigation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Employee Termination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roll forward of employee termination costs: </w:t>
      </w:r>
    </w:p>
    <w:tbl>
      <w:tblPr>
        <w:tblW w:w="8216" w:type="dxa"/>
        <w:jc w:val="left"/>
        <w:tblInd w:w="0" w:type="dxa"/>
        <w:tblLayout w:type="fixed"/>
        <w:tblCellMar>
          <w:top w:w="28" w:type="dxa"/>
          <w:left w:w="28" w:type="dxa"/>
          <w:bottom w:w="28" w:type="dxa"/>
          <w:right w:w="28" w:type="dxa"/>
        </w:tblCellMar>
      </w:tblPr>
      <w:tblGrid>
        <w:gridCol w:w="1809"/>
        <w:gridCol w:w="1588"/>
        <w:gridCol w:w="1598"/>
        <w:gridCol w:w="109"/>
        <w:gridCol w:w="109"/>
        <w:gridCol w:w="109"/>
        <w:gridCol w:w="622"/>
        <w:gridCol w:w="1818"/>
        <w:gridCol w:w="454"/>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employee termination costs,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termination costs - severance and other cash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employee termination costs,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unpaid employee termination costs are included in accounts payable and accrued expenses on the condensed consolidated balance sheets. Employee termination costs are included in general and administrative expenses on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liabilities that are measured at fair value on a recurring basis at June 30, 2023 and December 31, 2022, and indicates the fair value hierarchy of the valuation inputs the Company utilized to determine such fair value (in thousands):</w:t>
      </w:r>
    </w:p>
    <w:p>
      <w:pPr>
        <w:pStyle w:val="TextBody"/>
        <w:bidi w:val="0"/>
        <w:spacing w:before="0" w:after="0"/>
        <w:jc w:val="both"/>
        <w:rPr/>
      </w:pPr>
      <w:r>
        <w:rPr/>
      </w:r>
    </w:p>
    <w:tbl>
      <w:tblPr>
        <w:tblW w:w="8494" w:type="dxa"/>
        <w:jc w:val="left"/>
        <w:tblInd w:w="0" w:type="dxa"/>
        <w:tblLayout w:type="fixed"/>
        <w:tblCellMar>
          <w:top w:w="28" w:type="dxa"/>
          <w:left w:w="28" w:type="dxa"/>
          <w:bottom w:w="28" w:type="dxa"/>
          <w:right w:w="28" w:type="dxa"/>
        </w:tblCellMar>
      </w:tblPr>
      <w:tblGrid>
        <w:gridCol w:w="1406"/>
        <w:gridCol w:w="1237"/>
        <w:gridCol w:w="1241"/>
        <w:gridCol w:w="109"/>
        <w:gridCol w:w="109"/>
        <w:gridCol w:w="109"/>
        <w:gridCol w:w="195"/>
        <w:gridCol w:w="195"/>
        <w:gridCol w:w="196"/>
        <w:gridCol w:w="109"/>
        <w:gridCol w:w="109"/>
        <w:gridCol w:w="109"/>
        <w:gridCol w:w="287"/>
        <w:gridCol w:w="839"/>
        <w:gridCol w:w="148"/>
        <w:gridCol w:w="109"/>
        <w:gridCol w:w="109"/>
        <w:gridCol w:w="109"/>
        <w:gridCol w:w="380"/>
        <w:gridCol w:w="1110"/>
        <w:gridCol w:w="279"/>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changes in the fair value of the warrant liabilities (in thousands):</w:t>
      </w:r>
    </w:p>
    <w:tbl>
      <w:tblPr>
        <w:tblW w:w="10205" w:type="dxa"/>
        <w:jc w:val="left"/>
        <w:tblInd w:w="0" w:type="dxa"/>
        <w:tblLayout w:type="fixed"/>
        <w:tblCellMar>
          <w:top w:w="28" w:type="dxa"/>
          <w:left w:w="28" w:type="dxa"/>
          <w:bottom w:w="28" w:type="dxa"/>
          <w:right w:w="28" w:type="dxa"/>
        </w:tblCellMar>
      </w:tblPr>
      <w:tblGrid>
        <w:gridCol w:w="841"/>
        <w:gridCol w:w="387"/>
        <w:gridCol w:w="390"/>
        <w:gridCol w:w="109"/>
        <w:gridCol w:w="109"/>
        <w:gridCol w:w="109"/>
        <w:gridCol w:w="232"/>
        <w:gridCol w:w="679"/>
        <w:gridCol w:w="120"/>
        <w:gridCol w:w="109"/>
        <w:gridCol w:w="109"/>
        <w:gridCol w:w="109"/>
        <w:gridCol w:w="335"/>
        <w:gridCol w:w="740"/>
        <w:gridCol w:w="174"/>
        <w:gridCol w:w="109"/>
        <w:gridCol w:w="109"/>
        <w:gridCol w:w="109"/>
        <w:gridCol w:w="250"/>
        <w:gridCol w:w="729"/>
        <w:gridCol w:w="129"/>
        <w:gridCol w:w="109"/>
        <w:gridCol w:w="109"/>
        <w:gridCol w:w="109"/>
        <w:gridCol w:w="232"/>
        <w:gridCol w:w="679"/>
        <w:gridCol w:w="120"/>
        <w:gridCol w:w="109"/>
        <w:gridCol w:w="109"/>
        <w:gridCol w:w="109"/>
        <w:gridCol w:w="279"/>
        <w:gridCol w:w="617"/>
        <w:gridCol w:w="146"/>
        <w:gridCol w:w="109"/>
        <w:gridCol w:w="109"/>
        <w:gridCol w:w="109"/>
        <w:gridCol w:w="247"/>
        <w:gridCol w:w="724"/>
        <w:gridCol w:w="193"/>
      </w:tblGrid>
      <w:tr>
        <w:trPr/>
        <w:tc>
          <w:tcPr>
            <w:tcW w:w="84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 2023</w:t>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Warrant Liabilities</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inputs or 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98"/>
        <w:gridCol w:w="326"/>
        <w:gridCol w:w="329"/>
        <w:gridCol w:w="109"/>
        <w:gridCol w:w="109"/>
        <w:gridCol w:w="109"/>
        <w:gridCol w:w="221"/>
        <w:gridCol w:w="757"/>
        <w:gridCol w:w="114"/>
        <w:gridCol w:w="109"/>
        <w:gridCol w:w="109"/>
        <w:gridCol w:w="109"/>
        <w:gridCol w:w="244"/>
        <w:gridCol w:w="836"/>
        <w:gridCol w:w="126"/>
        <w:gridCol w:w="109"/>
        <w:gridCol w:w="109"/>
        <w:gridCol w:w="109"/>
        <w:gridCol w:w="227"/>
        <w:gridCol w:w="777"/>
        <w:gridCol w:w="117"/>
        <w:gridCol w:w="109"/>
        <w:gridCol w:w="109"/>
        <w:gridCol w:w="109"/>
        <w:gridCol w:w="221"/>
        <w:gridCol w:w="757"/>
        <w:gridCol w:w="114"/>
        <w:gridCol w:w="109"/>
        <w:gridCol w:w="109"/>
        <w:gridCol w:w="109"/>
        <w:gridCol w:w="223"/>
        <w:gridCol w:w="764"/>
        <w:gridCol w:w="115"/>
        <w:gridCol w:w="109"/>
        <w:gridCol w:w="109"/>
        <w:gridCol w:w="109"/>
        <w:gridCol w:w="226"/>
        <w:gridCol w:w="775"/>
        <w:gridCol w:w="176"/>
      </w:tblGrid>
      <w:tr>
        <w:trPr/>
        <w:tc>
          <w:tcPr>
            <w:tcW w:w="7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 2022</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Warrant Liabilities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inputs or 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Public Warrants, based on the publicly listed trading price of such warrants as of the valuation date. Accordingly, the Public Warrants are classified as Level 1 financial instruments. The fair value of the Public Warrants was $1.5 million and $1.3 million as of June 30, 2023 and December 31, 2022, respectively.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Placement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quantitative information regarding Level 3 fair value measurements inputs at their measurement dates:</w:t>
      </w:r>
    </w:p>
    <w:tbl>
      <w:tblPr>
        <w:tblW w:w="5541" w:type="dxa"/>
        <w:jc w:val="left"/>
        <w:tblInd w:w="0" w:type="dxa"/>
        <w:tblLayout w:type="fixed"/>
        <w:tblCellMar>
          <w:top w:w="28" w:type="dxa"/>
          <w:left w:w="28" w:type="dxa"/>
          <w:bottom w:w="28" w:type="dxa"/>
          <w:right w:w="28" w:type="dxa"/>
        </w:tblCellMar>
      </w:tblPr>
      <w:tblGrid>
        <w:gridCol w:w="669"/>
        <w:gridCol w:w="587"/>
        <w:gridCol w:w="588"/>
        <w:gridCol w:w="109"/>
        <w:gridCol w:w="109"/>
        <w:gridCol w:w="109"/>
        <w:gridCol w:w="245"/>
        <w:gridCol w:w="715"/>
        <w:gridCol w:w="314"/>
        <w:gridCol w:w="109"/>
        <w:gridCol w:w="109"/>
        <w:gridCol w:w="109"/>
        <w:gridCol w:w="326"/>
        <w:gridCol w:w="954"/>
        <w:gridCol w:w="489"/>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changes in the volatility would result in a significant lower or higher fair value measurement,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was $0.9 million and $0.8 million as of June 30, 2023 and December 31, 2022, respectively.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Warrants were accounted for as liabilities in accordance with ASC 815 -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from other levels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June 30, 2023 and December 31, 2022 (in thousands):</w:t>
      </w:r>
    </w:p>
    <w:tbl>
      <w:tblPr>
        <w:tblW w:w="10205" w:type="dxa"/>
        <w:jc w:val="center"/>
        <w:tblInd w:w="0" w:type="dxa"/>
        <w:tblLayout w:type="fixed"/>
        <w:tblCellMar>
          <w:top w:w="28" w:type="dxa"/>
          <w:left w:w="28" w:type="dxa"/>
          <w:bottom w:w="28" w:type="dxa"/>
          <w:right w:w="28" w:type="dxa"/>
        </w:tblCellMar>
      </w:tblPr>
      <w:tblGrid>
        <w:gridCol w:w="738"/>
        <w:gridCol w:w="460"/>
        <w:gridCol w:w="464"/>
        <w:gridCol w:w="901"/>
        <w:gridCol w:w="901"/>
        <w:gridCol w:w="903"/>
        <w:gridCol w:w="109"/>
        <w:gridCol w:w="109"/>
        <w:gridCol w:w="109"/>
        <w:gridCol w:w="315"/>
        <w:gridCol w:w="1080"/>
        <w:gridCol w:w="163"/>
        <w:gridCol w:w="109"/>
        <w:gridCol w:w="109"/>
        <w:gridCol w:w="109"/>
        <w:gridCol w:w="363"/>
        <w:gridCol w:w="1273"/>
        <w:gridCol w:w="190"/>
        <w:gridCol w:w="109"/>
        <w:gridCol w:w="109"/>
        <w:gridCol w:w="109"/>
        <w:gridCol w:w="314"/>
        <w:gridCol w:w="921"/>
        <w:gridCol w:w="238"/>
      </w:tblGrid>
      <w:tr>
        <w:trPr/>
        <w:tc>
          <w:tcPr>
            <w:tcW w:w="7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Intangible Assets</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domain names</w:t>
            </w:r>
          </w:p>
        </w:tc>
        <w:tc>
          <w:tcPr>
            <w:tcW w:w="2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technology</w:t>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 backlog</w:t>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38"/>
        <w:gridCol w:w="458"/>
        <w:gridCol w:w="462"/>
        <w:gridCol w:w="897"/>
        <w:gridCol w:w="897"/>
        <w:gridCol w:w="899"/>
        <w:gridCol w:w="109"/>
        <w:gridCol w:w="109"/>
        <w:gridCol w:w="109"/>
        <w:gridCol w:w="315"/>
        <w:gridCol w:w="1077"/>
        <w:gridCol w:w="162"/>
        <w:gridCol w:w="109"/>
        <w:gridCol w:w="109"/>
        <w:gridCol w:w="109"/>
        <w:gridCol w:w="362"/>
        <w:gridCol w:w="1270"/>
        <w:gridCol w:w="190"/>
        <w:gridCol w:w="109"/>
        <w:gridCol w:w="109"/>
        <w:gridCol w:w="109"/>
        <w:gridCol w:w="290"/>
        <w:gridCol w:w="993"/>
        <w:gridCol w:w="214"/>
      </w:tblGrid>
      <w:tr>
        <w:trPr/>
        <w:tc>
          <w:tcPr>
            <w:tcW w:w="7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Intangible Assets</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domain names</w:t>
            </w:r>
          </w:p>
        </w:tc>
        <w:tc>
          <w:tcPr>
            <w:tcW w:w="2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technology</w:t>
            </w:r>
          </w:p>
        </w:tc>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 backlog</w:t>
            </w:r>
          </w:p>
        </w:tc>
        <w:tc>
          <w:tcPr>
            <w:tcW w:w="2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$0.5 million and $0.8 million during the three months ended June 30, 2023 and 2022, respectively. Amortization expense for intangible assets was $1.1 million and $1.4 million during the six months ended June 30, 2023 and 2022, respectively.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future amortization expense of intangible assets as of June 30, 2023 is as follows (in thousands): </w:t>
      </w:r>
    </w:p>
    <w:p>
      <w:pPr>
        <w:pStyle w:val="TextBody"/>
        <w:bidi w:val="0"/>
        <w:spacing w:before="0" w:after="0"/>
        <w:ind w:left="0" w:right="0" w:firstLine="720"/>
        <w:jc w:val="left"/>
        <w:rPr/>
      </w:pPr>
      <w:r>
        <w:rPr/>
      </w:r>
    </w:p>
    <w:tbl>
      <w:tblPr>
        <w:tblW w:w="4622" w:type="dxa"/>
        <w:jc w:val="center"/>
        <w:tblInd w:w="0" w:type="dxa"/>
        <w:tblLayout w:type="fixed"/>
        <w:tblCellMar>
          <w:top w:w="28" w:type="dxa"/>
          <w:left w:w="28" w:type="dxa"/>
          <w:bottom w:w="28" w:type="dxa"/>
          <w:right w:w="28" w:type="dxa"/>
        </w:tblCellMar>
      </w:tblPr>
      <w:tblGrid>
        <w:gridCol w:w="1201"/>
        <w:gridCol w:w="1055"/>
        <w:gridCol w:w="1058"/>
        <w:gridCol w:w="109"/>
        <w:gridCol w:w="109"/>
        <w:gridCol w:w="109"/>
        <w:gridCol w:w="211"/>
        <w:gridCol w:w="61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period in 2023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Prepaid Expenses and Other Current Assets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as of June 30, 2023 and December 31, 2022 consisted of the following (in thousands):</w:t>
      </w:r>
    </w:p>
    <w:tbl>
      <w:tblPr>
        <w:tblW w:w="7642" w:type="dxa"/>
        <w:jc w:val="center"/>
        <w:tblInd w:w="0" w:type="dxa"/>
        <w:tblLayout w:type="fixed"/>
        <w:tblCellMar>
          <w:top w:w="28" w:type="dxa"/>
          <w:left w:w="28" w:type="dxa"/>
          <w:bottom w:w="28" w:type="dxa"/>
          <w:right w:w="28" w:type="dxa"/>
        </w:tblCellMar>
      </w:tblPr>
      <w:tblGrid>
        <w:gridCol w:w="1428"/>
        <w:gridCol w:w="1256"/>
        <w:gridCol w:w="1261"/>
        <w:gridCol w:w="109"/>
        <w:gridCol w:w="109"/>
        <w:gridCol w:w="109"/>
        <w:gridCol w:w="287"/>
        <w:gridCol w:w="839"/>
        <w:gridCol w:w="148"/>
        <w:gridCol w:w="109"/>
        <w:gridCol w:w="109"/>
        <w:gridCol w:w="109"/>
        <w:gridCol w:w="380"/>
        <w:gridCol w:w="1110"/>
        <w:gridCol w:w="279"/>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Accounts Payable and Accrued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as of June 30, 2023 and December 31, 2022 consisted of the following (in thousands):</w:t>
      </w:r>
    </w:p>
    <w:tbl>
      <w:tblPr>
        <w:tblW w:w="6113" w:type="dxa"/>
        <w:jc w:val="center"/>
        <w:tblInd w:w="0" w:type="dxa"/>
        <w:tblLayout w:type="fixed"/>
        <w:tblCellMar>
          <w:top w:w="28" w:type="dxa"/>
          <w:left w:w="28" w:type="dxa"/>
          <w:bottom w:w="28" w:type="dxa"/>
          <w:right w:w="28" w:type="dxa"/>
        </w:tblCellMar>
      </w:tblPr>
      <w:tblGrid>
        <w:gridCol w:w="874"/>
        <w:gridCol w:w="769"/>
        <w:gridCol w:w="772"/>
        <w:gridCol w:w="109"/>
        <w:gridCol w:w="109"/>
        <w:gridCol w:w="109"/>
        <w:gridCol w:w="258"/>
        <w:gridCol w:w="883"/>
        <w:gridCol w:w="133"/>
        <w:gridCol w:w="109"/>
        <w:gridCol w:w="109"/>
        <w:gridCol w:w="109"/>
        <w:gridCol w:w="344"/>
        <w:gridCol w:w="1175"/>
        <w:gridCol w:w="25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employee expenses include accrued bonuses of $2.1 million and $9.9 million as of June 30, 2023 and December 31, 2022, respectively, related to certain employment agreements entered into in connection with prior acquisitions. During the three months ended June 30, 2023, the Company paid $8.5 million of employee expenses related to certain employment agreements entered into in connection with a prior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Warrant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there were 12,499,973 Public Warrants outstanding and 7,000,000 Private Placement Warrants outstanding.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Simultaneously with Silver Spike’s initial public offering, Silver Spike consummated a private placement of 7,000,000 Private Placement Warrants with Silver Spike’s sponsor (“Silver Spike Sponsor”). Each Private Placement Warrant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exercise its redemption right even if it is unable to register or qualify the underlying securities for sale under all applicable state securities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concluded the Public Warrants and Private Placement Warrants, or the Warrants, meet the definition of a derivative under ASC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 described in Note 2) and are recorded as liabilities. Upon the Closing, the fair value of the Warrants was recorded on the balance sheet. The fair value of the Warrants are remeasured as of each balance sheet date, which resulted in a non-cash loss of $1.0 million and $0.3 million in the condensed consolidated statements of operations for the three and six months ended June 30, 2023, respectively, and a non-cash gains of $32.2 million and $14.0 million in the condensed consolidated statements of operations for the three and six months ended June 30,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Equity</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bidi w:val="0"/>
        <w:spacing w:lineRule="auto" w:line="26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pStyle w:val="TextBody"/>
        <w:bidi w:val="0"/>
        <w:spacing w:lineRule="auto" w:line="26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 Rights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pStyle w:val="TextBody"/>
        <w:bidi w:val="0"/>
        <w:spacing w:lineRule="auto" w:line="276"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Rights upon Liquidation, Dissolution and Winding-Up</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pStyle w:val="TextBody"/>
        <w:bidi w:val="0"/>
        <w:spacing w:lineRule="auto" w:line="26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Preemptive or Other Rights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shares of Class A Common Stock have no preemptive or conversion rights or other subscription rights. There are no redemption or sinking fund provisions applicable to the shares of Class A Common Stock. The rights, preferences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privileges of holders of shares of Class A Common Stock will be subject to those of the holders of any shares of the preferred stock that the Company may issue in the future.</w:t>
      </w:r>
    </w:p>
    <w:p>
      <w:pPr>
        <w:pStyle w:val="TextBody"/>
        <w:bidi w:val="0"/>
        <w:spacing w:before="0" w:after="0"/>
        <w:ind w:left="0" w:right="0" w:firstLine="72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Class V Common Stock</w:t>
      </w:r>
    </w:p>
    <w:p>
      <w:pPr>
        <w:pStyle w:val="TextBody"/>
        <w:bidi w:val="0"/>
        <w:spacing w:lineRule="auto" w:line="288" w:before="0" w:after="12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bidi w:val="0"/>
        <w:spacing w:lineRule="auto" w:line="26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pStyle w:val="TextBody"/>
        <w:bidi w:val="0"/>
        <w:spacing w:lineRule="auto" w:line="268" w:before="0" w:after="12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Rights</w:t>
      </w:r>
    </w:p>
    <w:p>
      <w:pPr>
        <w:pStyle w:val="TextBody"/>
        <w:bidi w:val="0"/>
        <w:spacing w:lineRule="auto" w:line="276"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V Common Stock will not participate in any dividends declared by the Company’s board of directors.</w:t>
      </w:r>
    </w:p>
    <w:p>
      <w:pPr>
        <w:pStyle w:val="TextBody"/>
        <w:bidi w:val="0"/>
        <w:spacing w:lineRule="auto" w:line="276"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Rights upon Liquidation, Dissolution and Winding-Up</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V Common Stock are not entitled to receive any of the Company’s assets.</w:t>
      </w:r>
    </w:p>
    <w:p>
      <w:pPr>
        <w:pStyle w:val="TextBody"/>
        <w:bidi w:val="0"/>
        <w:spacing w:lineRule="auto" w:line="26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Preemptive or Other Rights</w:t>
      </w:r>
    </w:p>
    <w:p>
      <w:pPr>
        <w:pStyle w:val="TextBody"/>
        <w:bidi w:val="0"/>
        <w:spacing w:lineRule="auto" w:line="26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Class V Common Stock do not have preemptive, subscription, redemption or conversion rights. There will be no redemption or sinking fund provisions applicable to the Class V Common Stock.</w:t>
      </w:r>
    </w:p>
    <w:p>
      <w:pPr>
        <w:pStyle w:val="TextBody"/>
        <w:bidi w:val="0"/>
        <w:spacing w:lineRule="auto" w:line="26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Issuance and Retirement of Class V Common Stock</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pStyle w:val="TextBody"/>
        <w:bidi w:val="0"/>
        <w:spacing w:before="0" w:after="0"/>
        <w:ind w:left="0" w:right="0" w:firstLine="720"/>
        <w:jc w:val="both"/>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2023, there were no shares of preferred stock issued or outstanding.</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noncontrolling interest represents the Units held by holders other than the Company. As of June 30, 2023, the noncontrolling interests owned 37.8%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Stock-based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WM Holding Company, LLC Equity Incentive Plan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accounted for the issuance of Class A-3 and Class B Units issued under the WM Holding Company, LLC Equity Incentive Plan in accordance with ASC 718 -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xml:space="preserve">. The Company considered the limitation on the exercisability of the Class A-3 and Class B Units to be a performance condition and recorded compensation cost when it became probable that the performance condition would be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Class P Unit activity for the six months ended June 30, 2023 is as follows:</w:t>
      </w:r>
    </w:p>
    <w:tbl>
      <w:tblPr>
        <w:tblW w:w="5943" w:type="dxa"/>
        <w:jc w:val="left"/>
        <w:tblInd w:w="0" w:type="dxa"/>
        <w:tblLayout w:type="fixed"/>
        <w:tblCellMar>
          <w:top w:w="28" w:type="dxa"/>
          <w:left w:w="28" w:type="dxa"/>
          <w:bottom w:w="28" w:type="dxa"/>
          <w:right w:w="28" w:type="dxa"/>
        </w:tblCellMar>
      </w:tblPr>
      <w:tblGrid>
        <w:gridCol w:w="1413"/>
        <w:gridCol w:w="1240"/>
        <w:gridCol w:w="1247"/>
        <w:gridCol w:w="109"/>
        <w:gridCol w:w="109"/>
        <w:gridCol w:w="109"/>
        <w:gridCol w:w="540"/>
        <w:gridCol w:w="541"/>
        <w:gridCol w:w="635"/>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Class P Units,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15,125,429 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(64,302)</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Exchanged for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Class P Units,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14,986,127 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14,847,453</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stock-based compensation expense for non-vested Class P Units was $0.4 million, which is expected to be recognized over a weighted-average period of 1.4 years. For the three months ended June 30, 2023 and 2022, the Company recorded stock-based compensation expense for the Class P Units of $0.1 million and $0.6 million, respectively. For the six months ended June 30, 2023 and 2022, the Company recorded stock-based compensation expense for the Class P Units of $0.4 million and $1.3 million, respectively.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WM Technology, Inc. Equity Incentive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June 30, 2023, 33,146,412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June 30, 2023, 20,538,910 shares of Class A Common Stock were available for future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restricted stock unit (“RSU”) activity for the six months ended June 30, 2023 is as follows:</w:t>
      </w:r>
    </w:p>
    <w:tbl>
      <w:tblPr>
        <w:tblW w:w="8729" w:type="dxa"/>
        <w:jc w:val="left"/>
        <w:tblInd w:w="0" w:type="dxa"/>
        <w:tblLayout w:type="fixed"/>
        <w:tblCellMar>
          <w:top w:w="28" w:type="dxa"/>
          <w:left w:w="28" w:type="dxa"/>
          <w:bottom w:w="28" w:type="dxa"/>
          <w:right w:w="28" w:type="dxa"/>
        </w:tblCellMar>
      </w:tblPr>
      <w:tblGrid>
        <w:gridCol w:w="1038"/>
        <w:gridCol w:w="912"/>
        <w:gridCol w:w="914"/>
        <w:gridCol w:w="109"/>
        <w:gridCol w:w="109"/>
        <w:gridCol w:w="109"/>
        <w:gridCol w:w="525"/>
        <w:gridCol w:w="525"/>
        <w:gridCol w:w="501"/>
        <w:gridCol w:w="109"/>
        <w:gridCol w:w="109"/>
        <w:gridCol w:w="109"/>
        <w:gridCol w:w="881"/>
        <w:gridCol w:w="2135"/>
        <w:gridCol w:w="64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6,269,868 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(1,318,558)</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(1,428,235)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stock-based compensation expense for non-vested RSUs was $28.8 million, which is expected to be recognized over a weighted-average period of 2.1 years. For the three months ended June 30, 2023 and 2022, the Company recorded stock-based compensation expense for the RSUs of $3.4 million and $5.6 million, respectively. For the six months ended June 30, 2023 and 2022, the Company recorded stock-based compensation expense for the RSUs of $7.4 million and $10.6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2023, the compensation committee of the Company’s board of directors granted the Company’s Executive Chair, Douglas Francis, an award of 481,927 RSU with an approximate value of $800,000, based on the average closing price of the Company’s Class A common stock for the 90-day period prior to the grant date (the “RSU Grant”), in recognition of his leadership of the Company’s executive team since August 2022. On May 8, 2023, Mr. Francis declined the RSU Grant and the RSUs were forfeited.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activities occurred during the six months ended June 30, 2023 related to the PRSUs. The number of non-vested PRSUs as of June 30, 2023 was 859,375 and weighted average grant date fair value was $6.40.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probability of attainment as of June 30, 2023, the unrecognized stock-based compensation expense for non-vested PRSUs was $0.2 million, which is expected to be recognized over a period of 0.5 years. For the three months ended June 30, 2023 and 2022, the Company recorded stock-based compensation expense for the PRSUs of $0.2 million and $1.9 million, respectively. For the six months ended June 30, 2023 and 2022, the Company recorded stock-based compensation expense for the PRSUs of $0.3 million and $3.8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cost related to the Class P Units, RSUs and PRSUs in the following expense categories on the accompanying condensed consolidated statements of operations (in thousands):</w:t>
      </w:r>
    </w:p>
    <w:tbl>
      <w:tblPr>
        <w:tblW w:w="9139" w:type="dxa"/>
        <w:jc w:val="left"/>
        <w:tblInd w:w="0" w:type="dxa"/>
        <w:tblLayout w:type="fixed"/>
        <w:tblCellMar>
          <w:top w:w="28" w:type="dxa"/>
          <w:left w:w="28" w:type="dxa"/>
          <w:bottom w:w="28" w:type="dxa"/>
          <w:right w:w="28" w:type="dxa"/>
        </w:tblCellMar>
      </w:tblPr>
      <w:tblGrid>
        <w:gridCol w:w="1360"/>
        <w:gridCol w:w="1198"/>
        <w:gridCol w:w="1206"/>
        <w:gridCol w:w="251"/>
        <w:gridCol w:w="735"/>
        <w:gridCol w:w="130"/>
        <w:gridCol w:w="130"/>
        <w:gridCol w:w="130"/>
        <w:gridCol w:w="130"/>
        <w:gridCol w:w="251"/>
        <w:gridCol w:w="735"/>
        <w:gridCol w:w="130"/>
        <w:gridCol w:w="109"/>
        <w:gridCol w:w="109"/>
        <w:gridCol w:w="109"/>
        <w:gridCol w:w="218"/>
        <w:gridCol w:w="637"/>
        <w:gridCol w:w="112"/>
        <w:gridCol w:w="112"/>
        <w:gridCol w:w="112"/>
        <w:gridCol w:w="112"/>
        <w:gridCol w:w="218"/>
        <w:gridCol w:w="746"/>
        <w:gridCol w:w="159"/>
      </w:tblGrid>
      <w:tr>
        <w:trPr/>
        <w:tc>
          <w:tcPr>
            <w:tcW w:w="13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capitalized to software development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cost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 of income (loss) per share attributable to WM Technology, Inc. and weighted-average shares of the Company’s Class A Common Stock outstanding are as follows for the three and six months ending June 30, 2023 and 2022 (amounts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1807"/>
        <w:gridCol w:w="1573"/>
        <w:gridCol w:w="1511"/>
        <w:gridCol w:w="240"/>
        <w:gridCol w:w="693"/>
        <w:gridCol w:w="115"/>
        <w:gridCol w:w="115"/>
        <w:gridCol w:w="115"/>
        <w:gridCol w:w="115"/>
        <w:gridCol w:w="223"/>
        <w:gridCol w:w="762"/>
        <w:gridCol w:w="115"/>
        <w:gridCol w:w="109"/>
        <w:gridCol w:w="109"/>
        <w:gridCol w:w="109"/>
        <w:gridCol w:w="229"/>
        <w:gridCol w:w="688"/>
        <w:gridCol w:w="120"/>
        <w:gridCol w:w="109"/>
        <w:gridCol w:w="109"/>
        <w:gridCol w:w="109"/>
        <w:gridCol w:w="211"/>
        <w:gridCol w:w="760"/>
        <w:gridCol w:w="159"/>
      </w:tblGrid>
      <w:tr>
        <w:trPr/>
        <w:tc>
          <w:tcPr>
            <w:tcW w:w="180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WM Technology, Inc. Class A Common Stock - basic</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fair value change of Public and Private Placement Warrants, net of amounts attributable to noncontrolling interests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WM Technology, Inc. Class A Common Stock - diluted</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of shares of Class A Common Stock outstanding - basic</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92,851,349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86,425,352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92,589,011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79,476,383</w:t>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securities: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holdback shares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of shares of Class A Common Stock outstanding - diluted</w:t>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93,622,582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87,230,850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92,589,011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79,476,383</w:t>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A Common Stock - basic</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A Common Stock - diluted</w:t>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excluded the following securities from its computation of diluted shares outstanding for the periods presented, as their effect would have been anti-dilutive:</w:t>
      </w:r>
    </w:p>
    <w:tbl>
      <w:tblPr>
        <w:tblW w:w="9932" w:type="dxa"/>
        <w:jc w:val="left"/>
        <w:tblInd w:w="0" w:type="dxa"/>
        <w:tblLayout w:type="fixed"/>
        <w:tblCellMar>
          <w:top w:w="28" w:type="dxa"/>
          <w:left w:w="28" w:type="dxa"/>
          <w:bottom w:w="28" w:type="dxa"/>
          <w:right w:w="28" w:type="dxa"/>
        </w:tblCellMar>
      </w:tblPr>
      <w:tblGrid>
        <w:gridCol w:w="878"/>
        <w:gridCol w:w="774"/>
        <w:gridCol w:w="778"/>
        <w:gridCol w:w="754"/>
        <w:gridCol w:w="327"/>
        <w:gridCol w:w="291"/>
        <w:gridCol w:w="291"/>
        <w:gridCol w:w="291"/>
        <w:gridCol w:w="291"/>
        <w:gridCol w:w="754"/>
        <w:gridCol w:w="327"/>
        <w:gridCol w:w="291"/>
        <w:gridCol w:w="109"/>
        <w:gridCol w:w="109"/>
        <w:gridCol w:w="109"/>
        <w:gridCol w:w="668"/>
        <w:gridCol w:w="413"/>
        <w:gridCol w:w="258"/>
        <w:gridCol w:w="258"/>
        <w:gridCol w:w="258"/>
        <w:gridCol w:w="258"/>
        <w:gridCol w:w="668"/>
        <w:gridCol w:w="413"/>
        <w:gridCol w:w="36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Units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55,486,361 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56,466,013 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55,486,361 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56,466,013 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P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14,986,127 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15,740,281 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14,986,127 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15,740,281 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6,977,020 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10,244,184 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859,375 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12,499,973 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12,499,973 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12,499,973 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12,499,973 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7,000,000 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7,000,000 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holdback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677,847 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677,847 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Related Party Transactions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2022, the Company entered into a sublease agreement with an affiliate to a member of the board of directors.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June 30, 2023, the security deposit for the sublease of approximately $0.1 million is included in other long-term liabilities on the accompanying condensed balance sheets. As of June 30, 2023 and December 31, 2022, rent receivable was $0.5 million and $0.1 million, respectively, and these amounts are included in accounts receivable, net on the accompanying condensed consolidated balance sheets. For the three and six months ended June 30, 2023, income on the sublease with a related party was $0.2 million and $0.4 million, respectively. For the three and six months ended June 30, 2022, income on the sublease with a related party was approximately $0.1 million. The income on sublease is netted with rent expense and included in general and administrative expenses on the accompanying condensed consolidated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paid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June 30, 2023 and December 31, 2022, the outstanding balance of the note receivable was $0.9 million and $1.1 million, respectively. As of June 30, 2023, $0.4 million of the note receivable was included in prepaid expenses and other current assets and the other $0.5 million was included in other assets on the accompanying condensed balance sheets. As of December 31, 2022, $1.1 million of related party note receivable was included in other assets on the accompanying condensed consolidated balance sheets. For the three and six ended June 30, 2023, interest income on the promissory note was less than $0.1 million, which is included in other expense, net on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2021, WM Holding Company, LLC (when referred to in its pre-Business Combination capacity, “Legacy WMH” and following the Business Combination, “WMH LLC”) completed its previously announced business combination (the “Business Combination”) with Silver Spike Acquisition Corp (“Silver Spike”).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U.S. states, U.S. territories and Canadian legalized cannabis markets. Our comprehensive business-to-consumer (“B2C”) and business-to-business (“B2B”) suite of products afford cannabis retailers and brands of all sizes integrated tools to compliantly run their businesses and to reach, convert, and retain consumers.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of our user base is highly valuable to our clients and results in clients, mainly cannabis retailers, brands, paying for access to our marketplace and other tools that streamline front and back-end operations and help manage compliance needs. These tools support cannabis businesses at every stage in the consumer funnel, enabling them 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Strategically reach prospective cannabis consumers.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Manage pickup, delivery and inventory in compliance with local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Help improve the customer experience by creating online browsing and ordering functionality on a brand or retailer (including delivery) operator’s website and by extending that functionality in-store with kiosks.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Foster customer loyalty and re-engage with segments of consumers.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Leverage the Weedmaps for Business products in conjunction with any other preferred software solutions via integrations and application programming interfaces (“APIs”).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Make informed marketing and merchandising decisions using performance analytics and consumer and brand insights to promote products to specific consumer groups. </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before="120" w:after="120"/>
        <w:jc w:val="center"/>
        <w:rPr/>
      </w:pPr>
      <w:r>
        <w:rPr/>
        <w:drawing>
          <wp:inline distT="0" distB="0" distL="0" distR="0">
            <wp:extent cx="5943600" cy="178117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5943600" cy="1781175"/>
                    </a:xfrm>
                    <a:prstGeom prst="rect">
                      <a:avLst/>
                    </a:prstGeom>
                  </pic:spPr>
                </pic:pic>
              </a:graphicData>
            </a:graphic>
          </wp:inline>
        </w:drawing>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 Our current subscription package includes: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Store: Customizable online store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other add-on products for additional fees,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WM Ads: Ad solutions on the Weedmaps marketplace designed for clients to amplify their businesses and reach more highly engaged cannabis consumers throughout their buying journey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Featured Listings: Premium placement ad solutions on high visibility locations on the Weedmaps marketplace (desktop and mobile) to amplify our clients’ businesses and maximize clients’ listings and deal presence.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Deals: Discount and promotion pricing tools that let clients strategically reach prospective price-conscious cannabis customers with deals or discounts to drive conversion. In some jurisdictions, it is required by applicable law to showcase discounts.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Other WM Ads solutions: Includes banner ads and promotion tiles on our marketplace as well as banner ads that can be tied to keyword searches. These products provide clients with targeted ad solutions in highly visible slots across our digital surfaces.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WM AdSuite: Omni-channel (on and off platform) marketing solution with access to the Weedmaps marketplace and cannabis-friendly off marketplace outlets including certain publishers, out-of-home units in addition to other media solutions. These campaigns leverage proprietary first-party Weedmaps data to target verified cannabis consumers.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CRM: Customer relationship management software allowing clients to reach new consumers, build loyalty, and grow revenue with our compliant app, text and marketing tools. The tools also allow for retargeting and re-engagement of cannabis consumers.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WM Dispatch: Compliant, automated and optimized logistics and fulfillment last-mile delivery software (including driver apps) that helps clients manage their delivery fleets. This product streamlines the delivery experience from in-store to front-door.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WM Screens: In-store digital menu signage and kiosk solution and media management tool enabling clients to enhance the in-store experience, impact omnichannel retail and centralize operations with revenue-driving and customizable digital signage. </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charge a monthly fee to retailer, delivery and brand clients for access to our subscription package, which includes WM Listings, WM Orders, WM Store, WM Connectors and WM Insights. Depending on the market, the other add-on products are available for additional fees.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Weedmaps for Business suite in the United States, currently offer some of our Weedmaps for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national law. As of June 30, 2023, we actively operated in over 30 U.S. states and territories that have adult-use and/or medical-use regulations in place. We define actively operated markets as those U.S. states or territories with greater than $1,000 monthly revenue.</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power a transparent and inclusive global cannabis economy. Our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 </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Weedmaps marketplace is a premier destination for cannabis consumers to discover and browse information regarding cannabis and cannabis products with 5,609 and 5,625 average monthly paying business clients during the three and six months ended June 30, 2023, respectively, on the supply-side of our marketplace. These paying clients include retailers, brands and other client types (such as doctors). Further, these clients, who can choose to purchase multiple listings solutions for each business, had purchased over 9,200 listing pages as of June 30, 2023.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Our weedmaps.com website,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website, we neither sell (or fulfill purchases of) cannabis products, nor do we process payments for cannabis transactions across our marketplace or SaaS solutions.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the following key financial and operational metrics to evaluate our business, measure our performance, identify trends affecting our business, formulate business plans, and make strategic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tbl>
      <w:tblPr>
        <w:tblW w:w="9315" w:type="dxa"/>
        <w:jc w:val="left"/>
        <w:tblInd w:w="0" w:type="dxa"/>
        <w:tblLayout w:type="fixed"/>
        <w:tblCellMar>
          <w:top w:w="28" w:type="dxa"/>
          <w:left w:w="28" w:type="dxa"/>
          <w:bottom w:w="28" w:type="dxa"/>
          <w:right w:w="28" w:type="dxa"/>
        </w:tblCellMar>
      </w:tblPr>
      <w:tblGrid>
        <w:gridCol w:w="1380"/>
        <w:gridCol w:w="1210"/>
        <w:gridCol w:w="121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826"/>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revenue per paying client)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ans-serif" w:hAnsi="Times New Roman;sans-serif"/>
                <w:b w:val="false"/>
                <w:color w:val="000000"/>
                <w:sz w:val="20"/>
              </w:rPr>
              <w:t>EBITDA</w:t>
            </w:r>
            <w:r>
              <w:rPr>
                <w:rFonts w:ascii="Times New Roman;sans-serif" w:hAnsi="Times New Roman;sans-serif"/>
                <w:b w:val="false"/>
                <w:color w:val="000000"/>
                <w:sz w:val="13"/>
              </w:rPr>
              <w:t>(1)</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ans-serif" w:hAnsi="Times New Roman;sans-serif"/>
                <w:b w:val="false"/>
                <w:color w:val="000000"/>
                <w:sz w:val="20"/>
              </w:rPr>
              <w:t>Average monthly revenue per paying client</w:t>
            </w:r>
            <w:r>
              <w:rPr>
                <w:rFonts w:ascii="Times New Roman;sans-serif" w:hAnsi="Times New Roman;sans-serif"/>
                <w:b w:val="false"/>
                <w:color w:val="000000"/>
                <w:sz w:val="13"/>
              </w:rPr>
              <w:t>(2)</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Average monthly paying clients</w:t>
            </w:r>
            <w:r>
              <w:rPr>
                <w:rFonts w:ascii="Times New Roman;sans-serif" w:hAnsi="Times New Roman;sans-serif"/>
                <w:b w:val="false"/>
                <w:color w:val="000000"/>
                <w:sz w:val="13"/>
              </w:rPr>
              <w:t>(3)</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6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further information about how we calculate EBITDA and Adjusted EBITDA as well as limitations of its use and a reconciliation of EBITDA and Adjusted EBITDA to net income (loss), see “Net Income (Loss) to EBITDA and Adjusted EBITDA” below.</w:t>
      </w:r>
    </w:p>
    <w:p>
      <w:pPr>
        <w:pStyle w:val="TextBody"/>
        <w:bidi w:val="0"/>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(2)Average monthly revenue per paying client is defined as the average monthly revenue for any particular period divided by the average monthly paying clients in the same respective period. </w:t>
      </w:r>
    </w:p>
    <w:p>
      <w:pPr>
        <w:pStyle w:val="TextBody"/>
        <w:bidi w:val="0"/>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(3)Average monthly paying clients are defined as the average of the number of paying clients billed in a month across a particular period (and for which services were provided). </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our Weedmaps for Business solution as a monthly subscription package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website or third-party websites through our orders and menu embed product), (iii) customizable menus for brands, retailers and delivery operators to embed on their website, (iv) access to our APIs, including real-time connectivity between Weedmaps for Business to a POS system to streamline workflows and promote compliance through accuracy and (v) analytics dashboards. We also offer add-on and a la carte products and services for additional fees, including advertising and customer relationship management (“CRM”) software, among other things (for a description of these services, see “Overview” above). Finally, we offer a growing set of offerings for brands to reach consumers and retailers as well as manage their brand catalog information. </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Net Income (Loss) to EBITDA and Adjusted EBITDA</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including net income (loss), are prepared in accordance with accounting principles generally accepted in the United States of America (“GAAP”). For more information regarding the components of our net income (loss), see “Components of Our Results of Operations” below.</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June 30, 2023 and 2022 was $2.0 million and $19.8 million, respectively. The decrease in net income was primarily due to a decrease in revenue of $7.4 million, a comparatively unfavorable change in fair value of warrant liability of $33.3 million, a comparatively unfavorable decrease in benefit from income taxes of $1.3 million and an increase in change in tax receivable agreement (“TRA”) liability of $0.5 million, offset by a decrease in operating expense of $24.2 million and a decrease in other expense, net of $0.4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loss for the six months ended June 30, 2023 and 2022 was $2.0 million and $11.4 million, respectively. The decrease in net loss was primarily due to a decrease in operating expenses of $43.8 million and a decrease in other expense, net of $0.5 million, offset by a comparatively unfavorable change in fair value of warrant liability of $14.3 million, a decrease in revenue of $16.9 million, a comparatively unfavorable decrease in benefit from income taxes of $3.1 million and an increase in change in TRA liability of $0.6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change in TRA liability, transaction related bonuses, transaction costs, legal settlements and other legal costs, reduction in force, impairment loss and other non-cash, unusual and/or infrequent costs in the case of Adjusted EBITDA. Below we have provided a reconciliation of net income (loss) (the most directly comparable GAAP financial measure) to EBITDA; and from EBITDA to Adjusted EBITDA.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EBITDA and Adjusted EBITDA because these metrics are a key measure used by our management to evaluate our operating performance, generate future operating plans and make strategic decisions regarding the allocation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 to us.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income (loss) and our other GAAP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net income (loss) to non-GAAP EBITDA and Adjusted EBITDA is as follows:</w:t>
      </w:r>
    </w:p>
    <w:tbl>
      <w:tblPr>
        <w:tblW w:w="9271" w:type="dxa"/>
        <w:jc w:val="left"/>
        <w:tblInd w:w="0" w:type="dxa"/>
        <w:tblLayout w:type="fixed"/>
        <w:tblCellMar>
          <w:top w:w="28" w:type="dxa"/>
          <w:left w:w="28" w:type="dxa"/>
          <w:bottom w:w="28" w:type="dxa"/>
          <w:right w:w="28" w:type="dxa"/>
        </w:tblCellMar>
      </w:tblPr>
      <w:tblGrid>
        <w:gridCol w:w="1374"/>
        <w:gridCol w:w="1206"/>
        <w:gridCol w:w="121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9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bonus (recovery) expense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settlements and other legal costs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force (recovery) expense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Average Monthly Revenue Per Paying Client</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decline in our average monthly revenue per paying client was due to spend declines in established markets. We expected these pressures given the continued liquidity challenges that clients are facing.</w:t>
      </w:r>
    </w:p>
    <w:tbl>
      <w:tblPr>
        <w:tblW w:w="9021" w:type="dxa"/>
        <w:jc w:val="left"/>
        <w:tblInd w:w="0" w:type="dxa"/>
        <w:tblLayout w:type="fixed"/>
        <w:tblCellMar>
          <w:top w:w="28" w:type="dxa"/>
          <w:left w:w="28" w:type="dxa"/>
          <w:bottom w:w="28" w:type="dxa"/>
          <w:right w:w="28" w:type="dxa"/>
        </w:tblCellMar>
      </w:tblPr>
      <w:tblGrid>
        <w:gridCol w:w="1321"/>
        <w:gridCol w:w="1159"/>
        <w:gridCol w:w="1164"/>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paying client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Average Monthly Paying Clients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monthly paying clients for the three months ended June 30, 2023 increased 1% to 5,609 average monthly paying clients from 5,537 average monthly paying clients in the same period in 2022. Average monthly paying clients for the six months ended June 30, 2023 increased 6% to 5,625 average monthly paying clients from 5,282 average monthly paying clients in the same period in 2022. The increase in average monthly paying clients compared to the same periods in 2022 was primarily due to new client acquisitions across existing and new states. </w:t>
      </w:r>
    </w:p>
    <w:tbl>
      <w:tblPr>
        <w:tblW w:w="8626" w:type="dxa"/>
        <w:jc w:val="left"/>
        <w:tblInd w:w="0" w:type="dxa"/>
        <w:tblLayout w:type="fixed"/>
        <w:tblCellMar>
          <w:top w:w="28" w:type="dxa"/>
          <w:left w:w="28" w:type="dxa"/>
          <w:bottom w:w="28" w:type="dxa"/>
          <w:right w:w="28" w:type="dxa"/>
        </w:tblCellMar>
      </w:tblPr>
      <w:tblGrid>
        <w:gridCol w:w="990"/>
        <w:gridCol w:w="868"/>
        <w:gridCol w:w="872"/>
        <w:gridCol w:w="429"/>
        <w:gridCol w:w="291"/>
        <w:gridCol w:w="291"/>
        <w:gridCol w:w="291"/>
        <w:gridCol w:w="291"/>
        <w:gridCol w:w="291"/>
        <w:gridCol w:w="429"/>
        <w:gridCol w:w="291"/>
        <w:gridCol w:w="291"/>
        <w:gridCol w:w="109"/>
        <w:gridCol w:w="109"/>
        <w:gridCol w:w="109"/>
        <w:gridCol w:w="381"/>
        <w:gridCol w:w="258"/>
        <w:gridCol w:w="258"/>
        <w:gridCol w:w="258"/>
        <w:gridCol w:w="258"/>
        <w:gridCol w:w="258"/>
        <w:gridCol w:w="381"/>
        <w:gridCol w:w="258"/>
        <w:gridCol w:w="36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paying clients</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Growth of Our Two-Sided Weedmaps Marketplace</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Growth and Retention of Our Paying Clients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and the military conflict between Russia and Ukraine.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Regulation and Maturation of Cannabis Markets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and Guam have legalized some form of cannabis use for certain medical purposes. Twenty-three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14-year operating history to enter new markets.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Brand Recognition and Reputation</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Investments in Growth</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make focused organic and inorganic investments to grow our revenue and scale operations to support that growth.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operating expenses and capital expenditures fluctuate over time, we may accordingly experience short-term, negative impacts to our operating results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our Weedmaps for Business solution as a monthly subscription package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website or third-party websites through our orders and menu embed product), (iii) customizable menus for brands, retailers and delivery operators to embed on their website, (iv) access to our APIs, including real-time connectivity between Weedmaps for Business to a point-of-sale system (“POS”) to streamline workflows and promote compliance through accuracy and (v) analytics dashboards. We also offer add-on and a la carte products and services for additional fees, including advertising and customer relationship management (“CRM”) software, among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things. Finally, we offer a growing set of offerings for brands to reach consumers and retailers as well as manage their brand catalog information. Our subscriptions generally have one-month terms that automatically renew unless notice of cancellation is provided in advance. For clients that pay us in advance for listing and other services, we record deferred revenue and recognized revenue over the applicable subscription term.</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Cost of Revenues (Exclusive of Depreciation and Amortization)</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primarily consists of web hosting, internet service and credit card processing costs. Cost of sales is primarily driven by increases in revenue leading to increases in credit card processing and web hosting costs. We expect our cost of revenue to continue to increase on an absolute basis and remain relatively flat as a percentage of revenue as we scale our business and inventory costs related to multi-media offerings.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 consist of salaries and benefits, stock-based compensation expense,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Product Development Expenses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We believe that continued investment in our platform is important for our growth and expect our product development expenses will increase in a manner consistent with revenue growth as our operations grow.</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percentage of revenue as we scale our business and leverage investments in these areas.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expenses primarily consist of depreciation on computer equipment, furniture and fixtures, leasehold improvements, capitalized software development costs and amortization of intangibles. </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change in fair value of warrant liability and TRA liability remeasurement. Other expense, net consists primarily of political contributions, interest income, interest expense, financing fees and other tax related expenses.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During the three months ended December 31, 2022, we recorded a full valuation allowance against our net deferred tax assets. See Note 2 to our condensed consolidated financial statements included herein.</w:t>
      </w:r>
    </w:p>
    <w:p>
      <w:pPr>
        <w:pStyle w:val="TextBody"/>
        <w:bidi w:val="0"/>
        <w:spacing w:before="0" w:after="120"/>
        <w:ind w:left="0" w:right="0" w:firstLine="540"/>
        <w:jc w:val="both"/>
        <w:rPr/>
      </w:pPr>
      <w:r>
        <w:rPr/>
      </w:r>
    </w:p>
    <w:p>
      <w:pPr>
        <w:pStyle w:val="TextBody"/>
        <w:bidi w:val="0"/>
        <w:spacing w:before="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tbl>
      <w:tblPr>
        <w:tblW w:w="10205" w:type="dxa"/>
        <w:jc w:val="left"/>
        <w:tblInd w:w="0" w:type="dxa"/>
        <w:tblLayout w:type="fixed"/>
        <w:tblCellMar>
          <w:top w:w="28" w:type="dxa"/>
          <w:left w:w="28" w:type="dxa"/>
          <w:bottom w:w="28" w:type="dxa"/>
          <w:right w:w="28" w:type="dxa"/>
        </w:tblCellMar>
      </w:tblPr>
      <w:tblGrid>
        <w:gridCol w:w="1839"/>
        <w:gridCol w:w="1462"/>
        <w:gridCol w:w="1481"/>
        <w:gridCol w:w="222"/>
        <w:gridCol w:w="759"/>
        <w:gridCol w:w="114"/>
        <w:gridCol w:w="114"/>
        <w:gridCol w:w="114"/>
        <w:gridCol w:w="114"/>
        <w:gridCol w:w="222"/>
        <w:gridCol w:w="759"/>
        <w:gridCol w:w="114"/>
        <w:gridCol w:w="109"/>
        <w:gridCol w:w="109"/>
        <w:gridCol w:w="109"/>
        <w:gridCol w:w="211"/>
        <w:gridCol w:w="721"/>
        <w:gridCol w:w="109"/>
        <w:gridCol w:w="109"/>
        <w:gridCol w:w="109"/>
        <w:gridCol w:w="109"/>
        <w:gridCol w:w="211"/>
        <w:gridCol w:w="826"/>
        <w:gridCol w:w="159"/>
      </w:tblGrid>
      <w:tr>
        <w:trPr/>
        <w:tc>
          <w:tcPr>
            <w:tcW w:w="183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WM Technology, Inc.</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53"/>
        <w:gridCol w:w="1585"/>
        <w:gridCol w:w="1604"/>
        <w:gridCol w:w="266"/>
        <w:gridCol w:w="212"/>
        <w:gridCol w:w="451"/>
        <w:gridCol w:w="181"/>
        <w:gridCol w:w="181"/>
        <w:gridCol w:w="181"/>
        <w:gridCol w:w="266"/>
        <w:gridCol w:w="212"/>
        <w:gridCol w:w="451"/>
        <w:gridCol w:w="109"/>
        <w:gridCol w:w="109"/>
        <w:gridCol w:w="109"/>
        <w:gridCol w:w="266"/>
        <w:gridCol w:w="200"/>
        <w:gridCol w:w="414"/>
        <w:gridCol w:w="166"/>
        <w:gridCol w:w="166"/>
        <w:gridCol w:w="166"/>
        <w:gridCol w:w="266"/>
        <w:gridCol w:w="200"/>
        <w:gridCol w:w="491"/>
      </w:tblGrid>
      <w:tr>
        <w:trPr/>
        <w:tc>
          <w:tcPr>
            <w:tcW w:w="195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WM Technology, Inc.</w:t>
            </w:r>
          </w:p>
        </w:tc>
        <w:tc>
          <w:tcPr>
            <w:tcW w:w="4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Three Months Ended June 30, 2023 and 2022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5953" w:type="dxa"/>
        <w:jc w:val="left"/>
        <w:tblInd w:w="0" w:type="dxa"/>
        <w:tblLayout w:type="fixed"/>
        <w:tblCellMar>
          <w:top w:w="28" w:type="dxa"/>
          <w:left w:w="28" w:type="dxa"/>
          <w:bottom w:w="28" w:type="dxa"/>
          <w:right w:w="28" w:type="dxa"/>
        </w:tblCellMar>
      </w:tblPr>
      <w:tblGrid>
        <w:gridCol w:w="332"/>
        <w:gridCol w:w="291"/>
        <w:gridCol w:w="293"/>
        <w:gridCol w:w="230"/>
        <w:gridCol w:w="785"/>
        <w:gridCol w:w="118"/>
        <w:gridCol w:w="118"/>
        <w:gridCol w:w="118"/>
        <w:gridCol w:w="118"/>
        <w:gridCol w:w="230"/>
        <w:gridCol w:w="785"/>
        <w:gridCol w:w="118"/>
        <w:gridCol w:w="109"/>
        <w:gridCol w:w="109"/>
        <w:gridCol w:w="109"/>
        <w:gridCol w:w="211"/>
        <w:gridCol w:w="691"/>
        <w:gridCol w:w="109"/>
        <w:gridCol w:w="109"/>
        <w:gridCol w:w="109"/>
        <w:gridCol w:w="109"/>
        <w:gridCol w:w="218"/>
        <w:gridCol w:w="218"/>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decreased by $7.4 million or 13% for the three months ended June 30, 2023 compared to the same period in 2022. The decrease was driven by a decrease in average monthly revenue per paying client primarily as a result of a decrease in revenue from our featured listings and WM Deal products. Compared to the prior year period, revenue decreased approximately $5.2 million in our featured listings and WM Deal products, $1.7 million in our Weedmaps for Business and other SaaS subscriptions and $0.6 million in our other ad solutions. For the three months ended June 30, 2023, our featured listings and WM Deal products, Weedmaps for Business and other SaaS subscriptions and other ad solutions represented approximately 70%, 22% and 8% of our total revenues,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tbl>
      <w:tblPr>
        <w:tblW w:w="6359" w:type="dxa"/>
        <w:jc w:val="left"/>
        <w:tblInd w:w="0" w:type="dxa"/>
        <w:tblLayout w:type="fixed"/>
        <w:tblCellMar>
          <w:top w:w="28" w:type="dxa"/>
          <w:left w:w="28" w:type="dxa"/>
          <w:bottom w:w="28" w:type="dxa"/>
          <w:right w:w="28" w:type="dxa"/>
        </w:tblCellMar>
      </w:tblPr>
      <w:tblGrid>
        <w:gridCol w:w="531"/>
        <w:gridCol w:w="468"/>
        <w:gridCol w:w="470"/>
        <w:gridCol w:w="219"/>
        <w:gridCol w:w="641"/>
        <w:gridCol w:w="282"/>
        <w:gridCol w:w="113"/>
        <w:gridCol w:w="113"/>
        <w:gridCol w:w="113"/>
        <w:gridCol w:w="219"/>
        <w:gridCol w:w="641"/>
        <w:gridCol w:w="282"/>
        <w:gridCol w:w="109"/>
        <w:gridCol w:w="109"/>
        <w:gridCol w:w="109"/>
        <w:gridCol w:w="211"/>
        <w:gridCol w:w="541"/>
        <w:gridCol w:w="109"/>
        <w:gridCol w:w="109"/>
        <w:gridCol w:w="109"/>
        <w:gridCol w:w="109"/>
        <w:gridCol w:w="218"/>
        <w:gridCol w:w="218"/>
        <w:gridCol w:w="316"/>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was $3.2 million for the three months ended June 30, 2023 compared to $3.9 million for the same period in 2022. The decrease of $0.6 million was primarily related to a decrease of $0.9 million for cost of revenues associated with WM CRM and WM AdSuite, partially offset by an increase of $0.3 million in server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 Expenses</w:t>
      </w:r>
    </w:p>
    <w:tbl>
      <w:tblPr>
        <w:tblW w:w="7684" w:type="dxa"/>
        <w:jc w:val="left"/>
        <w:tblInd w:w="0" w:type="dxa"/>
        <w:tblLayout w:type="fixed"/>
        <w:tblCellMar>
          <w:top w:w="28" w:type="dxa"/>
          <w:left w:w="28" w:type="dxa"/>
          <w:bottom w:w="28" w:type="dxa"/>
          <w:right w:w="28" w:type="dxa"/>
        </w:tblCellMar>
      </w:tblPr>
      <w:tblGrid>
        <w:gridCol w:w="916"/>
        <w:gridCol w:w="806"/>
        <w:gridCol w:w="812"/>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31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by $9.6 million, or 43%, for the three months ended June 30, 2023 compared to the same period in 2022. The decrease was primarily due to a decrease in personnel-related costs of $6.4 million, a decrease in website advertising expense of $1.7 million, a decrease in outside services of $1.0 million, a decrease in events expense of $0.5 million, a decrease in print and product expense of $0.3 million and a decrease in travel and entertainment expense of $0.2 million, partially offset by an increase in branding and advertising expense of $0.5 million. The decrease in personnel-related costs was primarily due to decreased headcount, including decreases in salaries and wages of $3.1 million, bonus expense of $1.7 million and stock-based compensation expense of $1.4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Development Expenses</w:t>
      </w:r>
    </w:p>
    <w:tbl>
      <w:tblPr>
        <w:tblW w:w="7684" w:type="dxa"/>
        <w:jc w:val="left"/>
        <w:tblInd w:w="0" w:type="dxa"/>
        <w:tblLayout w:type="fixed"/>
        <w:tblCellMar>
          <w:top w:w="28" w:type="dxa"/>
          <w:left w:w="28" w:type="dxa"/>
          <w:bottom w:w="28" w:type="dxa"/>
          <w:right w:w="28" w:type="dxa"/>
        </w:tblCellMar>
      </w:tblPr>
      <w:tblGrid>
        <w:gridCol w:w="957"/>
        <w:gridCol w:w="839"/>
        <w:gridCol w:w="843"/>
        <w:gridCol w:w="211"/>
        <w:gridCol w:w="616"/>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316"/>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expenses decreased by $4.1 million, or 31%, for the three months ended June 30, 2023 compared to the same period in 2022. This decrease was primarily due to a decrease in personnel-related costs of $3.1 million and a decrease in outside services of $1.0 million. The decrease in personnel-related costs was primarily due to decreased headcount, including decreases in salaries and wages of $1.6 million, bonus expense of $0.9 million, and stock-based compensation expense of $0.4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tbl>
      <w:tblPr>
        <w:tblW w:w="8345" w:type="dxa"/>
        <w:jc w:val="left"/>
        <w:tblInd w:w="0" w:type="dxa"/>
        <w:tblLayout w:type="fixed"/>
        <w:tblCellMar>
          <w:top w:w="28" w:type="dxa"/>
          <w:left w:w="28" w:type="dxa"/>
          <w:bottom w:w="28" w:type="dxa"/>
          <w:right w:w="28" w:type="dxa"/>
        </w:tblCellMar>
      </w:tblPr>
      <w:tblGrid>
        <w:gridCol w:w="1120"/>
        <w:gridCol w:w="984"/>
        <w:gridCol w:w="986"/>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18"/>
        <w:gridCol w:w="218"/>
        <w:gridCol w:w="316"/>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General and administrative expenses decreased by $10.4 million, or 35%, for the three months ended June 30, 2023 compared to the same period in 2022. This decrease was primarily due to a decrease in personnel-related costs of $4.9 million, a decrease in insurance expense of $1.7 million, a decrease in professional services of $1.8 million, a decrease in impairment loss of $0.6 million, a decrease in software expense of $0.7 million, a decrease in provision for doubtful accounts of $0.3 million, a decrease in outside services of $0.2 million and a decrease in rent expense of $0.2 million. </w:t>
      </w:r>
      <w:r>
        <w:rPr>
          <w:rFonts w:ascii="Times New Roman;sans-serif" w:hAnsi="Times New Roman;sans-serif"/>
          <w:b w:val="false"/>
          <w:color w:val="000000"/>
          <w:sz w:val="20"/>
          <w:shd w:fill="FFFFFF" w:val="clear"/>
        </w:rPr>
        <w:t xml:space="preserve">The decrease in personnel-related costs </w:t>
      </w:r>
      <w:r>
        <w:rPr>
          <w:rFonts w:ascii="Times New Roman;sans-serif" w:hAnsi="Times New Roman;sans-serif"/>
          <w:b w:val="false"/>
          <w:color w:val="000000"/>
          <w:sz w:val="20"/>
        </w:rPr>
        <w:t xml:space="preserve">was primarily due to decreased headcount, including a </w:t>
      </w:r>
      <w:r>
        <w:rPr>
          <w:rFonts w:ascii="Times New Roman;sans-serif" w:hAnsi="Times New Roman;sans-serif"/>
          <w:b w:val="false"/>
          <w:color w:val="000000"/>
          <w:sz w:val="20"/>
          <w:shd w:fill="FFFFFF" w:val="clear"/>
        </w:rPr>
        <w:t xml:space="preserve">decrease in salaries and wages of $1.8 million, a decrease in employee benefits expense of $0.9 million, a decrease in bonus expense of $0.2 million and a decrease in stock-based compensation expense of </w:t>
      </w:r>
      <w:r>
        <w:rPr>
          <w:rFonts w:ascii="Times New Roman;sans-serif" w:hAnsi="Times New Roman;sans-serif"/>
          <w:b w:val="false"/>
          <w:color w:val="000000"/>
          <w:sz w:val="20"/>
        </w:rPr>
        <w:t>$2.6 million</w:t>
      </w:r>
      <w:r>
        <w:rPr>
          <w:rFonts w:ascii="Times New Roman;sans-serif" w:hAnsi="Times New Roman;sans-serif"/>
          <w:b w:val="false"/>
          <w:color w:val="000000"/>
          <w:sz w:val="20"/>
          <w:shd w:fill="FFFFFF" w:val="clear"/>
        </w:rPr>
        <w:t xml:space="preserve">, partially offset by an increase in severance costs of $0.7 million.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Expenses</w:t>
      </w:r>
    </w:p>
    <w:tbl>
      <w:tblPr>
        <w:tblW w:w="8115" w:type="dxa"/>
        <w:jc w:val="left"/>
        <w:tblInd w:w="0" w:type="dxa"/>
        <w:tblLayout w:type="fixed"/>
        <w:tblCellMar>
          <w:top w:w="28" w:type="dxa"/>
          <w:left w:w="28" w:type="dxa"/>
          <w:bottom w:w="28" w:type="dxa"/>
          <w:right w:w="28" w:type="dxa"/>
        </w:tblCellMar>
      </w:tblPr>
      <w:tblGrid>
        <w:gridCol w:w="1222"/>
        <w:gridCol w:w="1075"/>
        <w:gridCol w:w="1078"/>
        <w:gridCol w:w="219"/>
        <w:gridCol w:w="641"/>
        <w:gridCol w:w="282"/>
        <w:gridCol w:w="113"/>
        <w:gridCol w:w="113"/>
        <w:gridCol w:w="113"/>
        <w:gridCol w:w="219"/>
        <w:gridCol w:w="641"/>
        <w:gridCol w:w="282"/>
        <w:gridCol w:w="109"/>
        <w:gridCol w:w="109"/>
        <w:gridCol w:w="109"/>
        <w:gridCol w:w="211"/>
        <w:gridCol w:w="466"/>
        <w:gridCol w:w="109"/>
        <w:gridCol w:w="109"/>
        <w:gridCol w:w="109"/>
        <w:gridCol w:w="109"/>
        <w:gridCol w:w="180"/>
        <w:gridCol w:w="181"/>
        <w:gridCol w:w="316"/>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expenses increased $0.4 million, or 16%, for the three months ended June 30, 2023 compared to the same period in 2022. The increase was primarily due to an increase in capitalized software amortization of $0.8 million, partially offset by a decrease in depreciation and amortization on other assets of $0.4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(Expense) Income, net</w:t>
      </w:r>
    </w:p>
    <w:tbl>
      <w:tblPr>
        <w:tblW w:w="9063" w:type="dxa"/>
        <w:jc w:val="left"/>
        <w:tblInd w:w="0" w:type="dxa"/>
        <w:tblLayout w:type="fixed"/>
        <w:tblCellMar>
          <w:top w:w="28" w:type="dxa"/>
          <w:left w:w="28" w:type="dxa"/>
          <w:bottom w:w="28" w:type="dxa"/>
          <w:right w:w="28" w:type="dxa"/>
        </w:tblCellMar>
      </w:tblPr>
      <w:tblGrid>
        <w:gridCol w:w="1354"/>
        <w:gridCol w:w="1185"/>
        <w:gridCol w:w="1195"/>
        <w:gridCol w:w="211"/>
        <w:gridCol w:w="691"/>
        <w:gridCol w:w="271"/>
        <w:gridCol w:w="109"/>
        <w:gridCol w:w="109"/>
        <w:gridCol w:w="109"/>
        <w:gridCol w:w="211"/>
        <w:gridCol w:w="721"/>
        <w:gridCol w:w="271"/>
        <w:gridCol w:w="109"/>
        <w:gridCol w:w="109"/>
        <w:gridCol w:w="109"/>
        <w:gridCol w:w="211"/>
        <w:gridCol w:w="796"/>
        <w:gridCol w:w="109"/>
        <w:gridCol w:w="109"/>
        <w:gridCol w:w="109"/>
        <w:gridCol w:w="109"/>
        <w:gridCol w:w="269"/>
        <w:gridCol w:w="271"/>
        <w:gridCol w:w="316"/>
      </w:tblGrid>
      <w:tr>
        <w:trPr/>
        <w:tc>
          <w:tcPr>
            <w:tcW w:w="135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decreased by $33.4 million during the three months ended June 30, 2023 compared to the same period in 2022. Other (expense) income, net was primarily impacted by comparatively unfavorable changes in fair value of warrant liability of $33.3 million. and an increase in change in tax receivable agreement liability of $0.5 million, partially offset by other expense, net, of $0.4 million . </w:t>
      </w:r>
    </w:p>
    <w:p>
      <w:pPr>
        <w:pStyle w:val="TextBody"/>
        <w:bidi w:val="0"/>
        <w:spacing w:before="0" w:after="1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Benefit from Income Taxes</w:t>
      </w:r>
    </w:p>
    <w:tbl>
      <w:tblPr>
        <w:tblW w:w="6659" w:type="dxa"/>
        <w:jc w:val="left"/>
        <w:tblInd w:w="0" w:type="dxa"/>
        <w:tblLayout w:type="fixed"/>
        <w:tblCellMar>
          <w:top w:w="28" w:type="dxa"/>
          <w:left w:w="28" w:type="dxa"/>
          <w:bottom w:w="28" w:type="dxa"/>
          <w:right w:w="28" w:type="dxa"/>
        </w:tblCellMar>
      </w:tblPr>
      <w:tblGrid>
        <w:gridCol w:w="814"/>
        <w:gridCol w:w="714"/>
        <w:gridCol w:w="721"/>
        <w:gridCol w:w="232"/>
        <w:gridCol w:w="446"/>
        <w:gridCol w:w="298"/>
        <w:gridCol w:w="119"/>
        <w:gridCol w:w="119"/>
        <w:gridCol w:w="119"/>
        <w:gridCol w:w="232"/>
        <w:gridCol w:w="759"/>
        <w:gridCol w:w="298"/>
        <w:gridCol w:w="109"/>
        <w:gridCol w:w="109"/>
        <w:gridCol w:w="109"/>
        <w:gridCol w:w="211"/>
        <w:gridCol w:w="616"/>
        <w:gridCol w:w="109"/>
        <w:gridCol w:w="154"/>
        <w:gridCol w:w="154"/>
        <w:gridCol w:w="21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from income taxes decreased by $1.3 million for the three months ended June 30, 2023 compared to the same period in 2022. For the three months ended June 30, 2023, we recorded zero income tax provision due to the impact of the full valuation allowance on our net deferred assets. For the three months ended June 30, 2022, we recorded an income tax benefit of $1.3 million. The income tax benefit was as a result of the tax benefit of our pro rata share of losses and tax credits flowing through from WMH LLC. See Note 2 to our condensed consolidated financial statements included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Six Months Ended June 30, 2023 and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5952" w:type="dxa"/>
        <w:jc w:val="left"/>
        <w:tblInd w:w="0" w:type="dxa"/>
        <w:tblLayout w:type="fixed"/>
        <w:tblCellMar>
          <w:top w:w="28" w:type="dxa"/>
          <w:left w:w="28" w:type="dxa"/>
          <w:bottom w:w="28" w:type="dxa"/>
          <w:right w:w="28" w:type="dxa"/>
        </w:tblCellMar>
      </w:tblPr>
      <w:tblGrid>
        <w:gridCol w:w="332"/>
        <w:gridCol w:w="291"/>
        <w:gridCol w:w="293"/>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decreased by $16.9 million, or 15%, for the six months ended June 30, 2023 compared to the same period in 2022. The decrease was driven by a decrease in average monthly revenue per paying client primarily as a result of a decrease in revenue from our featured listings and Deal products. Compared to the prior year period, revenue decreased $13.2 million in our featured listings and WM Deal products, $2.7 million in our Weedmaps for Business and other SaaS subscriptions and $1.0 million in our other ad solutions. For the six months ended June 30, 2023, our featured listings and WM Deal products, Weedmaps for Business and other SaaS subscriptions, and other ad solutions represented approximately 70%, 23% and 7% of our total revenues, respectively.</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tbl>
      <w:tblPr>
        <w:tblW w:w="6259" w:type="dxa"/>
        <w:jc w:val="left"/>
        <w:tblInd w:w="0" w:type="dxa"/>
        <w:tblLayout w:type="fixed"/>
        <w:tblCellMar>
          <w:top w:w="28" w:type="dxa"/>
          <w:left w:w="28" w:type="dxa"/>
          <w:bottom w:w="28" w:type="dxa"/>
          <w:right w:w="28" w:type="dxa"/>
        </w:tblCellMar>
      </w:tblPr>
      <w:tblGrid>
        <w:gridCol w:w="531"/>
        <w:gridCol w:w="468"/>
        <w:gridCol w:w="470"/>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218"/>
        <w:gridCol w:w="218"/>
        <w:gridCol w:w="316"/>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decreased by $0.9 million, or 11%, for the six months ended June 30, 2023 compared to the same period in 2022. The decrease was primarily related to a decrease of $1.7 million for cost of revenue associated with WM CRM and WM AdSuite, offset by an increase of $0.8 million in server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 Expenses</w:t>
      </w:r>
    </w:p>
    <w:tbl>
      <w:tblPr>
        <w:tblW w:w="7789" w:type="dxa"/>
        <w:jc w:val="left"/>
        <w:tblInd w:w="0" w:type="dxa"/>
        <w:tblLayout w:type="fixed"/>
        <w:tblCellMar>
          <w:top w:w="28" w:type="dxa"/>
          <w:left w:w="28" w:type="dxa"/>
          <w:bottom w:w="28" w:type="dxa"/>
          <w:right w:w="28" w:type="dxa"/>
        </w:tblCellMar>
      </w:tblPr>
      <w:tblGrid>
        <w:gridCol w:w="916"/>
        <w:gridCol w:w="806"/>
        <w:gridCol w:w="812"/>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18"/>
        <w:gridCol w:w="218"/>
        <w:gridCol w:w="31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by $19.4 million, or 44%, for the six months ended June 30, 2023 compared to the same period in 2022. The decrease was primarily due to a decrease in personnel-related costs of $10.8 million, a decrease in outside services of $2.6 million, a decrease in branding and advertising expense of $0.4 million and a decrease in travel and entertainment of $0.3 million, a decrease in website advertising expense of $4.0 million, a decrease in event expense of $1.0 million and a decrease in print and products expense of $0.5 million. The decrease in personnel-related costs was primarily due to decreased headcount, including a decrease in salaries and wages of $5.3 million, a decrease in bonus expense of $2.8 million, a decrease in payroll taxes of $0.3 million and a decrease in stock-based compensation of $2.3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Development Expenses</w:t>
      </w:r>
    </w:p>
    <w:tbl>
      <w:tblPr>
        <w:tblW w:w="7789" w:type="dxa"/>
        <w:jc w:val="left"/>
        <w:tblInd w:w="0" w:type="dxa"/>
        <w:tblLayout w:type="fixed"/>
        <w:tblCellMar>
          <w:top w:w="28" w:type="dxa"/>
          <w:left w:w="28" w:type="dxa"/>
          <w:bottom w:w="28" w:type="dxa"/>
          <w:right w:w="28" w:type="dxa"/>
        </w:tblCellMar>
      </w:tblPr>
      <w:tblGrid>
        <w:gridCol w:w="957"/>
        <w:gridCol w:w="839"/>
        <w:gridCol w:w="843"/>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316"/>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expenses decreased by $6.2 million, or 24%, for the six months ended June 30, 2023 compared to the same period in 2022. This decrease was due to a decrease in personnel-related costs of $4.4 million and a decrease in outside services expense of $1.8 million. The decrease in personnel-related costs was primarily due to decreased headcount, including a decrease in salaries and wages of $2.3 million, a decrease in bonus expense of $1.1 million and a decrease in stock-based compensation expense of $0.7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tbl>
      <w:tblPr>
        <w:tblW w:w="8345" w:type="dxa"/>
        <w:jc w:val="left"/>
        <w:tblInd w:w="0" w:type="dxa"/>
        <w:tblLayout w:type="fixed"/>
        <w:tblCellMar>
          <w:top w:w="28" w:type="dxa"/>
          <w:left w:w="28" w:type="dxa"/>
          <w:bottom w:w="28" w:type="dxa"/>
          <w:right w:w="28" w:type="dxa"/>
        </w:tblCellMar>
      </w:tblPr>
      <w:tblGrid>
        <w:gridCol w:w="1120"/>
        <w:gridCol w:w="984"/>
        <w:gridCol w:w="986"/>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18"/>
        <w:gridCol w:w="218"/>
        <w:gridCol w:w="316"/>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68" w:before="120" w:after="283"/>
        <w:ind w:left="0" w:right="0" w:firstLine="540"/>
        <w:jc w:val="both"/>
        <w:rPr/>
      </w:pPr>
      <w:r>
        <w:rPr>
          <w:rFonts w:ascii="Times New Roman;sans-serif" w:hAnsi="Times New Roman;sans-serif"/>
          <w:b w:val="false"/>
          <w:color w:val="000000"/>
          <w:sz w:val="20"/>
        </w:rPr>
        <w:t xml:space="preserve">General and administrative expenses decreased by $17.0 million, or 29%, for the six months ended June 30, 2023 compared to the same period in 2022. This decrease was primarily due to a decrease in personnel-related costs of $7.9 million, a decrease in insurance expense of $3.7 million, a decrease in provision for doubtful accounts of $1.1 million, a decrease in outside services of $0.7 million, a decrease in software expense of $1.1 million, a decrease in rent expense of $0.4 million, a decrease in impairment loss of $0.6 million and a decrease in professional services of $1.2 million. </w:t>
      </w:r>
      <w:r>
        <w:rPr>
          <w:rFonts w:ascii="Times New Roman;sans-serif" w:hAnsi="Times New Roman;sans-serif"/>
          <w:b w:val="false"/>
          <w:color w:val="000000"/>
          <w:sz w:val="20"/>
          <w:shd w:fill="FFFFFF" w:val="clear"/>
        </w:rPr>
        <w:t xml:space="preserve">The decrease in personnel-related costs </w:t>
      </w:r>
      <w:r>
        <w:rPr>
          <w:rFonts w:ascii="Times New Roman;sans-serif" w:hAnsi="Times New Roman;sans-serif"/>
          <w:b w:val="false"/>
          <w:color w:val="000000"/>
          <w:sz w:val="20"/>
        </w:rPr>
        <w:t xml:space="preserve">was primarily due to decreased headcount, including a </w:t>
      </w:r>
      <w:r>
        <w:rPr>
          <w:rFonts w:ascii="Times New Roman;sans-serif" w:hAnsi="Times New Roman;sans-serif"/>
          <w:b w:val="false"/>
          <w:color w:val="000000"/>
          <w:sz w:val="20"/>
          <w:shd w:fill="FFFFFF" w:val="clear"/>
        </w:rPr>
        <w:t xml:space="preserve">decrease in salaries and wages of $2.7 million, a decrease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bonus expense of $0.9 million, a decrease in employee benefits expense of $0.7 million and a decrease in stock-based compensation expense of $4.6 million, partially offset by an increase in severance costs of $1.3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Expenses</w:t>
      </w:r>
    </w:p>
    <w:tbl>
      <w:tblPr>
        <w:tblW w:w="8059" w:type="dxa"/>
        <w:jc w:val="left"/>
        <w:tblInd w:w="0" w:type="dxa"/>
        <w:tblLayout w:type="fixed"/>
        <w:tblCellMar>
          <w:top w:w="28" w:type="dxa"/>
          <w:left w:w="28" w:type="dxa"/>
          <w:bottom w:w="28" w:type="dxa"/>
          <w:right w:w="28" w:type="dxa"/>
        </w:tblCellMar>
      </w:tblPr>
      <w:tblGrid>
        <w:gridCol w:w="1222"/>
        <w:gridCol w:w="1075"/>
        <w:gridCol w:w="1078"/>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164"/>
        <w:gridCol w:w="166"/>
        <w:gridCol w:w="316"/>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decreased $0.4 million for the six months ended June 30, 2023 compared to the same period in 2022. The decrease was primarily due to a decrease in depreciation and amortization on other assets of $0.9 million, partially offset by an increase in capitalized software amortization of $0.5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(Expense) Income, net</w:t>
      </w:r>
    </w:p>
    <w:tbl>
      <w:tblPr>
        <w:tblW w:w="9063" w:type="dxa"/>
        <w:jc w:val="left"/>
        <w:tblInd w:w="0" w:type="dxa"/>
        <w:tblLayout w:type="fixed"/>
        <w:tblCellMar>
          <w:top w:w="28" w:type="dxa"/>
          <w:left w:w="28" w:type="dxa"/>
          <w:bottom w:w="28" w:type="dxa"/>
          <w:right w:w="28" w:type="dxa"/>
        </w:tblCellMar>
      </w:tblPr>
      <w:tblGrid>
        <w:gridCol w:w="1354"/>
        <w:gridCol w:w="1185"/>
        <w:gridCol w:w="1195"/>
        <w:gridCol w:w="211"/>
        <w:gridCol w:w="691"/>
        <w:gridCol w:w="271"/>
        <w:gridCol w:w="109"/>
        <w:gridCol w:w="109"/>
        <w:gridCol w:w="109"/>
        <w:gridCol w:w="211"/>
        <w:gridCol w:w="721"/>
        <w:gridCol w:w="271"/>
        <w:gridCol w:w="109"/>
        <w:gridCol w:w="109"/>
        <w:gridCol w:w="109"/>
        <w:gridCol w:w="211"/>
        <w:gridCol w:w="796"/>
        <w:gridCol w:w="109"/>
        <w:gridCol w:w="109"/>
        <w:gridCol w:w="109"/>
        <w:gridCol w:w="109"/>
        <w:gridCol w:w="269"/>
        <w:gridCol w:w="271"/>
        <w:gridCol w:w="316"/>
      </w:tblGrid>
      <w:tr>
        <w:trPr/>
        <w:tc>
          <w:tcPr>
            <w:tcW w:w="135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decreased by $14.5 million for the six months ended June 30, 2023 compared to the same period in 2022. The decrease in other (expense) income, net was primarily due to comparatively unfavorable changes in fair value of warrant liability of $14.3 million and an increase in change in tax receivable agreement liability of $0.6 million, partially offset by other expense of $0.5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Benefit from Income Taxes</w:t>
      </w:r>
    </w:p>
    <w:tbl>
      <w:tblPr>
        <w:tblW w:w="6425" w:type="dxa"/>
        <w:jc w:val="left"/>
        <w:tblInd w:w="0" w:type="dxa"/>
        <w:tblLayout w:type="fixed"/>
        <w:tblCellMar>
          <w:top w:w="28" w:type="dxa"/>
          <w:left w:w="28" w:type="dxa"/>
          <w:bottom w:w="28" w:type="dxa"/>
          <w:right w:w="28" w:type="dxa"/>
        </w:tblCellMar>
      </w:tblPr>
      <w:tblGrid>
        <w:gridCol w:w="814"/>
        <w:gridCol w:w="714"/>
        <w:gridCol w:w="721"/>
        <w:gridCol w:w="211"/>
        <w:gridCol w:w="406"/>
        <w:gridCol w:w="271"/>
        <w:gridCol w:w="109"/>
        <w:gridCol w:w="109"/>
        <w:gridCol w:w="109"/>
        <w:gridCol w:w="211"/>
        <w:gridCol w:w="691"/>
        <w:gridCol w:w="271"/>
        <w:gridCol w:w="109"/>
        <w:gridCol w:w="109"/>
        <w:gridCol w:w="109"/>
        <w:gridCol w:w="211"/>
        <w:gridCol w:w="616"/>
        <w:gridCol w:w="109"/>
        <w:gridCol w:w="154"/>
        <w:gridCol w:w="154"/>
        <w:gridCol w:w="21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from income taxes decreased by $3.1 million for the six months ended June 30, 2023 compared to the same period in 2022. For the six months ended June 30, 2023, we recorded zero income tax provision due to the impact of the full valuation allowance on our net deferred assets. For the six months ended June 30, 2022, we recorded an income tax benefit of $3.1 million resulting from the tax benefit of our pro rata share of losses and tax credits flowing through from WMH LLC. See Note 2 to our condensed consolidated financial statements included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financial results have been driven by our ability to achieve rapid growth throughout the year and/or the impact of broader industry headwinds impacting our clients. The cannabis industry has certain industry holidays that in recent years have resulted in increased sales by cannabis users. Some such “holidays” include, but are not limited to, April 20th (“420”), July 10th and the Wednesday before Thanksgiving (“Green Wednesday”). Likewise, our clients will typically increase spend heading into these events. We will also invest in marketing spend around these holidays which can create some seasonality in our sales and market expenses from quarter to quarter. Therefore, while seasonality has not had a significant impact on our results in the past, our clients may experience seasonality in their businesses which in turn can impact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from them. Our business may become more seasonal in the future and historical patterns in our business may not be a reliable indicator of future performance.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our cash, accounts receivable and working capital as of the dates indicated:</w:t>
      </w:r>
    </w:p>
    <w:tbl>
      <w:tblPr>
        <w:tblW w:w="5485" w:type="dxa"/>
        <w:jc w:val="left"/>
        <w:tblInd w:w="0" w:type="dxa"/>
        <w:tblLayout w:type="fixed"/>
        <w:tblCellMar>
          <w:top w:w="28" w:type="dxa"/>
          <w:left w:w="28" w:type="dxa"/>
          <w:bottom w:w="28" w:type="dxa"/>
          <w:right w:w="28" w:type="dxa"/>
        </w:tblCellMar>
      </w:tblPr>
      <w:tblGrid>
        <w:gridCol w:w="763"/>
        <w:gridCol w:w="670"/>
        <w:gridCol w:w="681"/>
        <w:gridCol w:w="258"/>
        <w:gridCol w:w="883"/>
        <w:gridCol w:w="133"/>
        <w:gridCol w:w="109"/>
        <w:gridCol w:w="109"/>
        <w:gridCol w:w="109"/>
        <w:gridCol w:w="344"/>
        <w:gridCol w:w="1175"/>
        <w:gridCol w:w="251"/>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we had cash of $24.6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June 30,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finance our operations and capital expenditures through cash flows generated by operations.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6713" w:type="dxa"/>
        <w:jc w:val="left"/>
        <w:tblInd w:w="0" w:type="dxa"/>
        <w:tblLayout w:type="fixed"/>
        <w:tblCellMar>
          <w:top w:w="28" w:type="dxa"/>
          <w:left w:w="28" w:type="dxa"/>
          <w:bottom w:w="28" w:type="dxa"/>
          <w:right w:w="28" w:type="dxa"/>
        </w:tblCellMar>
      </w:tblPr>
      <w:tblGrid>
        <w:gridCol w:w="1524"/>
        <w:gridCol w:w="1340"/>
        <w:gridCol w:w="1350"/>
        <w:gridCol w:w="211"/>
        <w:gridCol w:w="691"/>
        <w:gridCol w:w="109"/>
        <w:gridCol w:w="109"/>
        <w:gridCol w:w="109"/>
        <w:gridCol w:w="109"/>
        <w:gridCol w:w="211"/>
        <w:gridCol w:w="79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Operating Activities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from operating activities consists primarily of net loss adjusted for certain non-cash items, including depreciation and amortization, change in fair value of warrant liability, change in TRA liability, stock-based compensation, deferred taxes, impairment loss, provision for doubtful accounts and the effect of changes in working capital.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six months ended June 30, 2023 was $4.1 million, which resulted from a net loss of $2.0 million, together with net cash outflows of $12.6 million from changes in operating assets and liabilities, and non-cash items of $18.7 million, consisting of depreciation and amortization of $6.0 million, fair value of warrant liability of $0.3 million, stock-based compensation of $8.1 million, provision for doubtful accounts of $3.6 million and change in tax receivable agreement of $0.6 million. Net cash outflows from changes in operating assets and liabilities was primarily due to a decrease in accounts payable and accrued expenses of $13.5 million, which includes a payout of $8.5 million during the three months ended June 30, 2023 related to certain employment agreements entered into in connection with a prior acquisition, and an increase in accounts receivable of $1.1 million, partially offset by a decrease in prepaid expenses and other current assets of $1.6 million, and an increase in deferred revenue of $0.4 million. The changes in operating assets and liabilities are mostly due to fluctuations in timing of cash receipts and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by operating activities for the six months ended June 30, 2022 was $3.8 million, which resulted from net loss of $11.4 million, together with net cash outflows of $2.6 million from changes in operating assets and liabilities, and non-cash items of $10.2 million, consisting of depreciation and amortization of $6.4 million, fair value of warrant liability of $14.0 million, stock-based compensation of $15.6 million, deferred income taxes of $3.1 million, provision for doubtful accounts of $4.7 million and impairment loss on right-of-use asset $0.6 million. Net cash outflows from changes in operating assets and liabilities were primarily due to an increase in accounts receivables of $13.6 million, partially offset by a decrease in prepaid expenses and other current assets of $2.9 million and an increase in accounts payables and accrued expenses of $8.9 million. The changes in operating assets and liabilities are mostly due to fluctuations in timing of cash receipts and payments.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six months ended June 30, 2023 was $5.8 million for the purchases of property and equipment, including certain capitalized software development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for the six months ended June 30, 2022 was $10.3 million, which resulted from $8.6 million cash paid for purchases of property and equipment, including certain capitalized software development cost, net cash paid for acquisition of $0.7 million and cash paid for an acquisition holdback release of $1.0 million. </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outflows from financing activities for the six months ended June 30, 2023 was $2.3 million, including the repayment of insurance premium financing of $1.5 million and distributions of $1.0 million to the holders of WMH LLC’s Class A Units and Class P Units other than the Company, partially offset by $0.2 million cash inflow from note repayment proceeds.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outflows from financing activities for six months ended June 30, 2022 was $6.1 million, which primarily consists of repayments of insurance premium financing of $4.3 million and distribution of $1.8 million to the holders of WMH LLC’s Class A Units and Class P Units other than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are derived primarily from monthly subscriptions and additional offerings for access to the Weedmaps marketplace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the timing of satisfaction of such obligations either over time or at a point-in-time requires us to make significant judgment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generated by providing standard listing subscription services and other paid listing subscriptions services, including featured listings, placements, promoted deals, nearby listings, other display advertising as well as customer relationship management and delivery and logistic services. These arrangements are recognized over-time, generally during a month-to-month subscription period as the products are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June 30, 2023, TRA liability was $1.1 million, of which $0.4 million is expected to be paid in 2023.</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weight of all available evidence, both positive and negative, we determined during the three months ended December 31, 2022 that a full valuation allowance was required against our net deferred tax assets. See Note 2 to our condensed consolidated financial statements included herein.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months ended June 30, 2023 and 2022, we recognized stock-based compensation expense of $3.7 million and $8.1 million, respectively, and for the six months ended June 30, 2023 and 2022, we recognized stock-based compensation expense of $8.1 million and $15.6 million, respectively. See Note 10 to our condensed consolidated financial statements included herein.</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certain costs related to the development and enhancement of the Weedmaps platform and SaaS solutions. In accordance with authoritative guidance, we began to capitalize these costs when preliminary development efforts were successfully completed, management had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three months ended June 30, 2023 and 2022, we capitalized software development costs of $2.1 million and $4.5 million, respectively, and for the six months ended June 30, 2023 and 2022, we capitalized software development costs of $5.1 million and $8.6 million, respectively.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measure credit losses on our trade accounts receivable using the current expected credit loss model under Accounting Standards Codification 326 </w:t>
      </w:r>
      <w:r>
        <w:rPr>
          <w:rFonts w:ascii="Times New Roman;sans-serif" w:hAnsi="Times New Roman;sans-serif"/>
          <w:b w:val="false"/>
          <w:i/>
          <w:color w:val="000000"/>
          <w:sz w:val="20"/>
        </w:rPr>
        <w:t>Financial Instruments – Credit Losses</w:t>
      </w:r>
      <w:r>
        <w:rPr>
          <w:rFonts w:ascii="Times New Roman;sans-serif" w:hAnsi="Times New Roman;sans-serif"/>
          <w:b w:val="false"/>
          <w:color w:val="000000"/>
          <w:sz w:val="20"/>
        </w:rPr>
        <w:t xml:space="preserve">, which is based on the expected losses rather than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losses. Under the credit loss model, lifetime expected credit losses are measured and recognized at each reporting date based on historical, current and forecast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the expected credit losses on a pool basis for trade receivables that have similar risk characteristics. For trade receivables that do not share similar risk characteristics, the allowance for doubtful accounts is calculated on an individual basis. Risk characteristics relevant to our accounts receivable include balance of customer account and aging status. The allowance for doubtful accounts were $9.2 million and $12.2 million as of June 30, 2023 and December 31, 2022, respectively. See Note 2 to our condensed consolidated financial statements included herein.</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judgment, estimates and assumptions. Significant estimates and assumptions in valuing acquired intangible assets and liabilities include projected cash flows attributable to the assets or liabilities, asset useful lives and discount rates.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condensed consolidated financial statements included herein.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connection with the Business Combination, we assumed 12,499,993 Public Warrants and 7,000,000 Private Placement Warrants. As of June 30, 2023, 12,499,973 of the Public Warrants and all of the Private Placement Warrants remained outstanding . The warrants are measured at fair value under ASC 820 -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June 30, 2023 and December 31, 2022, warrant liability was $2.4 million and $2.1 million, respectively. See Note 4 to our condensed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Interim Chief Financial Officer, as appropriate to allow timely decisions regarding required disclosure. Our Executive Chair and former Chief Financial Officer evaluated the effectiveness of our disclosure controls and procedures as of December 31, 2022, pursuant to Rule 13a-15(b) under the Exchange Act. Based on the evaluation, and in light of the material weakness in internal controls described below, our Executive Chair and Interim Chief Financial Officer have concluded that as of June 30, 2023, our disclosure controls and procedures were not effective due to the material weakness in internal control over financial reporting.</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Material Weaknesses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our management’s report on internal control over financial reporting within our Annual Report on Form 10-K for the year ended December 31, 2022, we identified a material weakness in internal control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ineffective information technology general controls (ITGCs) in the areas of user access and program change-management over certain information technology systems that support our financial reporting processes. As a result, our business process automated and manual controls that were dependent on the affected ITGCs were ineffective because they could have been adversely impacted. These control deficiencies were a result of: IT controls lacked sufficient segregation of duties as developers were granted administrative rights; certain users including developers had accessed other users’ accounts; and our controls over logging and monitoring of system configuration and data changes made by these users were not effectively designed to detect erroneous or unauthorized changes. The material weakness did not result in any identified misstatements in our financial statements.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Remediation </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implemented measures designed to ensure that control deficiencies contributing to the material weakness are remediated, such that these controls are designed, implemented and operating effectively. The remediation actions include: (i) removing the access from certain users to make changes directly in production systems; (ii) removing privileged access to other user accounts; and (iii) enhancing logging and monitoring of privileged user activities such as data updates in production systems. 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during the end of the year ending December 31, 2023.</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significant changes associated with the material weaknesses and corresponding remediation procedures as described above, there were no changes in our internal control over financial reporting (as such term is defined in Rules 13a-15(f) and 15d-15(f) of the Exchange Act) during the six months ended June 30, 2023 that has materially affected, or is reasonably likely to materially affect, our internal control over financial reporting.</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“Commitments and Contingencies—Litigation” in Note 3 of the notes to the condensed consolidated financial statements included in Part I, Item 1 of this Quarterly Report on Form 10-Q is incorporated by reference into this Item 1.</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the second quarter of 2022, our board of directors received an internal complaint regarding the calculation, definition and reporting of our monthly active users (“MAUs”) metric. In response, the board of directors formed a special committee (the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Since that date, we have received two subpoenas from the SEC’s Division of Enforcement requesting additional information and documents. In addition, the SEC has issued subpoenas to several of our current and former employees seeking their testimony. We have been fully cooperating with the SEC’s investigation. Such investigations are inherently uncertain and their results cannot be predicted with certainty, but could result in penalties or other sanctions against the Company, as well as negative publicity and reputational harm. Regardless of the outcome, such proceedings can have an adverse impact on us because of legal costs, diversion of management resources and other factors.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 our securities involves risk. An investor or potential investor should consider the risks summarized below and under the caption “Risk Factors” in Part I, Item 1A of our Annual Report on Form 10-K for the year ended December 31, 2022 (our “2022 Form 10-K”) when making investment decisions regarding our securities. Except for the risk factor discussed below, we do not believe that there have been any material changes to the risk factors disclosed in our 2022 Form 10-K. </w:t>
      </w:r>
    </w:p>
    <w:p>
      <w:pPr>
        <w:pStyle w:val="TextBody"/>
        <w:bidi w:val="0"/>
        <w:spacing w:lineRule="auto" w:line="288" w:before="120" w:after="12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are dependent on our banking relations, and we may have difficulty accessing or consistently maintaining banking or other financial services due to our connection with the cannabis industry.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do not grow or sell cannabis products, our general connection with the cannabis industry may hamper our efforts to do business or establish collaborative relationships with others that may fear disruption or increased regulatory scrutiny of their own activities.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services to the cannabis industry or limit their ability to provide services to the cannabis industry or ancillary businesses providing services to the cannabis industry.</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703"/>
        <w:gridCol w:w="2597"/>
        <w:gridCol w:w="3708"/>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ans-serif" w:hAnsi="Times New Roman;sans-serif"/>
                  <w:b w:val="false"/>
                  <w:color w:val="0000FF"/>
                  <w:sz w:val="20"/>
                  <w:u w:val="single"/>
                </w:rPr>
                <w:t>Certificate of Incorporation of the Company, dated June 15, 2021 (incorporated by reference to Exhibit 3.1 to the Current Report on Form 8-K filed on June 21, 2021).</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ans-serif" w:hAnsi="Times New Roman;sans-serif"/>
                  <w:b w:val="false"/>
                  <w:color w:val="0000FF"/>
                  <w:sz w:val="20"/>
                  <w:u w:val="single"/>
                </w:rPr>
                <w:t>Amended and Restated Bylaws of the Company, dated June 16, 2021 (incorporated by reference to Exhibit 3.2 to the Current report on Form 8-K filed on June 21, 2021).</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q223.htm">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exhibit101q223.htm">
              <w:r>
                <w:rPr>
                  <w:rStyle w:val="InternetLink"/>
                  <w:rFonts w:ascii="Times New Roman;sans-serif" w:hAnsi="Times New Roman;sans-serif"/>
                  <w:b w:val="false"/>
                  <w:color w:val="0000FF"/>
                  <w:sz w:val="20"/>
                  <w:u w:val="single"/>
                </w:rPr>
                <w:t>Executive Services Agreement, dated July 16, 2023, by and between SeatonHill Partners, L.P. and WM Technology, Inc. (incorporated herein by reference to Exhibit 10.1 to the Current Report on Form 8-K filed by WM Technology, Inc. on July 20, 2023 File No. 001-39021).</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q223.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hibit311q223.htm">
              <w:r>
                <w:rPr>
                  <w:rStyle w:val="InternetLink"/>
                  <w:rFonts w:ascii="Times New Roman;sans-serif" w:hAnsi="Times New Roman;sans-serif"/>
                  <w:b w:val="false"/>
                  <w:color w:val="0000FF"/>
                  <w:sz w:val="20"/>
                  <w:u w:val="single"/>
                </w:rPr>
                <w:t>Certification of the Principal Executive Officer pursuant to Rules 13a-14(a) and 15d-14(a) under the Securities Exchange Act of 1934, as adopted pursuant to Section 302 of the Sarbanes-Oxley Act of 2002</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223.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exhibit312q223.htm">
              <w:r>
                <w:rPr>
                  <w:rStyle w:val="InternetLink"/>
                  <w:rFonts w:ascii="Times New Roman;sans-serif" w:hAnsi="Times New Roman;sans-serif"/>
                  <w:b w:val="false"/>
                  <w:color w:val="0000FF"/>
                  <w:sz w:val="20"/>
                  <w:u w:val="single"/>
                </w:rPr>
                <w:t>Certification of the Principal Financial Officer pursuant to Rules 13a-14(a) and 15d-14(a) under the Securities Exchange Act of 1934, as adopted pursuant to Section 302 of the Sarbanes-Oxley Act of 2002</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q223.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hibit321q223.htm">
              <w:r>
                <w:rPr>
                  <w:rStyle w:val="InternetLink"/>
                  <w:rFonts w:ascii="Times New Roman;sans-serif" w:hAnsi="Times New Roman;sans-serif"/>
                  <w:b w:val="false"/>
                  <w:color w:val="0000FF"/>
                  <w:sz w:val="20"/>
                  <w:u w:val="single"/>
                </w:rPr>
                <w:t>Certifications of the Principal Executive Officer and Principal Financial Officer pursuant to 18 U.S.C. Section 1350, as adopted pursuant to Section 906 of the Sarbanes-Oxley Act of 2002</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contract or agreement.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f92b72f766ff49739551e1bb9e78a81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Securities Exchange Act of 1934, the registrant has duly caused this report to be signed on its behalf by the undersigned, thereunto duly authorized.</w:t>
      </w:r>
    </w:p>
    <w:tbl>
      <w:tblPr>
        <w:tblW w:w="916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67"/>
        <w:gridCol w:w="267"/>
        <w:gridCol w:w="267"/>
        <w:gridCol w:w="274"/>
        <w:gridCol w:w="274"/>
        <w:gridCol w:w="274"/>
        <w:gridCol w:w="1741"/>
        <w:gridCol w:w="1741"/>
        <w:gridCol w:w="178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Francis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Douglas Francis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Hoitt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Hoitt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40" w:before="4" w:after="283"/>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before="0" w:after="0"/>
        <w:jc w:val="left"/>
        <w:rPr/>
      </w:pPr>
      <w:r>
        <w:rPr/>
        <w:drawing>
          <wp:inline distT="0" distB="0" distL="0" distR="0">
            <wp:extent cx="2486025" cy="685800"/>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7"/>
                    <a:stretch>
                      <a:fillRect/>
                    </a:stretch>
                  </pic:blipFill>
                  <pic:spPr bwMode="auto">
                    <a:xfrm>
                      <a:off x="0" y="0"/>
                      <a:ext cx="2486025" cy="685800"/>
                    </a:xfrm>
                    <a:prstGeom prst="rect">
                      <a:avLst/>
                    </a:prstGeom>
                  </pic:spPr>
                </pic:pic>
              </a:graphicData>
            </a:graphic>
          </wp:inline>
        </w:drawing>
      </w:r>
    </w:p>
    <w:p>
      <w:pPr>
        <w:pStyle w:val="TextBody"/>
        <w:bidi w:val="0"/>
        <w:spacing w:before="2" w:after="283"/>
        <w:jc w:val="left"/>
        <w:rPr/>
      </w:pPr>
      <w:r>
        <w:rPr/>
      </w:r>
    </w:p>
    <w:p>
      <w:pPr>
        <w:pStyle w:val="TextBody"/>
        <w:bidi w:val="0"/>
        <w:spacing w:lineRule="auto" w:line="288" w:before="92" w:after="283"/>
        <w:jc w:val="center"/>
        <w:rPr>
          <w:rFonts w:ascii="Times New Roman;sans-serif" w:hAnsi="Times New Roman;sans-serif"/>
          <w:b/>
          <w:color w:val="000000"/>
          <w:sz w:val="20"/>
        </w:rPr>
      </w:pPr>
      <w:r>
        <w:rPr>
          <w:rFonts w:ascii="Times New Roman;sans-serif" w:hAnsi="Times New Roman;sans-serif"/>
          <w:b/>
          <w:color w:val="000000"/>
          <w:sz w:val="20"/>
        </w:rPr>
        <w:t>Executive Services Agreement</w:t>
      </w:r>
    </w:p>
    <w:p>
      <w:pPr>
        <w:pStyle w:val="TextBody"/>
        <w:bidi w:val="0"/>
        <w:spacing w:lineRule="auto" w:line="288" w:before="117"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16, 2023</w:t>
      </w:r>
    </w:p>
    <w:p>
      <w:pPr>
        <w:pStyle w:val="TextBody"/>
        <w:bidi w:val="0"/>
        <w:spacing w:before="3"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Doug Francis Executive Chair</w:t>
      </w:r>
    </w:p>
    <w:p>
      <w:pPr>
        <w:pStyle w:val="TextBody"/>
        <w:bidi w:val="0"/>
        <w:spacing w:lineRule="auto" w:line="288" w:before="3"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 Technology, Inc.</w:t>
      </w:r>
    </w:p>
    <w:p>
      <w:pPr>
        <w:pStyle w:val="TextBody"/>
        <w:bidi w:val="0"/>
        <w:spacing w:before="3" w:after="283"/>
        <w:jc w:val="left"/>
        <w:rPr/>
      </w:pPr>
      <w:r>
        <w:rPr/>
      </w:r>
    </w:p>
    <w:p>
      <w:pPr>
        <w:pStyle w:val="TextBody"/>
        <w:bidi w:val="0"/>
        <w:spacing w:lineRule="auto" w:line="288" w:before="91"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Dear Doug:</w:t>
      </w:r>
    </w:p>
    <w:p>
      <w:pPr>
        <w:pStyle w:val="TextBody"/>
        <w:bidi w:val="0"/>
        <w:spacing w:lineRule="auto" w:line="288" w:before="199" w:after="283"/>
        <w:jc w:val="left"/>
        <w:rPr/>
      </w:pPr>
      <w:r>
        <w:rPr>
          <w:rFonts w:ascii="Times New Roman;sans-serif" w:hAnsi="Times New Roman;sans-serif"/>
          <w:b/>
          <w:color w:val="000000"/>
          <w:sz w:val="20"/>
        </w:rPr>
        <w:t xml:space="preserve">SeatonHill Partners, LP </w:t>
      </w:r>
      <w:r>
        <w:rPr>
          <w:rFonts w:ascii="Times New Roman;sans-serif" w:hAnsi="Times New Roman;sans-serif"/>
          <w:b w:val="false"/>
          <w:color w:val="000000"/>
          <w:sz w:val="20"/>
        </w:rPr>
        <w:t xml:space="preserve">(“SeatonHill,” “we,” or “us”) is pleased that </w:t>
      </w:r>
      <w:r>
        <w:rPr>
          <w:rFonts w:ascii="Times New Roman;sans-serif" w:hAnsi="Times New Roman;sans-serif"/>
          <w:b/>
          <w:color w:val="000000"/>
          <w:sz w:val="20"/>
        </w:rPr>
        <w:t xml:space="preserve">WM Technology, Inc. </w:t>
      </w:r>
      <w:r>
        <w:rPr>
          <w:rFonts w:ascii="Times New Roman;sans-serif" w:hAnsi="Times New Roman;sans-serif"/>
          <w:b w:val="false"/>
          <w:color w:val="000000"/>
          <w:sz w:val="20"/>
        </w:rPr>
        <w:t xml:space="preserve">(along with its affiliated entities, the “Company,” “you” or “your”) desires to engage SeatonHill to provide chief financial officer (“CFO”) services. This letter along with the terms and conditions attached as Exhibit A and B (collectively, the “Agreement”) confirms our mutual understanding of the terms and conditions upon which SeatonHill will make available to you the services of </w:t>
      </w:r>
      <w:r>
        <w:rPr>
          <w:rFonts w:ascii="Times New Roman;sans-serif" w:hAnsi="Times New Roman;sans-serif"/>
          <w:b/>
          <w:color w:val="000000"/>
          <w:sz w:val="20"/>
        </w:rPr>
        <w:t xml:space="preserve">Mary Hoitt </w:t>
      </w:r>
      <w:r>
        <w:rPr>
          <w:rFonts w:ascii="Times New Roman;sans-serif" w:hAnsi="Times New Roman;sans-serif"/>
          <w:b w:val="false"/>
          <w:color w:val="000000"/>
          <w:sz w:val="20"/>
        </w:rPr>
        <w:t>(the "CFO Partner") with the support of at least one additional advisory partner with relevant industry experience and the intellectual capital and support of SeatonHill for use in connection with our relationship with you.</w:t>
      </w:r>
    </w:p>
    <w:p>
      <w:pPr>
        <w:pStyle w:val="TextBody"/>
        <w:bidi w:val="0"/>
        <w:spacing w:lineRule="auto" w:line="288" w:before="197" w:after="283"/>
        <w:jc w:val="left"/>
        <w:rPr/>
      </w:pPr>
      <w:r>
        <w:rPr>
          <w:rFonts w:ascii="Times New Roman;sans-serif" w:hAnsi="Times New Roman;sans-serif"/>
          <w:b w:val="false"/>
          <w:color w:val="000000"/>
          <w:sz w:val="20"/>
        </w:rPr>
        <w:t xml:space="preserve">Effective as of </w:t>
      </w:r>
      <w:r>
        <w:rPr>
          <w:rFonts w:ascii="Times New Roman;sans-serif" w:hAnsi="Times New Roman;sans-serif"/>
          <w:b/>
          <w:color w:val="000000"/>
          <w:sz w:val="20"/>
        </w:rPr>
        <w:t xml:space="preserve">July 17, 2023 </w:t>
      </w:r>
      <w:r>
        <w:rPr>
          <w:rFonts w:ascii="Times New Roman;sans-serif" w:hAnsi="Times New Roman;sans-serif"/>
          <w:b w:val="false"/>
          <w:color w:val="000000"/>
          <w:sz w:val="20"/>
        </w:rPr>
        <w:t>(the “Effective Date”), the CFO Partner will work on your behalf performing as the Company’s CFO. The CFO Partner will take direction from and report directly to the Company’s Executive Chair. The scope of work will be consistent with the attached Exhibit B.</w:t>
      </w:r>
    </w:p>
    <w:p>
      <w:pPr>
        <w:pStyle w:val="TextBody"/>
        <w:bidi w:val="0"/>
        <w:spacing w:before="9" w:after="283"/>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Compensation</w:t>
      </w:r>
    </w:p>
    <w:p>
      <w:pPr>
        <w:pStyle w:val="TextBody"/>
        <w:bidi w:val="0"/>
        <w:spacing w:lineRule="auto" w:line="288" w:before="122"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due to SeatonHill is as follows:</w:t>
      </w:r>
    </w:p>
    <w:p>
      <w:pPr>
        <w:pStyle w:val="TextBody"/>
        <w:bidi w:val="0"/>
        <w:spacing w:lineRule="auto" w:line="288" w:before="198"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will pay directly to SeatonHill the fees as noted in Exhibit B. (“Fees”) with payments to SeatonHill made in accordance with the instructions set forth in Exhibit A. In addition to our standard professional service fees as described in Exhibit B, we will charge a 3% administrative fee, which covers ancillary administrative costs such as technology, communication, and supplies; however, it does not include the CFO Partner’s out-of-pocket expenses related to the performance of the services. Absent any specified expense reimbursement provisions in Exhibit B, the Company will reimburse the CFO Partner for pre- approved travel and other out-of-pocket expenses incurred by the CFO Partner to the same extent that the Company reimburses other senior managers for such expenses.</w:t>
      </w:r>
    </w:p>
    <w:p>
      <w:pPr>
        <w:pStyle w:val="TextBody"/>
        <w:bidi w:val="0"/>
        <w:spacing w:lineRule="auto" w:line="288" w:before="203"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appreciate the opportunity to serve you and believe this Agreement accurately reflects our mutual understanding. We would be pleased to discuss this Agreement with you at your convenience. If the foregoing is in accordance with your understanding, please sign a copy of this Agreement and return it to my attention.</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ind w:left="0" w:right="0" w:firstLine="810"/>
        <w:jc w:val="left"/>
        <w:rPr>
          <w:rFonts w:ascii="Times New Roman;sans-serif" w:hAnsi="Times New Roman;sans-serif"/>
          <w:b/>
          <w:color w:val="000000"/>
          <w:sz w:val="20"/>
        </w:rPr>
      </w:pPr>
      <w:r>
        <w:rPr>
          <w:rFonts w:ascii="Times New Roman;sans-serif" w:hAnsi="Times New Roman;sans-serif"/>
          <w:b/>
          <w:color w:val="000000"/>
          <w:sz w:val="20"/>
        </w:rPr>
        <w:t>SeatonHill Partners, LP</w:t>
      </w:r>
    </w:p>
    <w:p>
      <w:pPr>
        <w:pStyle w:val="TextBody"/>
        <w:bidi w:val="0"/>
        <w:spacing w:before="9" w:after="283"/>
        <w:ind w:left="0" w:right="0" w:firstLine="810"/>
        <w:jc w:val="left"/>
        <w:rPr/>
      </w:pPr>
      <w:r>
        <w:rPr/>
        <w:drawing>
          <wp:inline distT="0" distB="0" distL="0" distR="0">
            <wp:extent cx="933450" cy="409575"/>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8"/>
                    <a:stretch>
                      <a:fillRect/>
                    </a:stretch>
                  </pic:blipFill>
                  <pic:spPr bwMode="auto">
                    <a:xfrm>
                      <a:off x="0" y="0"/>
                      <a:ext cx="933450" cy="4095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 Gregory Coffey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2023-07-16 | 15:03:04 CDT</w:t>
      </w:r>
    </w:p>
    <w:p>
      <w:pPr>
        <w:pStyle w:val="TextBody"/>
        <w:bidi w:val="0"/>
        <w:spacing w:before="9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Accepted and agreed:</w:t>
      </w:r>
    </w:p>
    <w:p>
      <w:pPr>
        <w:pStyle w:val="TextBody"/>
        <w:bidi w:val="0"/>
        <w:spacing w:lineRule="auto" w:line="288" w:before="2"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p>
      <w:pPr>
        <w:pStyle w:val="TextBody"/>
        <w:bidi w:val="0"/>
        <w:spacing w:before="4" w:after="283"/>
        <w:ind w:left="0" w:right="0" w:firstLine="720"/>
        <w:jc w:val="left"/>
        <w:rPr/>
      </w:pPr>
      <w:r>
        <w:rPr/>
        <w:drawing>
          <wp:inline distT="0" distB="0" distL="0" distR="0">
            <wp:extent cx="914400" cy="409575"/>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9"/>
                    <a:stretch>
                      <a:fillRect/>
                    </a:stretch>
                  </pic:blipFill>
                  <pic:spPr bwMode="auto">
                    <a:xfrm>
                      <a:off x="0" y="0"/>
                      <a:ext cx="914400" cy="4095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Doug Francis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2023-07-16 | 16:09:53 CDT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885825" cy="447675"/>
            <wp:effectExtent l="0" t="0" r="0" b="0"/>
            <wp:docPr id="6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 descr=""/>
                    <pic:cNvPicPr>
                      <a:picLocks noChangeAspect="1" noChangeArrowheads="1"/>
                    </pic:cNvPicPr>
                  </pic:nvPicPr>
                  <pic:blipFill>
                    <a:blip r:embed="rId10"/>
                    <a:stretch>
                      <a:fillRect/>
                    </a:stretch>
                  </pic:blipFill>
                  <pic:spPr bwMode="auto">
                    <a:xfrm>
                      <a:off x="0" y="0"/>
                      <a:ext cx="885825" cy="447675"/>
                    </a:xfrm>
                    <a:prstGeom prst="rect">
                      <a:avLst/>
                    </a:prstGeom>
                  </pic:spPr>
                </pic:pic>
              </a:graphicData>
            </a:graphic>
          </wp:inline>
        </w:drawing>
      </w:r>
    </w:p>
    <w:p>
      <w:pPr>
        <w:pStyle w:val="TextBody"/>
        <w:bidi w:val="0"/>
        <w:spacing w:lineRule="auto" w:line="288" w:before="0" w:after="0"/>
        <w:ind w:left="0" w:right="0" w:firstLine="595"/>
        <w:jc w:val="left"/>
        <w:rPr/>
      </w:pPr>
      <w:r>
        <w:rPr>
          <w:rFonts w:ascii="Times New Roman;sans-serif" w:hAnsi="Times New Roman;sans-serif"/>
          <w:b/>
          <w:color w:val="000000"/>
          <w:sz w:val="22"/>
          <w:u w:val="single"/>
        </w:rPr>
        <w:t>Exhibit A</w:t>
      </w:r>
      <w:r>
        <w:rPr>
          <w:color w:val="000000"/>
        </w:rPr>
        <w:t xml:space="preserve"> </w:t>
      </w:r>
      <w:r>
        <w:rPr>
          <w:rFonts w:ascii="Times New Roman;sans-serif" w:hAnsi="Times New Roman;sans-serif"/>
          <w:b/>
          <w:color w:val="000000"/>
          <w:sz w:val="22"/>
        </w:rPr>
        <w:t>Terms and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5" w:after="283"/>
        <w:jc w:val="both"/>
        <w:rPr/>
      </w:pPr>
      <w:r>
        <w:rPr>
          <w:rFonts w:ascii="Times New Roman;sans-serif" w:hAnsi="Times New Roman;sans-serif"/>
          <w:b/>
          <w:color w:val="000000"/>
          <w:sz w:val="20"/>
        </w:rPr>
        <w:t>1.</w:t>
      </w:r>
      <w:r>
        <w:rPr>
          <w:rFonts w:ascii="Times New Roman;sans-serif" w:hAnsi="Times New Roman;sans-serif"/>
          <w:b/>
          <w:color w:val="000000"/>
          <w:sz w:val="22"/>
        </w:rPr>
        <w:t xml:space="preserve">Relationship of the Parties. </w:t>
      </w:r>
      <w:r>
        <w:rPr>
          <w:rFonts w:ascii="Times New Roman;sans-serif" w:hAnsi="Times New Roman;sans-serif"/>
          <w:b w:val="false"/>
          <w:color w:val="000000"/>
          <w:sz w:val="22"/>
        </w:rPr>
        <w:t>The parties agree that SeatonHill and the CFO Partner will be serving the Company as an independent contractor for all purposes and not as an employee, agent, partner of, or joint venturer with the Company.</w:t>
      </w:r>
    </w:p>
    <w:p>
      <w:pPr>
        <w:pStyle w:val="TextBody"/>
        <w:bidi w:val="0"/>
        <w:spacing w:lineRule="auto" w:line="240" w:before="117" w:after="283"/>
        <w:jc w:val="both"/>
        <w:rPr/>
      </w:pPr>
      <w:r>
        <w:rPr>
          <w:rFonts w:ascii="Times New Roman;sans-serif" w:hAnsi="Times New Roman;sans-serif"/>
          <w:b/>
          <w:color w:val="000000"/>
          <w:sz w:val="20"/>
        </w:rPr>
        <w:t>2.</w:t>
      </w:r>
      <w:r>
        <w:rPr>
          <w:rFonts w:ascii="Times New Roman;sans-serif" w:hAnsi="Times New Roman;sans-serif"/>
          <w:b/>
          <w:color w:val="000000"/>
          <w:sz w:val="22"/>
        </w:rPr>
        <w:t>Payment Terms</w:t>
      </w:r>
      <w:r>
        <w:rPr>
          <w:rFonts w:ascii="Times New Roman;sans-serif" w:hAnsi="Times New Roman;sans-serif"/>
          <w:b w:val="false"/>
          <w:color w:val="000000"/>
          <w:sz w:val="22"/>
        </w:rPr>
        <w:t>. SeatonHill will invoice the Company according to the terms in Exhibit B. Payments to SeatonHill should be made according to the payments instructions provided on each invoice. Any amounts not paid when due may be subject to a periodic service charge equal to the lesser of 1.5% per month and the maximum amount allowed under applicable law, until such amounts are paid in full, including assessed service charges.</w:t>
      </w:r>
    </w:p>
    <w:p>
      <w:pPr>
        <w:pStyle w:val="TextBody"/>
        <w:bidi w:val="0"/>
        <w:spacing w:lineRule="auto" w:line="240" w:before="122" w:after="283"/>
        <w:ind w:left="0" w:right="0" w:hanging="359"/>
        <w:jc w:val="both"/>
        <w:rPr/>
      </w:pPr>
      <w:r>
        <w:rPr>
          <w:rFonts w:ascii="Times New Roman;sans-serif" w:hAnsi="Times New Roman;sans-serif"/>
          <w:b/>
          <w:color w:val="000000"/>
          <w:sz w:val="20"/>
        </w:rPr>
        <w:t>3.</w:t>
      </w:r>
      <w:r>
        <w:rPr>
          <w:rFonts w:ascii="Times New Roman;sans-serif" w:hAnsi="Times New Roman;sans-serif"/>
          <w:b/>
          <w:color w:val="000000"/>
          <w:sz w:val="22"/>
        </w:rPr>
        <w:t>Termination.</w:t>
      </w:r>
    </w:p>
    <w:p>
      <w:pPr>
        <w:pStyle w:val="TextBody"/>
        <w:bidi w:val="0"/>
        <w:spacing w:lineRule="auto" w:line="240" w:before="122" w:after="283"/>
        <w:ind w:left="0" w:right="0" w:firstLine="360"/>
        <w:jc w:val="both"/>
        <w:rPr/>
      </w:pPr>
      <w:r>
        <w:rPr>
          <w:rFonts w:ascii="Times New Roman;sans-serif" w:hAnsi="Times New Roman;sans-serif"/>
          <w:b w:val="false"/>
          <w:color w:val="000000"/>
          <w:sz w:val="20"/>
        </w:rPr>
        <w:t>(a)</w:t>
      </w:r>
      <w:r>
        <w:rPr>
          <w:rFonts w:ascii="Times New Roman;sans-serif" w:hAnsi="Times New Roman;sans-serif"/>
          <w:b w:val="false"/>
          <w:color w:val="000000"/>
          <w:sz w:val="22"/>
        </w:rPr>
        <w:t>Either party may terminate this Agreement by providing the other party a minimum of 30 days advance written notice. SeatonHill will continue to provide, and the Company will continue to pay for, the services until the termination effective date.</w:t>
      </w:r>
    </w:p>
    <w:p>
      <w:pPr>
        <w:pStyle w:val="TextBody"/>
        <w:bidi w:val="0"/>
        <w:spacing w:lineRule="auto" w:line="240" w:before="117" w:after="283"/>
        <w:ind w:left="0" w:right="0" w:firstLine="360"/>
        <w:jc w:val="both"/>
        <w:rPr/>
      </w:pPr>
      <w:r>
        <w:rPr>
          <w:rFonts w:ascii="Times New Roman;sans-serif" w:hAnsi="Times New Roman;sans-serif"/>
          <w:b w:val="false"/>
          <w:color w:val="000000"/>
          <w:sz w:val="20"/>
        </w:rPr>
        <w:t>(b)</w:t>
      </w:r>
      <w:r>
        <w:rPr>
          <w:rFonts w:ascii="Times New Roman;sans-serif" w:hAnsi="Times New Roman;sans-serif"/>
          <w:b w:val="false"/>
          <w:color w:val="000000"/>
          <w:sz w:val="22"/>
        </w:rPr>
        <w:t>SeatonHill may terminate this Agreement immediately upon written notice to the Company if: (i) the Company is engaged in or asks SeatonHill or the CFO Partner to engage in or ignore any illegal or unethical activity; or (ii) the Company fails to pay any amounts due to SeatonHill when due. If (i) the CFO Partner ceases to be a member of SeatonHill for any reason; or (ii) the CFO Partner dies or becomes disabled, the Company will have the option of immediately terminating this Agreement or replacing the CFO Partner with another SeatonHill member.</w:t>
      </w:r>
    </w:p>
    <w:p>
      <w:pPr>
        <w:pStyle w:val="TextBody"/>
        <w:bidi w:val="0"/>
        <w:spacing w:lineRule="auto" w:line="240" w:before="120" w:after="283"/>
        <w:ind w:left="0" w:right="0" w:firstLine="360"/>
        <w:jc w:val="both"/>
        <w:rPr/>
      </w:pPr>
      <w:r>
        <w:rPr>
          <w:rFonts w:ascii="Times New Roman;sans-serif" w:hAnsi="Times New Roman;sans-serif"/>
          <w:b w:val="false"/>
          <w:color w:val="000000"/>
          <w:sz w:val="20"/>
        </w:rPr>
        <w:t>(c)</w:t>
      </w:r>
      <w:r>
        <w:rPr>
          <w:rFonts w:ascii="Times New Roman;sans-serif" w:hAnsi="Times New Roman;sans-serif"/>
          <w:b w:val="false"/>
          <w:color w:val="000000"/>
          <w:sz w:val="22"/>
        </w:rPr>
        <w:t>The expiration or termination of this Agreement will not destroy or diminish the binding force and effect of any of the provisions of this Agreement that expressly, or by reasonable implication, come into or continue in effect on or after such expiration or termination, including, without limitation, provisions relating to payment of fees and expenses (including witness fees and expenses), hiring the CFO Partner, governing law, arbitration, limitation of liability, and indemnity.</w:t>
      </w:r>
    </w:p>
    <w:p>
      <w:pPr>
        <w:pStyle w:val="TextBody"/>
        <w:bidi w:val="0"/>
        <w:spacing w:lineRule="auto" w:line="240" w:before="123" w:after="283"/>
        <w:jc w:val="both"/>
        <w:rPr/>
      </w:pPr>
      <w:r>
        <w:rPr>
          <w:rFonts w:ascii="Times New Roman;sans-serif" w:hAnsi="Times New Roman;sans-serif"/>
          <w:b/>
          <w:color w:val="000000"/>
          <w:sz w:val="20"/>
        </w:rPr>
        <w:t>4.</w:t>
      </w:r>
      <w:r>
        <w:rPr>
          <w:rFonts w:ascii="Times New Roman;sans-serif" w:hAnsi="Times New Roman;sans-serif"/>
          <w:b/>
          <w:color w:val="000000"/>
          <w:sz w:val="22"/>
        </w:rPr>
        <w:t xml:space="preserve">Hiring the CFO Partner Outside of a SeatonHill Agreement. </w:t>
      </w:r>
      <w:r>
        <w:rPr>
          <w:rFonts w:ascii="Times New Roman;sans-serif" w:hAnsi="Times New Roman;sans-serif"/>
          <w:b w:val="false"/>
          <w:color w:val="000000"/>
          <w:sz w:val="22"/>
        </w:rPr>
        <w:t>During the term of this Agreement and for the 12-month period following the termination or expiration of this Agreement, other than in connection with this Agreement or another SeatonHill agreement, the Company will not employ the CFO Partner or engage the CFO Partner as an independent contractor. The parties recognize and agree that a breach by the Company of this provision would result in the loss to SeatonHill of the CFO Partner’s valuable expertise and revenue potential and that such injury will be</w:t>
      </w:r>
    </w:p>
    <w:p>
      <w:pPr>
        <w:pStyle w:val="TextBody"/>
        <w:bidi w:val="0"/>
        <w:spacing w:before="5" w:after="283"/>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impossible or very difficult to ascertain. Therefore, in the event this provision is breached, SeatonHill will be entitled to receive as liquidated damages an amount equal to 45% of the Annualized Compensation (as defined below), which amount the parties agree is reasonably proportionate to the probable loss to SeatonHill and is not intended as a penalty. The amount will be due and payable to SeatonHill upon written demand to the Company. If a court or arbitrator determines that liquidated damages are not appropriate for such breach, SeatonHill will have the right to seek actual damages and/or injunctive relief. “Annualized Compensation” means the equivalent of the CFO Partner’s salary with the Company calculated on a full-time annual basis plus the maximum amount of any bonus for which the CFO Partner was eligible with respect to the then-current bonus year.</w:t>
      </w:r>
    </w:p>
    <w:p>
      <w:pPr>
        <w:pStyle w:val="TextBody"/>
        <w:bidi w:val="0"/>
        <w:spacing w:lineRule="auto" w:line="240" w:before="119" w:after="283"/>
        <w:jc w:val="both"/>
        <w:rPr/>
      </w:pPr>
      <w:r>
        <w:rPr>
          <w:rFonts w:ascii="Times New Roman;sans-serif" w:hAnsi="Times New Roman;sans-serif"/>
          <w:b/>
          <w:color w:val="000000"/>
          <w:sz w:val="20"/>
        </w:rPr>
        <w:t>5.</w:t>
      </w:r>
      <w:r>
        <w:rPr>
          <w:rFonts w:ascii="Times New Roman;sans-serif" w:hAnsi="Times New Roman;sans-serif"/>
          <w:b/>
          <w:color w:val="000000"/>
          <w:sz w:val="22"/>
        </w:rPr>
        <w:t xml:space="preserve">Compensation paid directly to CFO Partner. </w:t>
      </w:r>
      <w:r>
        <w:rPr>
          <w:rFonts w:ascii="Times New Roman;sans-serif" w:hAnsi="Times New Roman;sans-serif"/>
          <w:b w:val="false"/>
          <w:color w:val="000000"/>
          <w:sz w:val="22"/>
        </w:rPr>
        <w:t>With respect to any Bonus (as defined below) otherwise to be paid, granted or provided directly to the CFO Partner, you agree to pay, grant, or provide 20% of such Bonus directly to SeatonHill, in lieu of the CFO Partner. For purposes hereof, “Bonus” means any bonus paid, granted or provided by the Company to the CFO Partner in equity, cash or other consideration, in each case, in connection with services rendered by the CFO Partner to the Company.</w:t>
      </w:r>
    </w:p>
    <w:p>
      <w:pPr>
        <w:pStyle w:val="TextBody"/>
        <w:bidi w:val="0"/>
        <w:spacing w:lineRule="auto" w:line="240" w:before="123" w:after="283"/>
        <w:ind w:left="0" w:right="0" w:hanging="359"/>
        <w:jc w:val="both"/>
        <w:rPr/>
      </w:pPr>
      <w:r>
        <w:rPr>
          <w:rFonts w:ascii="Times New Roman;sans-serif" w:hAnsi="Times New Roman;sans-serif"/>
          <w:b/>
          <w:color w:val="000000"/>
          <w:sz w:val="20"/>
        </w:rPr>
        <w:t>6.</w:t>
      </w:r>
      <w:r>
        <w:rPr>
          <w:rFonts w:ascii="Times New Roman;sans-serif" w:hAnsi="Times New Roman;sans-serif"/>
          <w:b/>
          <w:color w:val="000000"/>
          <w:sz w:val="22"/>
        </w:rPr>
        <w:t>Limitation of Liability; Indemnity.</w:t>
      </w:r>
    </w:p>
    <w:p>
      <w:pPr>
        <w:pStyle w:val="TextBody"/>
        <w:bidi w:val="0"/>
        <w:spacing w:lineRule="auto" w:line="240" w:before="116" w:after="283"/>
        <w:ind w:left="0" w:right="0" w:firstLine="360"/>
        <w:jc w:val="both"/>
        <w:rPr/>
      </w:pPr>
      <w:r>
        <w:rPr>
          <w:rFonts w:ascii="Times New Roman;sans-serif" w:hAnsi="Times New Roman;sans-serif"/>
          <w:b w:val="false"/>
          <w:color w:val="000000"/>
          <w:sz w:val="20"/>
        </w:rPr>
        <w:t>(a)</w:t>
      </w:r>
      <w:r>
        <w:rPr>
          <w:rFonts w:ascii="Times New Roman;sans-serif" w:hAnsi="Times New Roman;sans-serif"/>
          <w:b w:val="false"/>
          <w:color w:val="000000"/>
          <w:sz w:val="22"/>
        </w:rPr>
        <w:t>The liability of SeatonHill in any and all categories and for any and all causes arising out of this Agreement, whether based in contract, tort, negligence, strict liability or otherwise will, in the aggregate, not exceed the actual Fees paid by the Company to SeatonHill over the previous two months of the Agreement. In no event will SeatonHill be liable for incidental, consequential, punitive, indirect or special damages, including, without limitation, any interruption or loss of business, profit or goodwill. As a condition for recovery of any liability, the Company must assert any claim against SeatonHill within three months after discovery or 60 days after the termination or expiration of this Agreement, whichever is earlier.</w:t>
      </w:r>
    </w:p>
    <w:p>
      <w:pPr>
        <w:pStyle w:val="TextBody"/>
        <w:bidi w:val="0"/>
        <w:spacing w:lineRule="auto" w:line="240" w:before="120" w:after="283"/>
        <w:ind w:left="0" w:right="0" w:firstLine="360"/>
        <w:jc w:val="both"/>
        <w:rPr/>
      </w:pPr>
      <w:r>
        <w:rPr>
          <w:rFonts w:ascii="Times New Roman;sans-serif" w:hAnsi="Times New Roman;sans-serif"/>
          <w:b w:val="false"/>
          <w:color w:val="000000"/>
          <w:sz w:val="20"/>
        </w:rPr>
        <w:t>(b)</w:t>
      </w:r>
      <w:r>
        <w:rPr>
          <w:rFonts w:ascii="Times New Roman;sans-serif" w:hAnsi="Times New Roman;sans-serif"/>
          <w:b w:val="false"/>
          <w:color w:val="000000"/>
          <w:sz w:val="22"/>
        </w:rPr>
        <w:t>The Company agrees to indemnify SeatonHill and the CFO Partner to the full extent permitted by law for any losses, costs, damages, and expenses (including reasonable attorneys’ fees), as they are incurred, in connection with any cause of action, suit, or other proceeding arising in connection with the CFO Partner’s services to the Company. The CFO Partner will receive the benefit of the most favorable indemnification provisions provided by the Company to its directors, officers and equivalently placed employees and is required to be included under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5"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Company’s policy for liability insurance covering the Company’s directors, officers and any equivalently placed employees. Neither SeatonHill nor CFO Partner shall be entitled to indemnification, to the extent a claim directly arises from their own negligence or willful misconduct (as determined by a final, binding and non-appealable judgment of a court of competent jurisdiction).</w:t>
      </w:r>
    </w:p>
    <w:p>
      <w:pPr>
        <w:pStyle w:val="TextBody"/>
        <w:bidi w:val="0"/>
        <w:spacing w:lineRule="auto" w:line="240" w:before="120" w:after="283"/>
        <w:ind w:left="0" w:right="0" w:hanging="359"/>
        <w:jc w:val="both"/>
        <w:rPr/>
      </w:pPr>
      <w:r>
        <w:rPr>
          <w:rFonts w:ascii="Times New Roman;sans-serif" w:hAnsi="Times New Roman;sans-serif"/>
          <w:b/>
          <w:color w:val="000000"/>
          <w:sz w:val="20"/>
        </w:rPr>
        <w:t>7.</w:t>
      </w:r>
      <w:r>
        <w:rPr>
          <w:rFonts w:ascii="Times New Roman;sans-serif" w:hAnsi="Times New Roman;sans-serif"/>
          <w:b/>
          <w:color w:val="000000"/>
          <w:sz w:val="22"/>
        </w:rPr>
        <w:t>Governing Law, Arbitration, and Witness Fees.</w:t>
      </w:r>
    </w:p>
    <w:p>
      <w:pPr>
        <w:pStyle w:val="TextBody"/>
        <w:bidi w:val="0"/>
        <w:spacing w:lineRule="auto" w:line="240" w:before="117" w:after="283"/>
        <w:ind w:left="0" w:right="0" w:firstLine="360"/>
        <w:jc w:val="both"/>
        <w:rPr/>
      </w:pPr>
      <w:r>
        <w:rPr>
          <w:rFonts w:ascii="Times New Roman;sans-serif" w:hAnsi="Times New Roman;sans-serif"/>
          <w:b w:val="false"/>
          <w:color w:val="000000"/>
          <w:sz w:val="20"/>
        </w:rPr>
        <w:t>(a)</w:t>
      </w:r>
      <w:r>
        <w:rPr>
          <w:rFonts w:ascii="Times New Roman;sans-serif" w:hAnsi="Times New Roman;sans-serif"/>
          <w:b w:val="false"/>
          <w:color w:val="000000"/>
          <w:sz w:val="22"/>
        </w:rPr>
        <w:t>This Agreement will be governed by and construed in accordance with the laws of the State of Texas, without regard to conflicts of laws provisions.</w:t>
      </w:r>
    </w:p>
    <w:p>
      <w:pPr>
        <w:pStyle w:val="TextBody"/>
        <w:bidi w:val="0"/>
        <w:spacing w:lineRule="auto" w:line="240" w:before="119" w:after="283"/>
        <w:ind w:left="0" w:right="0" w:firstLine="360"/>
        <w:jc w:val="both"/>
        <w:rPr/>
      </w:pPr>
      <w:r>
        <w:rPr>
          <w:rFonts w:ascii="Times New Roman;sans-serif" w:hAnsi="Times New Roman;sans-serif"/>
          <w:b w:val="false"/>
          <w:color w:val="000000"/>
          <w:sz w:val="20"/>
        </w:rPr>
        <w:t>(b)</w:t>
      </w:r>
      <w:r>
        <w:rPr>
          <w:rFonts w:ascii="Times New Roman;sans-serif" w:hAnsi="Times New Roman;sans-serif"/>
          <w:b w:val="false"/>
          <w:color w:val="000000"/>
          <w:sz w:val="22"/>
        </w:rPr>
        <w:t>If the parties are unable to resolve any dispute arising out of or in connection with this Agreement, the parties agree and stipulate that any such disputes will be settled by binding arbitration in accordance with the Commercial Arbitration Rules of the American Arbitration Association (“AAA”). The arbitration will be conducted in the Dallas, Texas office of the AAA by a single arbitrator selected by the parties according to the rules of the AAA, and the decision of the arbitrator will be final and binding on both parties. The arbitrator will render his or her decision within 90 days after the call for arbitration. Judgment on the award of the arbitrator may be entered in and enforced by any court of competent jurisdiction. The arbitrator will have no authority to award damages in excess or in contravention of this Agreement and may not amend or disregard any provision of this Agreement, including this Section. Notwithstanding the foregoing, either party may seek appropriate injunctive relief from any court of competent jurisdiction, and SeatonHill may pursue payment</w:t>
      </w:r>
    </w:p>
    <w:p>
      <w:pPr>
        <w:pStyle w:val="TextBody"/>
        <w:bidi w:val="0"/>
        <w:spacing w:before="15" w:after="283"/>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of undisputed amounts through any court of competent jurisdiction.</w:t>
      </w:r>
    </w:p>
    <w:p>
      <w:pPr>
        <w:pStyle w:val="TextBody"/>
        <w:bidi w:val="0"/>
        <w:spacing w:lineRule="auto" w:line="240" w:before="118" w:after="283"/>
        <w:ind w:left="0" w:right="0" w:firstLine="360"/>
        <w:jc w:val="both"/>
        <w:rPr/>
      </w:pPr>
      <w:r>
        <w:rPr>
          <w:rFonts w:ascii="Times New Roman;sans-serif" w:hAnsi="Times New Roman;sans-serif"/>
          <w:b w:val="false"/>
          <w:color w:val="000000"/>
          <w:sz w:val="20"/>
        </w:rPr>
        <w:t>(c)</w:t>
      </w:r>
      <w:r>
        <w:rPr>
          <w:rFonts w:ascii="Times New Roman;sans-serif" w:hAnsi="Times New Roman;sans-serif"/>
          <w:b w:val="false"/>
          <w:color w:val="000000"/>
          <w:sz w:val="22"/>
        </w:rPr>
        <w:t>In the event any member or employee of SeatonHill (including, without limitation, the CFO Partner to the extent not otherwise entitled in his or her capacity as an employee of the Company) is requested or authorized by the Company or is required by government regulation, subpoena, or other legal process to produce documents or appear as witnesses in connection with any action, suit or other proceeding initiated by a third party against the Company or by the Company against a third party, the Company will, so long as SeatonHill is not a party to the proceeding in which the information is sought, reimburse SeatonHill for its member’s or employee’s professional time (based on customary rates) and expenses, as well as the fees and expenses of its counsel (including the allocable cost of in- house counsel), incurred in responding to such requests.</w:t>
      </w:r>
    </w:p>
    <w:p>
      <w:pPr>
        <w:pStyle w:val="TextBody"/>
        <w:bidi w:val="0"/>
        <w:spacing w:lineRule="auto" w:line="240" w:before="122" w:after="283"/>
        <w:ind w:left="0" w:right="0" w:hanging="359"/>
        <w:jc w:val="both"/>
        <w:rPr/>
      </w:pPr>
      <w:r>
        <w:rPr>
          <w:rFonts w:ascii="Times New Roman;sans-serif" w:hAnsi="Times New Roman;sans-serif"/>
          <w:b/>
          <w:color w:val="000000"/>
          <w:sz w:val="20"/>
        </w:rPr>
        <w:t>8.</w:t>
      </w:r>
      <w:r>
        <w:rPr>
          <w:rFonts w:ascii="Times New Roman;sans-serif" w:hAnsi="Times New Roman;sans-serif"/>
          <w:b/>
          <w:color w:val="000000"/>
          <w:sz w:val="22"/>
        </w:rPr>
        <w:t>Miscellaneous.</w:t>
      </w:r>
    </w:p>
    <w:p>
      <w:pPr>
        <w:pStyle w:val="TextBody"/>
        <w:bidi w:val="0"/>
        <w:spacing w:lineRule="auto" w:line="240" w:before="116" w:after="283"/>
        <w:ind w:left="0" w:right="0" w:firstLine="360"/>
        <w:jc w:val="both"/>
        <w:rPr/>
      </w:pPr>
      <w:r>
        <w:rPr>
          <w:rFonts w:ascii="Times New Roman;sans-serif" w:hAnsi="Times New Roman;sans-serif"/>
          <w:b w:val="false"/>
          <w:color w:val="000000"/>
          <w:sz w:val="20"/>
        </w:rPr>
        <w:t>(a)</w:t>
      </w:r>
      <w:r>
        <w:rPr>
          <w:rFonts w:ascii="Times New Roman;sans-serif" w:hAnsi="Times New Roman;sans-serif"/>
          <w:b w:val="false"/>
          <w:color w:val="000000"/>
          <w:sz w:val="22"/>
        </w:rPr>
        <w:t>The Company agrees to reimburse SeatonHill for all costs and expenses incurred by SeatonHill in enforcing collection of any monies due under this Agreement, including, without limitation, reasonable attorneys’ fees.</w:t>
      </w:r>
    </w:p>
    <w:p>
      <w:pPr>
        <w:pStyle w:val="TextBody"/>
        <w:bidi w:val="0"/>
        <w:spacing w:lineRule="auto" w:line="240" w:before="121" w:after="283"/>
        <w:ind w:left="0" w:right="0" w:firstLine="360"/>
        <w:jc w:val="both"/>
        <w:rPr/>
      </w:pPr>
      <w:r>
        <w:rPr>
          <w:rFonts w:ascii="Times New Roman;sans-serif" w:hAnsi="Times New Roman;sans-serif"/>
          <w:b w:val="false"/>
          <w:color w:val="000000"/>
          <w:sz w:val="20"/>
        </w:rPr>
        <w:t>(b)</w:t>
      </w:r>
      <w:r>
        <w:rPr>
          <w:rFonts w:ascii="Times New Roman;sans-serif" w:hAnsi="Times New Roman;sans-serif"/>
          <w:b w:val="false"/>
          <w:color w:val="000000"/>
          <w:sz w:val="22"/>
        </w:rPr>
        <w:t>The Company agrees to allow SeatonHill to use the Company’s logo and name on SeatonHill’s website and other marketing materials for the sole purpose of identifying the Company as a client of SeatonHill. SeatonHill will not use the Company’s logo or name in any press release or general circulation advertisement without the Company’s prior written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885825" cy="447675"/>
            <wp:effectExtent l="0" t="0" r="0" b="0"/>
            <wp:docPr id="6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 descr=""/>
                    <pic:cNvPicPr>
                      <a:picLocks noChangeAspect="1" noChangeArrowheads="1"/>
                    </pic:cNvPicPr>
                  </pic:nvPicPr>
                  <pic:blipFill>
                    <a:blip r:embed="rId11"/>
                    <a:stretch>
                      <a:fillRect/>
                    </a:stretch>
                  </pic:blipFill>
                  <pic:spPr bwMode="auto">
                    <a:xfrm>
                      <a:off x="0" y="0"/>
                      <a:ext cx="885825" cy="4476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lineRule="auto" w:line="240" w:before="121" w:after="283"/>
        <w:jc w:val="center"/>
        <w:rPr>
          <w:rFonts w:ascii="Times New Roman;sans-serif" w:hAnsi="Times New Roman;sans-serif"/>
          <w:b/>
          <w:color w:val="000000"/>
          <w:sz w:val="22"/>
        </w:rPr>
      </w:pPr>
      <w:r>
        <w:rPr>
          <w:rFonts w:ascii="Times New Roman;sans-serif" w:hAnsi="Times New Roman;sans-serif"/>
          <w:b/>
          <w:color w:val="000000"/>
          <w:sz w:val="22"/>
        </w:rPr>
        <w:t>Scope of Work and Compensation</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Immediate need:</w:t>
      </w:r>
    </w:p>
    <w:p>
      <w:pPr>
        <w:pStyle w:val="TextBody"/>
        <w:bidi w:val="0"/>
        <w:spacing w:before="6" w:after="283"/>
        <w:jc w:val="left"/>
        <w:rPr/>
      </w:pPr>
      <w:r>
        <w:rPr/>
      </w:r>
    </w:p>
    <w:p>
      <w:pPr>
        <w:pStyle w:val="TextBody"/>
        <w:bidi w:val="0"/>
        <w:spacing w:lineRule="auto" w:line="273" w:before="0" w:after="0"/>
        <w:ind w:left="0" w:right="0" w:hanging="476"/>
        <w:jc w:val="left"/>
        <w:rPr>
          <w:rFonts w:ascii="Times New Roman;sans-serif" w:hAnsi="Times New Roman;sans-serif"/>
          <w:b w:val="false"/>
          <w:color w:val="000000"/>
          <w:sz w:val="22"/>
        </w:rPr>
      </w:pPr>
      <w:r>
        <w:rPr>
          <w:rFonts w:ascii="Times New Roman;sans-serif" w:hAnsi="Times New Roman;sans-serif"/>
          <w:b w:val="false"/>
          <w:color w:val="000000"/>
          <w:sz w:val="22"/>
        </w:rPr>
        <w:t>i.CFO services to maintain the Company’s CFO function and assume oversight of and responsibility for the Company’s corporate-level finance activities:</w:t>
      </w:r>
    </w:p>
    <w:p>
      <w:pPr>
        <w:pStyle w:val="TextBody"/>
        <w:bidi w:val="0"/>
        <w:spacing w:lineRule="auto" w:line="312" w:before="4" w:after="283"/>
        <w:ind w:left="0" w:right="0" w:hanging="359"/>
        <w:jc w:val="left"/>
        <w:rPr/>
      </w:pPr>
      <w:r>
        <w:rPr>
          <w:rFonts w:ascii="Calibri;sans-serif" w:hAnsi="Calibri;sans-serif"/>
          <w:b w:val="false"/>
          <w:color w:val="000000"/>
          <w:sz w:val="24"/>
        </w:rPr>
        <w:t>1.</w:t>
      </w:r>
      <w:r>
        <w:rPr>
          <w:rFonts w:ascii="Times New Roman;sans-serif" w:hAnsi="Times New Roman;sans-serif"/>
          <w:b w:val="false"/>
          <w:color w:val="000000"/>
          <w:sz w:val="22"/>
        </w:rPr>
        <w:t>Financial planning &amp; analysis</w:t>
      </w:r>
    </w:p>
    <w:p>
      <w:pPr>
        <w:pStyle w:val="TextBody"/>
        <w:bidi w:val="0"/>
        <w:spacing w:lineRule="auto" w:line="300" w:before="0" w:after="0"/>
        <w:ind w:left="0" w:right="0" w:hanging="359"/>
        <w:jc w:val="left"/>
        <w:rPr/>
      </w:pPr>
      <w:r>
        <w:rPr>
          <w:rFonts w:ascii="Calibri;sans-serif" w:hAnsi="Calibri;sans-serif"/>
          <w:b w:val="false"/>
          <w:color w:val="000000"/>
          <w:sz w:val="24"/>
        </w:rPr>
        <w:t>2.</w:t>
      </w:r>
      <w:r>
        <w:rPr>
          <w:rFonts w:ascii="Times New Roman;sans-serif" w:hAnsi="Times New Roman;sans-serif"/>
          <w:b w:val="false"/>
          <w:color w:val="000000"/>
          <w:sz w:val="22"/>
        </w:rPr>
        <w:t>Corporate finance</w:t>
      </w:r>
    </w:p>
    <w:p>
      <w:pPr>
        <w:pStyle w:val="TextBody"/>
        <w:bidi w:val="0"/>
        <w:spacing w:lineRule="auto" w:line="300" w:before="0" w:after="0"/>
        <w:ind w:left="0" w:right="0" w:hanging="359"/>
        <w:jc w:val="left"/>
        <w:rPr/>
      </w:pPr>
      <w:r>
        <w:rPr>
          <w:rFonts w:ascii="Calibri;sans-serif" w:hAnsi="Calibri;sans-serif"/>
          <w:b w:val="false"/>
          <w:color w:val="000000"/>
          <w:sz w:val="24"/>
        </w:rPr>
        <w:t>3.</w:t>
      </w:r>
      <w:r>
        <w:rPr>
          <w:rFonts w:ascii="Times New Roman;sans-serif" w:hAnsi="Times New Roman;sans-serif"/>
          <w:b w:val="false"/>
          <w:color w:val="000000"/>
          <w:sz w:val="22"/>
        </w:rPr>
        <w:t>Treasury &amp; risk management</w:t>
      </w:r>
    </w:p>
    <w:p>
      <w:pPr>
        <w:pStyle w:val="TextBody"/>
        <w:bidi w:val="0"/>
        <w:spacing w:lineRule="auto" w:line="300" w:before="0" w:after="0"/>
        <w:ind w:left="0" w:right="0" w:hanging="359"/>
        <w:jc w:val="left"/>
        <w:rPr/>
      </w:pPr>
      <w:r>
        <w:rPr>
          <w:rFonts w:ascii="Calibri;sans-serif" w:hAnsi="Calibri;sans-serif"/>
          <w:b w:val="false"/>
          <w:color w:val="000000"/>
          <w:sz w:val="24"/>
        </w:rPr>
        <w:t>4.</w:t>
      </w:r>
      <w:r>
        <w:rPr>
          <w:rFonts w:ascii="Times New Roman;sans-serif" w:hAnsi="Times New Roman;sans-serif"/>
          <w:b w:val="false"/>
          <w:color w:val="000000"/>
          <w:sz w:val="22"/>
        </w:rPr>
        <w:t>Accounting/controllership</w:t>
      </w:r>
    </w:p>
    <w:p>
      <w:pPr>
        <w:pStyle w:val="TextBody"/>
        <w:bidi w:val="0"/>
        <w:spacing w:lineRule="auto" w:line="300" w:before="0" w:after="0"/>
        <w:ind w:left="0" w:right="0" w:hanging="359"/>
        <w:jc w:val="left"/>
        <w:rPr/>
      </w:pPr>
      <w:r>
        <w:rPr>
          <w:rFonts w:ascii="Calibri;sans-serif" w:hAnsi="Calibri;sans-serif"/>
          <w:b w:val="false"/>
          <w:color w:val="000000"/>
          <w:sz w:val="24"/>
        </w:rPr>
        <w:t>5.</w:t>
      </w:r>
      <w:r>
        <w:rPr>
          <w:rFonts w:ascii="Times New Roman;sans-serif" w:hAnsi="Times New Roman;sans-serif"/>
          <w:b w:val="false"/>
          <w:color w:val="000000"/>
          <w:sz w:val="22"/>
        </w:rPr>
        <w:t>Tax</w:t>
      </w:r>
    </w:p>
    <w:p>
      <w:pPr>
        <w:pStyle w:val="TextBody"/>
        <w:bidi w:val="0"/>
        <w:spacing w:lineRule="auto" w:line="276" w:before="0" w:after="0"/>
        <w:ind w:left="0" w:right="0" w:hanging="537"/>
        <w:jc w:val="left"/>
        <w:rPr>
          <w:rFonts w:ascii="Times New Roman;sans-serif" w:hAnsi="Times New Roman;sans-serif"/>
          <w:b w:val="false"/>
          <w:color w:val="000000"/>
          <w:sz w:val="22"/>
        </w:rPr>
      </w:pPr>
      <w:r>
        <w:rPr>
          <w:rFonts w:ascii="Times New Roman;sans-serif" w:hAnsi="Times New Roman;sans-serif"/>
          <w:b w:val="false"/>
          <w:color w:val="000000"/>
          <w:sz w:val="22"/>
        </w:rPr>
        <w:t>ii.Initially and on an on-going basis, assess the Company’s accounting, reporting, planning and control processes and determine the need, if any, for additional resources to appropriately staff those functions.</w:t>
      </w:r>
    </w:p>
    <w:p>
      <w:pPr>
        <w:pStyle w:val="TextBody"/>
        <w:bidi w:val="0"/>
        <w:spacing w:lineRule="auto" w:line="240" w:before="0" w:after="0"/>
        <w:ind w:left="0" w:right="0" w:hanging="598"/>
        <w:jc w:val="left"/>
        <w:rPr>
          <w:rFonts w:ascii="Times New Roman;sans-serif" w:hAnsi="Times New Roman;sans-serif"/>
          <w:b w:val="false"/>
          <w:color w:val="000000"/>
          <w:sz w:val="22"/>
        </w:rPr>
      </w:pPr>
      <w:r>
        <w:rPr>
          <w:rFonts w:ascii="Times New Roman;sans-serif" w:hAnsi="Times New Roman;sans-serif"/>
          <w:b w:val="false"/>
          <w:color w:val="000000"/>
          <w:sz w:val="22"/>
        </w:rPr>
        <w:t>iii.Implement a comprehensive financial planning and forecasting process including dynamic modeling to accurately forecast operating results and cash flow</w:t>
      </w:r>
    </w:p>
    <w:p>
      <w:pPr>
        <w:pStyle w:val="TextBody"/>
        <w:bidi w:val="0"/>
        <w:spacing w:lineRule="auto" w:line="240" w:before="0" w:after="0"/>
        <w:ind w:left="0" w:right="0" w:hanging="586"/>
        <w:jc w:val="left"/>
        <w:rPr>
          <w:rFonts w:ascii="Times New Roman;sans-serif" w:hAnsi="Times New Roman;sans-serif"/>
          <w:b w:val="false"/>
          <w:color w:val="000000"/>
          <w:sz w:val="22"/>
        </w:rPr>
      </w:pPr>
      <w:r>
        <w:rPr>
          <w:rFonts w:ascii="Times New Roman;sans-serif" w:hAnsi="Times New Roman;sans-serif"/>
          <w:b w:val="false"/>
          <w:color w:val="000000"/>
          <w:sz w:val="22"/>
        </w:rPr>
        <w:t>iv.Provide general corporate finance leadership/analysis/advice/guidance to the CEO for all aspects of corporate-level strategic decisions</w:t>
      </w:r>
    </w:p>
    <w:p>
      <w:pPr>
        <w:pStyle w:val="TextBody"/>
        <w:bidi w:val="0"/>
        <w:spacing w:lineRule="auto" w:line="240" w:before="0" w:after="0"/>
        <w:ind w:left="0" w:right="0" w:hanging="524"/>
        <w:jc w:val="left"/>
        <w:rPr>
          <w:rFonts w:ascii="Times New Roman;sans-serif" w:hAnsi="Times New Roman;sans-serif"/>
          <w:b w:val="false"/>
          <w:color w:val="000000"/>
          <w:sz w:val="22"/>
        </w:rPr>
      </w:pPr>
      <w:r>
        <w:rPr>
          <w:rFonts w:ascii="Times New Roman;sans-serif" w:hAnsi="Times New Roman;sans-serif"/>
          <w:b w:val="false"/>
          <w:color w:val="000000"/>
          <w:sz w:val="22"/>
        </w:rPr>
        <w:t>v.Act as principal financial officer and principal accounting officer of the Company</w:t>
      </w:r>
    </w:p>
    <w:p>
      <w:pPr>
        <w:pStyle w:val="TextBody"/>
        <w:bidi w:val="0"/>
        <w:spacing w:before="7" w:after="283"/>
        <w:jc w:val="left"/>
        <w:rPr/>
      </w:pPr>
      <w:r>
        <w:rPr/>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CFO resources:</w:t>
      </w:r>
    </w:p>
    <w:p>
      <w:pPr>
        <w:pStyle w:val="TextBody"/>
        <w:bidi w:val="0"/>
        <w:spacing w:before="1" w:after="283"/>
        <w:jc w:val="left"/>
        <w:rPr/>
      </w:pPr>
      <w:r>
        <w:rPr/>
      </w:r>
    </w:p>
    <w:p>
      <w:pPr>
        <w:pStyle w:val="TextBody"/>
        <w:bidi w:val="0"/>
        <w:spacing w:lineRule="auto" w:line="240" w:before="0" w:after="0"/>
        <w:ind w:left="0" w:right="0" w:hanging="585"/>
        <w:jc w:val="left"/>
        <w:rPr>
          <w:rFonts w:ascii="Times New Roman;sans-serif" w:hAnsi="Times New Roman;sans-serif"/>
          <w:b w:val="false"/>
          <w:color w:val="000000"/>
          <w:sz w:val="22"/>
        </w:rPr>
      </w:pPr>
      <w:r>
        <w:rPr>
          <w:rFonts w:ascii="Times New Roman;sans-serif" w:hAnsi="Times New Roman;sans-serif"/>
          <w:b w:val="false"/>
          <w:color w:val="000000"/>
          <w:sz w:val="22"/>
        </w:rPr>
        <w:t>vi.CFO Partner to serve as CFO on a 24/7 retained basis</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color w:val="000000"/>
          <w:sz w:val="22"/>
          <w:u w:val="single"/>
        </w:rPr>
        <w:t>Compensation</w:t>
      </w:r>
      <w:r>
        <w:rPr>
          <w:rFonts w:ascii="Times New Roman;sans-serif" w:hAnsi="Times New Roman;sans-serif"/>
          <w:b/>
          <w:color w:val="000000"/>
          <w:sz w:val="14"/>
          <w:u w:val="single"/>
        </w:rPr>
        <w:t>1</w:t>
      </w:r>
      <w:r>
        <w:rPr>
          <w:rFonts w:ascii="Times New Roman;sans-serif" w:hAnsi="Times New Roman;sans-serif"/>
          <w:b/>
          <w:color w:val="000000"/>
          <w:sz w:val="22"/>
          <w:u w:val="single"/>
        </w:rPr>
        <w:t>:</w:t>
      </w:r>
    </w:p>
    <w:p>
      <w:pPr>
        <w:pStyle w:val="TextBody"/>
        <w:bidi w:val="0"/>
        <w:spacing w:before="2" w:after="283"/>
        <w:jc w:val="left"/>
        <w:rPr/>
      </w:pPr>
      <w:r>
        <w:rPr/>
      </w:r>
    </w:p>
    <w:p>
      <w:pPr>
        <w:pStyle w:val="TextBody"/>
        <w:bidi w:val="0"/>
        <w:spacing w:lineRule="auto" w:line="292" w:before="0" w:after="0"/>
        <w:ind w:left="0" w:right="0" w:hanging="646"/>
        <w:jc w:val="left"/>
        <w:rPr/>
      </w:pPr>
      <w:r>
        <w:rPr>
          <w:rFonts w:ascii="Times New Roman;sans-serif" w:hAnsi="Times New Roman;sans-serif"/>
          <w:b w:val="false"/>
          <w:color w:val="000000"/>
          <w:sz w:val="22"/>
        </w:rPr>
        <w:t xml:space="preserve">vii.Retainer Fees for services of </w:t>
      </w:r>
      <w:r>
        <w:rPr>
          <w:rFonts w:ascii="Times New Roman;sans-serif" w:hAnsi="Times New Roman;sans-serif"/>
          <w:b/>
          <w:color w:val="000000"/>
          <w:sz w:val="22"/>
        </w:rPr>
        <w:t>$60,000 per month</w:t>
      </w:r>
      <w:r>
        <w:rPr>
          <w:rFonts w:ascii="Times New Roman;sans-serif" w:hAnsi="Times New Roman;sans-serif"/>
          <w:b/>
          <w:color w:val="000000"/>
          <w:sz w:val="14"/>
        </w:rPr>
        <w:t>1</w:t>
      </w:r>
    </w:p>
    <w:p>
      <w:pPr>
        <w:pStyle w:val="TextBody"/>
        <w:bidi w:val="0"/>
        <w:spacing w:lineRule="auto" w:line="292" w:before="0" w:after="0"/>
        <w:ind w:left="0" w:right="0" w:hanging="707"/>
        <w:jc w:val="left"/>
        <w:rPr>
          <w:rFonts w:ascii="Times New Roman;sans-serif" w:hAnsi="Times New Roman;sans-serif"/>
          <w:b w:val="false"/>
          <w:color w:val="000000"/>
          <w:sz w:val="22"/>
        </w:rPr>
      </w:pPr>
      <w:r>
        <w:rPr>
          <w:rFonts w:ascii="Times New Roman;sans-serif" w:hAnsi="Times New Roman;sans-serif"/>
          <w:b w:val="false"/>
          <w:color w:val="000000"/>
          <w:sz w:val="22"/>
        </w:rPr>
        <w:t>viii.Reimbursement of travel and other approved expenses</w:t>
      </w:r>
    </w:p>
    <w:p>
      <w:pPr>
        <w:pStyle w:val="TextBody"/>
        <w:bidi w:val="0"/>
        <w:spacing w:lineRule="auto" w:line="240" w:before="0" w:after="0"/>
        <w:ind w:left="0" w:right="0" w:hanging="586"/>
        <w:jc w:val="left"/>
        <w:rPr/>
      </w:pPr>
      <w:r>
        <w:rPr>
          <w:rFonts w:ascii="Times New Roman;sans-serif" w:hAnsi="Times New Roman;sans-serif"/>
          <w:b w:val="false"/>
          <w:color w:val="000000"/>
          <w:sz w:val="22"/>
        </w:rPr>
        <w:t>ix.Retainer Fees will be billed in advance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day of each month (with a prorated amount to be billed on the Effective Date)</w:t>
      </w:r>
    </w:p>
    <w:p>
      <w:pPr>
        <w:pStyle w:val="TextBody"/>
        <w:bidi w:val="0"/>
        <w:spacing w:lineRule="auto" w:line="273" w:before="4" w:after="283"/>
        <w:ind w:left="0" w:right="0" w:hanging="525"/>
        <w:jc w:val="left"/>
        <w:rPr/>
      </w:pPr>
      <w:r>
        <w:rPr>
          <w:rFonts w:ascii="Times New Roman;sans-serif" w:hAnsi="Times New Roman;sans-serif"/>
          <w:b w:val="false"/>
          <w:color w:val="000000"/>
          <w:sz w:val="22"/>
        </w:rPr>
        <w:t xml:space="preserve">x.At the Company’s discretion, engagement can be converted to a daily rate of </w:t>
      </w:r>
      <w:r>
        <w:rPr>
          <w:rFonts w:ascii="Times New Roman;sans-serif" w:hAnsi="Times New Roman;sans-serif"/>
          <w:b/>
          <w:color w:val="000000"/>
          <w:sz w:val="22"/>
        </w:rPr>
        <w:t>$3,000</w:t>
      </w:r>
      <w:r>
        <w:rPr>
          <w:rFonts w:ascii="Times New Roman;sans-serif" w:hAnsi="Times New Roman;sans-serif"/>
          <w:b/>
          <w:color w:val="000000"/>
          <w:sz w:val="14"/>
        </w:rPr>
        <w:t>1</w:t>
      </w:r>
      <w:r>
        <w:rPr>
          <w:color w:val="000000"/>
        </w:rPr>
        <w:t xml:space="preserve"> </w:t>
      </w:r>
      <w:r>
        <w:rPr>
          <w:rFonts w:ascii="Times New Roman;sans-serif" w:hAnsi="Times New Roman;sans-serif"/>
          <w:b/>
          <w:color w:val="000000"/>
          <w:sz w:val="22"/>
        </w:rPr>
        <w:t xml:space="preserve">per day </w:t>
      </w:r>
      <w:r>
        <w:rPr>
          <w:rFonts w:ascii="Times New Roman;sans-serif" w:hAnsi="Times New Roman;sans-serif"/>
          <w:b w:val="false"/>
          <w:color w:val="000000"/>
          <w:sz w:val="22"/>
        </w:rPr>
        <w:t>which would be billed semi-monthly in arrears on the 15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and last days of each month</w:t>
      </w:r>
    </w:p>
    <w:p>
      <w:pPr>
        <w:pStyle w:val="TextBody"/>
        <w:bidi w:val="0"/>
        <w:spacing w:lineRule="auto" w:line="240" w:before="2" w:after="283"/>
        <w:ind w:left="0" w:right="0" w:hanging="586"/>
        <w:jc w:val="left"/>
        <w:rPr>
          <w:rFonts w:ascii="Times New Roman;sans-serif" w:hAnsi="Times New Roman;sans-serif"/>
          <w:b w:val="false"/>
          <w:color w:val="000000"/>
          <w:sz w:val="22"/>
        </w:rPr>
      </w:pPr>
      <w:r>
        <w:rPr>
          <w:rFonts w:ascii="Times New Roman;sans-serif" w:hAnsi="Times New Roman;sans-serif"/>
          <w:b w:val="false"/>
          <w:color w:val="000000"/>
          <w:sz w:val="22"/>
        </w:rPr>
        <w:t>xi.Invoices are due upon receipt and payments will be made via ACH or other form of electronic payment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92"/>
        <w:ind w:left="0" w:right="0" w:firstLine="1"/>
        <w:jc w:val="left"/>
        <w:rPr/>
      </w:pPr>
      <w:r>
        <w:rPr>
          <w:rFonts w:ascii="Times New Roman;sans-serif" w:hAnsi="Times New Roman;sans-serif"/>
          <w:b w:val="false"/>
          <w:color w:val="000000"/>
          <w:sz w:val="14"/>
        </w:rPr>
        <w:t>1</w:t>
      </w:r>
      <w:r>
        <w:rPr>
          <w:rFonts w:ascii="Times New Roman;sans-serif" w:hAnsi="Times New Roman;sans-serif"/>
          <w:b w:val="false"/>
          <w:color w:val="000000"/>
          <w:sz w:val="15"/>
        </w:rPr>
        <w:t>In addition to our standard professional service fees described above, we will charge a 3% administrative fee, which covers ancillary administrative costs such as technology, communication, and supplies; however, it does not include the CFO Partner’s out-of-pocket expenses related to the performance of the services.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Douglas Francis,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I have reviewed this Quarterly Report on Form 10-Q of WM Technology Inc.;</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shd w:fill="FFFFFF" w:val="clear"/>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shd w:fill="FFFFFF" w:val="clear"/>
        </w:rPr>
        <w:t>(Paragraph intentionally omitted in accordance with SEC Release Nos. 34-47986 and 34-54942);</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shd w:fill="FFFFFF" w:val="clea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Any fraud, whether or not material, that involves management or other employees who have a significant role in the registrant's internal control over financial reporting.</w:t>
      </w:r>
    </w:p>
    <w:tbl>
      <w:tblPr>
        <w:tblW w:w="58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
        <w:gridCol w:w="150"/>
        <w:gridCol w:w="150"/>
        <w:gridCol w:w="150"/>
        <w:gridCol w:w="150"/>
        <w:gridCol w:w="150"/>
        <w:gridCol w:w="150"/>
        <w:gridCol w:w="150"/>
        <w:gridCol w:w="150"/>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Mary Hoitt,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I have reviewed this Quarterly Report on Form 10-Q of WM Technology Inc.;</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shd w:fill="FFFFFF" w:val="clear"/>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shd w:fill="FFFFFF" w:val="clear"/>
        </w:rPr>
        <w:t>(Paragraph intentionally omitted in accordance with SEC Release Nos. 34-47986 and 34-54942);</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shd w:fill="FFFFFF" w:val="clea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Any fraud, whether or not material, that involves management or other employees who have a significant role in the registrant's internal control over financial reporting.</w:t>
      </w:r>
    </w:p>
    <w:tbl>
      <w:tblPr>
        <w:tblW w:w="86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
        <w:gridCol w:w="150"/>
        <w:gridCol w:w="150"/>
        <w:gridCol w:w="150"/>
        <w:gridCol w:w="150"/>
        <w:gridCol w:w="150"/>
        <w:gridCol w:w="150"/>
        <w:gridCol w:w="150"/>
        <w:gridCol w:w="150"/>
        <w:gridCol w:w="109"/>
        <w:gridCol w:w="109"/>
        <w:gridCol w:w="109"/>
        <w:gridCol w:w="109"/>
        <w:gridCol w:w="109"/>
        <w:gridCol w:w="109"/>
        <w:gridCol w:w="109"/>
        <w:gridCol w:w="109"/>
        <w:gridCol w:w="109"/>
        <w:gridCol w:w="564"/>
        <w:gridCol w:w="564"/>
        <w:gridCol w:w="564"/>
        <w:gridCol w:w="564"/>
        <w:gridCol w:w="564"/>
        <w:gridCol w:w="564"/>
        <w:gridCol w:w="564"/>
        <w:gridCol w:w="564"/>
        <w:gridCol w:w="7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Mary Hoitt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Mary Hoitt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EXECUTIVE CHAIR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Douglas Francis, the Executive Chair of WM Technology, Inc., certify, pursuant to 18 U.S.C. Section 1350, as adopted pursuant to Section 906 of the Sarbanes-Oxley Act of 2002, that the Quarterly Report on Form 10-Q of WM Technology, Inc. for the quarterly period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58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
        <w:gridCol w:w="150"/>
        <w:gridCol w:w="150"/>
        <w:gridCol w:w="150"/>
        <w:gridCol w:w="150"/>
        <w:gridCol w:w="150"/>
        <w:gridCol w:w="150"/>
        <w:gridCol w:w="150"/>
        <w:gridCol w:w="150"/>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Mary Hoitt, the Interim Chief Financial Officer of WM Technology, Inc., certify, pursuant to 18 U.S.C. Section 1350, as adopted pursuant to Section 906 of the Sarbanes-Oxley Act of 2002, that the Quarterly Report on Form 10-Q of WM Technology, Inc. for the quarterly period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pStyle w:val="TextBody"/>
        <w:bidi w:val="0"/>
        <w:spacing w:before="0" w:after="0"/>
        <w:jc w:val="both"/>
        <w:rPr/>
      </w:pPr>
      <w:r>
        <w:rPr/>
      </w:r>
    </w:p>
    <w:tbl>
      <w:tblPr>
        <w:tblW w:w="86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0"/>
        <w:gridCol w:w="150"/>
        <w:gridCol w:w="150"/>
        <w:gridCol w:w="150"/>
        <w:gridCol w:w="150"/>
        <w:gridCol w:w="150"/>
        <w:gridCol w:w="150"/>
        <w:gridCol w:w="150"/>
        <w:gridCol w:w="150"/>
        <w:gridCol w:w="109"/>
        <w:gridCol w:w="109"/>
        <w:gridCol w:w="109"/>
        <w:gridCol w:w="109"/>
        <w:gridCol w:w="109"/>
        <w:gridCol w:w="109"/>
        <w:gridCol w:w="109"/>
        <w:gridCol w:w="109"/>
        <w:gridCol w:w="109"/>
        <w:gridCol w:w="564"/>
        <w:gridCol w:w="564"/>
        <w:gridCol w:w="564"/>
        <w:gridCol w:w="564"/>
        <w:gridCol w:w="564"/>
        <w:gridCol w:w="564"/>
        <w:gridCol w:w="564"/>
        <w:gridCol w:w="564"/>
        <w:gridCol w:w="7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Mary Hoitt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Mary Hoitt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779474/000114036121021785/brhc10025756_ex3-1.htm" TargetMode="External"/><Relationship Id="rId4" Type="http://schemas.openxmlformats.org/officeDocument/2006/relationships/hyperlink" Target="https://www.sec.gov/Archives/edgar/data/0001779474/000114036121021785/brhc10025756_ex3-1.htm" TargetMode="External"/><Relationship Id="rId5" Type="http://schemas.openxmlformats.org/officeDocument/2006/relationships/hyperlink" Target="https://www.sec.gov/Archives/edgar/data/0001779474/000114036121021785/brhc10025756_ex3-2.htm" TargetMode="External"/><Relationship Id="rId6" Type="http://schemas.openxmlformats.org/officeDocument/2006/relationships/hyperlink" Target="https://www.sec.gov/Archives/edgar/data/0001779474/000114036121021785/brhc10025756_ex3-2.htm"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5.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33195</Words>
  <Characters>184436</Characters>
  <CharactersWithSpaces>215811</CharactersWithSpaces>
  <Paragraphs>3061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