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color w:val="auto"/>
        </w:rPr>
        <w:t>For the fiscal year ended 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60" w:lineRule="exact"/>
        <w:rPr>
          <w:sz w:val="24"/>
          <w:szCs w:val="24"/>
          <w:color w:val="auto"/>
        </w:rPr>
      </w:pPr>
    </w:p>
    <w:p>
      <w:pPr>
        <w:spacing w:after="0"/>
        <w:tabs>
          <w:tab w:leader="none" w:pos="3580" w:val="left"/>
          <w:tab w:leader="none" w:pos="472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001-39021</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40"/>
          </w:cols>
          <w:pgMar w:left="320" w:top="541" w:right="339" w:bottom="0" w:gutter="0" w:footer="0" w:header="0"/>
        </w:sectPr>
      </w:pPr>
    </w:p>
    <w:p>
      <w:pPr>
        <w:spacing w:after="0" w:line="218"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220"/>
          </w:cols>
          <w:pgMar w:left="320" w:top="541" w:right="339" w:bottom="0" w:gutter="0" w:footer="0" w:header="0"/>
          <w:type w:val="continuous"/>
        </w:sectPr>
      </w:pPr>
    </w:p>
    <w:p>
      <w:pPr>
        <w:spacing w:after="0" w:line="57" w:lineRule="exact"/>
        <w:rPr>
          <w:sz w:val="24"/>
          <w:szCs w:val="24"/>
          <w:color w:val="auto"/>
        </w:rPr>
      </w:pPr>
    </w:p>
    <w:p>
      <w:pPr>
        <w:jc w:val="center"/>
        <w:ind w:left="2920"/>
        <w:spacing w:after="0"/>
        <w:rPr>
          <w:sz w:val="20"/>
          <w:szCs w:val="20"/>
          <w:color w:val="auto"/>
        </w:rPr>
      </w:pPr>
      <w:r>
        <w:rPr>
          <w:rFonts w:ascii="Arial" w:cs="Arial" w:eastAsia="Arial" w:hAnsi="Arial"/>
          <w:sz w:val="16"/>
          <w:szCs w:val="16"/>
          <w:b w:val="1"/>
          <w:bCs w:val="1"/>
          <w:color w:val="auto"/>
        </w:rPr>
        <w:t>660 Madison Ave., Suite 1600</w:t>
      </w:r>
    </w:p>
    <w:p>
      <w:pPr>
        <w:spacing w:after="0" w:line="50" w:lineRule="exact"/>
        <w:rPr>
          <w:sz w:val="24"/>
          <w:szCs w:val="24"/>
          <w:color w:val="auto"/>
        </w:rPr>
      </w:pPr>
    </w:p>
    <w:p>
      <w:pPr>
        <w:jc w:val="center"/>
        <w:ind w:left="292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10065</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Zip Code</w:t>
      </w:r>
    </w:p>
    <w:p>
      <w:pPr>
        <w:spacing w:after="0" w:line="23" w:lineRule="exact"/>
        <w:rPr>
          <w:sz w:val="24"/>
          <w:szCs w:val="24"/>
          <w:color w:val="auto"/>
        </w:rPr>
      </w:pPr>
    </w:p>
    <w:p>
      <w:pPr>
        <w:sectPr>
          <w:pgSz w:w="11900" w:h="16838" w:orient="portrait"/>
          <w:cols w:equalWidth="0" w:num="2">
            <w:col w:w="8340" w:space="720"/>
            <w:col w:w="2180"/>
          </w:cols>
          <w:pgMar w:left="320" w:top="541" w:right="339" w:bottom="0" w:gutter="0" w:footer="0" w:header="0"/>
          <w:type w:val="continuous"/>
        </w:sectPr>
      </w:pPr>
    </w:p>
    <w:p>
      <w:pPr>
        <w:jc w:val="center"/>
        <w:spacing w:after="0" w:line="235" w:lineRule="auto"/>
        <w:rPr>
          <w:sz w:val="20"/>
          <w:szCs w:val="20"/>
          <w:color w:val="auto"/>
        </w:rPr>
      </w:pPr>
      <w:r>
        <w:rPr>
          <w:rFonts w:ascii="Arial" w:cs="Arial" w:eastAsia="Arial" w:hAnsi="Arial"/>
          <w:sz w:val="22"/>
          <w:szCs w:val="22"/>
          <w:color w:val="auto"/>
        </w:rPr>
        <w:t>(Address of Principal Executive Offices)</w:t>
      </w:r>
    </w:p>
    <w:p>
      <w:pPr>
        <w:jc w:val="center"/>
        <w:spacing w:after="0" w:line="231" w:lineRule="auto"/>
        <w:rPr>
          <w:sz w:val="20"/>
          <w:szCs w:val="20"/>
          <w:color w:val="auto"/>
        </w:rPr>
      </w:pPr>
      <w:r>
        <w:rPr>
          <w:rFonts w:ascii="Arial" w:cs="Arial" w:eastAsia="Arial" w:hAnsi="Arial"/>
          <w:sz w:val="22"/>
          <w:szCs w:val="22"/>
          <w:b w:val="1"/>
          <w:bCs w:val="1"/>
          <w:color w:val="auto"/>
        </w:rPr>
        <w:t>212-905-4923</w:t>
      </w: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72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64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4700" w:type="dxa"/>
            <w:vAlign w:val="bottom"/>
            <w:gridSpan w:val="3"/>
          </w:tcPr>
          <w:p>
            <w:pPr>
              <w:jc w:val="center"/>
              <w:ind w:right="72"/>
              <w:spacing w:after="0"/>
              <w:rPr>
                <w:sz w:val="20"/>
                <w:szCs w:val="20"/>
                <w:color w:val="auto"/>
              </w:rPr>
            </w:pPr>
            <w:r>
              <w:rPr>
                <w:rFonts w:ascii="Arial" w:cs="Arial" w:eastAsia="Arial" w:hAnsi="Arial"/>
                <w:sz w:val="18"/>
                <w:szCs w:val="18"/>
                <w:color w:val="auto"/>
                <w:w w:val="89"/>
              </w:rPr>
              <w:t>Class A ordinary shares, par value $0.0001 per share</w:t>
            </w:r>
          </w:p>
        </w:tc>
        <w:tc>
          <w:tcPr>
            <w:tcW w:w="22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SSPK</w:t>
            </w:r>
          </w:p>
        </w:tc>
        <w:tc>
          <w:tcPr>
            <w:tcW w:w="320" w:type="dxa"/>
            <w:vAlign w:val="bottom"/>
          </w:tcPr>
          <w:p>
            <w:pPr>
              <w:spacing w:after="0"/>
              <w:rPr>
                <w:sz w:val="19"/>
                <w:szCs w:val="19"/>
                <w:color w:val="auto"/>
              </w:rPr>
            </w:pPr>
          </w:p>
        </w:tc>
        <w:tc>
          <w:tcPr>
            <w:tcW w:w="36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The Nasdaq Stock Market LLC</w:t>
            </w:r>
          </w:p>
        </w:tc>
        <w:tc>
          <w:tcPr>
            <w:tcW w:w="640" w:type="dxa"/>
            <w:vAlign w:val="bottom"/>
          </w:tcPr>
          <w:p>
            <w:pPr>
              <w:spacing w:after="0"/>
              <w:rPr>
                <w:sz w:val="19"/>
                <w:szCs w:val="19"/>
                <w:color w:val="auto"/>
              </w:rPr>
            </w:pPr>
          </w:p>
        </w:tc>
      </w:tr>
      <w:tr>
        <w:trPr>
          <w:trHeight w:val="216"/>
        </w:trPr>
        <w:tc>
          <w:tcPr>
            <w:tcW w:w="4700" w:type="dxa"/>
            <w:vAlign w:val="bottom"/>
            <w:gridSpan w:val="3"/>
          </w:tcPr>
          <w:p>
            <w:pPr>
              <w:jc w:val="center"/>
              <w:ind w:right="92"/>
              <w:spacing w:after="0"/>
              <w:rPr>
                <w:sz w:val="20"/>
                <w:szCs w:val="20"/>
                <w:color w:val="auto"/>
              </w:rPr>
            </w:pPr>
            <w:r>
              <w:rPr>
                <w:rFonts w:ascii="Arial" w:cs="Arial" w:eastAsia="Arial" w:hAnsi="Arial"/>
                <w:sz w:val="18"/>
                <w:szCs w:val="18"/>
                <w:color w:val="auto"/>
                <w:w w:val="88"/>
              </w:rPr>
              <w:t>Redeemable warrants, each warrant exercisable for one</w:t>
            </w:r>
          </w:p>
        </w:tc>
        <w:tc>
          <w:tcPr>
            <w:tcW w:w="22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SSPKW</w:t>
            </w:r>
          </w:p>
        </w:tc>
        <w:tc>
          <w:tcPr>
            <w:tcW w:w="320" w:type="dxa"/>
            <w:vAlign w:val="bottom"/>
          </w:tcPr>
          <w:p>
            <w:pPr>
              <w:spacing w:after="0"/>
              <w:rPr>
                <w:sz w:val="18"/>
                <w:szCs w:val="18"/>
                <w:color w:val="auto"/>
              </w:rPr>
            </w:pPr>
          </w:p>
        </w:tc>
        <w:tc>
          <w:tcPr>
            <w:tcW w:w="36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The Nasdaq Stock Market LLC</w:t>
            </w:r>
          </w:p>
        </w:tc>
        <w:tc>
          <w:tcPr>
            <w:tcW w:w="640" w:type="dxa"/>
            <w:vAlign w:val="bottom"/>
          </w:tcPr>
          <w:p>
            <w:pPr>
              <w:spacing w:after="0"/>
              <w:rPr>
                <w:sz w:val="18"/>
                <w:szCs w:val="18"/>
                <w:color w:val="auto"/>
              </w:rPr>
            </w:pPr>
          </w:p>
        </w:tc>
      </w:tr>
      <w:tr>
        <w:trPr>
          <w:trHeight w:val="216"/>
        </w:trPr>
        <w:tc>
          <w:tcPr>
            <w:tcW w:w="4700" w:type="dxa"/>
            <w:vAlign w:val="bottom"/>
            <w:gridSpan w:val="3"/>
          </w:tcPr>
          <w:p>
            <w:pPr>
              <w:jc w:val="center"/>
              <w:ind w:right="72"/>
              <w:spacing w:after="0"/>
              <w:rPr>
                <w:sz w:val="20"/>
                <w:szCs w:val="20"/>
                <w:color w:val="auto"/>
              </w:rPr>
            </w:pPr>
            <w:r>
              <w:rPr>
                <w:rFonts w:ascii="Arial" w:cs="Arial" w:eastAsia="Arial" w:hAnsi="Arial"/>
                <w:sz w:val="18"/>
                <w:szCs w:val="18"/>
                <w:color w:val="auto"/>
                <w:w w:val="89"/>
              </w:rPr>
              <w:t>Class A ordinary share at an exercise price of $11.50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700" w:type="dxa"/>
            <w:vAlign w:val="bottom"/>
            <w:gridSpan w:val="3"/>
          </w:tcPr>
          <w:p>
            <w:pPr>
              <w:jc w:val="center"/>
              <w:ind w:right="72"/>
              <w:spacing w:after="0"/>
              <w:rPr>
                <w:sz w:val="20"/>
                <w:szCs w:val="20"/>
                <w:color w:val="auto"/>
              </w:rPr>
            </w:pPr>
            <w:r>
              <w:rPr>
                <w:rFonts w:ascii="Arial" w:cs="Arial" w:eastAsia="Arial" w:hAnsi="Arial"/>
                <w:sz w:val="18"/>
                <w:szCs w:val="18"/>
                <w:color w:val="auto"/>
                <w:w w:val="90"/>
              </w:rPr>
              <w:t>Units, each consisting of one Class A ordinary share and one-</w:t>
            </w:r>
          </w:p>
        </w:tc>
        <w:tc>
          <w:tcPr>
            <w:tcW w:w="22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SSPKU</w:t>
            </w:r>
          </w:p>
        </w:tc>
        <w:tc>
          <w:tcPr>
            <w:tcW w:w="320" w:type="dxa"/>
            <w:vAlign w:val="bottom"/>
          </w:tcPr>
          <w:p>
            <w:pPr>
              <w:spacing w:after="0"/>
              <w:rPr>
                <w:sz w:val="18"/>
                <w:szCs w:val="18"/>
                <w:color w:val="auto"/>
              </w:rPr>
            </w:pPr>
          </w:p>
        </w:tc>
        <w:tc>
          <w:tcPr>
            <w:tcW w:w="36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The Nasdaq Stock Market LLC</w:t>
            </w:r>
          </w:p>
        </w:tc>
        <w:tc>
          <w:tcPr>
            <w:tcW w:w="640" w:type="dxa"/>
            <w:vAlign w:val="bottom"/>
          </w:tcPr>
          <w:p>
            <w:pPr>
              <w:spacing w:after="0"/>
              <w:rPr>
                <w:sz w:val="18"/>
                <w:szCs w:val="18"/>
                <w:color w:val="auto"/>
              </w:rPr>
            </w:pPr>
          </w:p>
        </w:tc>
      </w:tr>
      <w:tr>
        <w:trPr>
          <w:trHeight w:val="230"/>
        </w:trPr>
        <w:tc>
          <w:tcPr>
            <w:tcW w:w="4700" w:type="dxa"/>
            <w:vAlign w:val="bottom"/>
            <w:gridSpan w:val="3"/>
          </w:tcPr>
          <w:p>
            <w:pPr>
              <w:jc w:val="center"/>
              <w:ind w:right="72"/>
              <w:spacing w:after="0"/>
              <w:rPr>
                <w:sz w:val="20"/>
                <w:szCs w:val="20"/>
                <w:color w:val="auto"/>
              </w:rPr>
            </w:pPr>
            <w:r>
              <w:rPr>
                <w:rFonts w:ascii="Arial" w:cs="Arial" w:eastAsia="Arial" w:hAnsi="Arial"/>
                <w:sz w:val="18"/>
                <w:szCs w:val="18"/>
                <w:color w:val="auto"/>
                <w:w w:val="89"/>
              </w:rPr>
              <w:t>half of one redeemable warrant</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96"/>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20" w:type="dxa"/>
            <w:vAlign w:val="bottom"/>
            <w:gridSpan w:val="7"/>
          </w:tcPr>
          <w:p>
            <w:pPr>
              <w:jc w:val="center"/>
              <w:ind w:right="2320"/>
              <w:spacing w:after="0"/>
              <w:rPr>
                <w:sz w:val="20"/>
                <w:szCs w:val="20"/>
                <w:color w:val="auto"/>
              </w:rPr>
            </w:pPr>
            <w:r>
              <w:rPr>
                <w:rFonts w:ascii="Arial" w:cs="Arial" w:eastAsia="Arial" w:hAnsi="Arial"/>
                <w:sz w:val="22"/>
                <w:szCs w:val="22"/>
                <w:color w:val="auto"/>
                <w:w w:val="89"/>
              </w:rPr>
              <w:t>Securities registered pursuant to Section 12(g) of the Act:</w:t>
            </w:r>
          </w:p>
        </w:tc>
        <w:tc>
          <w:tcPr>
            <w:tcW w:w="640" w:type="dxa"/>
            <w:vAlign w:val="bottom"/>
          </w:tcPr>
          <w:p>
            <w:pPr>
              <w:spacing w:after="0"/>
              <w:rPr>
                <w:sz w:val="24"/>
                <w:szCs w:val="24"/>
                <w:color w:val="auto"/>
              </w:rPr>
            </w:pPr>
          </w:p>
        </w:tc>
      </w:tr>
      <w:tr>
        <w:trPr>
          <w:trHeight w:val="486"/>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87"/>
              </w:rPr>
              <w:t>None</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2"/>
        </w:trPr>
        <w:tc>
          <w:tcPr>
            <w:tcW w:w="10600" w:type="dxa"/>
            <w:vAlign w:val="bottom"/>
            <w:gridSpan w:val="9"/>
          </w:tcPr>
          <w:p>
            <w:pPr>
              <w:spacing w:after="0"/>
              <w:rPr>
                <w:sz w:val="20"/>
                <w:szCs w:val="20"/>
                <w:color w:val="auto"/>
              </w:rPr>
            </w:pPr>
            <w:r>
              <w:rPr>
                <w:rFonts w:ascii="Arial" w:cs="Arial" w:eastAsia="Arial" w:hAnsi="Arial"/>
                <w:sz w:val="22"/>
                <w:szCs w:val="22"/>
                <w:color w:val="auto"/>
                <w:w w:val="93"/>
              </w:rPr>
              <w:t>Indicate by check mark if the registrant is a well-known seasoned issuer, as defined in Rule 405 of the Securities Act.</w:t>
            </w:r>
          </w:p>
        </w:tc>
        <w:tc>
          <w:tcPr>
            <w:tcW w:w="640" w:type="dxa"/>
            <w:vAlign w:val="bottom"/>
          </w:tcPr>
          <w:p>
            <w:pPr>
              <w:ind w:left="80"/>
              <w:spacing w:after="0" w:line="253" w:lineRule="exact"/>
              <w:rPr>
                <w:sz w:val="20"/>
                <w:szCs w:val="20"/>
                <w:color w:val="auto"/>
              </w:rPr>
            </w:pPr>
            <w:r>
              <w:rPr>
                <w:rFonts w:ascii="Arial" w:cs="Arial" w:eastAsia="Arial" w:hAnsi="Arial"/>
                <w:sz w:val="22"/>
                <w:szCs w:val="22"/>
                <w:color w:val="auto"/>
                <w:w w:val="81"/>
              </w:rPr>
              <w:t xml:space="preserve">Yes </w:t>
            </w:r>
            <w:r>
              <w:rPr>
                <w:rFonts w:ascii="MS PGothic" w:cs="MS PGothic" w:eastAsia="MS PGothic" w:hAnsi="MS PGothic"/>
                <w:sz w:val="22"/>
                <w:szCs w:val="22"/>
                <w:color w:val="auto"/>
                <w:w w:val="81"/>
              </w:rPr>
              <w:t>☐</w:t>
            </w:r>
          </w:p>
        </w:tc>
      </w:tr>
      <w:tr>
        <w:trPr>
          <w:trHeight w:val="338"/>
        </w:trPr>
        <w:tc>
          <w:tcPr>
            <w:tcW w:w="4700" w:type="dxa"/>
            <w:vAlign w:val="bottom"/>
            <w:gridSpan w:val="3"/>
          </w:tcPr>
          <w:p>
            <w:pPr>
              <w:spacing w:after="0" w:line="253" w:lineRule="exact"/>
              <w:rPr>
                <w:sz w:val="20"/>
                <w:szCs w:val="20"/>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4"/>
        </w:trPr>
        <w:tc>
          <w:tcPr>
            <w:tcW w:w="10600" w:type="dxa"/>
            <w:vAlign w:val="bottom"/>
            <w:gridSpan w:val="9"/>
          </w:tcPr>
          <w:p>
            <w:pPr>
              <w:spacing w:after="0"/>
              <w:rPr>
                <w:sz w:val="20"/>
                <w:szCs w:val="20"/>
                <w:color w:val="auto"/>
              </w:rPr>
            </w:pPr>
            <w:r>
              <w:rPr>
                <w:rFonts w:ascii="Arial" w:cs="Arial" w:eastAsia="Arial" w:hAnsi="Arial"/>
                <w:sz w:val="22"/>
                <w:szCs w:val="22"/>
                <w:color w:val="auto"/>
                <w:w w:val="92"/>
              </w:rPr>
              <w:t>Indicate by check mark if the registrant is not required to file reports pursuant to Section 13 or Section 15(d) of the Act.</w:t>
            </w:r>
          </w:p>
        </w:tc>
        <w:tc>
          <w:tcPr>
            <w:tcW w:w="640" w:type="dxa"/>
            <w:vAlign w:val="bottom"/>
          </w:tcPr>
          <w:p>
            <w:pPr>
              <w:ind w:left="280"/>
              <w:spacing w:after="0"/>
              <w:rPr>
                <w:sz w:val="20"/>
                <w:szCs w:val="20"/>
                <w:color w:val="auto"/>
              </w:rPr>
            </w:pPr>
            <w:r>
              <w:rPr>
                <w:rFonts w:ascii="Arial" w:cs="Arial" w:eastAsia="Arial" w:hAnsi="Arial"/>
                <w:sz w:val="22"/>
                <w:szCs w:val="22"/>
                <w:color w:val="auto"/>
                <w:w w:val="89"/>
              </w:rPr>
              <w:t>Yes</w:t>
            </w:r>
          </w:p>
        </w:tc>
      </w:tr>
      <w:tr>
        <w:trPr>
          <w:trHeight w:val="338"/>
        </w:trPr>
        <w:tc>
          <w:tcPr>
            <w:tcW w:w="4700" w:type="dxa"/>
            <w:vAlign w:val="bottom"/>
            <w:gridSpan w:val="3"/>
          </w:tcPr>
          <w:p>
            <w:pPr>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88" w:lineRule="exact"/>
        <w:rPr>
          <w:sz w:val="24"/>
          <w:szCs w:val="24"/>
          <w:color w:val="auto"/>
        </w:rPr>
      </w:pPr>
    </w:p>
    <w:p>
      <w:pPr>
        <w:ind w:right="10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right="28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41" w:right="339" w:bottom="0" w:gutter="0" w:footer="0" w:header="0"/>
          <w:type w:val="continuous"/>
        </w:sectPr>
      </w:pPr>
    </w:p>
    <w:p>
      <w:pPr>
        <w:spacing w:after="0" w:line="1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6040" w:space="720"/>
            <w:col w:w="1960" w:space="100"/>
            <w:col w:w="2420"/>
          </w:cols>
          <w:pgMar w:left="320" w:top="541" w:right="339" w:bottom="0" w:gutter="0" w:footer="0" w:header="0"/>
          <w:type w:val="continuous"/>
        </w:sectPr>
      </w:pPr>
    </w:p>
    <w:p>
      <w:pPr>
        <w:spacing w:after="0" w:line="33" w:lineRule="exact"/>
        <w:rPr>
          <w:sz w:val="24"/>
          <w:szCs w:val="24"/>
          <w:color w:val="auto"/>
        </w:rPr>
      </w:pPr>
    </w:p>
    <w:p>
      <w:pPr>
        <w:ind w:left="67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8720" w:space="100"/>
            <w:col w:w="2420"/>
          </w:cols>
          <w:pgMar w:left="320" w:top="541" w:right="339" w:bottom="0" w:gutter="0" w:footer="0" w:header="0"/>
          <w:type w:val="continuous"/>
        </w:sectPr>
      </w:pPr>
    </w:p>
    <w:bookmarkStart w:id="1" w:name="page2"/>
    <w:bookmarkEnd w:id="1"/>
    <w:p>
      <w:pPr>
        <w:spacing w:after="0" w:line="27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1" w:lineRule="exact"/>
        <w:rPr>
          <w:sz w:val="20"/>
          <w:szCs w:val="20"/>
          <w:color w:val="auto"/>
        </w:rPr>
      </w:pPr>
    </w:p>
    <w:p>
      <w:pPr>
        <w:spacing w:after="0" w:line="253" w:lineRule="exact"/>
        <w:tabs>
          <w:tab w:leader="none" w:pos="9420" w:val="left"/>
        </w:tabs>
        <w:rPr>
          <w:sz w:val="20"/>
          <w:szCs w:val="20"/>
          <w:color w:val="auto"/>
        </w:rPr>
      </w:pPr>
      <w:r>
        <w:rPr>
          <w:rFonts w:ascii="Arial" w:cs="Arial" w:eastAsia="Arial" w:hAnsi="Arial"/>
          <w:sz w:val="22"/>
          <w:szCs w:val="22"/>
          <w:color w:val="auto"/>
        </w:rPr>
        <w:t>Indicate by check mark whether the registrant is a shell company (as defined in Rule 12b-2 of the Act).</w:t>
      </w:r>
      <w:r>
        <w:rPr>
          <w:sz w:val="20"/>
          <w:szCs w:val="20"/>
          <w:color w:val="auto"/>
        </w:rPr>
        <w:tab/>
      </w: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273"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As of June 30, 2020 (the last business day of the registrant’s second fiscal quarter), the aggregate market value of the Class A ordinary shares outstanding, other than shares held by persons who may be deemed affiliates of the registrant, computed by reference to the closing sales price for the Class A ordinary shares on June 30, 2020, as reported on the Nasdaq, was $253,250,000.</w:t>
      </w:r>
    </w:p>
    <w:p>
      <w:pPr>
        <w:spacing w:after="0" w:line="212"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As of March 6, 2021, 24,998,575 Class A ordinary shares, par value $0.0001 per share, and 6,250,000 Class B ordinary shares, par value $0.0001 per share, were issued and outstanding, respectively.</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DOCUMENTS INCORPORATED BY REFERENCE</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Silver Spike Acquisition Corp. (the “Company,” “we”, “our” or “us”) is filing this Annual Report on Form 10-K/A (Amendment No. 1), or this Annual Report, to amend our Annual Report on Form 10-K for the period ended December 31, 2020, originally filed with the Securities and Exchange Commission, or the SEC, on March 9, 2021, or the Original Filing, to restate our consolidated financial statements for the period ended December 31, 2020. We are also restating the financial statements as of August 12, 2019; as of December 31, 2019 and the period from June 7, 2019 (inception) through December 31, 2019; and as of and for the periods ended September 30, 2019, March 31, 2020, June 30, 2020 and September 30, 2020 in the accompanying financial statements included in this Annual Report, including describing the restatement and its impact on previously reported amounts.</w:t>
      </w:r>
    </w:p>
    <w:p>
      <w:pPr>
        <w:spacing w:after="0" w:line="21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9"/>
          <w:szCs w:val="19"/>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the Company’s warrants. As a result of the SEC Statement, the Company reevaluated the accounting treatment of (i) the 12,500,000 redeemable warrants (the “Public Warrants”) that were included in the units issued by the Company in its initial public offering and (ii) the 7,000,000 redeemable warrants that were issued to the Company’s sponsor in a private placement that closed concurrently with the closing of the IPO (the “Private Placement Warrants”). The Company previously accounted for the Warrants as components of equity.</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9"/>
          <w:szCs w:val="19"/>
          <w:color w:val="auto"/>
        </w:rPr>
        <w:t>The restatement results from the Company’s prior accounting for its outstanding warrants issued in connection with its initial public offering in August 2019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ordinary shares, all holders of the warrants would be entitled to receive cash for their warrants (the “tender offer provision”). In other words, in the event of a qualifying cash tender offer (which could be outside the control of the Company), all warrant holders would be entitled to cash, while only certain of the holders of the underlying ordinary shares would be entitled to cash.</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warrants are not indexed to the Company’s ordinary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83"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212" w:lineRule="exact"/>
        <w:rPr>
          <w:sz w:val="20"/>
          <w:szCs w:val="20"/>
          <w:color w:val="auto"/>
        </w:rPr>
      </w:pPr>
    </w:p>
    <w:p>
      <w:pPr>
        <w:ind w:right="300" w:firstLine="324"/>
        <w:spacing w:after="0"/>
        <w:rPr>
          <w:sz w:val="20"/>
          <w:szCs w:val="20"/>
          <w:color w:val="auto"/>
        </w:rPr>
      </w:pPr>
      <w:r>
        <w:rPr>
          <w:rFonts w:ascii="Arial" w:cs="Arial" w:eastAsia="Arial" w:hAnsi="Arial"/>
          <w:sz w:val="22"/>
          <w:szCs w:val="22"/>
          <w:color w:val="auto"/>
        </w:rPr>
        <w:t>In addition, a portion of the initial transaction costs related to the IPO and attributable to the warrants must be immediately expensed, and the difference between the fair market value of the private placement warrants and the initial purchase consideration thereof is recorded as a compensation expense.</w:t>
      </w:r>
    </w:p>
    <w:p>
      <w:pPr>
        <w:sectPr>
          <w:pgSz w:w="11900" w:h="16838" w:orient="portrait"/>
          <w:cols w:equalWidth="0" w:num="1">
            <w:col w:w="11240"/>
          </w:cols>
          <w:pgMar w:left="320" w:top="111"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 w:name="page4"/>
    <w:bookmarkEnd w:id="3"/>
    <w:p>
      <w:pPr>
        <w:ind w:firstLine="324"/>
        <w:spacing w:after="0" w:line="247" w:lineRule="auto"/>
        <w:rPr>
          <w:sz w:val="20"/>
          <w:szCs w:val="20"/>
          <w:color w:val="auto"/>
        </w:rPr>
      </w:pPr>
      <w:r>
        <w:rPr>
          <w:rFonts w:ascii="Arial" w:cs="Arial" w:eastAsia="Arial" w:hAnsi="Arial"/>
          <w:sz w:val="21"/>
          <w:szCs w:val="21"/>
          <w:color w:val="auto"/>
        </w:rPr>
        <w:t>In connection with the restatement, the Company’s management reassessed the effectiveness of its disclosure controls and procedures for the periods affected by the restatement. As a result of that reassessment, the Company’s management determined that a material weakness exists in the Company’s internal control over financial reporting and its disclosure controls and procedures for such periods were not effective with respect to (i) the classification of the Company’s warrants as components of equity instead of as derivative liabilities, (ii) the allocation and treatment of the initial transaction costs of the IPO, and (iii) the treatment of a portion of the loss resulting from the initial warrant liability as a compensation expense. For more information, see Item 9A included in this Annual Report on Form 10-K/A.</w:t>
      </w:r>
    </w:p>
    <w:p>
      <w:pPr>
        <w:spacing w:after="0" w:line="205" w:lineRule="exact"/>
        <w:rPr>
          <w:sz w:val="20"/>
          <w:szCs w:val="20"/>
          <w:color w:val="auto"/>
        </w:rPr>
      </w:pPr>
    </w:p>
    <w:p>
      <w:pPr>
        <w:ind w:right="220" w:firstLine="324"/>
        <w:spacing w:after="0" w:line="287" w:lineRule="auto"/>
        <w:rPr>
          <w:sz w:val="20"/>
          <w:szCs w:val="20"/>
          <w:color w:val="auto"/>
        </w:rPr>
      </w:pPr>
      <w:r>
        <w:rPr>
          <w:rFonts w:ascii="Arial" w:cs="Arial" w:eastAsia="Arial" w:hAnsi="Arial"/>
          <w:sz w:val="19"/>
          <w:szCs w:val="19"/>
          <w:color w:val="auto"/>
        </w:rPr>
        <w:t>The Company has not amended its previously filed Current Report on Form 8-K Annual Report on Form 10-K or Quarterly Reports on Form 10-Q for the periods affected by the restatement. The financial information that has been previously filed or otherwise reported for these period is superseded by the information in this Annual Report on Form 10-K/A, and the financial statements and related financial information contained in such previously filed reports should no longer be relied upon.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items are amended in this Amendment:</w:t>
      </w:r>
    </w:p>
    <w:p>
      <w:pPr>
        <w:spacing w:after="0" w:line="24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Item 1A. Risk Factors;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9A. Controls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IV, Item 15. Exhibits, Financial Statement Schedules.</w:t>
      </w:r>
    </w:p>
    <w:p>
      <w:pPr>
        <w:spacing w:after="0" w:line="2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21"/>
          <w:szCs w:val="21"/>
          <w:color w:val="auto"/>
        </w:rPr>
        <w:t>Additionally, in accordance with Rule 12b-15 under the Securities Exchange Act of 1934, as amended, the Company is including with this Amendment currently dated certifications from our principal executive officer and principal financial officer. These certifications are filed or furnished, as applicable, as Exhibits 31.1, 31.2, 32.1 and 32.2.</w:t>
      </w:r>
    </w:p>
    <w:p>
      <w:pPr>
        <w:spacing w:after="0" w:line="196"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9"/>
          <w:szCs w:val="19"/>
          <w:color w:val="auto"/>
        </w:rPr>
        <w:t>Except as described above, this Amendment does not amend, update or change any other disclosures in the Original 10-K. In addition, the information contained in this Amendment does not reflect events occurring after the filing of the Original 10-K and does not modify or update the disclosures therein, except as specifically identified above. Among other things, forward-looking statements made in the Original 10-K have not been revised to reflect events, results or developments that occurred or facts that became known to us after the date of the Original 10-K, other than the restatement, and such forward-looking statements should be read in conjunction with our filings with the SEC, including those subsequent to the filing of the Original 10-K.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ON FORM 10-K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60" w:type="dxa"/>
            <w:vAlign w:val="bottom"/>
            <w:gridSpan w:val="2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STATEMENTS AND RISK FACTOR SUMMARY</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v</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Part I</w:t>
              </w:r>
            </w:hyperlink>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w:t>
            </w:r>
          </w:p>
        </w:tc>
        <w:tc>
          <w:tcPr>
            <w:tcW w:w="892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1A.</w:t>
            </w:r>
          </w:p>
        </w:tc>
        <w:tc>
          <w:tcPr>
            <w:tcW w:w="8920" w:type="dxa"/>
            <w:vAlign w:val="bottom"/>
            <w:gridSpan w:val="20"/>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1B.</w:t>
            </w:r>
          </w:p>
        </w:tc>
        <w:tc>
          <w:tcPr>
            <w:tcW w:w="892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Unresolved Staff Comments</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5"/>
          </w:tcPr>
          <w:p>
            <w:pPr>
              <w:ind w:left="240"/>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Properties</w:t>
              </w:r>
            </w:hyperlink>
          </w:p>
        </w:tc>
        <w:tc>
          <w:tcPr>
            <w:tcW w:w="6880" w:type="dxa"/>
            <w:vAlign w:val="bottom"/>
            <w:tcBorders>
              <w:top w:val="single" w:sz="8" w:color="CCEEFF"/>
            </w:tcBorders>
            <w:gridSpan w:val="11"/>
          </w:tcPr>
          <w:p>
            <w:pPr>
              <w:spacing w:after="0"/>
              <w:rPr>
                <w:sz w:val="15"/>
                <w:szCs w:val="15"/>
                <w:color w:val="auto"/>
              </w:rPr>
            </w:pPr>
          </w:p>
        </w:tc>
        <w:tc>
          <w:tcPr>
            <w:tcW w:w="1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Legal Proceedings</w:t>
              </w:r>
            </w:hyperlink>
          </w:p>
        </w:tc>
        <w:tc>
          <w:tcPr>
            <w:tcW w:w="7580" w:type="dxa"/>
            <w:vAlign w:val="bottom"/>
            <w:tcBorders>
              <w:bottom w:val="single" w:sz="8" w:color="CCEEFF"/>
            </w:tcBorders>
            <w:gridSpan w:val="15"/>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4.</w:t>
            </w:r>
          </w:p>
        </w:tc>
        <w:tc>
          <w:tcPr>
            <w:tcW w:w="8920" w:type="dxa"/>
            <w:vAlign w:val="bottom"/>
            <w:gridSpan w:val="20"/>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Part II</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5.</w:t>
            </w:r>
          </w:p>
        </w:tc>
        <w:tc>
          <w:tcPr>
            <w:tcW w:w="8920" w:type="dxa"/>
            <w:vAlign w:val="bottom"/>
            <w:gridSpan w:val="20"/>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Market for Registrant’s Common Equity, Related Stockholder Matters and Issuer Purchases of Equity Securities</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Selected Financial Data</w:t>
              </w:r>
            </w:hyperlink>
          </w:p>
        </w:tc>
        <w:tc>
          <w:tcPr>
            <w:tcW w:w="7200" w:type="dxa"/>
            <w:vAlign w:val="bottom"/>
            <w:tcBorders>
              <w:bottom w:val="single" w:sz="8" w:color="CCEEFF"/>
            </w:tcBorders>
            <w:gridSpan w:val="14"/>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7.</w:t>
            </w:r>
          </w:p>
        </w:tc>
        <w:tc>
          <w:tcPr>
            <w:tcW w:w="892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7A.</w:t>
            </w:r>
          </w:p>
        </w:tc>
        <w:tc>
          <w:tcPr>
            <w:tcW w:w="8920" w:type="dxa"/>
            <w:vAlign w:val="bottom"/>
            <w:gridSpan w:val="20"/>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5"/>
          </w:tcPr>
          <w:p>
            <w:pPr>
              <w:ind w:left="240"/>
              <w:spacing w:after="0" w:line="17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4620" w:type="dxa"/>
            <w:vAlign w:val="bottom"/>
            <w:tcBorders>
              <w:top w:val="single" w:sz="8" w:color="CCEEFF"/>
            </w:tcBorders>
            <w:gridSpan w:val="7"/>
          </w:tcPr>
          <w:p>
            <w:pPr>
              <w:spacing w:after="0"/>
              <w:rPr>
                <w:sz w:val="15"/>
                <w:szCs w:val="15"/>
                <w:color w:val="auto"/>
              </w:rPr>
            </w:pPr>
          </w:p>
        </w:tc>
        <w:tc>
          <w:tcPr>
            <w:tcW w:w="1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Changes in and Disagreements with Accountants on Accounting and Financial Disclosure</w:t>
              </w:r>
            </w:hyperlink>
          </w:p>
        </w:tc>
        <w:tc>
          <w:tcPr>
            <w:tcW w:w="2440" w:type="dxa"/>
            <w:vAlign w:val="bottom"/>
            <w:tcBorders>
              <w:bottom w:val="single" w:sz="8" w:color="CCEEFF"/>
            </w:tcBorders>
            <w:gridSpan w:val="4"/>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9A.</w:t>
            </w:r>
          </w:p>
        </w:tc>
        <w:tc>
          <w:tcPr>
            <w:tcW w:w="8920" w:type="dxa"/>
            <w:vAlign w:val="bottom"/>
            <w:gridSpan w:val="20"/>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9B.</w:t>
            </w:r>
          </w:p>
        </w:tc>
        <w:tc>
          <w:tcPr>
            <w:tcW w:w="8920" w:type="dxa"/>
            <w:vAlign w:val="bottom"/>
            <w:gridSpan w:val="20"/>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5"/>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Directors, Executive Officers and Corporate Governance</w:t>
              </w:r>
            </w:hyperlink>
          </w:p>
        </w:tc>
        <w:tc>
          <w:tcPr>
            <w:tcW w:w="4820" w:type="dxa"/>
            <w:vAlign w:val="bottom"/>
            <w:tcBorders>
              <w:bottom w:val="single" w:sz="8" w:color="CCEEFF"/>
            </w:tcBorders>
            <w:gridSpan w:val="8"/>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11.</w:t>
            </w:r>
          </w:p>
        </w:tc>
        <w:tc>
          <w:tcPr>
            <w:tcW w:w="8920" w:type="dxa"/>
            <w:vAlign w:val="bottom"/>
            <w:gridSpan w:val="20"/>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Security Ownership of Certain Beneficial Owners and Management and Related Stockholder Matters</w:t>
              </w:r>
            </w:hyperlink>
          </w:p>
        </w:tc>
        <w:tc>
          <w:tcPr>
            <w:tcW w:w="1620" w:type="dxa"/>
            <w:vAlign w:val="bottom"/>
            <w:tcBorders>
              <w:bottom w:val="single" w:sz="8" w:color="CCEEFF"/>
            </w:tcBorders>
            <w:gridSpan w:val="2"/>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13.</w:t>
            </w:r>
          </w:p>
        </w:tc>
        <w:tc>
          <w:tcPr>
            <w:tcW w:w="8920" w:type="dxa"/>
            <w:vAlign w:val="bottom"/>
            <w:gridSpan w:val="20"/>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14.</w:t>
            </w:r>
          </w:p>
        </w:tc>
        <w:tc>
          <w:tcPr>
            <w:tcW w:w="89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5"/>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60" w:type="dxa"/>
            <w:vAlign w:val="bottom"/>
            <w:gridSpan w:val="25"/>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INDEX TO CONSOLIDATED FINANCIAL STATEMENTS</w:t>
              </w:r>
            </w:hyperlink>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CERTAIN TERMS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Unless otherwise stated in this Annual Report on Form 10-K/A (this “Annual Report”), references to:</w:t>
      </w:r>
    </w:p>
    <w:p>
      <w:pPr>
        <w:spacing w:after="0" w:line="233" w:lineRule="exact"/>
        <w:rPr>
          <w:sz w:val="20"/>
          <w:szCs w:val="20"/>
          <w:color w:val="auto"/>
        </w:rPr>
      </w:pPr>
    </w:p>
    <w:p>
      <w:pPr>
        <w:ind w:right="840" w:firstLine="324"/>
        <w:spacing w:after="0" w:line="250" w:lineRule="auto"/>
        <w:rPr>
          <w:sz w:val="20"/>
          <w:szCs w:val="20"/>
          <w:color w:val="auto"/>
        </w:rPr>
      </w:pPr>
      <w:r>
        <w:rPr>
          <w:rFonts w:ascii="Arial" w:cs="Arial" w:eastAsia="Arial" w:hAnsi="Arial"/>
          <w:sz w:val="22"/>
          <w:szCs w:val="22"/>
          <w:color w:val="auto"/>
        </w:rPr>
        <w:t>“we,” “us,” “our,” “company” or “our company” are to Silver Spike Acquisition Corp., a Cayman Islands exempted company;</w:t>
      </w:r>
    </w:p>
    <w:p>
      <w:pPr>
        <w:spacing w:after="0" w:line="202"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“amended and restated memorandum and articles of association” are to our Amended and Restated Memorandum and Articles of Association;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“Class A ordinary shares” are to our Class A ordinary shares, par value $0.0001 per share;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“Class B ordinary shares” are to our Class B ordinary shares, par value $0.0001 per share;</w:t>
      </w:r>
    </w:p>
    <w:p>
      <w:pPr>
        <w:spacing w:after="0" w:line="233"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“Companies Act” are to the Companies Act (2020 Revision) of the Cayman Islands as the same may be amended from time to time;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“directors” are to our current directors</w:t>
      </w:r>
    </w:p>
    <w:p>
      <w:pPr>
        <w:spacing w:after="0" w:line="233"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“founders shares” are to our Class B ordinary shares initially purchased by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“initial shareholders” are to our sponsor and other holders of our founders shares prior to our initial public offering;</w:t>
      </w:r>
    </w:p>
    <w:p>
      <w:pPr>
        <w:spacing w:after="0" w:line="245"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“letter agreement” refers to the letter agreement entered into between us and our initial shareholders, directors and officers on August 7, 2019;</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“management” or our “management team” are to our officers and directors;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“ordinary shares” are to our Class A ordinary shares and our Class B ordinary shares;</w:t>
      </w:r>
    </w:p>
    <w:p>
      <w:pPr>
        <w:spacing w:after="0" w:line="23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“private placement warrants” are to the warrants issued to our sponsor in a private placement simultaneously with the closing of our initial public offering;</w:t>
      </w:r>
    </w:p>
    <w:p>
      <w:pPr>
        <w:spacing w:after="0" w:line="202" w:lineRule="exact"/>
        <w:rPr>
          <w:sz w:val="20"/>
          <w:szCs w:val="20"/>
          <w:color w:val="auto"/>
        </w:rPr>
      </w:pPr>
    </w:p>
    <w:p>
      <w:pPr>
        <w:ind w:right="280" w:firstLine="324"/>
        <w:spacing w:after="0" w:line="250" w:lineRule="auto"/>
        <w:rPr>
          <w:sz w:val="20"/>
          <w:szCs w:val="20"/>
          <w:color w:val="auto"/>
        </w:rPr>
      </w:pPr>
      <w:r>
        <w:rPr>
          <w:rFonts w:ascii="Arial" w:cs="Arial" w:eastAsia="Arial" w:hAnsi="Arial"/>
          <w:sz w:val="22"/>
          <w:szCs w:val="22"/>
          <w:color w:val="auto"/>
        </w:rPr>
        <w:t>“public shares” are to our Class A ordinary shares sold as part of the units in our initial public offering (whether they were purchased in our initial public offering or thereafter in the open market);</w:t>
      </w:r>
    </w:p>
    <w:p>
      <w:pPr>
        <w:spacing w:after="0" w:line="202"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“Silver Spike Capital” are to Silver Spike Capital, LLC, a Delaware limited liability company;</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“sponsor” are to Silver Spike Sponsor, LLC, a Delaware limited liability company;</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21"/>
          <w:szCs w:val="21"/>
          <w:color w:val="auto"/>
        </w:rPr>
        <w:t>“warrants” are to our redeemable warrants sold as part of the units in our initial public offering (whether they were purchased in the initial public offering or thereafter in the open market) and the private placement warrants; and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“US$” and “U.S. dollar” each refer to the United States dollar.</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CAUTIONARY NOTE REGARDING FORWARD-LOOKING STATEMENTS AND RISK FACTOR SUMMARY</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Some statements contained in this Annual Report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 (1) the occurrence of any event, change or other circumstances that could result in the failure to consummate the business combination; (2) the outcome of any legal proceedings that may be instituted against Silver Spike, Merger Sub and WM regarding the business combination; (3) the inability to complete the business combination due to the failure to obtain approval of the stockholders of Silver Spike, to obtain financing to complete the business combination or to satisfy other conditions to closing in the definitive agreements with respect to the business combination; (4) changes to the proposed structure of the business combination that may be required or appropriate as a result of applicable laws or regulations or as a condition to obtaining regulatory approval of the business combination; (5) the ability to meet and maintain Nasdaq’s listing standards following the consummation of the business combination; (6) the risk that the business combination disrupts current plans and operations of WMH as a result of the announcement and consummation of the business combination; (7) costs related to the business combination; (8) changes in applicable laws or regulations; (9) the possibility that WMH or New WMH may be adversely affected by other economic, business, and/or competitive factors; (10) the risk that we may not be able to raise financing in the future; (11) the risk that we may not be able to retain or recruit necessary officers, key employees or directors following the business combination; (12) the risk that our public securities will be illiquid; (13) the risk that we will not be able to obtain the required approval for domestication; (14) the risks related to the changes in shareholders’ rights as a result of domestication; (15) the risk that shareholders may experience adverse tax consequences with respect to their shares at the effective time of domestication; (16) the risk that operating under the laws of the State of Delaware will affect the conduct of our business; and</w:t>
      </w:r>
    </w:p>
    <w:p>
      <w:pPr>
        <w:spacing w:after="0" w:line="219" w:lineRule="exact"/>
        <w:rPr>
          <w:sz w:val="20"/>
          <w:szCs w:val="20"/>
          <w:color w:val="auto"/>
        </w:rPr>
      </w:pPr>
    </w:p>
    <w:p>
      <w:pPr>
        <w:ind w:right="20" w:firstLine="8"/>
        <w:spacing w:after="0" w:line="271" w:lineRule="auto"/>
        <w:tabs>
          <w:tab w:leader="none" w:pos="414" w:val="left"/>
        </w:tabs>
        <w:numPr>
          <w:ilvl w:val="0"/>
          <w:numId w:val="4"/>
        </w:numPr>
        <w:rPr>
          <w:rFonts w:ascii="Arial" w:cs="Arial" w:eastAsia="Arial" w:hAnsi="Arial"/>
          <w:sz w:val="19"/>
          <w:szCs w:val="19"/>
          <w:color w:val="auto"/>
        </w:rPr>
      </w:pPr>
      <w:r>
        <w:rPr>
          <w:rFonts w:ascii="Arial" w:cs="Arial" w:eastAsia="Arial" w:hAnsi="Arial"/>
          <w:sz w:val="19"/>
          <w:szCs w:val="19"/>
          <w:color w:val="auto"/>
        </w:rPr>
        <w:t>other risks and uncertainties indicated from time to time in filings made with the SEC, including those risk factors described in this Annual Report on Form 10-K for the fiscal year ended December 31, 2020. 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Introduction</w:t>
      </w:r>
    </w:p>
    <w:p>
      <w:pPr>
        <w:spacing w:after="0" w:line="233"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Annual Report as our initial business combination.</w:t>
      </w:r>
    </w:p>
    <w:p>
      <w:pPr>
        <w:spacing w:after="0" w:line="161"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Our sponsor is an affiliate of Silver Spike Capital. Silver Spike Capital is an asset management firm focused on the burgeoning cannabis and related health &amp; wellness industries. Silver Spike Capital was formed in 2019 with an executive team consisting of seasoned investment professionals, many of whom have extensive experience in emerging and frontier markets as well as cannabis industry investors and entrepreneurs with proven track records. With this team, Silver Spike Capital is positioning to become the leading institutional-quality asset manager in this nascent, fragmented sector.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Company History</w:t>
      </w:r>
    </w:p>
    <w:p>
      <w:pPr>
        <w:spacing w:after="0" w:line="233"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In June 2019, our sponsor purchased an aggregate of 7,187,500 Class B ordinary shares (our “founder shares”) for an aggregate purchase price of $25,000, or approximately $0.0001 per share. Our Class B ordinary shares will automatically convert into Class A ordinary shares, on a one-for-one basis, upon the completion of a business combination. The number of founder shares issued was determined based on the expectation that the founder shares would represent 20% of the issued and outstanding ordinary shares upon completion of the initial public offering (the “IPO”).</w:t>
      </w:r>
    </w:p>
    <w:p>
      <w:pPr>
        <w:spacing w:after="0" w:line="174" w:lineRule="exact"/>
        <w:rPr>
          <w:sz w:val="20"/>
          <w:szCs w:val="20"/>
          <w:color w:val="auto"/>
        </w:rPr>
      </w:pPr>
    </w:p>
    <w:p>
      <w:pPr>
        <w:ind w:right="160" w:firstLine="324"/>
        <w:spacing w:after="0" w:line="252" w:lineRule="auto"/>
        <w:rPr>
          <w:sz w:val="20"/>
          <w:szCs w:val="20"/>
          <w:color w:val="auto"/>
        </w:rPr>
      </w:pPr>
      <w:r>
        <w:rPr>
          <w:rFonts w:ascii="Arial" w:cs="Arial" w:eastAsia="Arial" w:hAnsi="Arial"/>
          <w:sz w:val="21"/>
          <w:szCs w:val="21"/>
          <w:color w:val="auto"/>
        </w:rPr>
        <w:t>On August 12, 2019, we completed our IPO of 25,000,000 units at a price of $10.00 per unit (the “units”), generating gross proceeds of $250,000,000. Each unit consists of one of the Company’s shares of Class A ordinary shares, par value $0.0001 per share, and one-half of one redeemable warrant. Each whole warrant entitles the holder thereof to purchase one Class A ordinary share at a price of $11.50 per share, subject to certain adjustments.</w:t>
      </w:r>
    </w:p>
    <w:p>
      <w:pPr>
        <w:spacing w:after="0" w:line="201"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Substantially concurrently with the completion of the IPO, our sponsor purchased an aggregate of 7,000,000 warrants (the “private placement warrants”) at a price of $1.00 per warrant, or $7,000,000 in the aggregate. A total of $250,000,000, comprised of $245,000,000 of the proceeds from the IPO, including $8,750,000 of the underwriters’ deferred discount, and $5,000,000 of the proceeds of the sale of the Private Placement Warrants, was placed in a U.S.-based trust account at J.P. Morgan Chase Bank, N.A., maintained by Continental Stock Transfer &amp; Trust Company, acting as trustee.</w:t>
      </w:r>
    </w:p>
    <w:p>
      <w:pPr>
        <w:spacing w:after="0" w:line="174" w:lineRule="exact"/>
        <w:rPr>
          <w:sz w:val="20"/>
          <w:szCs w:val="20"/>
          <w:color w:val="auto"/>
        </w:rPr>
      </w:pPr>
    </w:p>
    <w:p>
      <w:pPr>
        <w:jc w:val="both"/>
        <w:ind w:right="240" w:firstLine="324"/>
        <w:spacing w:after="0" w:line="238" w:lineRule="auto"/>
        <w:rPr>
          <w:sz w:val="20"/>
          <w:szCs w:val="20"/>
          <w:color w:val="auto"/>
        </w:rPr>
      </w:pPr>
      <w:r>
        <w:rPr>
          <w:rFonts w:ascii="Arial" w:cs="Arial" w:eastAsia="Arial" w:hAnsi="Arial"/>
          <w:sz w:val="22"/>
          <w:szCs w:val="22"/>
          <w:color w:val="auto"/>
        </w:rPr>
        <w:t>On September 25, 2019, we announced that, commencing September 30, 2019, holders of the 25,000,000 units sold in the IPO may elect to separately trade the Class A ordinary shares and the warrants included in the units. Those units not separated continued to trade on the Nasdaq under the symbol “SSPKU” and the Class A ordinary shares and warrants that were separated trade under the symbols “SSPK” and “SSPKW,” respectively.</w:t>
      </w:r>
    </w:p>
    <w:p>
      <w:pPr>
        <w:spacing w:after="0" w:line="212"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On January 13, 2021, we held an Extraordinary General Meeting in Lieu of an Annual General Meeting (the “Extraordinary General Meeting”) at which holders of 20,374,378 Class A ordinary shares and Class B ordinary shares, or 65% of the ordinary shares outstanding and entitled to vote as of the record date of December 18, 2020, were represented in person or by proxy. At the Extraordinary General Meeting, (1) the shareholders approved an amendment to the Amended and Restated Memorandum and Articles of Association to extend the date by which, if we have not consummated a merger, amalgamation, share exchange, asset acquisition, share purchase, reorganization or similar business combination with one or more businesses, the we must (i) cease all operations except for the purpose of winding up, (ii) redeem all of the Class A ordinary shares included as part of the units sold in the IPO that was consummated on August 19, 2019 and (iii) liquidate and dissolve, from February 12, 2021 to July 10, 2021 and</w:t>
      </w:r>
    </w:p>
    <w:p>
      <w:pPr>
        <w:spacing w:after="0" w:line="3" w:lineRule="exact"/>
        <w:rPr>
          <w:sz w:val="20"/>
          <w:szCs w:val="20"/>
          <w:color w:val="auto"/>
        </w:rPr>
      </w:pPr>
    </w:p>
    <w:p>
      <w:pPr>
        <w:ind w:right="180" w:firstLine="8"/>
        <w:spacing w:after="0" w:line="234"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holders of Class B ordinary shares approved the re-appointment of Scott Gordon and William Healy as Class 1 directors, with each such director to serve until the second annual general meeting following the Extraordinary General Meeting and, in each case, until his successor is appointed and qualified.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Business Combination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Merger Agreement</w:t>
      </w:r>
    </w:p>
    <w:p>
      <w:pPr>
        <w:spacing w:after="0" w:line="233"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On December 10, 2020, we entered into an agreement and plan of merger, dated as of December 10, 2020 (as amended or modified from time to time, the “Merger Agreement”),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(the “holder representative”), pursuant to which Merger Sub will be merged with and into WMH, whereupon the separate limited liability company existence of Merger Sub will cease and WMH will be the surviving company and continue in existence as a subsidiary of Silver Spike (“New WMH”), on the terms and subject to the conditions set forth therein.</w:t>
      </w:r>
    </w:p>
    <w:p>
      <w:pPr>
        <w:spacing w:after="0" w:line="214" w:lineRule="exact"/>
        <w:rPr>
          <w:sz w:val="20"/>
          <w:szCs w:val="20"/>
          <w:color w:val="auto"/>
        </w:rPr>
      </w:pPr>
    </w:p>
    <w:p>
      <w:pPr>
        <w:ind w:right="200" w:firstLine="324"/>
        <w:spacing w:after="0" w:line="250" w:lineRule="auto"/>
        <w:rPr>
          <w:sz w:val="20"/>
          <w:szCs w:val="20"/>
          <w:color w:val="auto"/>
        </w:rPr>
      </w:pPr>
      <w:r>
        <w:rPr>
          <w:rFonts w:ascii="Arial" w:cs="Arial" w:eastAsia="Arial" w:hAnsi="Arial"/>
          <w:sz w:val="22"/>
          <w:szCs w:val="22"/>
          <w:color w:val="auto"/>
        </w:rPr>
        <w:t>WMH operates the leading listings marketplace and most comprehensive software-as-a-service subscription offering sold to retailers and brands in the U.S. state legal and Canadian cannabis markets.</w:t>
      </w:r>
    </w:p>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21"/>
          <w:szCs w:val="21"/>
          <w:color w:val="auto"/>
        </w:rPr>
        <w:t>The merger consideration (the “merger consideration”) received by holders of the limited liability company interests of WMH (each, a “WMH Equity Holder”) at the closing of the business combination (the “Closing”) pursuant to the Merger Agreement will have a value of $1,310,000,000 and will be paid in a mix of cash and equity consideration.</w:t>
      </w:r>
    </w:p>
    <w:p>
      <w:pPr>
        <w:spacing w:after="0" w:line="196"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Financing for the business combination and for related transaction expenses will consist of (i) $250,000,000 of proceeds from our IPO and certain related transactions on deposit in the trust account (plus interest income accrued thereon since the IPO), net of any redemptions of Silver Spike’s Class A ordinary shares in connection with the shareholder votes to be held at the extraordinary general meeting of Silver Spike shareholders to be held in connection with the business combination and held at the Extraordinary General Meeting on January 13, 2021 in connection with a proposal to amend Silver Spike’s existing organizational documents and (ii) $325,000,000 of proceeds from the purchase by certain accredited investors, pursuant to subscription agreements entered into in connection with the entry into the Merger Agreement (the “subscription agreements”), of an aggregate of 32,500,000 shares of Class A common stock of New WMH for a purchase price of $10.00 per share of Class A common stock of New WMH in a private placement to close immediately prior to the Closing.</w:t>
      </w:r>
    </w:p>
    <w:p>
      <w:pPr>
        <w:spacing w:after="0" w:line="185" w:lineRule="exact"/>
        <w:rPr>
          <w:sz w:val="20"/>
          <w:szCs w:val="20"/>
          <w:color w:val="auto"/>
        </w:rPr>
      </w:pPr>
    </w:p>
    <w:p>
      <w:pPr>
        <w:ind w:right="140" w:firstLine="324"/>
        <w:spacing w:after="0" w:line="246" w:lineRule="auto"/>
        <w:rPr>
          <w:sz w:val="20"/>
          <w:szCs w:val="20"/>
          <w:color w:val="auto"/>
        </w:rPr>
      </w:pPr>
      <w:r>
        <w:rPr>
          <w:rFonts w:ascii="Arial" w:cs="Arial" w:eastAsia="Arial" w:hAnsi="Arial"/>
          <w:sz w:val="21"/>
          <w:szCs w:val="21"/>
          <w:color w:val="auto"/>
        </w:rPr>
        <w:t>The Closing is subject to certain customary closing conditions, including the listing of the shares of Class A common stock on Nasdaq, the expiration or termination of the applicable waiting periods under the Hart-Scott-Rodino Antitrust Improvements Act of 1976, as amended, the approval by our shareholders, the approval obtained by the WMH Equity Holders, the registration statement becoming effective in accordance with the Securities Act and no stop order having been issued or threatened by the SEC, the accuracy of the parties’ respective representations and warranties and compliance with the parties’ respective covenant obligations (each to certain specified materiality standards), and the absence of a “Material Adverse Effect” on WMH and its subsidiaries.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The Merger Agreement contains customary termination rights, including (i) by mutual written consent of the parties; (ii) by either party if (a) the Closing has not occurred on or prior to June 10, 2021, unless such party’s failure to comply in all material respects with the covenants and agreements contained in the Merger Agreement causes the failure of the business combination to be consummated by such time, (b) the consummation of the business combination is permanently enjoined or prohibited by the terms of a final, non-appealable governmental order, (c) the representations, warranties or covenants of the other party are breached such that there is a failure of the related closing condition (subject to a 30-day cure period) or (d) Nasdaq rejects the listing of the Class A common stock; and (e) if the approval of Silver Spike’s shareholders is not obtained upon a vote duly taken.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Voting Agreement</w:t>
      </w:r>
    </w:p>
    <w:p>
      <w:pPr>
        <w:spacing w:after="0" w:line="233" w:lineRule="exact"/>
        <w:rPr>
          <w:sz w:val="20"/>
          <w:szCs w:val="20"/>
          <w:color w:val="auto"/>
        </w:rPr>
      </w:pPr>
    </w:p>
    <w:p>
      <w:pPr>
        <w:ind w:right="220" w:firstLine="324"/>
        <w:spacing w:after="0" w:line="236" w:lineRule="auto"/>
        <w:rPr>
          <w:sz w:val="20"/>
          <w:szCs w:val="20"/>
          <w:color w:val="auto"/>
        </w:rPr>
      </w:pPr>
      <w:r>
        <w:rPr>
          <w:rFonts w:ascii="Arial" w:cs="Arial" w:eastAsia="Arial" w:hAnsi="Arial"/>
          <w:sz w:val="22"/>
          <w:szCs w:val="22"/>
          <w:color w:val="auto"/>
        </w:rPr>
        <w:t>On December 10, 2020, in connection with the execution of the Merger Agreement, the Company, WM Holding Company, LLC and certain WMH Equity Holders entered into a voting and support agreement (the “Voting and Support Agreement”), pursuant to which the WMH Equity Holders agreed to vote all of their limited liability company interests of WMH (“the WMH Equity Interests”) in favor of the Merger Agreement and related transactions and to take certain other actions in support of the Merger Agreement and related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9"/>
          <w:szCs w:val="19"/>
          <w:color w:val="auto"/>
        </w:rPr>
        <w:t>The Voting and Support Agreement prevents the WMH Voting Members from transferring their voting rights with respect to their WMH Equity Interests or otherwise transferring their WMH Equity Interests prior to the meeting of WMH’s members to approve the Merger Agreement and related transactions, except for certain customary permitted transfers. The WMH Voting Members also each agreed, with certain exceptions, to a lock-up for a period of 180 days after the Closing with respect to any securities of Silver Spike or WMH that they receive as consideration under the Merger Agreement. The Voting and Support Agreement will automatically terminate upon the first to occur of (i) the termination of the Merger Agreement, (ii) the mutual written consent of the Company, New WMH, and the equityholder and (iii) the time of any modification, amendment or waiver of the Merger Agreement without equityholder’s prior written consent in certain circumstances.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Sponsor Letter Agreement</w:t>
      </w:r>
    </w:p>
    <w:p>
      <w:pPr>
        <w:spacing w:after="0" w:line="233"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On December 10, 2020, concurrently with the execution of the Merger Agreement, the Sponsor entered into a letter agreement with Silver Spike and WMH (the “Sponsor Letter Agreement”) pursuant to which the Sponsor agreed to vote all of its Class B ordinary shares in favor of the business combination and related transactions and to take certain other actions in support of the Merger Agreement and related transactions.</w:t>
      </w:r>
    </w:p>
    <w:p>
      <w:pPr>
        <w:spacing w:after="0" w:line="212"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color w:val="auto"/>
        </w:rPr>
        <w:t>The sponsor also agreed that, in the event that the sum of (i) the amount of cash available to be released from the trust account of Silver Spike and (ii) the net amount of proceeds actually received by Silver Spike pursuant to the Equity Financing (as defined in the Merger Agreement) is less than $350,000,000, then 15% of the Sponsor Shares will be deemed to be “Deferred Sponsor Shares,” and a corresponding number of Surviving Company Membership Units (as defined in the Merger Agreement) held by Silver Spike will be deemed to be “Deferred Company Units.” The sponsor agreed that it will not transfer and, subject to the achievement of certain milestones, may be required to forfeit, any such Deferred Sponsor Shares (in which case a corresponding number of Deferred Company Units will be forfeited), subject to the terms of the Sponsor Letter Agreement. The sponsor also waived certain anti-dilution protection to which it would otherwise be entitled in connection with the Equity Financing.</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Working Capital Promissory Note</w:t>
      </w:r>
    </w:p>
    <w:p>
      <w:pPr>
        <w:spacing w:after="0" w:line="233"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On February 18, 2021, we issued a $750,000 Global Promissory Note (the “Working Capital Promissory Note”) to its sponsor in exchange for $750,000 of financing to be used for the payment of working capital expenses, including expenses incurred in connection with the business combination. The note is non-interest bearing, unsecured and due on the earliest of (i) June 10, 2021 and (ii) the consummation of our initial business combination.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PIPE Subscription Agreements</w:t>
      </w:r>
    </w:p>
    <w:p>
      <w:pPr>
        <w:spacing w:after="0" w:line="2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9"/>
          <w:szCs w:val="19"/>
          <w:color w:val="auto"/>
        </w:rPr>
        <w:t>In connection with the execution of the Merger Agreement, we entered into subscription agreements with certain subscription investors pursuant to which we have agreed to issue and sell to the subscription investors, in the aggregate, $325,000,000 of Silver Spike’s Class A ordinary shares (or shares of Class A common stock of New WMH into which such shares will convert in connection with the domestication) at a purchase price of $10.00 per share. The closing of the PIPE subscription financing will occur immediately prior to the Closing, and is subject to customary closing conditions, including the satisfaction or waiver of the conditions set forth in the Merger Agreement. Such subscription investors were granted registration rights.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Initial Business Combination</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We do not currently intend to purchase multiple businesses in unrelated industries in conjunction with our initial business combination, although there is no restriction on our doing so</w:t>
      </w:r>
    </w:p>
    <w:p>
      <w:pPr>
        <w:sectPr>
          <w:pgSz w:w="11900" w:h="16838" w:orient="portrait"/>
          <w:cols w:equalWidth="0" w:num="1">
            <w:col w:w="11220"/>
          </w:cols>
          <w:pgMar w:left="320" w:top="121" w:right="35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70" w:lineRule="auto"/>
        <w:rPr>
          <w:sz w:val="20"/>
          <w:szCs w:val="20"/>
          <w:color w:val="auto"/>
        </w:rPr>
      </w:pPr>
      <w:r>
        <w:rPr>
          <w:rFonts w:ascii="Arial" w:cs="Arial" w:eastAsia="Arial" w:hAnsi="Arial"/>
          <w:sz w:val="19"/>
          <w:szCs w:val="19"/>
          <w:color w:val="auto"/>
        </w:rPr>
        <w:t>We may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Emerging Growth Company Status and Other Corporate Information</w:t>
      </w:r>
    </w:p>
    <w:p>
      <w:pPr>
        <w:spacing w:after="0" w:line="233"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11" w:lineRule="exact"/>
        <w:rPr>
          <w:sz w:val="20"/>
          <w:szCs w:val="20"/>
          <w:color w:val="auto"/>
        </w:rPr>
      </w:pPr>
    </w:p>
    <w:p>
      <w:pPr>
        <w:ind w:right="400" w:firstLine="324"/>
        <w:spacing w:after="0" w:line="236" w:lineRule="auto"/>
        <w:rPr>
          <w:sz w:val="20"/>
          <w:szCs w:val="20"/>
          <w:color w:val="auto"/>
        </w:rPr>
      </w:pPr>
      <w:r>
        <w:rPr>
          <w:rFonts w:ascii="Arial" w:cs="Arial" w:eastAsia="Arial" w:hAnsi="Arial"/>
          <w:sz w:val="22"/>
          <w:szCs w:val="22"/>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14" w:lineRule="exact"/>
        <w:rPr>
          <w:sz w:val="20"/>
          <w:szCs w:val="20"/>
          <w:color w:val="auto"/>
        </w:rPr>
      </w:pPr>
    </w:p>
    <w:p>
      <w:pPr>
        <w:ind w:right="400" w:firstLine="324"/>
        <w:spacing w:after="0" w:line="279" w:lineRule="auto"/>
        <w:rPr>
          <w:sz w:val="20"/>
          <w:szCs w:val="20"/>
          <w:color w:val="auto"/>
        </w:rPr>
      </w:pPr>
      <w:r>
        <w:rPr>
          <w:rFonts w:ascii="Arial" w:cs="Arial" w:eastAsia="Arial" w:hAnsi="Arial"/>
          <w:sz w:val="19"/>
          <w:szCs w:val="19"/>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7"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Exempted companies are Cayman Islands companies wishing to conduct business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Law (2020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5"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We are a Cayman Islands exempted company incorporated on June 7, 2019. Our executive offices are located at 660 Madison Ave, Suite 1600, New York, New York 10065 and our telephone number is (212) 905-4923.</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Effecting Our Initial Business Combination</w:t>
      </w:r>
    </w:p>
    <w:p>
      <w:pPr>
        <w:spacing w:after="0" w:line="233"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We are not presently engaged in, and we will not engage in, any operations for an indefinite period of time following our IPO until the Closing of the initial business combination. We intend to effectuate our initial business combination using cash held in the trust account,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74"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Selection of a target business and structuring of our initial business combination</w:t>
      </w:r>
    </w:p>
    <w:p>
      <w:pPr>
        <w:spacing w:after="0" w:line="23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U.S. Food and Drug Administration (“FDA”) track (or its equivalent in the relevant jurisdiction)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and Uruguay, as well as jurisdictions under which medical use is legal, such as Colombia and Germany. Globally, more than 50 countries have legalized some form of medical cannabis and we believe that legislative trends in certain jurisdictions will continue to broaden our opportunity set for eligible acquisitions.</w:t>
      </w:r>
    </w:p>
    <w:p>
      <w:pPr>
        <w:spacing w:after="0" w:line="200" w:lineRule="exact"/>
        <w:rPr>
          <w:sz w:val="20"/>
          <w:szCs w:val="20"/>
          <w:color w:val="auto"/>
        </w:rPr>
      </w:pPr>
    </w:p>
    <w:p>
      <w:pPr>
        <w:spacing w:after="0" w:line="238"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The transition of cannabis and its related industries to a regulated and legal marketplace has been happening at a rapid pace over recent years. Many countries have or are contemplating some form of legalized use, including Canada and the United States. For example, the Marijuana Freedom and Opportunity Act was introduced in the United States House of Representatives in June 2018,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188" w:lineRule="exact"/>
        <w:rPr>
          <w:sz w:val="20"/>
          <w:szCs w:val="20"/>
          <w:color w:val="auto"/>
        </w:rPr>
      </w:pPr>
    </w:p>
    <w:p>
      <w:pPr>
        <w:ind w:right="800" w:firstLine="324"/>
        <w:spacing w:after="0" w:line="250" w:lineRule="auto"/>
        <w:rPr>
          <w:sz w:val="20"/>
          <w:szCs w:val="20"/>
          <w:color w:val="auto"/>
        </w:rPr>
      </w:pPr>
      <w:r>
        <w:rPr>
          <w:rFonts w:ascii="Arial" w:cs="Arial" w:eastAsia="Arial" w:hAnsi="Arial"/>
          <w:sz w:val="22"/>
          <w:szCs w:val="22"/>
          <w:color w:val="auto"/>
        </w:rPr>
        <w:t>In order to succeed under the new legislative and regulatory frameworks, we believe that businesses will need strong management teams with deep operational expertise and financial acumen.</w:t>
      </w:r>
    </w:p>
    <w:p>
      <w:pPr>
        <w:sectPr>
          <w:pgSz w:w="11900" w:h="16838" w:orient="portrait"/>
          <w:cols w:equalWidth="0" w:num="1">
            <w:col w:w="11220"/>
          </w:cols>
          <w:pgMar w:left="320" w:top="122" w:right="359" w:bottom="1142"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142"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9"/>
          <w:szCs w:val="19"/>
          <w:color w:val="auto"/>
        </w:rPr>
        <w:t>As this industry evolves,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77" w:lineRule="exact"/>
        <w:rPr>
          <w:sz w:val="20"/>
          <w:szCs w:val="20"/>
          <w:color w:val="auto"/>
        </w:rPr>
      </w:pPr>
    </w:p>
    <w:p>
      <w:pPr>
        <w:ind w:right="200" w:firstLine="324"/>
        <w:spacing w:after="0" w:line="246" w:lineRule="auto"/>
        <w:rPr>
          <w:sz w:val="20"/>
          <w:szCs w:val="20"/>
          <w:color w:val="auto"/>
        </w:rPr>
      </w:pPr>
      <w:r>
        <w:rPr>
          <w:rFonts w:ascii="Arial" w:cs="Arial" w:eastAsia="Arial" w:hAnsi="Arial"/>
          <w:sz w:val="21"/>
          <w:szCs w:val="21"/>
          <w:color w:val="auto"/>
        </w:rPr>
        <w:t>We believe that globally the cannabis industry will continue to grow at a rapid pace in the coming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211"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Scott Gordon is the founder and Chief Executive Officer of Silver Spike Capital, an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215"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Mr. Gordon is joined at Silver Spike by a number of investment professionals who have experience spanning cannabis, consumer products, medical and scientific research and investment management. See “Item 10. Directors, Executive Officers and Corporate Governance” for additional information about our management team.</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rights for public shareholders upon completion of our initial business combination</w:t>
      </w:r>
    </w:p>
    <w:p>
      <w:pPr>
        <w:spacing w:after="0" w:line="239"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Conducting Redemptions</w:t>
      </w:r>
    </w:p>
    <w:p>
      <w:pPr>
        <w:spacing w:after="0" w:line="239"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ectPr>
          <w:pgSz w:w="11900" w:h="16838" w:orient="portrait"/>
          <w:cols w:equalWidth="0" w:num="1">
            <w:col w:w="11240"/>
          </w:cols>
          <w:pgMar w:left="320" w:top="122" w:right="339" w:bottom="656"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56"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60" w:firstLine="324"/>
        <w:spacing w:after="0" w:line="250" w:lineRule="auto"/>
        <w:rPr>
          <w:sz w:val="20"/>
          <w:szCs w:val="20"/>
          <w:color w:val="auto"/>
        </w:rPr>
      </w:pPr>
      <w:r>
        <w:rPr>
          <w:rFonts w:ascii="Arial" w:cs="Arial" w:eastAsia="Arial" w:hAnsi="Arial"/>
          <w:sz w:val="22"/>
          <w:szCs w:val="22"/>
          <w:color w:val="auto"/>
        </w:rPr>
        <w:t>If a shareholder vote is not required and we do not decide to hold a shareholder vote for business or other reasons, we will, pursuant to our amended and restated memorandum and articles of association:</w:t>
      </w:r>
    </w:p>
    <w:p>
      <w:pPr>
        <w:spacing w:after="0" w:line="2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52"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203" w:lineRule="exact"/>
        <w:rPr>
          <w:sz w:val="20"/>
          <w:szCs w:val="20"/>
          <w:color w:val="auto"/>
        </w:rPr>
      </w:pPr>
    </w:p>
    <w:p>
      <w:pPr>
        <w:ind w:right="80" w:firstLine="324"/>
        <w:spacing w:after="0" w:line="257" w:lineRule="auto"/>
        <w:rPr>
          <w:sz w:val="20"/>
          <w:szCs w:val="20"/>
          <w:color w:val="auto"/>
        </w:rPr>
      </w:pPr>
      <w:r>
        <w:rPr>
          <w:rFonts w:ascii="Arial" w:cs="Arial" w:eastAsia="Arial" w:hAnsi="Arial"/>
          <w:sz w:val="21"/>
          <w:szCs w:val="21"/>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96"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85"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22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45" w:lineRule="exact"/>
        <w:rPr>
          <w:sz w:val="20"/>
          <w:szCs w:val="20"/>
          <w:color w:val="auto"/>
        </w:rPr>
      </w:pPr>
    </w:p>
    <w:p>
      <w:pPr>
        <w:ind w:right="160" w:firstLine="324"/>
        <w:spacing w:after="0" w:line="282" w:lineRule="auto"/>
        <w:rPr>
          <w:sz w:val="20"/>
          <w:szCs w:val="20"/>
          <w:color w:val="auto"/>
        </w:rPr>
      </w:pPr>
      <w:r>
        <w:rPr>
          <w:rFonts w:ascii="Arial" w:cs="Arial" w:eastAsia="Arial" w:hAnsi="Arial"/>
          <w:sz w:val="19"/>
          <w:szCs w:val="19"/>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74" w:lineRule="exact"/>
        <w:rPr>
          <w:sz w:val="20"/>
          <w:szCs w:val="20"/>
          <w:color w:val="auto"/>
        </w:rPr>
      </w:pPr>
    </w:p>
    <w:p>
      <w:pPr>
        <w:jc w:val="both"/>
        <w:ind w:right="120" w:firstLine="324"/>
        <w:spacing w:after="0"/>
        <w:rPr>
          <w:sz w:val="20"/>
          <w:szCs w:val="20"/>
          <w:color w:val="auto"/>
        </w:rPr>
      </w:pPr>
      <w:r>
        <w:rPr>
          <w:rFonts w:ascii="Arial" w:cs="Arial" w:eastAsia="Arial" w:hAnsi="Arial"/>
          <w:sz w:val="22"/>
          <w:szCs w:val="22"/>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213"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ectPr>
          <w:pgSz w:w="11900" w:h="16838" w:orient="portrait"/>
          <w:cols w:equalWidth="0" w:num="1">
            <w:col w:w="11200"/>
          </w:cols>
          <w:pgMar w:left="320" w:top="122" w:right="379"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Our amended and restated memorandum and articles of association provides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 on redemption upon completion of our initial business combination if we seek shareholder approval</w:t>
      </w:r>
    </w:p>
    <w:p>
      <w:pPr>
        <w:spacing w:after="0" w:line="251"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our IPO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our IPO,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Tendering share certificates in connection with a tender offer or redemption rights</w:t>
      </w:r>
    </w:p>
    <w:p>
      <w:pPr>
        <w:spacing w:after="0" w:line="239" w:lineRule="exact"/>
        <w:rPr>
          <w:sz w:val="20"/>
          <w:szCs w:val="20"/>
          <w:color w:val="auto"/>
        </w:rPr>
      </w:pPr>
    </w:p>
    <w:p>
      <w:pPr>
        <w:ind w:right="60" w:firstLine="324"/>
        <w:spacing w:after="0" w:line="271" w:lineRule="auto"/>
        <w:rPr>
          <w:sz w:val="20"/>
          <w:szCs w:val="20"/>
          <w:color w:val="auto"/>
        </w:rPr>
      </w:pPr>
      <w:r>
        <w:rPr>
          <w:rFonts w:ascii="Arial" w:cs="Arial" w:eastAsia="Arial" w:hAnsi="Arial"/>
          <w:sz w:val="19"/>
          <w:szCs w:val="19"/>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74"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213" w:lineRule="exact"/>
        <w:rPr>
          <w:sz w:val="20"/>
          <w:szCs w:val="20"/>
          <w:color w:val="auto"/>
        </w:rPr>
      </w:pPr>
    </w:p>
    <w:p>
      <w:pPr>
        <w:ind w:right="240" w:firstLine="324"/>
        <w:spacing w:after="0" w:line="279" w:lineRule="auto"/>
        <w:rPr>
          <w:sz w:val="20"/>
          <w:szCs w:val="20"/>
          <w:color w:val="auto"/>
        </w:rPr>
      </w:pPr>
      <w:r>
        <w:rPr>
          <w:rFonts w:ascii="Arial" w:cs="Arial" w:eastAsia="Arial" w:hAnsi="Arial"/>
          <w:sz w:val="19"/>
          <w:szCs w:val="19"/>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7"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61"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If our initial proposed business combination is not completed, we may continue to try to complete a business combination with a different target until July 10,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of public shares and liquidation if no initial business combination</w:t>
      </w:r>
    </w:p>
    <w:p>
      <w:pPr>
        <w:spacing w:after="0" w:line="239"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We have only until July 10, 2021 to complete our initial business combination. If we are unable to complete our initial business combination within such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82" w:lineRule="exact"/>
        <w:rPr>
          <w:sz w:val="20"/>
          <w:szCs w:val="20"/>
          <w:color w:val="auto"/>
        </w:rPr>
      </w:pPr>
    </w:p>
    <w:p>
      <w:pPr>
        <w:jc w:val="both"/>
        <w:ind w:right="480" w:firstLine="324"/>
        <w:spacing w:after="0" w:line="236" w:lineRule="auto"/>
        <w:rPr>
          <w:sz w:val="20"/>
          <w:szCs w:val="20"/>
          <w:color w:val="auto"/>
        </w:rPr>
      </w:pPr>
      <w:r>
        <w:rPr>
          <w:rFonts w:ascii="Arial" w:cs="Arial" w:eastAsia="Arial" w:hAnsi="Arial"/>
          <w:sz w:val="22"/>
          <w:szCs w:val="22"/>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by July 10, 2021. However, if our initial shareholders acquire public shares, they will be entitled to liquidating distributions from the trust account with respect to such public shares if we fail to complete our initial business combination within the allotted time frame.</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324"/>
        <w:spacing w:after="0" w:line="245" w:lineRule="auto"/>
        <w:rPr>
          <w:sz w:val="20"/>
          <w:szCs w:val="20"/>
          <w:color w:val="auto"/>
        </w:rPr>
      </w:pPr>
      <w:r>
        <w:rPr>
          <w:rFonts w:ascii="Arial" w:cs="Arial" w:eastAsia="Arial" w:hAnsi="Arial"/>
          <w:sz w:val="21"/>
          <w:szCs w:val="21"/>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208"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4"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If we were to expend all of the net proceeds of our IPO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211" w:lineRule="exact"/>
        <w:rPr>
          <w:sz w:val="20"/>
          <w:szCs w:val="20"/>
          <w:color w:val="auto"/>
        </w:rPr>
      </w:pPr>
    </w:p>
    <w:p>
      <w:pPr>
        <w:ind w:firstLine="324"/>
        <w:spacing w:after="0" w:line="268" w:lineRule="auto"/>
        <w:rPr>
          <w:sz w:val="20"/>
          <w:szCs w:val="20"/>
          <w:color w:val="auto"/>
        </w:rPr>
      </w:pPr>
      <w:r>
        <w:rPr>
          <w:rFonts w:ascii="Arial" w:cs="Arial" w:eastAsia="Arial" w:hAnsi="Arial"/>
          <w:sz w:val="19"/>
          <w:szCs w:val="19"/>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For example, Marcum LLP, our independent registered public accounting firm and the underwriters of our IPO, will not execute agreements with us waiving such claims to the monies held in the trust account.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85"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IPO against certain liabilities, including liabilities under the Securities Act. We have access to up to $1,000,000 from the proceeds of our IPO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(3) the redemption of our public shares if we are unable to complete our initial business combination by July 10, 2021,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21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239"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We currently maintain our executive offices at 660 Madison Ave, Suite 1600, New York, New York 10065. The cost for the space is included in the up to $20,000 monthly fee that we pay our sponsor for office space, administrative and support services. We consider our current office space adequate for our current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9"/>
          <w:szCs w:val="19"/>
          <w:color w:val="auto"/>
        </w:rPr>
        <w:t>We currently have three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9"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i w:val="1"/>
          <w:iCs w:val="1"/>
          <w:color w:val="auto"/>
        </w:rPr>
        <w:t>An investment in our securities involves a high degree of risk. You should consider carefully all of the risks described below, together with the other information contained in this Annual Report,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See also the Risk Factors set forth in our registration statement on Form S-4 relating to the proposed initial business combination, which risk factors are incorporated by reference herein.</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not be able to effect the Business Combination pursuant to the Merger Agreement. If we are unable to do so, we will incur substantial costs associated with withdrawing from the transaction, and may not be able to find additional sources of financing to cover those costs.</w:t>
      </w:r>
    </w:p>
    <w:p>
      <w:pPr>
        <w:spacing w:after="0" w:line="213"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In connection with the Merger Agreement, we have incurred substantial costs researching, planning and negotiating the transaction. These costs include, but are not limited to, costs associated with securing sources of equity and debt financing, costs associated with employing and retaining third-party advisors who performed the financial, auditing and legal services required to complete the transaction, and the expenses generated by our officers, executives, managers and employees in connection with the transaction. If, for whatever reason, the transactions contemplated by the Merger Agreement fail to close, we will be responsible for these costs, but will have no source of revenue with which to pay them. We may need to obtain additional sources of financing in order to meet our obligations, which we may not be able to secure on the same terms as our existing financing or at all. If we are unable to secure new sources of financing and do not have sufficient funds to meet our obligations, we will be forced to cease operations and liquidate the trust account.</w:t>
      </w:r>
    </w:p>
    <w:p>
      <w:pPr>
        <w:spacing w:after="0" w:line="185" w:lineRule="exact"/>
        <w:rPr>
          <w:sz w:val="20"/>
          <w:szCs w:val="20"/>
          <w:color w:val="auto"/>
        </w:rPr>
      </w:pPr>
    </w:p>
    <w:p>
      <w:pPr>
        <w:ind w:left="180" w:right="80"/>
        <w:spacing w:after="0" w:line="238" w:lineRule="auto"/>
        <w:rPr>
          <w:sz w:val="20"/>
          <w:szCs w:val="20"/>
          <w:color w:val="auto"/>
        </w:rPr>
      </w:pPr>
      <w:r>
        <w:rPr>
          <w:rFonts w:ascii="Arial" w:cs="Arial" w:eastAsia="Arial" w:hAnsi="Arial"/>
          <w:sz w:val="22"/>
          <w:szCs w:val="22"/>
          <w:b w:val="1"/>
          <w:bCs w:val="1"/>
          <w:i w:val="1"/>
          <w:iCs w:val="1"/>
          <w:color w:val="auto"/>
        </w:rPr>
        <w:t>If the anticipated Business Combination with WMH fails, it may be difficult to research a new prospective target business, negotiate and agree to a new business combination, and/or arrange for new sources of financing by July 10, 2021, in which case we would cease all operations except for the purpose of winding up and we would redeem our public shares and liquidate.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line="7" w:lineRule="exact"/>
        <w:rPr>
          <w:sz w:val="20"/>
          <w:szCs w:val="20"/>
          <w:color w:val="auto"/>
        </w:rPr>
      </w:pPr>
    </w:p>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Finding, researching, analyzing and negotiating with WMH took a substantial amount of time, and if the Business Combination with WMH fails, we may not be able to find a suitable target business and complete our initial business combination within 24 months after the closing of our IPO. Our ability to complete our initial business combination may be negatively impacted by general market conditions, volatility in the capital and debt markets and the other risks described herein. If we have not completed our initial business combination within such time period,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24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On April 12, 2021, the SEC issued a statement (the “Statement”) discussing the accounting implications of certain terms that are common in warrants issued by special purpose acquisition companies (“SPACs”). In light of the Statement and guidance in ASC 815-40, “Derivatives and Hedging </w:t>
      </w:r>
      <w:r>
        <w:rPr>
          <w:rFonts w:ascii="Arial" w:cs="Arial" w:eastAsia="Arial" w:hAnsi="Arial"/>
          <w:sz w:val="17"/>
          <w:szCs w:val="17"/>
          <w:i w:val="1"/>
          <w:iCs w:val="1"/>
          <w:color w:val="auto"/>
        </w:rPr>
        <w:t>—</w:t>
      </w:r>
      <w:r>
        <w:rPr>
          <w:rFonts w:ascii="Arial" w:cs="Arial" w:eastAsia="Arial" w:hAnsi="Arial"/>
          <w:sz w:val="17"/>
          <w:szCs w:val="17"/>
          <w:color w:val="auto"/>
        </w:rPr>
        <w:t xml:space="preserve"> Contracts in Entity’s Own Equity”, our management evaluated the terms of the Warrant Agreement entered into in connection with its initial public offering and concluded that its public warrants and private placement warrants (together, the “Warrants”) include provisions that, based on the Statement, preclude the Warrants from being classified as components of equity. As a result, we have classified the Warrants as liabilities. Under this accounting treatment, we are required to measure the fair value of the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our Warrants and that such gains or losses could be material.</w:t>
      </w:r>
    </w:p>
    <w:p>
      <w:pPr>
        <w:spacing w:after="0" w:line="181" w:lineRule="exact"/>
        <w:rPr>
          <w:sz w:val="20"/>
          <w:szCs w:val="20"/>
          <w:color w:val="auto"/>
        </w:rPr>
      </w:pPr>
    </w:p>
    <w:p>
      <w:pPr>
        <w:jc w:val="both"/>
        <w:ind w:left="220" w:right="28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49"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Following the issuance of the SEC Statement, on April 30, 2021, our management and its audit committee, after consultation with management and a discussion with Marcum LLP, the Company’s independent registered public accounting firm, concluded that, in light of the SEC Statement, it was appropriate to restate certain items in (i) the our previously issued audited balance sheet dated as of August 12, 2019, which was related to the IPO, and (ii) the our previously issued audited financial statements as of December 31, 2019 and December 31, 2020 and for the period from July 7, 2019 (inception) through December 31, 2019 and for the period from January 1, 2020 to December 31, 2020 (the “Relevant Periods”). See “—Our warrants are accounted for as liabilities and the changes in value of our warrants could have a material effect on our financial results.” As part of such process, we identified a material weakness in its internal controls over financial reporting.</w:t>
      </w:r>
    </w:p>
    <w:p>
      <w:pPr>
        <w:spacing w:after="0" w:line="177"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8"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81" w:lineRule="exact"/>
        <w:rPr>
          <w:sz w:val="20"/>
          <w:szCs w:val="20"/>
          <w:color w:val="auto"/>
        </w:rPr>
      </w:pPr>
    </w:p>
    <w:p>
      <w:pPr>
        <w:ind w:left="180" w:right="680"/>
        <w:spacing w:after="0" w:line="250" w:lineRule="auto"/>
        <w:rPr>
          <w:sz w:val="20"/>
          <w:szCs w:val="20"/>
          <w:color w:val="auto"/>
        </w:rPr>
      </w:pPr>
      <w:r>
        <w:rPr>
          <w:rFonts w:ascii="Arial" w:cs="Arial" w:eastAsia="Arial" w:hAnsi="Arial"/>
          <w:sz w:val="22"/>
          <w:szCs w:val="22"/>
          <w:b w:val="1"/>
          <w:bCs w:val="1"/>
          <w:i w:val="1"/>
          <w:iCs w:val="1"/>
          <w:color w:val="auto"/>
        </w:rPr>
        <w:t>We have no operating history and no revenues, and you have no basis on which to evaluate our ability to achieve our business objective.</w:t>
      </w:r>
    </w:p>
    <w:p>
      <w:pPr>
        <w:spacing w:after="0" w:line="202"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We are a newly incorporated company incorporated under the laws of the Cayman Islands and all of our activities to date have been related to our formation, our IPO and our search for a business combination target. Because we lack a significant operating history, you have no basis upon which to evaluate our ability to achieve our business objective of completing our initial business combination with one or more target businesses. If we fail to complete our initial business combination, we will never generate any operating revenues.</w:t>
      </w:r>
    </w:p>
    <w:p>
      <w:pPr>
        <w:spacing w:after="0" w:line="214" w:lineRule="exact"/>
        <w:rPr>
          <w:sz w:val="20"/>
          <w:szCs w:val="20"/>
          <w:color w:val="auto"/>
        </w:rPr>
      </w:pPr>
    </w:p>
    <w:p>
      <w:pPr>
        <w:ind w:left="180" w:right="280"/>
        <w:spacing w:after="0" w:line="250" w:lineRule="auto"/>
        <w:rPr>
          <w:sz w:val="20"/>
          <w:szCs w:val="20"/>
          <w:color w:val="auto"/>
        </w:rPr>
      </w:pPr>
      <w:r>
        <w:rPr>
          <w:rFonts w:ascii="Arial" w:cs="Arial" w:eastAsia="Arial" w:hAnsi="Arial"/>
          <w:sz w:val="22"/>
          <w:szCs w:val="22"/>
          <w:b w:val="1"/>
          <w:bCs w:val="1"/>
          <w:i w:val="1"/>
          <w:iCs w:val="1"/>
          <w:color w:val="auto"/>
        </w:rPr>
        <w:t>Our independent registered public accounting firm’s report contains an explanatory paragraph that expresses substantial doubt about our ability to continue as a “going concern.”</w:t>
      </w:r>
    </w:p>
    <w:p>
      <w:pPr>
        <w:spacing w:after="0" w:line="20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We have incurred and expect to continue to incur significant costs in pursuit of our financing and acquisition plans. Management’s plans to address this need for capital are discussed in the section of this Annual Report titled “Item 7.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w:t>
      </w:r>
    </w:p>
    <w:p>
      <w:pPr>
        <w:sectPr>
          <w:pgSz w:w="11900" w:h="16845" w:orient="portrait"/>
          <w:cols w:equalWidth="0" w:num="1">
            <w:col w:w="11240"/>
          </w:cols>
          <w:pgMar w:left="320" w:top="121" w:right="339" w:bottom="0" w:gutter="0" w:footer="0" w:header="0"/>
        </w:sectPr>
      </w:pPr>
    </w:p>
    <w:p>
      <w:pPr>
        <w:spacing w:after="0" w:line="214" w:lineRule="exact"/>
        <w:rPr>
          <w:sz w:val="20"/>
          <w:szCs w:val="20"/>
          <w:color w:val="auto"/>
        </w:rPr>
      </w:pPr>
    </w:p>
    <w:p>
      <w:pPr>
        <w:ind w:left="180" w:right="120"/>
        <w:spacing w:after="0"/>
        <w:rPr>
          <w:sz w:val="20"/>
          <w:szCs w:val="20"/>
          <w:color w:val="auto"/>
        </w:rPr>
      </w:pPr>
      <w:r>
        <w:rPr>
          <w:rFonts w:ascii="Arial" w:cs="Arial" w:eastAsia="Arial" w:hAnsi="Arial"/>
          <w:sz w:val="22"/>
          <w:szCs w:val="22"/>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ectPr>
          <w:pgSz w:w="11900" w:h="16845" w:orient="portrait"/>
          <w:cols w:equalWidth="0" w:num="1">
            <w:col w:w="11240"/>
          </w:cols>
          <w:pgMar w:left="320" w:top="121" w:right="339" w:bottom="0" w:gutter="0" w:footer="0" w:header="0"/>
          <w:type w:val="continuous"/>
        </w:sectPr>
      </w:pPr>
    </w:p>
    <w:bookmarkStart w:id="20" w:name="page21"/>
    <w:bookmarkEnd w:id="20"/>
    <w:p>
      <w:pPr>
        <w:ind w:firstLine="324"/>
        <w:spacing w:after="0" w:line="271" w:lineRule="auto"/>
        <w:rPr>
          <w:sz w:val="20"/>
          <w:szCs w:val="20"/>
          <w:color w:val="auto"/>
        </w:rPr>
      </w:pPr>
      <w:r>
        <w:rPr>
          <w:rFonts w:ascii="Arial" w:cs="Arial" w:eastAsia="Arial" w:hAnsi="Arial"/>
          <w:sz w:val="19"/>
          <w:szCs w:val="19"/>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840"/>
        <w:spacing w:after="0" w:line="250" w:lineRule="auto"/>
        <w:rPr>
          <w:sz w:val="20"/>
          <w:szCs w:val="20"/>
          <w:color w:val="auto"/>
        </w:rPr>
      </w:pPr>
      <w:r>
        <w:rPr>
          <w:rFonts w:ascii="Arial" w:cs="Arial" w:eastAsia="Arial" w:hAnsi="Arial"/>
          <w:sz w:val="22"/>
          <w:szCs w:val="22"/>
          <w:b w:val="1"/>
          <w:bCs w:val="1"/>
          <w:i w:val="1"/>
          <w:iCs w:val="1"/>
          <w:color w:val="auto"/>
        </w:rPr>
        <w:t>Our search for a business combination may be materially adversely affected by the recent coronavirus (COVID-19) outbreak.</w:t>
      </w:r>
    </w:p>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 significant outbreak of COVID-19 and other infectious diseases could result in a widespread health crisis that could adversely affect the economies and financial markets worldwide, and potential target companies may defer or end discussions for a potential business combination with us whether or not COVID-19 materially adversely affects their business operations. Additionally,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may be materially adversely affected.</w:t>
      </w:r>
    </w:p>
    <w:p>
      <w:pPr>
        <w:spacing w:after="0" w:line="187" w:lineRule="exact"/>
        <w:rPr>
          <w:sz w:val="20"/>
          <w:szCs w:val="20"/>
          <w:color w:val="auto"/>
        </w:rPr>
      </w:pPr>
    </w:p>
    <w:p>
      <w:pPr>
        <w:ind w:left="180" w:right="680"/>
        <w:spacing w:after="0" w:line="250" w:lineRule="auto"/>
        <w:rPr>
          <w:sz w:val="20"/>
          <w:szCs w:val="20"/>
          <w:color w:val="auto"/>
        </w:rPr>
      </w:pPr>
      <w:r>
        <w:rPr>
          <w:rFonts w:ascii="Arial" w:cs="Arial" w:eastAsia="Arial" w:hAnsi="Arial"/>
          <w:sz w:val="22"/>
          <w:szCs w:val="22"/>
          <w:b w:val="1"/>
          <w:bCs w:val="1"/>
          <w:i w:val="1"/>
          <w:iCs w:val="1"/>
          <w:color w:val="auto"/>
        </w:rPr>
        <w:t>Legal proceedings in connection with the business combination, the outcomes of which are uncertain, could delay or prevent the completion of the business combination.</w:t>
      </w:r>
    </w:p>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connection with proposed business combinations, it is not uncommon for lawsuits to be filed against companies involved and/or their respective directors and officers alleging, among other things, that the proxy statement/prospectus contains false and misleading statements and/or omits material information concerning the proposed transaction. Two lawsuits have been filed in the Supreme Court of the State of New York in connection with the Business Combination. These matters generally seek injunctive relief to enjoin the Business Combination and to require the parties to issue supplemental disclosures or, in the event the transaction is consummated in the absence of supplemental disclosure, an order rescinding the transaction and awarding rescissory damages. While we think these claims are without merit, defending such lawsuits or other similar claims could require the Company to incur significant costs and draw the attention of the Company’s management team away from the Business Combination. Further, the defense or settlement of any lawsuit or claim that remains unresolved at the time the Business Combination is consummated may adversely affect the combined company’s business, financial condition, results of operations and cash flows. Such legal proceedings could delay or prevent the Business Combination from becoming effective within the agreed upon timeframe.</w:t>
      </w:r>
    </w:p>
    <w:p>
      <w:pPr>
        <w:spacing w:after="0" w:line="200" w:lineRule="exact"/>
        <w:rPr>
          <w:sz w:val="20"/>
          <w:szCs w:val="20"/>
          <w:color w:val="auto"/>
        </w:rPr>
      </w:pPr>
    </w:p>
    <w:p>
      <w:pPr>
        <w:spacing w:after="0" w:line="235" w:lineRule="exact"/>
        <w:rPr>
          <w:sz w:val="20"/>
          <w:szCs w:val="20"/>
          <w:color w:val="auto"/>
        </w:rPr>
      </w:pPr>
    </w:p>
    <w:p>
      <w:pPr>
        <w:ind w:left="180" w:right="380"/>
        <w:spacing w:after="0" w:line="328" w:lineRule="auto"/>
        <w:rPr>
          <w:sz w:val="20"/>
          <w:szCs w:val="20"/>
          <w:color w:val="auto"/>
        </w:rPr>
      </w:pPr>
      <w:r>
        <w:rPr>
          <w:rFonts w:ascii="Arial" w:cs="Arial" w:eastAsia="Arial" w:hAnsi="Arial"/>
          <w:sz w:val="19"/>
          <w:szCs w:val="19"/>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32"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our IPO to be voted in favor of a transaction (assuming all issued and outstanding shares are voted),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440"/>
        <w:spacing w:after="0"/>
        <w:rPr>
          <w:sz w:val="20"/>
          <w:szCs w:val="20"/>
          <w:color w:val="auto"/>
        </w:rPr>
      </w:pPr>
      <w:r>
        <w:rPr>
          <w:rFonts w:ascii="Arial" w:cs="Arial" w:eastAsia="Arial" w:hAnsi="Arial"/>
          <w:sz w:val="22"/>
          <w:szCs w:val="22"/>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213"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11" w:lineRule="exact"/>
        <w:rPr>
          <w:sz w:val="20"/>
          <w:szCs w:val="20"/>
          <w:color w:val="auto"/>
        </w:rPr>
      </w:pPr>
    </w:p>
    <w:p>
      <w:pPr>
        <w:ind w:left="180" w:right="20"/>
        <w:spacing w:after="0" w:line="359"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84" w:lineRule="exact"/>
        <w:rPr>
          <w:sz w:val="20"/>
          <w:szCs w:val="20"/>
          <w:color w:val="auto"/>
        </w:rPr>
      </w:pPr>
    </w:p>
    <w:p>
      <w:pPr>
        <w:ind w:left="180" w:right="300"/>
        <w:spacing w:after="0" w:line="328" w:lineRule="auto"/>
        <w:rPr>
          <w:sz w:val="20"/>
          <w:szCs w:val="20"/>
          <w:color w:val="auto"/>
        </w:rPr>
      </w:pPr>
      <w:r>
        <w:rPr>
          <w:rFonts w:ascii="Arial" w:cs="Arial" w:eastAsia="Arial" w:hAnsi="Arial"/>
          <w:sz w:val="19"/>
          <w:szCs w:val="19"/>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17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213" w:lineRule="exact"/>
        <w:rPr>
          <w:sz w:val="20"/>
          <w:szCs w:val="20"/>
          <w:color w:val="auto"/>
        </w:rPr>
      </w:pPr>
    </w:p>
    <w:p>
      <w:pPr>
        <w:ind w:left="180" w:right="360"/>
        <w:spacing w:after="0"/>
        <w:rPr>
          <w:sz w:val="20"/>
          <w:szCs w:val="20"/>
          <w:color w:val="auto"/>
        </w:rPr>
      </w:pPr>
      <w:r>
        <w:rPr>
          <w:rFonts w:ascii="Arial" w:cs="Arial" w:eastAsia="Arial" w:hAnsi="Arial"/>
          <w:sz w:val="22"/>
          <w:szCs w:val="22"/>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213"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ectPr>
          <w:pgSz w:w="11900" w:h="16838" w:orient="portrait"/>
          <w:cols w:equalWidth="0" w:num="1">
            <w:col w:w="11220"/>
          </w:cols>
          <w:pgMar w:left="320" w:top="121" w:right="359"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60"/>
        <w:spacing w:after="0" w:line="236" w:lineRule="auto"/>
        <w:rPr>
          <w:sz w:val="20"/>
          <w:szCs w:val="20"/>
          <w:color w:val="auto"/>
        </w:rPr>
      </w:pPr>
      <w:r>
        <w:rPr>
          <w:rFonts w:ascii="Arial" w:cs="Arial" w:eastAsia="Arial" w:hAnsi="Arial"/>
          <w:sz w:val="22"/>
          <w:szCs w:val="22"/>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14"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Any potential target business with which we enter into negotiations concerning a business combination will be aware that we must complete our initial business combination by July 10, 2021.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July 10, 2021. In addition, we may have limited time to conduct due diligence and may enter into our initial business combination on terms that we would have rejected upon a more comprehensive investigation.</w:t>
      </w:r>
    </w:p>
    <w:p>
      <w:pPr>
        <w:spacing w:after="0" w:line="177" w:lineRule="exact"/>
        <w:rPr>
          <w:sz w:val="20"/>
          <w:szCs w:val="20"/>
          <w:color w:val="auto"/>
        </w:rPr>
      </w:pPr>
    </w:p>
    <w:p>
      <w:pPr>
        <w:ind w:left="180" w:right="60"/>
        <w:spacing w:after="0" w:line="257" w:lineRule="auto"/>
        <w:rPr>
          <w:sz w:val="20"/>
          <w:szCs w:val="20"/>
          <w:color w:val="auto"/>
        </w:rPr>
      </w:pPr>
      <w:r>
        <w:rPr>
          <w:rFonts w:ascii="Arial" w:cs="Arial" w:eastAsia="Arial" w:hAnsi="Arial"/>
          <w:sz w:val="21"/>
          <w:szCs w:val="21"/>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196"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“Item 1.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200" w:lineRule="exact"/>
        <w:rPr>
          <w:sz w:val="20"/>
          <w:szCs w:val="20"/>
          <w:color w:val="auto"/>
        </w:rPr>
      </w:pPr>
    </w:p>
    <w:p>
      <w:pPr>
        <w:spacing w:after="0" w:line="233"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213" w:lineRule="exact"/>
        <w:rPr>
          <w:sz w:val="20"/>
          <w:szCs w:val="20"/>
          <w:color w:val="auto"/>
        </w:rPr>
      </w:pPr>
    </w:p>
    <w:p>
      <w:pPr>
        <w:ind w:left="180" w:right="620"/>
        <w:spacing w:after="0" w:line="359"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“Item 1. Business—Effecting Our Initial Business Combination—Tendering share certificates in connection with a tender offer or redemption rights.”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460"/>
        <w:spacing w:after="0" w:line="359"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0"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(3) the redemption of our public shares if we are unable to complete our initial business combination by July 10, 2021,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15" w:lineRule="exact"/>
        <w:rPr>
          <w:sz w:val="20"/>
          <w:szCs w:val="20"/>
          <w:color w:val="auto"/>
        </w:rPr>
      </w:pPr>
    </w:p>
    <w:p>
      <w:pPr>
        <w:ind w:left="180" w:right="860"/>
        <w:spacing w:after="0" w:line="250" w:lineRule="auto"/>
        <w:rPr>
          <w:sz w:val="20"/>
          <w:szCs w:val="20"/>
          <w:color w:val="auto"/>
        </w:rPr>
      </w:pPr>
      <w:r>
        <w:rPr>
          <w:rFonts w:ascii="Arial" w:cs="Arial" w:eastAsia="Arial" w:hAnsi="Arial"/>
          <w:sz w:val="22"/>
          <w:szCs w:val="22"/>
          <w:b w:val="1"/>
          <w:bCs w:val="1"/>
          <w:i w:val="1"/>
          <w:iCs w:val="1"/>
          <w:color w:val="auto"/>
        </w:rPr>
        <w:t>Nasdaq may delist our securities from its exchange, which could limit investors’ ability to make transactions in our securities and subject us to additional trading restrictions.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units, Class A ordinary shares and warrants are listed on Nasdaq. Although, we expect to meet on a pro forma basis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Nasdaq’s minimum initial listing standards, which generally only require that we meet certain requirements relating to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shareholders’ equity, market capitalization, aggregate market value of publicly held shares and distribution requirements, we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cannot assure you that our securities will continue to be listed on Nasdaq in the future or prior to our initial business combination.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 order to continue listing our securities on Nasdaq prior to our initial business combination, we must maintain certain financial,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distribution and share price levels. Generally, we must maintain a minimum amount in stockholders’ equity (generally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$2,500,000) and a minimum number of holders of our securities (generally 300 public holders). Additionally, in connection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our initial business combination, it is likely that Nasdaq will require us to file a new initial listing application and meet its initial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listing requirements as well as certain qualitative requirements, as opposed to its more lenient continued listing requirements. We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cannot assure you that we will be able to meet those initial listing requirements at that time.</w:t>
      </w:r>
    </w:p>
    <w:p>
      <w:pPr>
        <w:spacing w:after="0" w:line="215" w:lineRule="exact"/>
        <w:rPr>
          <w:sz w:val="20"/>
          <w:szCs w:val="20"/>
          <w:color w:val="auto"/>
        </w:rPr>
      </w:pPr>
    </w:p>
    <w:p>
      <w:pPr>
        <w:ind w:right="200" w:firstLine="324"/>
        <w:spacing w:after="0"/>
        <w:rPr>
          <w:sz w:val="20"/>
          <w:szCs w:val="20"/>
          <w:color w:val="auto"/>
        </w:rPr>
      </w:pPr>
      <w:r>
        <w:rPr>
          <w:rFonts w:ascii="Arial" w:cs="Arial" w:eastAsia="Arial" w:hAnsi="Arial"/>
          <w:sz w:val="22"/>
          <w:szCs w:val="22"/>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22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5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4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9"/>
          <w:szCs w:val="19"/>
          <w:color w:val="auto"/>
        </w:rPr>
        <w:t>The National Securities Markets Improvement Act of 1996, which is a federal statute, prevents or preempts the states from regulating the sale of certain securities, which are referred to as “covered securities.” Because our units, Class A ordinary shares and warrants are listed on Nasdaq, our units, Class A ordinary shares and warrants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1"/>
          <w:szCs w:val="21"/>
          <w:b w:val="1"/>
          <w:bCs w:val="1"/>
          <w:i w:val="1"/>
          <w:iCs w:val="1"/>
          <w:color w:val="auto"/>
        </w:rPr>
        <w:t>You are not be entitled to protections normally afforded to investors of many other blank check companies.</w:t>
      </w:r>
    </w:p>
    <w:p>
      <w:pPr>
        <w:spacing w:after="0" w:line="245"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Since the net proceeds of our IPO and the sale of the private placement warrants are intended to be used to complete an initial business combination with a target business that had not been identified, we may be deemed to be a “blank check” company under the U.S. securities laws. However, because we have net tangible assets in excess of $5,000,000 as of the successful completion of our IPO and the sale of the private placement warrants and we filed a Current Report on Form 8-K, including an audited balance sheet of the Company demonstrating this fact, we are exempt from rules promulgated by the SEC to protect investors in blank check companies, such as Rule 419. Accordingly, investors are not be afforded the benefits or protections of those rules. Among other things, this means our units were immediately tradable and we have a longer period of time to complete our initial business combination than do companies subject to Rule 419. Moreover, if our IPO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188" w:lineRule="exact"/>
        <w:rPr>
          <w:sz w:val="20"/>
          <w:szCs w:val="20"/>
          <w:color w:val="auto"/>
        </w:rPr>
      </w:pPr>
    </w:p>
    <w:p>
      <w:pPr>
        <w:jc w:val="both"/>
        <w:ind w:left="180" w:right="440"/>
        <w:spacing w:after="0" w:line="297" w:lineRule="auto"/>
        <w:rPr>
          <w:sz w:val="20"/>
          <w:szCs w:val="20"/>
          <w:color w:val="auto"/>
        </w:rPr>
      </w:pPr>
      <w:r>
        <w:rPr>
          <w:rFonts w:ascii="Arial" w:cs="Arial" w:eastAsia="Arial" w:hAnsi="Arial"/>
          <w:sz w:val="19"/>
          <w:szCs w:val="19"/>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61"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is restricted from redeeming its shares with respect to more than an aggregate of 15% of the shares sold in our IPO, which we refer to as the “Excess Shares,” without our prior consent. However, we would not be restricting our shareholders’ ability to vote all of their shares (including Excess Shares) for or against our initial business combination. Your inability to redeem the Excess Shares reduces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13" w:lineRule="exact"/>
        <w:rPr>
          <w:sz w:val="20"/>
          <w:szCs w:val="20"/>
          <w:color w:val="auto"/>
        </w:rPr>
      </w:pPr>
    </w:p>
    <w:p>
      <w:pPr>
        <w:ind w:left="180" w:right="180"/>
        <w:spacing w:after="0" w:line="252" w:lineRule="auto"/>
        <w:rPr>
          <w:sz w:val="20"/>
          <w:szCs w:val="20"/>
          <w:color w:val="auto"/>
        </w:rPr>
      </w:pPr>
      <w:r>
        <w:rPr>
          <w:rFonts w:ascii="Arial" w:cs="Arial" w:eastAsia="Arial" w:hAnsi="Arial"/>
          <w:sz w:val="21"/>
          <w:szCs w:val="21"/>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201" w:lineRule="exact"/>
        <w:rPr>
          <w:sz w:val="20"/>
          <w:szCs w:val="20"/>
          <w:color w:val="auto"/>
        </w:rPr>
      </w:pPr>
    </w:p>
    <w:p>
      <w:pPr>
        <w:ind w:right="40" w:firstLine="324"/>
        <w:spacing w:after="0" w:line="270" w:lineRule="auto"/>
        <w:rPr>
          <w:sz w:val="20"/>
          <w:szCs w:val="20"/>
          <w:color w:val="auto"/>
        </w:rPr>
      </w:pPr>
      <w:r>
        <w:rPr>
          <w:rFonts w:ascii="Arial" w:cs="Arial" w:eastAsia="Arial" w:hAnsi="Arial"/>
          <w:sz w:val="19"/>
          <w:szCs w:val="19"/>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IPO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40"/>
        <w:spacing w:after="0" w:line="250" w:lineRule="auto"/>
        <w:rPr>
          <w:sz w:val="20"/>
          <w:szCs w:val="20"/>
          <w:color w:val="auto"/>
        </w:rPr>
      </w:pPr>
      <w:r>
        <w:rPr>
          <w:rFonts w:ascii="Arial" w:cs="Arial" w:eastAsia="Arial" w:hAnsi="Arial"/>
          <w:sz w:val="22"/>
          <w:szCs w:val="22"/>
          <w:b w:val="1"/>
          <w:bCs w:val="1"/>
          <w:i w:val="1"/>
          <w:iCs w:val="1"/>
          <w:color w:val="auto"/>
        </w:rPr>
        <w:t>If the funds not being held in the trust account are insufficient to allow us to operate for at least until July 10, 2021, we may be unable to complete our initial business combination.</w:t>
      </w:r>
    </w:p>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The funds available to us outside of the trust account may not be sufficient to allow us to operate for at least until July 10, 2021, assuming that our initial business combination is not completed during that time. We expect to incur significant costs in pursuit of our acquisition plans. Management’s plans to address this need for capital through our IPO and potential loans from certain of our affiliates are discussed in the section of this Annual Report titled “Item 7.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We believe that the funds available to us outside of the trust account, will be sufficient to allow us to operate for at least until July 10, 2021;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200" w:lineRule="exact"/>
        <w:rPr>
          <w:sz w:val="20"/>
          <w:szCs w:val="20"/>
          <w:color w:val="auto"/>
        </w:rPr>
      </w:pPr>
    </w:p>
    <w:p>
      <w:pPr>
        <w:spacing w:after="0" w:line="231" w:lineRule="exact"/>
        <w:rPr>
          <w:sz w:val="20"/>
          <w:szCs w:val="20"/>
          <w:color w:val="auto"/>
        </w:rPr>
      </w:pPr>
    </w:p>
    <w:p>
      <w:pPr>
        <w:ind w:left="180" w:right="60"/>
        <w:spacing w:after="0" w:line="287" w:lineRule="auto"/>
        <w:rPr>
          <w:sz w:val="20"/>
          <w:szCs w:val="20"/>
          <w:color w:val="auto"/>
        </w:rPr>
      </w:pPr>
      <w:r>
        <w:rPr>
          <w:rFonts w:ascii="Arial" w:cs="Arial" w:eastAsia="Arial" w:hAnsi="Arial"/>
          <w:sz w:val="19"/>
          <w:szCs w:val="19"/>
          <w:b w:val="1"/>
          <w:bCs w:val="1"/>
          <w:i w:val="1"/>
          <w:iCs w:val="1"/>
          <w:color w:val="auto"/>
        </w:rPr>
        <w:t>If the net proceeds of our IPO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Of the net proceeds of our IPO and the sale of the private placement warrants, only approximately $1,000,000 are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left="180" w:right="460"/>
        <w:spacing w:after="0" w:line="257" w:lineRule="auto"/>
        <w:rPr>
          <w:sz w:val="20"/>
          <w:szCs w:val="20"/>
          <w:color w:val="auto"/>
        </w:rPr>
      </w:pPr>
      <w:r>
        <w:rPr>
          <w:rFonts w:ascii="Arial" w:cs="Arial" w:eastAsia="Arial" w:hAnsi="Arial"/>
          <w:sz w:val="21"/>
          <w:szCs w:val="21"/>
          <w:b w:val="1"/>
          <w:bCs w:val="1"/>
          <w:i w:val="1"/>
          <w:iCs w:val="1"/>
          <w:color w:val="auto"/>
        </w:rPr>
        <w:t>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96"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200" w:lineRule="exact"/>
        <w:rPr>
          <w:sz w:val="20"/>
          <w:szCs w:val="20"/>
          <w:color w:val="auto"/>
        </w:rPr>
      </w:pPr>
    </w:p>
    <w:p>
      <w:pPr>
        <w:spacing w:after="0" w:line="231" w:lineRule="exact"/>
        <w:rPr>
          <w:sz w:val="20"/>
          <w:szCs w:val="20"/>
          <w:color w:val="auto"/>
        </w:rPr>
      </w:pPr>
    </w:p>
    <w:p>
      <w:pPr>
        <w:ind w:left="180" w:right="980"/>
        <w:spacing w:after="0" w:line="274" w:lineRule="auto"/>
        <w:rPr>
          <w:sz w:val="20"/>
          <w:szCs w:val="20"/>
          <w:color w:val="auto"/>
        </w:rPr>
      </w:pPr>
      <w:r>
        <w:rPr>
          <w:rFonts w:ascii="Arial" w:cs="Arial" w:eastAsia="Arial" w:hAnsi="Arial"/>
          <w:sz w:val="21"/>
          <w:szCs w:val="21"/>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For example, Marcum LLP, our independent registered public accounting firm and the underwriters of our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200" w:lineRule="exact"/>
        <w:rPr>
          <w:sz w:val="20"/>
          <w:szCs w:val="20"/>
          <w:color w:val="auto"/>
        </w:rPr>
      </w:pPr>
    </w:p>
    <w:p>
      <w:pPr>
        <w:spacing w:after="0" w:line="235"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ectPr>
          <w:pgSz w:w="11900" w:h="16838" w:orient="portrait"/>
          <w:cols w:equalWidth="0" w:num="1">
            <w:col w:w="11220"/>
          </w:cols>
          <w:pgMar w:left="320" w:top="121" w:right="359" w:bottom="193"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93"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600"/>
        <w:spacing w:after="0" w:line="328" w:lineRule="auto"/>
        <w:rPr>
          <w:sz w:val="20"/>
          <w:szCs w:val="20"/>
          <w:color w:val="auto"/>
        </w:rPr>
      </w:pPr>
      <w:r>
        <w:rPr>
          <w:rFonts w:ascii="Arial" w:cs="Arial" w:eastAsia="Arial" w:hAnsi="Arial"/>
          <w:sz w:val="19"/>
          <w:szCs w:val="19"/>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32"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85" w:lineRule="exact"/>
        <w:rPr>
          <w:sz w:val="20"/>
          <w:szCs w:val="20"/>
          <w:color w:val="auto"/>
        </w:rPr>
      </w:pPr>
    </w:p>
    <w:p>
      <w:pPr>
        <w:ind w:left="180" w:right="420"/>
        <w:spacing w:after="0" w:line="236" w:lineRule="auto"/>
        <w:rPr>
          <w:sz w:val="20"/>
          <w:szCs w:val="20"/>
          <w:color w:val="auto"/>
        </w:rPr>
      </w:pPr>
      <w:r>
        <w:rPr>
          <w:rFonts w:ascii="Arial" w:cs="Arial" w:eastAsia="Arial" w:hAnsi="Arial"/>
          <w:sz w:val="22"/>
          <w:szCs w:val="22"/>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77" w:lineRule="exact"/>
        <w:rPr>
          <w:sz w:val="20"/>
          <w:szCs w:val="20"/>
          <w:color w:val="auto"/>
        </w:rPr>
      </w:pPr>
    </w:p>
    <w:p>
      <w:pPr>
        <w:ind w:left="180" w:right="20"/>
        <w:spacing w:after="0" w:line="287" w:lineRule="auto"/>
        <w:rPr>
          <w:sz w:val="20"/>
          <w:szCs w:val="20"/>
          <w:color w:val="auto"/>
        </w:rPr>
      </w:pPr>
      <w:r>
        <w:rPr>
          <w:rFonts w:ascii="Arial" w:cs="Arial" w:eastAsia="Arial" w:hAnsi="Arial"/>
          <w:sz w:val="19"/>
          <w:szCs w:val="19"/>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70"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74" w:lineRule="exact"/>
        <w:rPr>
          <w:sz w:val="20"/>
          <w:szCs w:val="20"/>
          <w:color w:val="auto"/>
        </w:rPr>
      </w:pPr>
    </w:p>
    <w:p>
      <w:pPr>
        <w:ind w:left="180" w:right="320"/>
        <w:spacing w:after="0"/>
        <w:rPr>
          <w:sz w:val="20"/>
          <w:szCs w:val="20"/>
          <w:color w:val="auto"/>
        </w:rPr>
      </w:pPr>
      <w:r>
        <w:rPr>
          <w:rFonts w:ascii="Arial" w:cs="Arial" w:eastAsia="Arial" w:hAnsi="Arial"/>
          <w:sz w:val="22"/>
          <w:szCs w:val="22"/>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213" w:lineRule="exact"/>
        <w:rPr>
          <w:sz w:val="20"/>
          <w:szCs w:val="20"/>
          <w:color w:val="auto"/>
        </w:rPr>
      </w:pPr>
    </w:p>
    <w:p>
      <w:pPr>
        <w:ind w:right="860" w:firstLine="324"/>
        <w:spacing w:after="0" w:line="250" w:lineRule="auto"/>
        <w:rPr>
          <w:sz w:val="20"/>
          <w:szCs w:val="20"/>
          <w:color w:val="auto"/>
        </w:rPr>
      </w:pPr>
      <w:r>
        <w:rPr>
          <w:rFonts w:ascii="Arial" w:cs="Arial" w:eastAsia="Arial" w:hAnsi="Arial"/>
          <w:sz w:val="22"/>
          <w:szCs w:val="22"/>
          <w:color w:val="auto"/>
        </w:rPr>
        <w:t>If we are deemed to be an investment company under the Investment Company Act, our activities may be restricted, including:</w:t>
      </w:r>
    </w:p>
    <w:p>
      <w:pPr>
        <w:spacing w:after="0" w:line="20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each of which may make it difficult for us to complete our initial business combination.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addition, we may have imposed upon us burdensome requirements, including:</w:t>
      </w:r>
    </w:p>
    <w:p>
      <w:pPr>
        <w:spacing w:after="0" w:line="2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56"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We do not believe that our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ind w:left="180" w:right="380"/>
        <w:spacing w:after="0" w:line="328" w:lineRule="auto"/>
        <w:rPr>
          <w:sz w:val="20"/>
          <w:szCs w:val="20"/>
          <w:color w:val="auto"/>
        </w:rPr>
      </w:pPr>
      <w:r>
        <w:rPr>
          <w:rFonts w:ascii="Arial" w:cs="Arial" w:eastAsia="Arial" w:hAnsi="Arial"/>
          <w:sz w:val="19"/>
          <w:szCs w:val="19"/>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3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79"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b w:val="1"/>
          <w:bCs w:val="1"/>
          <w:i w:val="1"/>
          <w:iCs w:val="1"/>
          <w:color w:val="auto"/>
        </w:rPr>
        <w:t>If we are unable to consummate our initial business combination by July 10, 2021, our public shareholders may be forced to wait beyond July 10, 2021 before redemption from our trust account.</w:t>
      </w:r>
    </w:p>
    <w:p>
      <w:pPr>
        <w:spacing w:after="0" w:line="202"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If we are unable to consummate our initial business combination by July 10, 2021,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July 10, 2021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440"/>
        <w:spacing w:after="0" w:line="250" w:lineRule="auto"/>
        <w:rPr>
          <w:sz w:val="20"/>
          <w:szCs w:val="20"/>
          <w:color w:val="auto"/>
        </w:rPr>
      </w:pPr>
      <w:r>
        <w:rPr>
          <w:rFonts w:ascii="Arial" w:cs="Arial" w:eastAsia="Arial" w:hAnsi="Arial"/>
          <w:sz w:val="22"/>
          <w:szCs w:val="22"/>
          <w:b w:val="1"/>
          <w:bCs w:val="1"/>
          <w:i w:val="1"/>
          <w:iCs w:val="1"/>
          <w:color w:val="auto"/>
        </w:rPr>
        <w:t>Our shareholders may be held liable for claims by third parties against us to the extent of distributions received by them upon redemption of their shares.</w:t>
      </w:r>
    </w:p>
    <w:p>
      <w:pPr>
        <w:spacing w:after="0" w:line="202" w:lineRule="exact"/>
        <w:rPr>
          <w:sz w:val="20"/>
          <w:szCs w:val="20"/>
          <w:color w:val="auto"/>
        </w:rPr>
      </w:pPr>
    </w:p>
    <w:p>
      <w:pPr>
        <w:ind w:right="180" w:firstLine="324"/>
        <w:spacing w:after="0" w:line="274" w:lineRule="auto"/>
        <w:rPr>
          <w:sz w:val="20"/>
          <w:szCs w:val="20"/>
          <w:color w:val="auto"/>
        </w:rPr>
      </w:pPr>
      <w:r>
        <w:rPr>
          <w:rFonts w:ascii="Arial" w:cs="Arial" w:eastAsia="Arial" w:hAnsi="Arial"/>
          <w:sz w:val="19"/>
          <w:szCs w:val="19"/>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$18,293 and to imprisonment for five years in the Cayman Islands.</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hold an annual general meeting of shareholders until after the completion of our initial business combination.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public shareholders will not have the right to elect directors prior to the consummation of our Business Combination.</w:t>
      </w:r>
    </w:p>
    <w:p>
      <w:pPr>
        <w:spacing w:after="0" w:line="250" w:lineRule="exact"/>
        <w:rPr>
          <w:sz w:val="20"/>
          <w:szCs w:val="20"/>
          <w:color w:val="auto"/>
        </w:rPr>
      </w:pPr>
    </w:p>
    <w:p>
      <w:pPr>
        <w:ind w:right="140" w:firstLine="324"/>
        <w:spacing w:after="0" w:line="234" w:lineRule="auto"/>
        <w:rPr>
          <w:sz w:val="20"/>
          <w:szCs w:val="20"/>
          <w:color w:val="auto"/>
        </w:rPr>
      </w:pPr>
      <w:r>
        <w:rPr>
          <w:rFonts w:ascii="Arial" w:cs="Arial" w:eastAsia="Arial" w:hAnsi="Arial"/>
          <w:sz w:val="22"/>
          <w:szCs w:val="22"/>
          <w:color w:val="auto"/>
        </w:rPr>
        <w:t>In accordance with Nasdaq corporate governance requirements, we are not required to hold an annual meeting until one year after our first fiscal year-end following our listing on Nasdaq. There is no requirement under the Companies Act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218" w:lineRule="exact"/>
        <w:rPr>
          <w:sz w:val="20"/>
          <w:szCs w:val="20"/>
          <w:color w:val="auto"/>
        </w:rPr>
      </w:pPr>
    </w:p>
    <w:p>
      <w:pPr>
        <w:jc w:val="both"/>
        <w:ind w:left="180" w:right="300"/>
        <w:spacing w:after="0" w:line="238" w:lineRule="auto"/>
        <w:rPr>
          <w:sz w:val="20"/>
          <w:szCs w:val="20"/>
          <w:color w:val="auto"/>
        </w:rPr>
      </w:pPr>
      <w:r>
        <w:rPr>
          <w:rFonts w:ascii="Arial" w:cs="Arial" w:eastAsia="Arial" w:hAnsi="Arial"/>
          <w:sz w:val="22"/>
          <w:szCs w:val="22"/>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212"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00"/>
        <w:spacing w:after="0"/>
        <w:rPr>
          <w:sz w:val="20"/>
          <w:szCs w:val="20"/>
          <w:color w:val="auto"/>
        </w:rPr>
      </w:pPr>
      <w:r>
        <w:rPr>
          <w:rFonts w:ascii="Arial" w:cs="Arial" w:eastAsia="Arial" w:hAnsi="Arial"/>
          <w:sz w:val="22"/>
          <w:szCs w:val="22"/>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213"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215" w:lineRule="exact"/>
        <w:rPr>
          <w:sz w:val="20"/>
          <w:szCs w:val="20"/>
          <w:color w:val="auto"/>
        </w:rPr>
      </w:pPr>
    </w:p>
    <w:p>
      <w:pPr>
        <w:ind w:left="180" w:right="540"/>
        <w:spacing w:after="0" w:line="359"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 See “—Risks Relating to the Cannabis Industry” for additional risks we may face in connection with our initial business combination.</w:t>
      </w:r>
    </w:p>
    <w:p>
      <w:pPr>
        <w:spacing w:after="0" w:line="200" w:lineRule="exact"/>
        <w:rPr>
          <w:sz w:val="20"/>
          <w:szCs w:val="20"/>
          <w:color w:val="auto"/>
        </w:rPr>
      </w:pPr>
    </w:p>
    <w:p>
      <w:pPr>
        <w:spacing w:after="0" w:line="234" w:lineRule="exact"/>
        <w:rPr>
          <w:sz w:val="20"/>
          <w:szCs w:val="20"/>
          <w:color w:val="auto"/>
        </w:rPr>
      </w:pPr>
    </w:p>
    <w:p>
      <w:pPr>
        <w:ind w:left="180" w:right="980"/>
        <w:spacing w:after="0" w:line="250" w:lineRule="auto"/>
        <w:rPr>
          <w:sz w:val="20"/>
          <w:szCs w:val="20"/>
          <w:color w:val="auto"/>
        </w:rPr>
      </w:pPr>
      <w:r>
        <w:rPr>
          <w:rFonts w:ascii="Arial" w:cs="Arial" w:eastAsia="Arial" w:hAnsi="Arial"/>
          <w:sz w:val="22"/>
          <w:szCs w:val="22"/>
          <w:b w:val="1"/>
          <w:bCs w:val="1"/>
          <w:i w:val="1"/>
          <w:iCs w:val="1"/>
          <w:color w:val="auto"/>
        </w:rPr>
        <w:t>Past performance by our management team and their affiliates may not be indicative of future performance of an investment in the Company.</w:t>
      </w:r>
    </w:p>
    <w:p>
      <w:pPr>
        <w:spacing w:after="0" w:line="20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 (2) 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174" w:lineRule="exact"/>
        <w:rPr>
          <w:sz w:val="20"/>
          <w:szCs w:val="20"/>
          <w:color w:val="auto"/>
        </w:rPr>
      </w:pPr>
    </w:p>
    <w:p>
      <w:pPr>
        <w:ind w:left="180" w:right="80"/>
        <w:spacing w:after="0" w:line="252" w:lineRule="auto"/>
        <w:rPr>
          <w:sz w:val="20"/>
          <w:szCs w:val="20"/>
          <w:color w:val="auto"/>
        </w:rPr>
      </w:pPr>
      <w:r>
        <w:rPr>
          <w:rFonts w:ascii="Arial" w:cs="Arial" w:eastAsia="Arial" w:hAnsi="Arial"/>
          <w:sz w:val="21"/>
          <w:szCs w:val="21"/>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8" w:lineRule="exact"/>
        <w:rPr>
          <w:sz w:val="20"/>
          <w:szCs w:val="20"/>
          <w:color w:val="auto"/>
        </w:rPr>
      </w:pPr>
    </w:p>
    <w:p>
      <w:pPr>
        <w:ind w:left="180" w:right="160"/>
        <w:spacing w:after="0" w:line="250" w:lineRule="auto"/>
        <w:rPr>
          <w:sz w:val="20"/>
          <w:szCs w:val="20"/>
          <w:color w:val="auto"/>
        </w:rPr>
      </w:pPr>
      <w:r>
        <w:rPr>
          <w:rFonts w:ascii="Arial" w:cs="Arial" w:eastAsia="Arial" w:hAnsi="Arial"/>
          <w:sz w:val="22"/>
          <w:szCs w:val="22"/>
          <w:b w:val="1"/>
          <w:bCs w:val="1"/>
          <w:i w:val="1"/>
          <w:iCs w:val="1"/>
          <w:color w:val="auto"/>
        </w:rPr>
        <w:t>We may seek acquisition opportunities with an early stage company, a financially unstable business or an entity lacking an established record of revenue or earnings.</w:t>
      </w:r>
    </w:p>
    <w:p>
      <w:pPr>
        <w:spacing w:after="0" w:line="202"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4" w:lineRule="exact"/>
        <w:rPr>
          <w:sz w:val="20"/>
          <w:szCs w:val="20"/>
          <w:color w:val="auto"/>
        </w:rPr>
      </w:pPr>
    </w:p>
    <w:p>
      <w:pPr>
        <w:ind w:left="180" w:right="80"/>
        <w:spacing w:after="0"/>
        <w:rPr>
          <w:sz w:val="20"/>
          <w:szCs w:val="20"/>
          <w:color w:val="auto"/>
        </w:rPr>
      </w:pPr>
      <w:r>
        <w:rPr>
          <w:rFonts w:ascii="Arial" w:cs="Arial" w:eastAsia="Arial" w:hAnsi="Arial"/>
          <w:sz w:val="22"/>
          <w:szCs w:val="22"/>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213" w:lineRule="exact"/>
        <w:rPr>
          <w:sz w:val="20"/>
          <w:szCs w:val="20"/>
          <w:color w:val="auto"/>
        </w:rPr>
      </w:pPr>
    </w:p>
    <w:p>
      <w:pPr>
        <w:ind w:right="140" w:firstLine="324"/>
        <w:spacing w:after="0" w:line="235" w:lineRule="auto"/>
        <w:rPr>
          <w:sz w:val="20"/>
          <w:szCs w:val="20"/>
          <w:color w:val="auto"/>
        </w:rPr>
      </w:pPr>
      <w:r>
        <w:rPr>
          <w:rFonts w:ascii="Arial" w:cs="Arial" w:eastAsia="Arial" w:hAnsi="Arial"/>
          <w:sz w:val="22"/>
          <w:szCs w:val="22"/>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215" w:lineRule="exact"/>
        <w:rPr>
          <w:sz w:val="20"/>
          <w:szCs w:val="20"/>
          <w:color w:val="auto"/>
        </w:rPr>
      </w:pPr>
    </w:p>
    <w:p>
      <w:pPr>
        <w:ind w:left="180" w:right="60"/>
        <w:spacing w:after="0" w:line="301" w:lineRule="auto"/>
        <w:rPr>
          <w:sz w:val="20"/>
          <w:szCs w:val="20"/>
          <w:color w:val="auto"/>
        </w:rPr>
      </w:pPr>
      <w:r>
        <w:rPr>
          <w:rFonts w:ascii="Arial" w:cs="Arial" w:eastAsia="Arial" w:hAnsi="Arial"/>
          <w:sz w:val="18"/>
          <w:szCs w:val="18"/>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6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Our amended and restated memorandum and articles of association authorize the issuance of ordinary shares, including 200,000,000 Class A ordinary shares, par value $0.0001 per share, and 20,000,000 Class B ordinary shares, par value $0.0001 per share, as well as 1,000,000 preferred shares, par value $0.0001. There are 155,500,000 and 13,750,000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215"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provides,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July 10, 2021 or (y) amend the foregoing provisions. The issuance of additional ordinary shares or preferred shares:</w:t>
      </w:r>
    </w:p>
    <w:p>
      <w:pPr>
        <w:sectPr>
          <w:pgSz w:w="11900" w:h="16838" w:orient="portrait"/>
          <w:cols w:equalWidth="0" w:num="1">
            <w:col w:w="11240"/>
          </w:cols>
          <w:pgMar w:left="320" w:top="121" w:right="339" w:bottom="922"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2"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IPO;</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97"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45" w:lineRule="exact"/>
        <w:rPr>
          <w:sz w:val="20"/>
          <w:szCs w:val="20"/>
          <w:color w:val="auto"/>
        </w:rPr>
      </w:pPr>
    </w:p>
    <w:p>
      <w:pPr>
        <w:ind w:left="180" w:right="320"/>
        <w:spacing w:after="0" w:line="250" w:lineRule="auto"/>
        <w:rPr>
          <w:sz w:val="20"/>
          <w:szCs w:val="20"/>
          <w:color w:val="auto"/>
        </w:rPr>
      </w:pPr>
      <w:r>
        <w:rPr>
          <w:rFonts w:ascii="Arial" w:cs="Arial" w:eastAsia="Arial" w:hAnsi="Arial"/>
          <w:sz w:val="22"/>
          <w:szCs w:val="22"/>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202"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our IPO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IPO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3" w:lineRule="exact"/>
        <w:rPr>
          <w:sz w:val="20"/>
          <w:szCs w:val="20"/>
          <w:color w:val="auto"/>
        </w:rPr>
      </w:pPr>
    </w:p>
    <w:p>
      <w:pPr>
        <w:ind w:left="180" w:right="260"/>
        <w:spacing w:after="0" w:line="250" w:lineRule="auto"/>
        <w:rPr>
          <w:sz w:val="20"/>
          <w:szCs w:val="20"/>
          <w:color w:val="auto"/>
        </w:rPr>
      </w:pPr>
      <w:r>
        <w:rPr>
          <w:rFonts w:ascii="Arial" w:cs="Arial" w:eastAsia="Arial" w:hAnsi="Arial"/>
          <w:sz w:val="22"/>
          <w:szCs w:val="22"/>
          <w:b w:val="1"/>
          <w:bCs w:val="1"/>
          <w:i w:val="1"/>
          <w:iCs w:val="1"/>
          <w:color w:val="auto"/>
        </w:rPr>
        <w:t>We may be a passive foreign investment company, or “PFIC,” which could result in adverse United States federal income tax consequences to U.S. investors.</w:t>
      </w:r>
    </w:p>
    <w:p>
      <w:pPr>
        <w:spacing w:after="0" w:line="202" w:lineRule="exact"/>
        <w:rPr>
          <w:sz w:val="20"/>
          <w:szCs w:val="20"/>
          <w:color w:val="auto"/>
        </w:rPr>
      </w:pPr>
    </w:p>
    <w:p>
      <w:pPr>
        <w:ind w:right="100" w:firstLine="324"/>
        <w:spacing w:after="0" w:line="244" w:lineRule="auto"/>
        <w:rPr>
          <w:sz w:val="20"/>
          <w:szCs w:val="20"/>
          <w:color w:val="auto"/>
        </w:rPr>
      </w:pPr>
      <w:r>
        <w:rPr>
          <w:rFonts w:ascii="Arial" w:cs="Arial" w:eastAsia="Arial" w:hAnsi="Arial"/>
          <w:sz w:val="21"/>
          <w:szCs w:val="21"/>
          <w:color w:val="auto"/>
        </w:rPr>
        <w:t>If we are a PFIC for any taxable year (or portion thereof) that is included in the holding period of a U.S. Holder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w:t>
      </w:r>
    </w:p>
    <w:p>
      <w:pPr>
        <w:spacing w:after="0" w:line="210" w:lineRule="exact"/>
        <w:rPr>
          <w:sz w:val="20"/>
          <w:szCs w:val="20"/>
          <w:color w:val="auto"/>
        </w:rPr>
      </w:pPr>
    </w:p>
    <w:p>
      <w:pPr>
        <w:ind w:left="180" w:right="60"/>
        <w:spacing w:after="0" w:line="250" w:lineRule="auto"/>
        <w:rPr>
          <w:sz w:val="20"/>
          <w:szCs w:val="20"/>
          <w:color w:val="auto"/>
        </w:rPr>
      </w:pPr>
      <w:r>
        <w:rPr>
          <w:rFonts w:ascii="Arial" w:cs="Arial" w:eastAsia="Arial" w:hAnsi="Arial"/>
          <w:sz w:val="22"/>
          <w:szCs w:val="22"/>
          <w:b w:val="1"/>
          <w:bCs w:val="1"/>
          <w:i w:val="1"/>
          <w:iCs w:val="1"/>
          <w:color w:val="auto"/>
        </w:rPr>
        <w:t>We may reincorporate in another jurisdiction in connection with our initial business combination and such reincorporation may result in taxes imposed on shareholders.</w:t>
      </w:r>
    </w:p>
    <w:p>
      <w:pPr>
        <w:spacing w:after="0" w:line="202"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215" w:lineRule="exact"/>
        <w:rPr>
          <w:sz w:val="20"/>
          <w:szCs w:val="20"/>
          <w:color w:val="auto"/>
        </w:rPr>
      </w:pPr>
    </w:p>
    <w:p>
      <w:pPr>
        <w:ind w:left="180" w:right="20"/>
        <w:spacing w:after="0" w:line="287" w:lineRule="auto"/>
        <w:rPr>
          <w:sz w:val="20"/>
          <w:szCs w:val="20"/>
          <w:color w:val="auto"/>
        </w:rPr>
      </w:pPr>
      <w:r>
        <w:rPr>
          <w:rFonts w:ascii="Arial" w:cs="Arial" w:eastAsia="Arial" w:hAnsi="Arial"/>
          <w:sz w:val="19"/>
          <w:szCs w:val="19"/>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ectPr>
          <w:pgSz w:w="11900" w:h="16838" w:orient="portrait"/>
          <w:cols w:equalWidth="0" w:num="1">
            <w:col w:w="11220"/>
          </w:cols>
          <w:pgMar w:left="320" w:top="121" w:right="35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are dependent upon our officers and directors and their departure could adversely affect our ability to operate.</w:t>
      </w:r>
    </w:p>
    <w:p>
      <w:pPr>
        <w:spacing w:after="0" w:line="268"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208" w:lineRule="exact"/>
        <w:rPr>
          <w:sz w:val="20"/>
          <w:szCs w:val="20"/>
          <w:color w:val="auto"/>
        </w:rPr>
      </w:pPr>
    </w:p>
    <w:p>
      <w:pPr>
        <w:ind w:left="180" w:right="60"/>
        <w:spacing w:after="0" w:line="297" w:lineRule="auto"/>
        <w:rPr>
          <w:sz w:val="20"/>
          <w:szCs w:val="20"/>
          <w:color w:val="auto"/>
        </w:rPr>
      </w:pPr>
      <w:r>
        <w:rPr>
          <w:rFonts w:ascii="Arial" w:cs="Arial" w:eastAsia="Arial" w:hAnsi="Arial"/>
          <w:sz w:val="19"/>
          <w:szCs w:val="19"/>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6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9" w:lineRule="exact"/>
        <w:rPr>
          <w:sz w:val="20"/>
          <w:szCs w:val="20"/>
          <w:color w:val="auto"/>
        </w:rPr>
      </w:pPr>
    </w:p>
    <w:p>
      <w:pPr>
        <w:ind w:left="180" w:right="480"/>
        <w:spacing w:after="0" w:line="252" w:lineRule="auto"/>
        <w:rPr>
          <w:sz w:val="20"/>
          <w:szCs w:val="20"/>
          <w:color w:val="auto"/>
        </w:rPr>
      </w:pPr>
      <w:r>
        <w:rPr>
          <w:rFonts w:ascii="Arial" w:cs="Arial" w:eastAsia="Arial" w:hAnsi="Arial"/>
          <w:sz w:val="21"/>
          <w:szCs w:val="21"/>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82" w:lineRule="exact"/>
        <w:rPr>
          <w:sz w:val="20"/>
          <w:szCs w:val="20"/>
          <w:color w:val="auto"/>
        </w:rPr>
      </w:pPr>
    </w:p>
    <w:p>
      <w:pPr>
        <w:ind w:left="180" w:right="60"/>
        <w:spacing w:after="0"/>
        <w:rPr>
          <w:sz w:val="20"/>
          <w:szCs w:val="20"/>
          <w:color w:val="auto"/>
        </w:rPr>
      </w:pPr>
      <w:r>
        <w:rPr>
          <w:rFonts w:ascii="Arial" w:cs="Arial" w:eastAsia="Arial" w:hAnsi="Arial"/>
          <w:sz w:val="22"/>
          <w:szCs w:val="22"/>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213"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20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9"/>
          <w:szCs w:val="19"/>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7" w:lineRule="exact"/>
        <w:rPr>
          <w:sz w:val="20"/>
          <w:szCs w:val="20"/>
          <w:color w:val="auto"/>
        </w:rPr>
      </w:pPr>
    </w:p>
    <w:p>
      <w:pPr>
        <w:ind w:left="180" w:right="400"/>
        <w:spacing w:after="0"/>
        <w:rPr>
          <w:sz w:val="20"/>
          <w:szCs w:val="20"/>
          <w:color w:val="auto"/>
        </w:rPr>
      </w:pPr>
      <w:r>
        <w:rPr>
          <w:rFonts w:ascii="Arial" w:cs="Arial" w:eastAsia="Arial" w:hAnsi="Arial"/>
          <w:sz w:val="22"/>
          <w:szCs w:val="22"/>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21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“Item 10. Directors, Executive Officers and Corporate Governance —Directors and Executive Officers.”</w:t>
      </w:r>
    </w:p>
    <w:p>
      <w:pPr>
        <w:spacing w:after="0" w:line="188" w:lineRule="exact"/>
        <w:rPr>
          <w:sz w:val="20"/>
          <w:szCs w:val="20"/>
          <w:color w:val="auto"/>
        </w:rPr>
      </w:pPr>
    </w:p>
    <w:p>
      <w:pPr>
        <w:ind w:left="180" w:right="240"/>
        <w:spacing w:after="0" w:line="297" w:lineRule="auto"/>
        <w:rPr>
          <w:sz w:val="20"/>
          <w:szCs w:val="20"/>
          <w:color w:val="auto"/>
        </w:rPr>
      </w:pPr>
      <w:r>
        <w:rPr>
          <w:rFonts w:ascii="Arial" w:cs="Arial" w:eastAsia="Arial" w:hAnsi="Arial"/>
          <w:sz w:val="19"/>
          <w:szCs w:val="19"/>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61"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color w:val="auto"/>
        </w:rPr>
        <w:t>We are engaged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214" w:lineRule="exact"/>
        <w:rPr>
          <w:sz w:val="20"/>
          <w:szCs w:val="20"/>
          <w:color w:val="auto"/>
        </w:rPr>
      </w:pPr>
    </w:p>
    <w:p>
      <w:pPr>
        <w:ind w:right="300" w:firstLine="324"/>
        <w:spacing w:after="0" w:line="252" w:lineRule="auto"/>
        <w:rPr>
          <w:sz w:val="20"/>
          <w:szCs w:val="20"/>
          <w:color w:val="auto"/>
        </w:rPr>
      </w:pPr>
      <w:r>
        <w:rPr>
          <w:rFonts w:ascii="Arial" w:cs="Arial" w:eastAsia="Arial" w:hAnsi="Arial"/>
          <w:sz w:val="21"/>
          <w:szCs w:val="21"/>
          <w:color w:val="auto"/>
        </w:rPr>
        <w:t>For a complete discussion of our officers’ and directors’ business affiliations and the potential conflicts of interest that you should be aware of, please see “Item 10. Directors, Executive Officers and Corporate Governance—Directors and Executive Officers,” “Item 10. Directors, Executive Officers and Corporate Governance—Conflicts of Interest” and “Item 13. Certain Relationships and Related Transactions, and Director Independence.”</w:t>
      </w:r>
    </w:p>
    <w:p>
      <w:pPr>
        <w:spacing w:after="0" w:line="201"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Our officers, directors, security holders and their respective affiliates may have competitive pecuniary interests that conflict with our interests.</w:t>
      </w:r>
    </w:p>
    <w:p>
      <w:pPr>
        <w:spacing w:after="0" w:line="202"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204" w:lineRule="exact"/>
        <w:rPr>
          <w:sz w:val="20"/>
          <w:szCs w:val="20"/>
          <w:color w:val="auto"/>
        </w:rPr>
      </w:pPr>
    </w:p>
    <w:p>
      <w:pPr>
        <w:ind w:right="80" w:firstLine="324"/>
        <w:spacing w:after="0" w:line="297" w:lineRule="auto"/>
        <w:rPr>
          <w:sz w:val="20"/>
          <w:szCs w:val="20"/>
          <w:color w:val="auto"/>
        </w:rPr>
      </w:pPr>
      <w:r>
        <w:rPr>
          <w:rFonts w:ascii="Arial" w:cs="Arial" w:eastAsia="Arial" w:hAnsi="Arial"/>
          <w:sz w:val="19"/>
          <w:szCs w:val="19"/>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61" w:lineRule="exact"/>
        <w:rPr>
          <w:sz w:val="20"/>
          <w:szCs w:val="20"/>
          <w:color w:val="auto"/>
        </w:rPr>
      </w:pPr>
    </w:p>
    <w:p>
      <w:pPr>
        <w:ind w:left="180" w:right="120"/>
        <w:spacing w:after="0" w:line="328" w:lineRule="auto"/>
        <w:rPr>
          <w:sz w:val="20"/>
          <w:szCs w:val="20"/>
          <w:color w:val="auto"/>
        </w:rPr>
      </w:pPr>
      <w:r>
        <w:rPr>
          <w:rFonts w:ascii="Arial" w:cs="Arial" w:eastAsia="Arial" w:hAnsi="Arial"/>
          <w:sz w:val="19"/>
          <w:szCs w:val="19"/>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32"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In light of the involvement of our sponsor, officers and directors with other entities, we may decide to acquire one or more businesses affiliated with our sponsor, officers and directors. Our officers and directors also serve as officers and board members for other entities, including, without limitation, those described under “Item 10. Directors, Executive Officers and Corporate Governance—Conflicts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“Item 1. Business—Effecting Our Initial Business Combination—Selection of a target business and structuring of our initial business combination” and such transaction was approved by a majority of our independent and disinterested directors.</w:t>
      </w:r>
    </w:p>
    <w:p>
      <w:pPr>
        <w:spacing w:after="0" w:line="215" w:lineRule="exact"/>
        <w:rPr>
          <w:sz w:val="20"/>
          <w:szCs w:val="20"/>
          <w:color w:val="auto"/>
        </w:rPr>
      </w:pPr>
    </w:p>
    <w:p>
      <w:pPr>
        <w:ind w:left="180" w:right="360"/>
        <w:spacing w:after="0" w:line="297" w:lineRule="auto"/>
        <w:rPr>
          <w:sz w:val="20"/>
          <w:szCs w:val="20"/>
          <w:color w:val="auto"/>
        </w:rPr>
      </w:pPr>
      <w:r>
        <w:rPr>
          <w:rFonts w:ascii="Arial" w:cs="Arial" w:eastAsia="Arial" w:hAnsi="Arial"/>
          <w:sz w:val="19"/>
          <w:szCs w:val="19"/>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On June 11, 2019, our sponsor subscribed for an aggregate of 7,187,500 founder shares for an aggregate purchase price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$25,000, or $0.004 per share. On September 23, 2019, in connection with the expiration of the underwriter’s over-allotment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option, our sponsor surrender 937,500 founder shares. As a result, our sponsor now owns 6,250,000 founder shares. As such, our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initial shareholders collectively own 20% of our issued and outstanding shares as of our IPO. The founder shares will be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worthless if we do not complete an initial business combination. In addition, our sponsor has purchased an aggregate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7,000,000 private placement warrants, each exercisable to purchase one Class A ordinary share, for a purchase price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$7,000,000 in the aggregate, or $1.00 per warrant, that will also be worthless if we do not complete a business combination. Each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private placement warrant may be exercised for one Class A ordinary share at a price of $11.50 per share, subject to adjustment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as provided herein.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founder shares are identical to the ordinary shares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by July 10, 2021(although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195" w:lineRule="exact"/>
        <w:rPr>
          <w:sz w:val="20"/>
          <w:szCs w:val="20"/>
          <w:color w:val="auto"/>
        </w:rPr>
      </w:pPr>
    </w:p>
    <w:p>
      <w:pPr>
        <w:ind w:right="100" w:firstLine="324"/>
        <w:spacing w:after="0" w:line="252" w:lineRule="auto"/>
        <w:rPr>
          <w:sz w:val="20"/>
          <w:szCs w:val="20"/>
          <w:color w:val="auto"/>
        </w:rPr>
      </w:pPr>
      <w:r>
        <w:rPr>
          <w:rFonts w:ascii="Arial" w:cs="Arial" w:eastAsia="Arial" w:hAnsi="Arial"/>
          <w:sz w:val="21"/>
          <w:szCs w:val="21"/>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following the closing of the IPO nears, which is the deadline for the completion of our initial business combination.</w:t>
      </w:r>
    </w:p>
    <w:p>
      <w:pPr>
        <w:spacing w:after="0" w:line="201" w:lineRule="exact"/>
        <w:rPr>
          <w:sz w:val="20"/>
          <w:szCs w:val="20"/>
          <w:color w:val="auto"/>
        </w:rPr>
      </w:pPr>
    </w:p>
    <w:p>
      <w:pPr>
        <w:ind w:left="180" w:right="160"/>
        <w:spacing w:after="0"/>
        <w:rPr>
          <w:sz w:val="20"/>
          <w:szCs w:val="20"/>
          <w:color w:val="auto"/>
        </w:rPr>
      </w:pPr>
      <w:r>
        <w:rPr>
          <w:rFonts w:ascii="Arial" w:cs="Arial" w:eastAsia="Arial" w:hAnsi="Arial"/>
          <w:sz w:val="22"/>
          <w:szCs w:val="22"/>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213" w:lineRule="exact"/>
        <w:rPr>
          <w:sz w:val="20"/>
          <w:szCs w:val="20"/>
          <w:color w:val="auto"/>
        </w:rPr>
      </w:pPr>
    </w:p>
    <w:p>
      <w:pPr>
        <w:ind w:right="220" w:firstLine="324"/>
        <w:spacing w:after="0" w:line="235" w:lineRule="auto"/>
        <w:rPr>
          <w:sz w:val="20"/>
          <w:szCs w:val="20"/>
          <w:color w:val="auto"/>
        </w:rPr>
      </w:pPr>
      <w:r>
        <w:rPr>
          <w:rFonts w:ascii="Arial" w:cs="Arial" w:eastAsia="Arial" w:hAnsi="Arial"/>
          <w:sz w:val="22"/>
          <w:szCs w:val="22"/>
          <w:color w:val="auto"/>
        </w:rPr>
        <w:t>Although we have no commitments as of the date of this Annual Report to issue any notes or other debt securities, or to otherwise incur outstanding debt following our IPO,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22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75" w:lineRule="exact"/>
        <w:rPr>
          <w:rFonts w:ascii="Arial" w:cs="Arial" w:eastAsia="Arial" w:hAnsi="Arial"/>
          <w:sz w:val="16"/>
          <w:szCs w:val="16"/>
          <w:color w:val="auto"/>
        </w:rPr>
      </w:pPr>
    </w:p>
    <w:p>
      <w:pPr>
        <w:ind w:left="660" w:right="5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52"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7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0" w:lineRule="exact"/>
        <w:rPr>
          <w:sz w:val="20"/>
          <w:szCs w:val="20"/>
          <w:color w:val="auto"/>
        </w:rPr>
      </w:pPr>
    </w:p>
    <w:p>
      <w:pPr>
        <w:ind w:left="180" w:right="300"/>
        <w:spacing w:after="0" w:line="297" w:lineRule="auto"/>
        <w:rPr>
          <w:sz w:val="20"/>
          <w:szCs w:val="20"/>
          <w:color w:val="auto"/>
        </w:rPr>
      </w:pPr>
      <w:r>
        <w:rPr>
          <w:rFonts w:ascii="Arial" w:cs="Arial" w:eastAsia="Arial" w:hAnsi="Arial"/>
          <w:sz w:val="19"/>
          <w:szCs w:val="19"/>
          <w:b w:val="1"/>
          <w:bCs w:val="1"/>
          <w:i w:val="1"/>
          <w:iCs w:val="1"/>
          <w:color w:val="auto"/>
        </w:rPr>
        <w:t>We may be able to complete only one business combination with the proceeds of the IPO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61"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The net proceeds from the IPO and the sale of the private placement warrants provided us with $250,000,000 that we may use to complete our initial business combination.</w:t>
      </w:r>
    </w:p>
    <w:p>
      <w:pPr>
        <w:spacing w:after="0" w:line="202"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45" w:lineRule="exact"/>
        <w:rPr>
          <w:sz w:val="20"/>
          <w:szCs w:val="20"/>
          <w:color w:val="auto"/>
        </w:rPr>
      </w:pPr>
    </w:p>
    <w:p>
      <w:pPr>
        <w:ind w:right="140" w:firstLine="324"/>
        <w:spacing w:after="0"/>
        <w:rPr>
          <w:sz w:val="20"/>
          <w:szCs w:val="20"/>
          <w:color w:val="auto"/>
        </w:rPr>
      </w:pPr>
      <w:r>
        <w:rPr>
          <w:rFonts w:ascii="Arial" w:cs="Arial" w:eastAsia="Arial" w:hAnsi="Arial"/>
          <w:sz w:val="22"/>
          <w:szCs w:val="22"/>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13" w:lineRule="exact"/>
        <w:rPr>
          <w:sz w:val="20"/>
          <w:szCs w:val="20"/>
          <w:color w:val="auto"/>
        </w:rPr>
      </w:pPr>
    </w:p>
    <w:p>
      <w:pPr>
        <w:ind w:left="180" w:right="100"/>
        <w:spacing w:after="0"/>
        <w:rPr>
          <w:sz w:val="20"/>
          <w:szCs w:val="20"/>
          <w:color w:val="auto"/>
        </w:rPr>
      </w:pPr>
      <w:r>
        <w:rPr>
          <w:rFonts w:ascii="Arial" w:cs="Arial" w:eastAsia="Arial" w:hAnsi="Arial"/>
          <w:sz w:val="22"/>
          <w:szCs w:val="22"/>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1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9" w:lineRule="exact"/>
        <w:rPr>
          <w:sz w:val="20"/>
          <w:szCs w:val="20"/>
          <w:color w:val="auto"/>
        </w:rPr>
      </w:pPr>
    </w:p>
    <w:p>
      <w:pPr>
        <w:ind w:left="180" w:right="420"/>
        <w:spacing w:after="0" w:line="359"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0"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80"/>
        <w:spacing w:after="0" w:line="257" w:lineRule="auto"/>
        <w:rPr>
          <w:sz w:val="20"/>
          <w:szCs w:val="20"/>
          <w:color w:val="auto"/>
        </w:rPr>
      </w:pPr>
      <w:r>
        <w:rPr>
          <w:rFonts w:ascii="Arial" w:cs="Arial" w:eastAsia="Arial" w:hAnsi="Arial"/>
          <w:sz w:val="21"/>
          <w:szCs w:val="21"/>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96"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85" w:lineRule="exact"/>
        <w:rPr>
          <w:sz w:val="20"/>
          <w:szCs w:val="20"/>
          <w:color w:val="auto"/>
        </w:rPr>
      </w:pPr>
    </w:p>
    <w:p>
      <w:pPr>
        <w:ind w:left="180" w:right="40"/>
        <w:spacing w:after="0" w:line="257" w:lineRule="auto"/>
        <w:rPr>
          <w:sz w:val="20"/>
          <w:szCs w:val="20"/>
          <w:color w:val="auto"/>
        </w:rPr>
      </w:pPr>
      <w:r>
        <w:rPr>
          <w:rFonts w:ascii="Arial" w:cs="Arial" w:eastAsia="Arial" w:hAnsi="Arial"/>
          <w:sz w:val="21"/>
          <w:szCs w:val="21"/>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87" w:lineRule="exact"/>
        <w:rPr>
          <w:sz w:val="20"/>
          <w:szCs w:val="20"/>
          <w:color w:val="auto"/>
        </w:rPr>
      </w:pPr>
    </w:p>
    <w:p>
      <w:pPr>
        <w:ind w:left="180" w:right="520"/>
        <w:spacing w:after="0" w:line="359"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10"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Our amended and restated memorandum and articles of association does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60"/>
        <w:spacing w:after="0" w:line="250" w:lineRule="auto"/>
        <w:rPr>
          <w:sz w:val="20"/>
          <w:szCs w:val="20"/>
          <w:color w:val="auto"/>
        </w:rPr>
      </w:pPr>
      <w:r>
        <w:rPr>
          <w:rFonts w:ascii="Arial" w:cs="Arial" w:eastAsia="Arial" w:hAnsi="Arial"/>
          <w:sz w:val="22"/>
          <w:szCs w:val="22"/>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202" w:lineRule="exact"/>
        <w:rPr>
          <w:sz w:val="20"/>
          <w:szCs w:val="20"/>
          <w:color w:val="auto"/>
        </w:rPr>
      </w:pPr>
    </w:p>
    <w:p>
      <w:pPr>
        <w:ind w:right="360" w:firstLine="324"/>
        <w:spacing w:after="0" w:line="238" w:lineRule="auto"/>
        <w:rPr>
          <w:sz w:val="20"/>
          <w:szCs w:val="20"/>
          <w:color w:val="auto"/>
        </w:rPr>
      </w:pPr>
      <w:r>
        <w:rPr>
          <w:rFonts w:ascii="Arial" w:cs="Arial" w:eastAsia="Arial" w:hAnsi="Arial"/>
          <w:sz w:val="22"/>
          <w:szCs w:val="22"/>
          <w:color w:val="auto"/>
        </w:rPr>
        <w:t>The exercise price of the public warrants is higher than is typical in many similar blank check companies in the past. Historically, the exercise price of a warrant was generally a fraction of the purchase price of the units in the IPO. The exercise price for our public warrants is $11.50 per share, subject to adjustment as provided herein. As a result, the warrants are more likely to expire worthless.</w:t>
      </w:r>
    </w:p>
    <w:p>
      <w:pPr>
        <w:spacing w:after="0" w:line="212" w:lineRule="exact"/>
        <w:rPr>
          <w:sz w:val="20"/>
          <w:szCs w:val="20"/>
          <w:color w:val="auto"/>
        </w:rPr>
      </w:pPr>
    </w:p>
    <w:p>
      <w:pPr>
        <w:ind w:left="180" w:right="60"/>
        <w:spacing w:after="0" w:line="287" w:lineRule="auto"/>
        <w:rPr>
          <w:sz w:val="20"/>
          <w:szCs w:val="20"/>
          <w:color w:val="auto"/>
        </w:rPr>
      </w:pPr>
      <w:r>
        <w:rPr>
          <w:rFonts w:ascii="Arial" w:cs="Arial" w:eastAsia="Arial" w:hAnsi="Arial"/>
          <w:sz w:val="19"/>
          <w:szCs w:val="19"/>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provides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87" w:lineRule="exact"/>
        <w:rPr>
          <w:sz w:val="20"/>
          <w:szCs w:val="20"/>
          <w:color w:val="auto"/>
        </w:rPr>
      </w:pPr>
    </w:p>
    <w:p>
      <w:pPr>
        <w:ind w:left="180" w:right="40"/>
        <w:spacing w:after="0" w:line="279" w:lineRule="auto"/>
        <w:rPr>
          <w:sz w:val="20"/>
          <w:szCs w:val="20"/>
          <w:color w:val="auto"/>
        </w:rPr>
      </w:pPr>
      <w:r>
        <w:rPr>
          <w:rFonts w:ascii="Arial" w:cs="Arial" w:eastAsia="Arial" w:hAnsi="Arial"/>
          <w:sz w:val="19"/>
          <w:szCs w:val="19"/>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77" w:lineRule="exact"/>
        <w:rPr>
          <w:sz w:val="20"/>
          <w:szCs w:val="20"/>
          <w:color w:val="auto"/>
        </w:rPr>
      </w:pPr>
    </w:p>
    <w:p>
      <w:pPr>
        <w:ind w:right="40" w:firstLine="324"/>
        <w:spacing w:after="0" w:line="269" w:lineRule="auto"/>
        <w:rPr>
          <w:sz w:val="20"/>
          <w:szCs w:val="20"/>
          <w:color w:val="auto"/>
        </w:rPr>
      </w:pPr>
      <w:r>
        <w:rPr>
          <w:rFonts w:ascii="Arial" w:cs="Arial" w:eastAsia="Arial" w:hAnsi="Arial"/>
          <w:sz w:val="19"/>
          <w:szCs w:val="19"/>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provides that any of its provisions, including those related to pre-business combination activity (including the requirement to deposit proceeds of our IPO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collectively beneficially own 20% of our ordinary shares upon the closing of our IPO,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by July 10, 2021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ectPr>
          <w:pgSz w:w="11900" w:h="16838" w:orient="portrait"/>
          <w:cols w:equalWidth="0" w:num="1">
            <w:col w:w="11240"/>
          </w:cols>
          <w:pgMar w:left="320" w:top="122" w:right="339" w:bottom="9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40"/>
        <w:spacing w:after="0" w:line="250" w:lineRule="auto"/>
        <w:rPr>
          <w:sz w:val="20"/>
          <w:szCs w:val="20"/>
          <w:color w:val="auto"/>
        </w:rPr>
      </w:pPr>
      <w:r>
        <w:rPr>
          <w:rFonts w:ascii="Arial" w:cs="Arial" w:eastAsia="Arial" w:hAnsi="Arial"/>
          <w:sz w:val="22"/>
          <w:szCs w:val="22"/>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202"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Certain agreements related to our IPO may be amended without shareholder approval.</w:t>
      </w:r>
    </w:p>
    <w:p>
      <w:pPr>
        <w:spacing w:after="0" w:line="23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9"/>
          <w:szCs w:val="19"/>
          <w:color w:val="auto"/>
        </w:rPr>
        <w:t>Each of the agreements related to our IPO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184" w:lineRule="exact"/>
        <w:rPr>
          <w:sz w:val="20"/>
          <w:szCs w:val="20"/>
          <w:color w:val="auto"/>
        </w:rPr>
      </w:pPr>
    </w:p>
    <w:p>
      <w:pPr>
        <w:ind w:left="180" w:right="80"/>
        <w:spacing w:after="0" w:line="328" w:lineRule="auto"/>
        <w:rPr>
          <w:sz w:val="20"/>
          <w:szCs w:val="20"/>
          <w:color w:val="auto"/>
        </w:rPr>
      </w:pPr>
      <w:r>
        <w:rPr>
          <w:rFonts w:ascii="Arial" w:cs="Arial" w:eastAsia="Arial" w:hAnsi="Arial"/>
          <w:sz w:val="19"/>
          <w:szCs w:val="19"/>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32"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Although we believe that the net proceeds of our IPO and the sale of the private placement warrants will be sufficient to allow us to complete our initial business combination, because we have not yet selected any target business we cannot ascertain the capital requirements for any particular transaction. If the net proceeds of our IPO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40"/>
        <w:spacing w:after="0" w:line="238" w:lineRule="auto"/>
        <w:rPr>
          <w:sz w:val="20"/>
          <w:szCs w:val="20"/>
          <w:color w:val="auto"/>
        </w:rPr>
      </w:pPr>
      <w:r>
        <w:rPr>
          <w:rFonts w:ascii="Arial" w:cs="Arial" w:eastAsia="Arial" w:hAnsi="Arial"/>
          <w:sz w:val="22"/>
          <w:szCs w:val="22"/>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212" w:lineRule="exact"/>
        <w:rPr>
          <w:sz w:val="20"/>
          <w:szCs w:val="20"/>
          <w:color w:val="auto"/>
        </w:rPr>
      </w:pPr>
    </w:p>
    <w:p>
      <w:pPr>
        <w:ind w:right="160" w:firstLine="324"/>
        <w:spacing w:after="0" w:line="297" w:lineRule="auto"/>
        <w:rPr>
          <w:sz w:val="20"/>
          <w:szCs w:val="20"/>
          <w:color w:val="auto"/>
        </w:rPr>
      </w:pPr>
      <w:r>
        <w:rPr>
          <w:rFonts w:ascii="Arial" w:cs="Arial" w:eastAsia="Arial" w:hAnsi="Arial"/>
          <w:sz w:val="19"/>
          <w:szCs w:val="19"/>
          <w:color w:val="auto"/>
        </w:rPr>
        <w:t>Our initial shareholders own 20% of our issued and outstanding ordinary shares.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161"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Neither our initial shareholders nor, to our knowledge, any of our officers or directors, have any current intention to purchase additional securities, other than as disclosed in this Annual Report.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 provision of our warrant agreement may make it more difficult for us to consummate an initial business combination.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Unlike most blank check companies, if</w:t>
      </w:r>
    </w:p>
    <w:p>
      <w:pPr>
        <w:spacing w:after="0" w:line="240" w:lineRule="exact"/>
        <w:rPr>
          <w:sz w:val="20"/>
          <w:szCs w:val="20"/>
          <w:color w:val="auto"/>
        </w:rPr>
      </w:pPr>
    </w:p>
    <w:p>
      <w:pPr>
        <w:ind w:left="980" w:right="4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97" w:lineRule="exact"/>
        <w:rPr>
          <w:rFonts w:ascii="Arial" w:cs="Arial" w:eastAsia="Arial" w:hAnsi="Arial"/>
          <w:sz w:val="18"/>
          <w:szCs w:val="18"/>
          <w:color w:val="auto"/>
        </w:rPr>
      </w:pPr>
    </w:p>
    <w:p>
      <w:pPr>
        <w:ind w:left="980" w:right="80" w:hanging="648"/>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150" w:lineRule="exact"/>
        <w:rPr>
          <w:rFonts w:ascii="Arial" w:cs="Arial" w:eastAsia="Arial" w:hAnsi="Arial"/>
          <w:sz w:val="16"/>
          <w:szCs w:val="16"/>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4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212" w:lineRule="exact"/>
        <w:rPr>
          <w:sz w:val="20"/>
          <w:szCs w:val="20"/>
          <w:color w:val="auto"/>
        </w:rPr>
      </w:pPr>
    </w:p>
    <w:p>
      <w:pPr>
        <w:ind w:left="180" w:right="380"/>
        <w:spacing w:after="0" w:line="250" w:lineRule="auto"/>
        <w:rPr>
          <w:sz w:val="20"/>
          <w:szCs w:val="20"/>
          <w:color w:val="auto"/>
        </w:rPr>
      </w:pPr>
      <w:r>
        <w:rPr>
          <w:rFonts w:ascii="Arial" w:cs="Arial" w:eastAsia="Arial" w:hAnsi="Arial"/>
          <w:sz w:val="22"/>
          <w:szCs w:val="22"/>
          <w:b w:val="1"/>
          <w:bCs w:val="1"/>
          <w:i w:val="1"/>
          <w:iCs w:val="1"/>
          <w:color w:val="auto"/>
        </w:rPr>
        <w:t>We may redeem your unexpired warrants prior to their exercise at a time that is disadvantageous to you, thereby making your warrants worthless.</w:t>
      </w:r>
    </w:p>
    <w:p>
      <w:pPr>
        <w:spacing w:after="0" w:line="202"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We have issued warrants to purchase 12,500,000 Class A ordinary shares, at a price of $11.50 per whole share, as part of the units offered in our IPO, and, simultaneously with the closing of our IPO, we issued in a private placement an aggregate of 7,000,000 private placement warrants, each exercisable to purchase one Class A ordinary share at a price of $11.50 per share. Our initial shareholders currently hold 6,250,000 founder shares.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182"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The private placement warrants are identical to the warrants sold as part of the units in our IPO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215" w:lineRule="exact"/>
        <w:rPr>
          <w:sz w:val="20"/>
          <w:szCs w:val="20"/>
          <w:color w:val="auto"/>
        </w:rPr>
      </w:pPr>
    </w:p>
    <w:p>
      <w:pPr>
        <w:ind w:left="180" w:right="20"/>
        <w:spacing w:after="0" w:line="250" w:lineRule="auto"/>
        <w:rPr>
          <w:sz w:val="20"/>
          <w:szCs w:val="20"/>
          <w:color w:val="auto"/>
        </w:rPr>
      </w:pPr>
      <w:r>
        <w:rPr>
          <w:rFonts w:ascii="Arial" w:cs="Arial" w:eastAsia="Arial" w:hAnsi="Arial"/>
          <w:sz w:val="22"/>
          <w:szCs w:val="22"/>
          <w:b w:val="1"/>
          <w:bCs w:val="1"/>
          <w:i w:val="1"/>
          <w:iCs w:val="1"/>
          <w:color w:val="auto"/>
        </w:rPr>
        <w:t>Because each unit contains one-half of one warrant and only a whole warrant may be exercised, the units may be worth less than units of other blank check companies.</w:t>
      </w:r>
    </w:p>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Each unit contains one-half of one warrant. Pursuant to the warrant agreement, no fractional warrants will be issued upon separation of the units, and only whole units will trade. This is different from other blank check companies whose units include one ordinary share and one whole warrant to purchase one share. We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makes us a more attractive business combination partner for target businesses. Nevertheless, this unit structure may cause our units to be worth less than if they included a warrant to purchase one whole share.</w:t>
      </w:r>
    </w:p>
    <w:p>
      <w:pPr>
        <w:spacing w:after="0" w:line="179" w:lineRule="exact"/>
        <w:rPr>
          <w:sz w:val="20"/>
          <w:szCs w:val="20"/>
          <w:color w:val="auto"/>
        </w:rPr>
      </w:pPr>
    </w:p>
    <w:p>
      <w:pPr>
        <w:ind w:left="180" w:right="120"/>
        <w:spacing w:after="0" w:line="328" w:lineRule="auto"/>
        <w:rPr>
          <w:sz w:val="20"/>
          <w:szCs w:val="20"/>
          <w:color w:val="auto"/>
        </w:rPr>
      </w:pPr>
      <w:r>
        <w:rPr>
          <w:rFonts w:ascii="Arial" w:cs="Arial" w:eastAsia="Arial" w:hAnsi="Arial"/>
          <w:sz w:val="19"/>
          <w:szCs w:val="19"/>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32"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215" w:lineRule="exact"/>
        <w:rPr>
          <w:sz w:val="20"/>
          <w:szCs w:val="20"/>
          <w:color w:val="auto"/>
        </w:rPr>
      </w:pPr>
    </w:p>
    <w:p>
      <w:pPr>
        <w:ind w:left="180" w:right="180"/>
        <w:spacing w:after="0" w:line="252" w:lineRule="auto"/>
        <w:rPr>
          <w:sz w:val="20"/>
          <w:szCs w:val="20"/>
          <w:color w:val="auto"/>
        </w:rPr>
      </w:pPr>
      <w:r>
        <w:rPr>
          <w:rFonts w:ascii="Arial" w:cs="Arial" w:eastAsia="Arial" w:hAnsi="Arial"/>
          <w:sz w:val="21"/>
          <w:szCs w:val="21"/>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ectPr>
          <w:pgSz w:w="11900" w:h="16838" w:orient="portrait"/>
          <w:cols w:equalWidth="0" w:num="1">
            <w:col w:w="11240"/>
          </w:cols>
          <w:pgMar w:left="320" w:top="122"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1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207" w:lineRule="exact"/>
        <w:rPr>
          <w:sz w:val="20"/>
          <w:szCs w:val="20"/>
          <w:color w:val="auto"/>
        </w:rPr>
      </w:pPr>
    </w:p>
    <w:p>
      <w:pPr>
        <w:jc w:val="both"/>
        <w:ind w:left="180" w:right="340"/>
        <w:spacing w:after="0"/>
        <w:rPr>
          <w:sz w:val="20"/>
          <w:szCs w:val="20"/>
          <w:color w:val="auto"/>
        </w:rPr>
      </w:pPr>
      <w:r>
        <w:rPr>
          <w:rFonts w:ascii="Arial" w:cs="Arial" w:eastAsia="Arial" w:hAnsi="Arial"/>
          <w:sz w:val="22"/>
          <w:szCs w:val="22"/>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213"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80"/>
        <w:spacing w:after="0" w:line="274" w:lineRule="auto"/>
        <w:rPr>
          <w:sz w:val="20"/>
          <w:szCs w:val="20"/>
          <w:color w:val="auto"/>
        </w:rPr>
      </w:pPr>
      <w:r>
        <w:rPr>
          <w:rFonts w:ascii="Arial" w:cs="Arial" w:eastAsia="Arial" w:hAnsi="Arial"/>
          <w:sz w:val="21"/>
          <w:szCs w:val="21"/>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8"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213" w:lineRule="exact"/>
        <w:rPr>
          <w:sz w:val="20"/>
          <w:szCs w:val="20"/>
          <w:color w:val="auto"/>
        </w:rPr>
      </w:pPr>
    </w:p>
    <w:p>
      <w:pPr>
        <w:ind w:right="60" w:firstLine="324"/>
        <w:spacing w:after="0" w:line="244" w:lineRule="auto"/>
        <w:rPr>
          <w:sz w:val="20"/>
          <w:szCs w:val="20"/>
          <w:color w:val="auto"/>
        </w:rPr>
      </w:pPr>
      <w:r>
        <w:rPr>
          <w:rFonts w:ascii="Arial" w:cs="Arial" w:eastAsia="Arial" w:hAnsi="Arial"/>
          <w:sz w:val="21"/>
          <w:szCs w:val="21"/>
          <w:color w:val="auto"/>
        </w:rPr>
        <w:t>Our corporate affairs are governed by our amended and restated memorandum and articles of association,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15"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0" w:lineRule="exact"/>
        <w:rPr>
          <w:sz w:val="20"/>
          <w:szCs w:val="20"/>
          <w:color w:val="auto"/>
        </w:rPr>
      </w:pPr>
    </w:p>
    <w:p>
      <w:pPr>
        <w:spacing w:after="0" w:line="238"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13" w:lineRule="exact"/>
        <w:rPr>
          <w:sz w:val="20"/>
          <w:szCs w:val="20"/>
          <w:color w:val="auto"/>
        </w:rPr>
      </w:pPr>
    </w:p>
    <w:p>
      <w:pPr>
        <w:ind w:left="180" w:right="120"/>
        <w:spacing w:after="0"/>
        <w:rPr>
          <w:sz w:val="20"/>
          <w:szCs w:val="20"/>
          <w:color w:val="auto"/>
        </w:rPr>
      </w:pPr>
      <w:r>
        <w:rPr>
          <w:rFonts w:ascii="Arial" w:cs="Arial" w:eastAsia="Arial" w:hAnsi="Arial"/>
          <w:sz w:val="22"/>
          <w:szCs w:val="22"/>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213"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Our amended and restated memorandum and articles of association contains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14" w:lineRule="exact"/>
        <w:rPr>
          <w:sz w:val="20"/>
          <w:szCs w:val="20"/>
          <w:color w:val="auto"/>
        </w:rPr>
      </w:pPr>
    </w:p>
    <w:p>
      <w:pPr>
        <w:jc w:val="both"/>
        <w:ind w:left="180" w:right="100"/>
        <w:spacing w:after="0"/>
        <w:rPr>
          <w:sz w:val="20"/>
          <w:szCs w:val="20"/>
          <w:color w:val="auto"/>
        </w:rPr>
      </w:pPr>
      <w:r>
        <w:rPr>
          <w:rFonts w:ascii="Arial" w:cs="Arial" w:eastAsia="Arial" w:hAnsi="Arial"/>
          <w:sz w:val="22"/>
          <w:szCs w:val="22"/>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213" w:lineRule="exact"/>
        <w:rPr>
          <w:sz w:val="20"/>
          <w:szCs w:val="20"/>
          <w:color w:val="auto"/>
        </w:rPr>
      </w:pPr>
    </w:p>
    <w:p>
      <w:pPr>
        <w:ind w:right="120" w:firstLine="324"/>
        <w:spacing w:after="0" w:line="249" w:lineRule="auto"/>
        <w:rPr>
          <w:sz w:val="20"/>
          <w:szCs w:val="20"/>
          <w:color w:val="auto"/>
        </w:rPr>
      </w:pPr>
      <w:r>
        <w:rPr>
          <w:rFonts w:ascii="Arial" w:cs="Arial" w:eastAsia="Arial" w:hAnsi="Arial"/>
          <w:sz w:val="21"/>
          <w:szCs w:val="21"/>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780"/>
        <w:spacing w:after="0" w:line="359"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10" w:lineRule="exact"/>
        <w:rPr>
          <w:sz w:val="20"/>
          <w:szCs w:val="20"/>
          <w:color w:val="auto"/>
        </w:rPr>
      </w:pPr>
    </w:p>
    <w:p>
      <w:pPr>
        <w:ind w:right="220" w:firstLine="324"/>
        <w:spacing w:after="0" w:line="279" w:lineRule="auto"/>
        <w:rPr>
          <w:sz w:val="20"/>
          <w:szCs w:val="20"/>
          <w:color w:val="auto"/>
        </w:rPr>
      </w:pPr>
      <w:r>
        <w:rPr>
          <w:rFonts w:ascii="Arial" w:cs="Arial" w:eastAsia="Arial" w:hAnsi="Arial"/>
          <w:sz w:val="19"/>
          <w:szCs w:val="19"/>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7" w:lineRule="exact"/>
        <w:rPr>
          <w:sz w:val="20"/>
          <w:szCs w:val="20"/>
          <w:color w:val="auto"/>
        </w:rPr>
      </w:pPr>
    </w:p>
    <w:p>
      <w:pPr>
        <w:ind w:left="180" w:right="460"/>
        <w:spacing w:after="0" w:line="328" w:lineRule="auto"/>
        <w:rPr>
          <w:sz w:val="20"/>
          <w:szCs w:val="20"/>
          <w:color w:val="auto"/>
        </w:rPr>
      </w:pPr>
      <w:r>
        <w:rPr>
          <w:rFonts w:ascii="Arial" w:cs="Arial" w:eastAsia="Arial" w:hAnsi="Arial"/>
          <w:sz w:val="19"/>
          <w:szCs w:val="19"/>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32"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05" w:lineRule="exact"/>
        <w:rPr>
          <w:sz w:val="20"/>
          <w:szCs w:val="20"/>
          <w:color w:val="auto"/>
        </w:rPr>
      </w:pPr>
    </w:p>
    <w:p>
      <w:pPr>
        <w:ind w:left="180" w:right="40"/>
        <w:spacing w:after="0" w:line="238" w:lineRule="auto"/>
        <w:rPr>
          <w:sz w:val="20"/>
          <w:szCs w:val="20"/>
          <w:color w:val="auto"/>
        </w:rPr>
      </w:pPr>
      <w:r>
        <w:rPr>
          <w:rFonts w:ascii="Arial" w:cs="Arial" w:eastAsia="Arial" w:hAnsi="Arial"/>
          <w:sz w:val="22"/>
          <w:szCs w:val="22"/>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212"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11" w:lineRule="exact"/>
        <w:rPr>
          <w:sz w:val="20"/>
          <w:szCs w:val="20"/>
          <w:color w:val="auto"/>
        </w:rPr>
      </w:pPr>
    </w:p>
    <w:p>
      <w:pPr>
        <w:ind w:left="180" w:right="860"/>
        <w:spacing w:after="0" w:line="274" w:lineRule="auto"/>
        <w:rPr>
          <w:sz w:val="20"/>
          <w:szCs w:val="20"/>
          <w:color w:val="auto"/>
        </w:rPr>
      </w:pPr>
      <w:r>
        <w:rPr>
          <w:rFonts w:ascii="Arial" w:cs="Arial" w:eastAsia="Arial" w:hAnsi="Arial"/>
          <w:sz w:val="21"/>
          <w:szCs w:val="21"/>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178"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We are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214"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 delayed in processing mail received at our registered office.</w:t>
      </w:r>
    </w:p>
    <w:p>
      <w:pPr>
        <w:spacing w:after="0" w:line="233"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Mail addressed to the Company and received at its registered office will be forwarded unopened to the forwarding address supplied by the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Cannabis Industry</w:t>
      </w:r>
    </w:p>
    <w:p>
      <w:pPr>
        <w:spacing w:after="0" w:line="239"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There are risks related to the cannabis industry to which we may become subject.</w:t>
      </w:r>
    </w:p>
    <w:p>
      <w:pPr>
        <w:spacing w:after="0" w:line="23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If we are successful in completing a business combination with a target business with operations in the cannabis industry, we will be subject to, and possibly adversely affected by, the following risks:</w:t>
      </w:r>
    </w:p>
    <w:p>
      <w:pPr>
        <w:spacing w:after="0" w:line="20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52" w:lineRule="exact"/>
        <w:rPr>
          <w:rFonts w:ascii="Arial" w:cs="Arial" w:eastAsia="Arial" w:hAnsi="Arial"/>
          <w:sz w:val="18"/>
          <w:szCs w:val="18"/>
          <w:color w:val="auto"/>
        </w:rPr>
      </w:pPr>
    </w:p>
    <w:p>
      <w:pPr>
        <w:ind w:left="660" w:right="38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p>
      <w:pPr>
        <w:spacing w:after="0" w:line="192" w:lineRule="exact"/>
        <w:rPr>
          <w:rFonts w:ascii="Arial" w:cs="Arial" w:eastAsia="Arial" w:hAnsi="Arial"/>
          <w:sz w:val="17"/>
          <w:szCs w:val="17"/>
          <w:color w:val="auto"/>
        </w:rPr>
      </w:pPr>
    </w:p>
    <w:p>
      <w:pPr>
        <w:ind w:left="660" w:right="5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current policies of the Biden Administration and the U.S. Department of Justice resulting in heightened enforcement of U.S. federal cannabis laws may negatively impact our ability to pursue our prospective business operations and/or generate revenues;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21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21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National securities exchanges may not list companies engaged in the cannabis industry;</w:t>
      </w:r>
    </w:p>
    <w:p>
      <w:pPr>
        <w:spacing w:after="0" w:line="240" w:lineRule="exact"/>
        <w:rPr>
          <w:sz w:val="20"/>
          <w:szCs w:val="20"/>
          <w:color w:val="auto"/>
        </w:rPr>
      </w:pPr>
    </w:p>
    <w:p>
      <w:pPr>
        <w:jc w:val="both"/>
        <w:ind w:left="660" w:right="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similar to those discussed above based on regulations of other jurisdictions in which a prospective target may operate or be organized in.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Any of the foregoing could have an adverse impact on our operations following a business combination.</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Cannabis is currently illegal under U.S. federal law and in other jurisdictions</w:t>
      </w:r>
    </w:p>
    <w:p>
      <w:pPr>
        <w:spacing w:after="0" w:line="233"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hemp-derived cannabinoids out of the most restrictive class of controlled substances under U.S. federal law, marijuana is a schedule 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200" w:lineRule="exact"/>
        <w:rPr>
          <w:sz w:val="20"/>
          <w:szCs w:val="20"/>
          <w:color w:val="auto"/>
        </w:rPr>
      </w:pPr>
    </w:p>
    <w:p>
      <w:pPr>
        <w:spacing w:after="0" w:line="230" w:lineRule="exact"/>
        <w:rPr>
          <w:sz w:val="20"/>
          <w:szCs w:val="20"/>
          <w:color w:val="auto"/>
        </w:rPr>
      </w:pPr>
    </w:p>
    <w:p>
      <w:pPr>
        <w:ind w:left="180" w:right="20"/>
        <w:spacing w:after="0" w:line="250" w:lineRule="auto"/>
        <w:rPr>
          <w:sz w:val="20"/>
          <w:szCs w:val="20"/>
          <w:color w:val="auto"/>
        </w:rPr>
      </w:pPr>
      <w:r>
        <w:rPr>
          <w:rFonts w:ascii="Arial" w:cs="Arial" w:eastAsia="Arial" w:hAnsi="Arial"/>
          <w:sz w:val="22"/>
          <w:szCs w:val="22"/>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20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174" w:lineRule="exact"/>
        <w:rPr>
          <w:sz w:val="20"/>
          <w:szCs w:val="20"/>
          <w:color w:val="auto"/>
        </w:rPr>
      </w:pPr>
    </w:p>
    <w:p>
      <w:pPr>
        <w:ind w:left="180" w:right="300"/>
        <w:spacing w:after="0" w:line="250" w:lineRule="auto"/>
        <w:rPr>
          <w:sz w:val="20"/>
          <w:szCs w:val="20"/>
          <w:color w:val="auto"/>
        </w:rPr>
      </w:pPr>
      <w:r>
        <w:rPr>
          <w:rFonts w:ascii="Arial" w:cs="Arial" w:eastAsia="Arial" w:hAnsi="Arial"/>
          <w:sz w:val="22"/>
          <w:szCs w:val="22"/>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202"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212" w:lineRule="exact"/>
        <w:rPr>
          <w:sz w:val="20"/>
          <w:szCs w:val="20"/>
          <w:color w:val="auto"/>
        </w:rPr>
      </w:pPr>
    </w:p>
    <w:p>
      <w:pPr>
        <w:ind w:right="460" w:firstLine="324"/>
        <w:spacing w:after="0" w:line="274" w:lineRule="auto"/>
        <w:rPr>
          <w:sz w:val="20"/>
          <w:szCs w:val="20"/>
          <w:color w:val="auto"/>
        </w:rPr>
      </w:pPr>
      <w:r>
        <w:rPr>
          <w:rFonts w:ascii="Arial" w:cs="Arial" w:eastAsia="Arial" w:hAnsi="Arial"/>
          <w:sz w:val="21"/>
          <w:szCs w:val="21"/>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78"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800"/>
        <w:spacing w:after="0" w:line="250" w:lineRule="auto"/>
        <w:rPr>
          <w:sz w:val="20"/>
          <w:szCs w:val="20"/>
          <w:color w:val="auto"/>
        </w:rPr>
      </w:pPr>
      <w:r>
        <w:rPr>
          <w:rFonts w:ascii="Arial" w:cs="Arial" w:eastAsia="Arial" w:hAnsi="Arial"/>
          <w:sz w:val="22"/>
          <w:szCs w:val="22"/>
          <w:b w:val="1"/>
          <w:bCs w:val="1"/>
          <w:i w:val="1"/>
          <w:iCs w:val="1"/>
          <w:color w:val="auto"/>
        </w:rPr>
        <w:t>Any potential growth in the cannabis industry continues to be subject to new and changing state and local laws and regulations.</w:t>
      </w:r>
    </w:p>
    <w:p>
      <w:pPr>
        <w:spacing w:after="0" w:line="202" w:lineRule="exact"/>
        <w:rPr>
          <w:sz w:val="20"/>
          <w:szCs w:val="20"/>
          <w:color w:val="auto"/>
        </w:rPr>
      </w:pPr>
    </w:p>
    <w:p>
      <w:pPr>
        <w:ind w:right="160" w:firstLine="324"/>
        <w:spacing w:after="0" w:line="245" w:lineRule="auto"/>
        <w:rPr>
          <w:sz w:val="20"/>
          <w:szCs w:val="20"/>
          <w:color w:val="auto"/>
        </w:rPr>
      </w:pPr>
      <w:r>
        <w:rPr>
          <w:rFonts w:ascii="Arial" w:cs="Arial" w:eastAsia="Arial" w:hAnsi="Arial"/>
          <w:sz w:val="21"/>
          <w:szCs w:val="21"/>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Change in the laws, regulations and guidelines that impact our business may cause adverse effects on our operations.</w:t>
      </w:r>
    </w:p>
    <w:p>
      <w:pPr>
        <w:spacing w:after="0" w:line="26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Operating in a highly regulated business will require significant resources.</w:t>
      </w:r>
    </w:p>
    <w:p>
      <w:pPr>
        <w:spacing w:after="0" w:line="233"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Differing regulatory environments may cause adverse effects on our operations.</w:t>
      </w:r>
    </w:p>
    <w:p>
      <w:pPr>
        <w:spacing w:after="0" w:line="23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74" w:lineRule="exact"/>
        <w:rPr>
          <w:sz w:val="20"/>
          <w:szCs w:val="20"/>
          <w:color w:val="auto"/>
        </w:rPr>
      </w:pPr>
    </w:p>
    <w:p>
      <w:pPr>
        <w:ind w:left="180" w:right="400"/>
        <w:spacing w:after="0" w:line="250" w:lineRule="auto"/>
        <w:rPr>
          <w:sz w:val="20"/>
          <w:szCs w:val="20"/>
          <w:color w:val="auto"/>
        </w:rPr>
      </w:pPr>
      <w:r>
        <w:rPr>
          <w:rFonts w:ascii="Arial" w:cs="Arial" w:eastAsia="Arial" w:hAnsi="Arial"/>
          <w:sz w:val="22"/>
          <w:szCs w:val="22"/>
          <w:b w:val="1"/>
          <w:bCs w:val="1"/>
          <w:i w:val="1"/>
          <w:iCs w:val="1"/>
          <w:color w:val="auto"/>
        </w:rPr>
        <w:t>We may operate a highly regulated business and any failure or significant delay in obtaining regulatory approvals could adversely affect our ability to conduct our business.</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U.S. regulations relating to hemp-derived CBD products are unclear and rapidly evolving.</w:t>
      </w:r>
    </w:p>
    <w:p>
      <w:pPr>
        <w:spacing w:after="0" w:line="233"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non-tetrahydrocannabinol (“THC”)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214" w:lineRule="exact"/>
        <w:rPr>
          <w:sz w:val="20"/>
          <w:szCs w:val="20"/>
          <w:color w:val="auto"/>
        </w:rPr>
      </w:pPr>
    </w:p>
    <w:p>
      <w:pPr>
        <w:ind w:left="180" w:right="160"/>
        <w:spacing w:after="0" w:line="250" w:lineRule="auto"/>
        <w:rPr>
          <w:sz w:val="20"/>
          <w:szCs w:val="20"/>
          <w:color w:val="auto"/>
        </w:rPr>
      </w:pPr>
      <w:r>
        <w:rPr>
          <w:rFonts w:ascii="Arial" w:cs="Arial" w:eastAsia="Arial" w:hAnsi="Arial"/>
          <w:sz w:val="22"/>
          <w:szCs w:val="22"/>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202" w:lineRule="exact"/>
        <w:rPr>
          <w:sz w:val="20"/>
          <w:szCs w:val="20"/>
          <w:color w:val="auto"/>
        </w:rPr>
      </w:pPr>
    </w:p>
    <w:p>
      <w:pPr>
        <w:ind w:right="140" w:firstLine="324"/>
        <w:spacing w:after="0" w:line="246" w:lineRule="auto"/>
        <w:rPr>
          <w:sz w:val="20"/>
          <w:szCs w:val="20"/>
          <w:color w:val="auto"/>
        </w:rPr>
      </w:pPr>
      <w:r>
        <w:rPr>
          <w:rFonts w:ascii="Arial" w:cs="Arial" w:eastAsia="Arial" w:hAnsi="Arial"/>
          <w:sz w:val="21"/>
          <w:szCs w:val="21"/>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become involved in regulatory or agency proceedings, investigations and audits.</w:t>
      </w:r>
    </w:p>
    <w:p>
      <w:pPr>
        <w:spacing w:after="0" w:line="233" w:lineRule="exact"/>
        <w:rPr>
          <w:sz w:val="20"/>
          <w:szCs w:val="20"/>
          <w:color w:val="auto"/>
        </w:rPr>
      </w:pPr>
    </w:p>
    <w:p>
      <w:pPr>
        <w:ind w:right="120" w:firstLine="324"/>
        <w:spacing w:after="0" w:line="245" w:lineRule="auto"/>
        <w:rPr>
          <w:sz w:val="20"/>
          <w:szCs w:val="20"/>
          <w:color w:val="auto"/>
        </w:rPr>
      </w:pPr>
      <w:r>
        <w:rPr>
          <w:rFonts w:ascii="Arial" w:cs="Arial" w:eastAsia="Arial" w:hAnsi="Arial"/>
          <w:sz w:val="21"/>
          <w:szCs w:val="21"/>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208" w:lineRule="exact"/>
        <w:rPr>
          <w:sz w:val="20"/>
          <w:szCs w:val="20"/>
          <w:color w:val="auto"/>
        </w:rPr>
      </w:pPr>
    </w:p>
    <w:p>
      <w:pPr>
        <w:jc w:val="both"/>
        <w:ind w:left="180" w:right="360"/>
        <w:spacing w:after="0" w:line="257" w:lineRule="auto"/>
        <w:rPr>
          <w:sz w:val="20"/>
          <w:szCs w:val="20"/>
          <w:color w:val="auto"/>
        </w:rPr>
      </w:pPr>
      <w:r>
        <w:rPr>
          <w:rFonts w:ascii="Arial" w:cs="Arial" w:eastAsia="Arial" w:hAnsi="Arial"/>
          <w:sz w:val="21"/>
          <w:szCs w:val="21"/>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196"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88" w:lineRule="exact"/>
        <w:rPr>
          <w:sz w:val="20"/>
          <w:szCs w:val="20"/>
          <w:color w:val="auto"/>
        </w:rPr>
      </w:pPr>
    </w:p>
    <w:p>
      <w:pPr>
        <w:ind w:left="180" w:right="40"/>
        <w:spacing w:after="0" w:line="328" w:lineRule="auto"/>
        <w:rPr>
          <w:sz w:val="20"/>
          <w:szCs w:val="20"/>
          <w:color w:val="auto"/>
        </w:rPr>
      </w:pPr>
      <w:r>
        <w:rPr>
          <w:rFonts w:ascii="Arial" w:cs="Arial" w:eastAsia="Arial" w:hAnsi="Arial"/>
          <w:sz w:val="19"/>
          <w:szCs w:val="19"/>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32"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ectPr>
          <w:pgSz w:w="11900" w:h="16838" w:orient="portrait"/>
          <w:cols w:equalWidth="0" w:num="1">
            <w:col w:w="11220"/>
          </w:cols>
          <w:pgMar w:left="320" w:top="122" w:right="359" w:bottom="922"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922"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324"/>
        <w:spacing w:after="0" w:line="270" w:lineRule="auto"/>
        <w:rPr>
          <w:sz w:val="20"/>
          <w:szCs w:val="20"/>
          <w:color w:val="auto"/>
        </w:rPr>
      </w:pPr>
      <w:r>
        <w:rPr>
          <w:rFonts w:ascii="Arial" w:cs="Arial" w:eastAsia="Arial" w:hAnsi="Arial"/>
          <w:sz w:val="19"/>
          <w:szCs w:val="19"/>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w:t>
      </w:r>
    </w:p>
    <w:p>
      <w:pPr>
        <w:spacing w:after="0" w:line="4" w:lineRule="exact"/>
        <w:rPr>
          <w:sz w:val="20"/>
          <w:szCs w:val="20"/>
          <w:color w:val="auto"/>
        </w:rPr>
      </w:pPr>
    </w:p>
    <w:p>
      <w:pPr>
        <w:ind w:right="260" w:firstLine="8"/>
        <w:spacing w:after="0" w:line="234" w:lineRule="auto"/>
        <w:tabs>
          <w:tab w:leader="none" w:pos="366"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214" w:lineRule="exact"/>
        <w:rPr>
          <w:sz w:val="20"/>
          <w:szCs w:val="20"/>
          <w:color w:val="auto"/>
        </w:rPr>
      </w:pPr>
    </w:p>
    <w:p>
      <w:pPr>
        <w:ind w:right="20" w:firstLine="324"/>
        <w:spacing w:after="0" w:line="279" w:lineRule="auto"/>
        <w:rPr>
          <w:sz w:val="20"/>
          <w:szCs w:val="20"/>
          <w:color w:val="auto"/>
        </w:rPr>
      </w:pPr>
      <w:r>
        <w:rPr>
          <w:rFonts w:ascii="Arial" w:cs="Arial" w:eastAsia="Arial" w:hAnsi="Arial"/>
          <w:sz w:val="19"/>
          <w:szCs w:val="19"/>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77"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9"/>
          <w:szCs w:val="19"/>
          <w:color w:val="auto"/>
        </w:rPr>
        <w:t>Cannabis regulations may permit the end user to produce cannabis for their own purposes. For example, under cannabis regulations in Canada, three options are available for individuals to obtain cannabis for medical purposes: (i) registering with a holder of a license to sell for medical purposes and purchasing products from that entity; (ii) registering with Health Canada to produce a limited amount of cannabis for their own medical purposes; or (iii) designating someone else to produce cannabis for them. It is possible that the ability of end users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70"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211" w:lineRule="exact"/>
        <w:rPr>
          <w:sz w:val="20"/>
          <w:szCs w:val="20"/>
          <w:color w:val="auto"/>
        </w:rPr>
      </w:pPr>
    </w:p>
    <w:p>
      <w:pPr>
        <w:ind w:left="180" w:right="460"/>
        <w:spacing w:after="0" w:line="250" w:lineRule="auto"/>
        <w:rPr>
          <w:sz w:val="20"/>
          <w:szCs w:val="20"/>
          <w:color w:val="auto"/>
        </w:rPr>
      </w:pPr>
      <w:r>
        <w:rPr>
          <w:rFonts w:ascii="Arial" w:cs="Arial" w:eastAsia="Arial" w:hAnsi="Arial"/>
          <w:sz w:val="22"/>
          <w:szCs w:val="22"/>
          <w:b w:val="1"/>
          <w:bCs w:val="1"/>
          <w:i w:val="1"/>
          <w:iCs w:val="1"/>
          <w:color w:val="auto"/>
        </w:rPr>
        <w:t>Competition from synthetic products may adversely affect the business, financial condition or results of operations of a potential target cannabis company.</w:t>
      </w:r>
    </w:p>
    <w:p>
      <w:pPr>
        <w:spacing w:after="0" w:line="202"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7"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202"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ectPr>
          <w:pgSz w:w="11900" w:h="16838" w:orient="portrait"/>
          <w:cols w:equalWidth="0" w:num="1">
            <w:col w:w="11200"/>
          </w:cols>
          <w:pgMar w:left="320" w:top="122" w:right="379" w:bottom="92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922"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177" w:lineRule="exact"/>
        <w:rPr>
          <w:sz w:val="20"/>
          <w:szCs w:val="20"/>
          <w:color w:val="auto"/>
        </w:rPr>
      </w:pPr>
    </w:p>
    <w:p>
      <w:pPr>
        <w:ind w:left="180" w:right="760"/>
        <w:spacing w:after="0" w:line="250" w:lineRule="auto"/>
        <w:rPr>
          <w:sz w:val="20"/>
          <w:szCs w:val="20"/>
          <w:color w:val="auto"/>
        </w:rPr>
      </w:pPr>
      <w:r>
        <w:rPr>
          <w:rFonts w:ascii="Arial" w:cs="Arial" w:eastAsia="Arial" w:hAnsi="Arial"/>
          <w:sz w:val="22"/>
          <w:szCs w:val="22"/>
          <w:b w:val="1"/>
          <w:bCs w:val="1"/>
          <w:i w:val="1"/>
          <w:iCs w:val="1"/>
          <w:color w:val="auto"/>
        </w:rPr>
        <w:t>Consumer preferences may change, and the potential target business may be unsuccessful in acquiring or retaining consumers and keeping pace with changing market developments.</w:t>
      </w:r>
    </w:p>
    <w:p>
      <w:pPr>
        <w:spacing w:after="0" w:line="202"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may have a material adverse effect. A potential target’s failure to acquire and retain consumers could have a material adverse effect on the potential target business.</w:t>
      </w:r>
    </w:p>
    <w:p>
      <w:pPr>
        <w:spacing w:after="0" w:line="184"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 cannabis industry is highly competitive and evolving.</w:t>
      </w:r>
    </w:p>
    <w:p>
      <w:pPr>
        <w:spacing w:after="0" w:line="233" w:lineRule="exact"/>
        <w:rPr>
          <w:sz w:val="20"/>
          <w:szCs w:val="20"/>
          <w:color w:val="auto"/>
        </w:rPr>
      </w:pPr>
    </w:p>
    <w:p>
      <w:pPr>
        <w:ind w:right="40" w:firstLine="324"/>
        <w:spacing w:after="0" w:line="275" w:lineRule="auto"/>
        <w:rPr>
          <w:sz w:val="20"/>
          <w:szCs w:val="20"/>
          <w:color w:val="auto"/>
        </w:rPr>
      </w:pPr>
      <w:r>
        <w:rPr>
          <w:rFonts w:ascii="Arial" w:cs="Arial" w:eastAsia="Arial" w:hAnsi="Arial"/>
          <w:sz w:val="19"/>
          <w:szCs w:val="19"/>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84"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third-party competitors to be in possession of superior technology that would reduce any relative competitiveness a potential business target may have.</w:t>
      </w:r>
    </w:p>
    <w:p>
      <w:pPr>
        <w:sectPr>
          <w:pgSz w:w="11900" w:h="16838" w:orient="portrait"/>
          <w:cols w:equalWidth="0" w:num="1">
            <w:col w:w="11220"/>
          </w:cols>
          <w:pgMar w:left="320" w:top="122" w:right="35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firstLine="324"/>
        <w:spacing w:after="0" w:line="328" w:lineRule="auto"/>
        <w:rPr>
          <w:sz w:val="20"/>
          <w:szCs w:val="20"/>
          <w:color w:val="auto"/>
        </w:rPr>
      </w:pPr>
      <w:r>
        <w:rPr>
          <w:rFonts w:ascii="Arial" w:cs="Arial" w:eastAsia="Arial" w:hAnsi="Arial"/>
          <w:sz w:val="19"/>
          <w:szCs w:val="19"/>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132" w:lineRule="exact"/>
        <w:rPr>
          <w:sz w:val="20"/>
          <w:szCs w:val="20"/>
          <w:color w:val="auto"/>
        </w:rPr>
      </w:pPr>
    </w:p>
    <w:p>
      <w:pPr>
        <w:ind w:right="780" w:firstLine="324"/>
        <w:spacing w:after="0" w:line="274" w:lineRule="auto"/>
        <w:rPr>
          <w:sz w:val="20"/>
          <w:szCs w:val="20"/>
          <w:color w:val="auto"/>
        </w:rPr>
      </w:pPr>
      <w:r>
        <w:rPr>
          <w:rFonts w:ascii="Arial" w:cs="Arial" w:eastAsia="Arial" w:hAnsi="Arial"/>
          <w:sz w:val="21"/>
          <w:szCs w:val="21"/>
          <w:color w:val="auto"/>
        </w:rPr>
        <w:t>Given the rapid changes affecting the global, national, and regional economies generally and the cannabis industry in particular, we may not be able to create and maintain a competitive advantage in the marketplace.</w:t>
      </w:r>
    </w:p>
    <w:p>
      <w:pPr>
        <w:spacing w:after="0" w:line="178"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1"/>
          <w:szCs w:val="21"/>
          <w:b w:val="1"/>
          <w:bCs w:val="1"/>
          <w:i w:val="1"/>
          <w:iCs w:val="1"/>
          <w:color w:val="auto"/>
        </w:rPr>
        <w:t>The technologies, process and formulations a target company uses may face competition or become obsolete.</w:t>
      </w:r>
    </w:p>
    <w:p>
      <w:pPr>
        <w:spacing w:after="0" w:line="245"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There is uncertainty in pricing and demand for cannabis-based products.</w:t>
      </w:r>
    </w:p>
    <w:p>
      <w:pPr>
        <w:spacing w:after="0" w:line="23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have difficulty in forecasting sales and other business metrics.</w:t>
      </w:r>
    </w:p>
    <w:p>
      <w:pPr>
        <w:spacing w:after="0" w:line="23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9"/>
          <w:szCs w:val="19"/>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184" w:lineRule="exact"/>
        <w:rPr>
          <w:sz w:val="20"/>
          <w:szCs w:val="20"/>
          <w:color w:val="auto"/>
        </w:rPr>
      </w:pPr>
    </w:p>
    <w:p>
      <w:pPr>
        <w:ind w:left="180" w:right="260"/>
        <w:spacing w:after="0" w:line="250" w:lineRule="auto"/>
        <w:rPr>
          <w:sz w:val="20"/>
          <w:szCs w:val="20"/>
          <w:color w:val="auto"/>
        </w:rPr>
      </w:pPr>
      <w:r>
        <w:rPr>
          <w:rFonts w:ascii="Arial" w:cs="Arial" w:eastAsia="Arial" w:hAnsi="Arial"/>
          <w:sz w:val="22"/>
          <w:szCs w:val="22"/>
          <w:b w:val="1"/>
          <w:bCs w:val="1"/>
          <w:i w:val="1"/>
          <w:iCs w:val="1"/>
          <w:color w:val="auto"/>
        </w:rPr>
        <w:t>We and our customers may have difficulty accessing the service of banks, which may make it difficult to sell products and services.</w:t>
      </w:r>
    </w:p>
    <w:p>
      <w:pPr>
        <w:spacing w:after="0" w:line="202"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82"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The development and operation of businesses in the cannabis industry may require additional financing, which may not be available on favorable terms, if at all.</w:t>
      </w:r>
    </w:p>
    <w:p>
      <w:pPr>
        <w:spacing w:after="0" w:line="202"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9"/>
          <w:szCs w:val="19"/>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 subject to product liability claims.</w:t>
      </w:r>
    </w:p>
    <w:p>
      <w:pPr>
        <w:spacing w:after="0" w:line="233"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207"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7" w:lineRule="exact"/>
        <w:rPr>
          <w:sz w:val="20"/>
          <w:szCs w:val="20"/>
          <w:color w:val="auto"/>
        </w:rPr>
      </w:pPr>
    </w:p>
    <w:p>
      <w:pPr>
        <w:jc w:val="both"/>
        <w:ind w:left="180" w:right="80"/>
        <w:spacing w:after="0" w:line="297" w:lineRule="auto"/>
        <w:rPr>
          <w:sz w:val="20"/>
          <w:szCs w:val="20"/>
          <w:color w:val="auto"/>
        </w:rPr>
      </w:pPr>
      <w:r>
        <w:rPr>
          <w:rFonts w:ascii="Arial" w:cs="Arial" w:eastAsia="Arial" w:hAnsi="Arial"/>
          <w:sz w:val="19"/>
          <w:szCs w:val="19"/>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ectPr>
          <w:pgSz w:w="11900" w:h="16838" w:orient="portrait"/>
          <w:cols w:equalWidth="0" w:num="1">
            <w:col w:w="11220"/>
          </w:cols>
          <w:pgMar w:left="320" w:top="122" w:right="359"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77" w:lineRule="exact"/>
        <w:rPr>
          <w:sz w:val="20"/>
          <w:szCs w:val="20"/>
          <w:color w:val="auto"/>
        </w:rPr>
      </w:pPr>
    </w:p>
    <w:p>
      <w:pPr>
        <w:ind w:left="180" w:right="140"/>
        <w:spacing w:after="0" w:line="250" w:lineRule="auto"/>
        <w:rPr>
          <w:sz w:val="20"/>
          <w:szCs w:val="20"/>
          <w:color w:val="auto"/>
        </w:rPr>
      </w:pPr>
      <w:r>
        <w:rPr>
          <w:rFonts w:ascii="Arial" w:cs="Arial" w:eastAsia="Arial" w:hAnsi="Arial"/>
          <w:sz w:val="22"/>
          <w:szCs w:val="22"/>
          <w:b w:val="1"/>
          <w:bCs w:val="1"/>
          <w:i w:val="1"/>
          <w:iCs w:val="1"/>
          <w:color w:val="auto"/>
        </w:rPr>
        <w:t>We, or the cannabis industry more generally, may receive unfavorable publicity or become subject to negative consumer or investor perception.</w:t>
      </w:r>
    </w:p>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87" w:lineRule="exact"/>
        <w:rPr>
          <w:sz w:val="20"/>
          <w:szCs w:val="20"/>
          <w:color w:val="auto"/>
        </w:rPr>
      </w:pPr>
    </w:p>
    <w:p>
      <w:pPr>
        <w:ind w:left="180" w:right="380"/>
        <w:spacing w:after="0" w:line="250" w:lineRule="auto"/>
        <w:rPr>
          <w:sz w:val="20"/>
          <w:szCs w:val="20"/>
          <w:color w:val="auto"/>
        </w:rPr>
      </w:pPr>
      <w:r>
        <w:rPr>
          <w:rFonts w:ascii="Arial" w:cs="Arial" w:eastAsia="Arial" w:hAnsi="Arial"/>
          <w:sz w:val="22"/>
          <w:szCs w:val="22"/>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202" w:lineRule="exact"/>
        <w:rPr>
          <w:sz w:val="20"/>
          <w:szCs w:val="20"/>
          <w:color w:val="auto"/>
        </w:rPr>
      </w:pPr>
    </w:p>
    <w:p>
      <w:pPr>
        <w:ind w:right="140" w:firstLine="324"/>
        <w:spacing w:after="0"/>
        <w:rPr>
          <w:sz w:val="20"/>
          <w:szCs w:val="20"/>
          <w:color w:val="auto"/>
        </w:rPr>
      </w:pPr>
      <w:r>
        <w:rPr>
          <w:rFonts w:ascii="Arial" w:cs="Arial" w:eastAsia="Arial" w:hAnsi="Arial"/>
          <w:sz w:val="22"/>
          <w:szCs w:val="22"/>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213" w:lineRule="exact"/>
        <w:rPr>
          <w:sz w:val="20"/>
          <w:szCs w:val="20"/>
          <w:color w:val="auto"/>
        </w:rPr>
      </w:pPr>
    </w:p>
    <w:p>
      <w:pPr>
        <w:ind w:left="180" w:right="400"/>
        <w:spacing w:after="0" w:line="250" w:lineRule="auto"/>
        <w:rPr>
          <w:sz w:val="20"/>
          <w:szCs w:val="20"/>
          <w:color w:val="auto"/>
        </w:rPr>
      </w:pPr>
      <w:r>
        <w:rPr>
          <w:rFonts w:ascii="Arial" w:cs="Arial" w:eastAsia="Arial" w:hAnsi="Arial"/>
          <w:sz w:val="22"/>
          <w:szCs w:val="22"/>
          <w:b w:val="1"/>
          <w:bCs w:val="1"/>
          <w:i w:val="1"/>
          <w:iCs w:val="1"/>
          <w:color w:val="auto"/>
        </w:rPr>
        <w:t>Our reputation and ability to do business may be negatively impacted by the improper conduct of our business partners, employees or agents.</w:t>
      </w:r>
    </w:p>
    <w:p>
      <w:pPr>
        <w:spacing w:after="0" w:line="202"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74" w:lineRule="exact"/>
        <w:rPr>
          <w:sz w:val="20"/>
          <w:szCs w:val="20"/>
          <w:color w:val="auto"/>
        </w:rPr>
      </w:pPr>
    </w:p>
    <w:p>
      <w:pPr>
        <w:ind w:left="180" w:right="920"/>
        <w:spacing w:after="0" w:line="250" w:lineRule="auto"/>
        <w:rPr>
          <w:sz w:val="20"/>
          <w:szCs w:val="20"/>
          <w:color w:val="auto"/>
        </w:rPr>
      </w:pPr>
      <w:r>
        <w:rPr>
          <w:rFonts w:ascii="Arial" w:cs="Arial" w:eastAsia="Arial" w:hAnsi="Arial"/>
          <w:sz w:val="22"/>
          <w:szCs w:val="22"/>
          <w:b w:val="1"/>
          <w:bCs w:val="1"/>
          <w:i w:val="1"/>
          <w:iCs w:val="1"/>
          <w:color w:val="auto"/>
        </w:rPr>
        <w:t>We may be subject to regulatory, legal or reputational risk associated with potential misuse of our products by our customers.</w:t>
      </w:r>
    </w:p>
    <w:p>
      <w:pPr>
        <w:spacing w:after="0" w:line="202"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A potential target company may not succeed in promoting and sustaining its brands, which could have an adverse effect on its future growth and business.</w:t>
      </w:r>
    </w:p>
    <w:p>
      <w:pPr>
        <w:spacing w:after="0" w:line="202"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Certain events or developments in the cannabis industry more generally may impact our reputation.</w:t>
      </w:r>
    </w:p>
    <w:p>
      <w:pPr>
        <w:spacing w:after="0" w:line="233"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84" w:lineRule="exact"/>
        <w:rPr>
          <w:sz w:val="20"/>
          <w:szCs w:val="20"/>
          <w:color w:val="auto"/>
        </w:rPr>
      </w:pPr>
    </w:p>
    <w:p>
      <w:pPr>
        <w:ind w:right="380" w:firstLine="324"/>
        <w:spacing w:after="0" w:line="297" w:lineRule="auto"/>
        <w:rPr>
          <w:sz w:val="20"/>
          <w:szCs w:val="20"/>
          <w:color w:val="auto"/>
        </w:rPr>
      </w:pPr>
      <w:r>
        <w:rPr>
          <w:rFonts w:ascii="Arial" w:cs="Arial" w:eastAsia="Arial" w:hAnsi="Arial"/>
          <w:sz w:val="19"/>
          <w:szCs w:val="19"/>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cannabis industry is subject to the risks inherent in an agricultural business, including the risk of crop failure.</w:t>
      </w:r>
    </w:p>
    <w:p>
      <w:pPr>
        <w:spacing w:after="0" w:line="268" w:lineRule="exact"/>
        <w:rPr>
          <w:sz w:val="20"/>
          <w:szCs w:val="20"/>
          <w:color w:val="auto"/>
        </w:rPr>
      </w:pPr>
    </w:p>
    <w:p>
      <w:pPr>
        <w:ind w:right="80" w:firstLine="374"/>
        <w:spacing w:after="0" w:line="248" w:lineRule="auto"/>
        <w:rPr>
          <w:sz w:val="20"/>
          <w:szCs w:val="20"/>
          <w:color w:val="auto"/>
        </w:rPr>
      </w:pPr>
      <w:r>
        <w:rPr>
          <w:rFonts w:ascii="Arial" w:cs="Arial" w:eastAsia="Arial" w:hAnsi="Arial"/>
          <w:sz w:val="21"/>
          <w:szCs w:val="21"/>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cannabis industry is subject to transportation disruptions, including those related to an agricultural product.</w:t>
      </w:r>
    </w:p>
    <w:p>
      <w:pPr>
        <w:spacing w:after="0" w:line="268"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212"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Many cannabis businesses are subject to significant environmental regulations and risks.</w:t>
      </w:r>
    </w:p>
    <w:p>
      <w:pPr>
        <w:spacing w:after="0" w:line="23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9"/>
          <w:szCs w:val="19"/>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Many cannabis businesses are dependent on key personnel with sufficient experience in the cannabis industry.</w:t>
      </w:r>
    </w:p>
    <w:p>
      <w:pPr>
        <w:spacing w:after="0" w:line="268"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There are a limited number of management teams in the cannabis industry that are familiar with U.S. securities laws.</w:t>
      </w:r>
    </w:p>
    <w:p>
      <w:pPr>
        <w:spacing w:after="0" w:line="268"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It may be difficult to continuously maintain and retain a competitive talent pool with public company standards.</w:t>
      </w:r>
    </w:p>
    <w:p>
      <w:pPr>
        <w:spacing w:after="0" w:line="268"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212" w:lineRule="exact"/>
        <w:rPr>
          <w:sz w:val="20"/>
          <w:szCs w:val="20"/>
          <w:color w:val="auto"/>
        </w:rPr>
      </w:pPr>
    </w:p>
    <w:p>
      <w:pPr>
        <w:ind w:right="240" w:firstLine="324"/>
        <w:spacing w:after="0" w:line="257" w:lineRule="auto"/>
        <w:rPr>
          <w:sz w:val="20"/>
          <w:szCs w:val="20"/>
          <w:color w:val="auto"/>
        </w:rPr>
      </w:pPr>
      <w:r>
        <w:rPr>
          <w:rFonts w:ascii="Arial" w:cs="Arial" w:eastAsia="Arial" w:hAnsi="Arial"/>
          <w:sz w:val="21"/>
          <w:szCs w:val="21"/>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be dependent on skilled labor and suppliers.</w:t>
      </w:r>
    </w:p>
    <w:p>
      <w:pPr>
        <w:spacing w:after="0" w:line="233"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 frames for completing, its capital expenditure plans. This could have a material adverse effect on the potential target’s business, financial condition and results of operations.</w:t>
      </w:r>
    </w:p>
    <w:p>
      <w:pPr>
        <w:spacing w:after="0" w:line="185" w:lineRule="exact"/>
        <w:rPr>
          <w:sz w:val="20"/>
          <w:szCs w:val="20"/>
          <w:color w:val="auto"/>
        </w:rPr>
      </w:pPr>
    </w:p>
    <w:p>
      <w:pPr>
        <w:ind w:left="180" w:right="700"/>
        <w:spacing w:after="0" w:line="250" w:lineRule="auto"/>
        <w:rPr>
          <w:sz w:val="20"/>
          <w:szCs w:val="20"/>
          <w:color w:val="auto"/>
        </w:rPr>
      </w:pPr>
      <w:r>
        <w:rPr>
          <w:rFonts w:ascii="Arial" w:cs="Arial" w:eastAsia="Arial" w:hAnsi="Arial"/>
          <w:sz w:val="22"/>
          <w:szCs w:val="22"/>
          <w:b w:val="1"/>
          <w:bCs w:val="1"/>
          <w:i w:val="1"/>
          <w:iCs w:val="1"/>
          <w:color w:val="auto"/>
        </w:rPr>
        <w:t>Fraudulent or illegal activity by employees, contractors and consultants may adversely affect our business, financial condition or results of operations.</w:t>
      </w:r>
    </w:p>
    <w:p>
      <w:pPr>
        <w:sectPr>
          <w:pgSz w:w="11900" w:h="16838" w:orient="portrait"/>
          <w:cols w:equalWidth="0" w:num="1">
            <w:col w:w="11200"/>
          </w:cols>
          <w:pgMar w:left="320" w:top="122" w:right="379" w:bottom="1440" w:gutter="0" w:footer="0" w:header="0"/>
        </w:sect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83" w:lineRule="exact"/>
        <w:rPr>
          <w:sz w:val="20"/>
          <w:szCs w:val="20"/>
          <w:color w:val="auto"/>
        </w:rPr>
      </w:pPr>
    </w:p>
    <w:p>
      <w:pPr>
        <w:ind w:left="180" w:right="120"/>
        <w:spacing w:after="0" w:line="359" w:lineRule="auto"/>
        <w:rPr>
          <w:sz w:val="20"/>
          <w:szCs w:val="20"/>
          <w:color w:val="auto"/>
        </w:rPr>
      </w:pPr>
      <w:r>
        <w:rPr>
          <w:rFonts w:ascii="Arial" w:cs="Arial" w:eastAsia="Arial" w:hAnsi="Arial"/>
          <w:sz w:val="18"/>
          <w:szCs w:val="18"/>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110" w:lineRule="exact"/>
        <w:rPr>
          <w:sz w:val="20"/>
          <w:szCs w:val="20"/>
          <w:color w:val="auto"/>
        </w:rPr>
      </w:pPr>
    </w:p>
    <w:p>
      <w:pPr>
        <w:ind w:right="60" w:firstLine="324"/>
        <w:spacing w:after="0" w:line="244" w:lineRule="auto"/>
        <w:rPr>
          <w:sz w:val="20"/>
          <w:szCs w:val="20"/>
          <w:color w:val="auto"/>
        </w:rPr>
      </w:pPr>
      <w:r>
        <w:rPr>
          <w:rFonts w:ascii="Arial" w:cs="Arial" w:eastAsia="Arial" w:hAnsi="Arial"/>
          <w:sz w:val="21"/>
          <w:szCs w:val="21"/>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208"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be vulnerable to rising energy costs.</w:t>
      </w:r>
    </w:p>
    <w:p>
      <w:pPr>
        <w:spacing w:after="0" w:line="233"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To the extent we acquire cannabis businesses or assets, there may be a lack of access to U.S. bankruptcy protections.</w:t>
      </w:r>
    </w:p>
    <w:p>
      <w:pPr>
        <w:spacing w:after="0" w:line="268"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We currently maintain our executive offices at 660 Madison Ave, Suite 1600, New York, New York 10065. The cost for the space is included in the up to $20,000 monthly fee that we pay our sponsor for office space, administrative and support services. We consider our current office space adequate for our current operations.</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 xml:space="preserve">Beginning on January 27, 2021, purported stockholders of the Company filed or threatened to file lawsuits in connection with the Company’s prospective merger with WMH, including two actions filed in the Supreme Court of the State of New York, captioned, </w:t>
      </w:r>
      <w:r>
        <w:rPr>
          <w:rFonts w:ascii="Arial" w:cs="Arial" w:eastAsia="Arial" w:hAnsi="Arial"/>
          <w:sz w:val="19"/>
          <w:szCs w:val="19"/>
          <w:i w:val="1"/>
          <w:iCs w:val="1"/>
          <w:color w:val="auto"/>
        </w:rPr>
        <w:t>Brait v. Silver Spike Acquisition Corp., et al.</w:t>
      </w:r>
      <w:r>
        <w:rPr>
          <w:rFonts w:ascii="Arial" w:cs="Arial" w:eastAsia="Arial" w:hAnsi="Arial"/>
          <w:sz w:val="19"/>
          <w:szCs w:val="19"/>
          <w:color w:val="auto"/>
        </w:rPr>
        <w:t>,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200" w:lineRule="exact"/>
        <w:rPr>
          <w:sz w:val="20"/>
          <w:szCs w:val="20"/>
          <w:color w:val="auto"/>
        </w:rPr>
      </w:pP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Market Information</w:t>
      </w:r>
    </w:p>
    <w:p>
      <w:pPr>
        <w:spacing w:after="0" w:line="233" w:lineRule="exact"/>
        <w:rPr>
          <w:sz w:val="20"/>
          <w:szCs w:val="20"/>
          <w:color w:val="auto"/>
        </w:rPr>
      </w:pPr>
    </w:p>
    <w:p>
      <w:pPr>
        <w:ind w:right="340" w:firstLine="324"/>
        <w:spacing w:after="0"/>
        <w:rPr>
          <w:sz w:val="20"/>
          <w:szCs w:val="20"/>
          <w:color w:val="auto"/>
        </w:rPr>
      </w:pPr>
      <w:r>
        <w:rPr>
          <w:rFonts w:ascii="Arial" w:cs="Arial" w:eastAsia="Arial" w:hAnsi="Arial"/>
          <w:sz w:val="22"/>
          <w:szCs w:val="22"/>
          <w:color w:val="auto"/>
        </w:rPr>
        <w:t>Our units, Class A ordinary shares and warrants are each traded on the Nasdaq under the symbols “SSPKU,” “SSPK” and “SSPKW,” respectively. Our units commenced public trading on August 8, 2019. Our Class A ordinary shares and warrants began separate trading on January 14, 2020.</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(b) Holders</w:t>
      </w:r>
    </w:p>
    <w:p>
      <w:pPr>
        <w:spacing w:after="0" w:line="233" w:lineRule="exact"/>
        <w:rPr>
          <w:sz w:val="20"/>
          <w:szCs w:val="20"/>
          <w:color w:val="auto"/>
        </w:rPr>
      </w:pPr>
    </w:p>
    <w:p>
      <w:pPr>
        <w:ind w:right="320" w:firstLine="324"/>
        <w:spacing w:after="0" w:line="250" w:lineRule="auto"/>
        <w:rPr>
          <w:sz w:val="20"/>
          <w:szCs w:val="20"/>
          <w:color w:val="auto"/>
        </w:rPr>
      </w:pPr>
      <w:r>
        <w:rPr>
          <w:rFonts w:ascii="Arial" w:cs="Arial" w:eastAsia="Arial" w:hAnsi="Arial"/>
          <w:sz w:val="22"/>
          <w:szCs w:val="22"/>
          <w:color w:val="auto"/>
        </w:rPr>
        <w:t>On March 24, 2020, there were one holder of record of our units, one holder of record of our Class A ordinary shares, one holder of our Class B ordinary shares and two holders of record of our warrants.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 Dividends</w:t>
      </w:r>
    </w:p>
    <w:p>
      <w:pPr>
        <w:spacing w:after="0" w:line="2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a business combination, our ability to declare dividends may be limited by restrictive covenants we may agree to in connection therewith.</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 Securities Authorized for Issuance Under Equity Compensation Plans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 Performance Graph</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 Recent Sales of Unregistered Securities; Use of Proceeds from Registered Offerings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Unregistered Sales</w:t>
      </w:r>
    </w:p>
    <w:p>
      <w:pPr>
        <w:spacing w:after="0" w:line="23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In June 2019, we issued an aggregate of 7,187,500 Class B ordinary shares to our sponsor for an aggregate purchase price of $25,000 (the founder shares). On September 23, 2019, in connection with the expiration of the underwriter’s over-allotment option, our sponsor surrendered 937,500 founder shares. As a result, our sponsor now owns 6,250,000 founder shares.</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certain adjustments. In the case that additional Class A ordinary shares, or equity-linked securities convertible or exercisable for Class A ordinary shares, are issued or deemed issued in excess of the amounts issued in our IPO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IPO plus the number of Class A ordinary shares and equity-linked securities issued or deemed issued in connection with our initial business combination (net of redemptions), excluding the representative shares and any Class A ordinary shares or equity-linked securities issued, or to be issued, to any seller in our initial business combination and any private placement warrants issued to our sponsor, an affiliate of our sponsor or any of our officers or directors.</w:t>
      </w:r>
    </w:p>
    <w:p>
      <w:pPr>
        <w:sectPr>
          <w:pgSz w:w="11900" w:h="16838" w:orient="portrait"/>
          <w:cols w:equalWidth="0" w:num="1">
            <w:col w:w="11200"/>
          </w:cols>
          <w:pgMar w:left="320" w:top="122" w:right="379" w:bottom="1440" w:gutter="0" w:footer="0" w:header="0"/>
        </w:sect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With certain limited exceptions, the founder shares are not transferable, assignable or salable (except to our officers and directors and other persons or entities affiliated with our sponsor, each of whom are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Our sponsor purchased 7,000,000 private placement warrants at a price of $1.00 per warrant in a private placement that occurred concurrently with the closing of our IPO and generated gross proceeds of $7,000,000. Each private placement warrant is exercisable for one Class A ordinary share at a price of $11.50 per share. The proceeds from the sale of the private placement warrants were added to the net proceeds from the IPO held in the trust account. If we do not complete a business combination by July 10, 2021, the private placement warrants will expire worthless. The private placement warrants are non-redeemable and exercisable on a cashless basis so long as they are held by our sponsor or its permitted transferees. The sale of the private placement warrants was made pursuant to the exemption from registration contained in Section 4(a)(2) of the Securities Act.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Use of Proceeds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1"/>
          <w:szCs w:val="21"/>
          <w:color w:val="auto"/>
        </w:rPr>
        <w:t>Of the $257,000,000 in proceeds we received from our IPO and the sale of the private placement warrants, a total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$250,000,000, from this $250,000,000, the underwriter’s deferred commissions of $8,750,000 will be paid, was placed in a U.S.-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based trust account maintained by Continental Stock Transfer &amp; Trust Company, acting as trustee.</w:t>
      </w:r>
    </w:p>
    <w:p>
      <w:pPr>
        <w:spacing w:after="0" w:line="215" w:lineRule="exact"/>
        <w:rPr>
          <w:sz w:val="20"/>
          <w:szCs w:val="20"/>
          <w:color w:val="auto"/>
        </w:rPr>
      </w:pPr>
    </w:p>
    <w:p>
      <w:pPr>
        <w:ind w:right="800" w:firstLine="324"/>
        <w:spacing w:after="0" w:line="328" w:lineRule="auto"/>
        <w:rPr>
          <w:sz w:val="20"/>
          <w:szCs w:val="20"/>
          <w:color w:val="auto"/>
        </w:rPr>
      </w:pPr>
      <w:r>
        <w:rPr>
          <w:rFonts w:ascii="Arial" w:cs="Arial" w:eastAsia="Arial" w:hAnsi="Arial"/>
          <w:sz w:val="19"/>
          <w:szCs w:val="19"/>
          <w:color w:val="auto"/>
        </w:rPr>
        <w:t>There has been no material change in the planned use of proceeds from such use as described in the Company’s final prospectus (File No. 333-232734), dated August 7, 2019, which was declared effective by the SEC on August 7, 2019.</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(g) Purchases of Equity Securities by the Issuer and Affiliated Purchasers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9"/>
          <w:szCs w:val="19"/>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10-K/A.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10-K/A.</w:t>
      </w:r>
    </w:p>
    <w:p>
      <w:pPr>
        <w:spacing w:after="0" w:line="177"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This Management’s Discussion and Analysis of Financial Condition and Results of Operations has been amended and restated to give effect to the restatement and revision of our financial statements. We are restating our historical financial results to reclassify our warrants as derivative liabilities pursuant to ASC 815-40 rather than as a component of equity as we had previously treated them. Other than as disclosed in the Explanatory Note and with respect to the impact of the restatement, no further information in this Item 7 has been amended and this Item 7 does not reflect any events occurring after the initial filing on March 30, 2021. The impact of the restatement is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ectPr>
          <w:pgSz w:w="11900" w:h="16838" w:orient="portrait"/>
          <w:cols w:equalWidth="0" w:num="1">
            <w:col w:w="11220"/>
          </w:cols>
          <w:pgMar w:left="320" w:top="122" w:right="35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IPO, our shares, debt or a combination of cash, shares and debt.</w:t>
      </w:r>
    </w:p>
    <w:p>
      <w:pPr>
        <w:spacing w:after="0" w:line="212"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a business combination will be successful.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ind w:right="560" w:firstLine="324"/>
        <w:spacing w:after="0"/>
        <w:rPr>
          <w:sz w:val="20"/>
          <w:szCs w:val="20"/>
          <w:color w:val="auto"/>
        </w:rPr>
      </w:pPr>
      <w:r>
        <w:rPr>
          <w:rFonts w:ascii="Arial" w:cs="Arial" w:eastAsia="Arial" w:hAnsi="Arial"/>
          <w:sz w:val="22"/>
          <w:szCs w:val="22"/>
          <w:color w:val="auto"/>
        </w:rPr>
        <w:t>On December 10, 2020, we entered into a Merger Agreement with Merger Sub, WMH and Ghost Media Group, LLC, a Nevada limited liability company, solely in its capacity as the securityholder representative thereunder (the “Holder Representative”).</w:t>
      </w:r>
    </w:p>
    <w:p>
      <w:pPr>
        <w:spacing w:after="0" w:line="213" w:lineRule="exact"/>
        <w:rPr>
          <w:sz w:val="20"/>
          <w:szCs w:val="20"/>
          <w:color w:val="auto"/>
        </w:rPr>
      </w:pPr>
    </w:p>
    <w:p>
      <w:pPr>
        <w:ind w:right="20" w:firstLine="324"/>
        <w:spacing w:after="0" w:line="257" w:lineRule="auto"/>
        <w:rPr>
          <w:sz w:val="20"/>
          <w:szCs w:val="20"/>
          <w:color w:val="auto"/>
        </w:rPr>
      </w:pPr>
      <w:r>
        <w:rPr>
          <w:rFonts w:ascii="Arial" w:cs="Arial" w:eastAsia="Arial" w:hAnsi="Arial"/>
          <w:sz w:val="21"/>
          <w:szCs w:val="21"/>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196"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As a result of the Business Combination, each of our issued and outstanding Class A ordinary shares and Class B ordinary shares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212" w:lineRule="exact"/>
        <w:rPr>
          <w:sz w:val="20"/>
          <w:szCs w:val="20"/>
          <w:color w:val="auto"/>
        </w:rPr>
      </w:pPr>
    </w:p>
    <w:p>
      <w:pPr>
        <w:ind w:right="480" w:firstLine="324"/>
        <w:spacing w:after="0" w:line="297" w:lineRule="auto"/>
        <w:rPr>
          <w:sz w:val="20"/>
          <w:szCs w:val="20"/>
          <w:color w:val="auto"/>
        </w:rPr>
      </w:pPr>
      <w:r>
        <w:rPr>
          <w:rFonts w:ascii="Arial" w:cs="Arial" w:eastAsia="Arial" w:hAnsi="Arial"/>
          <w:sz w:val="19"/>
          <w:szCs w:val="19"/>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161"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The Merger Agreement contains customary representations, warranties and covenants by the parties thereto and the Closing is subject to certain conditions as further described in the Merger Agreement.</w:t>
      </w:r>
    </w:p>
    <w:p>
      <w:pPr>
        <w:spacing w:after="0" w:line="202"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On January 13, 2021, we held an Extraordinary General Meeting pursuant to which our shareholders approved extending the extension date. In connection with the approval of the extension, shareholders elected to redeem an aggregate of 1,425 Class A ordinary shares. As a result, an aggregate of $14,489 (or approximately $10.17 per share) was released from our trust account to pay such shareholders.</w:t>
      </w:r>
    </w:p>
    <w:p>
      <w:pPr>
        <w:spacing w:after="0" w:line="212"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On February 18, 2021, we issued a note in the amount of up to $750,000 to the sponsor for general working capital purposes. The note is non-interest bearing and payable upon the earlier to occur of (i) June 10, 2021 or (ii) the consummation of a Business Combination. If we do not consummate a Business Combination, we may use a portion of any funds held outside the trust account to repay the note; however, no proceeds from the trust account may be used for such repayment.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We have neither engaged in any operations nor generated any revenues to date. Our only activities from inception through December 31, 2020 were organizational activities, those necessary to prepare for the IPO, identifying a target for our Business Combination and activities in connection with the proposed acquisition of WMH.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8"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21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For the year ended December 31, 2020, we had a net loss of $52,021,521, which consists of operating costs of $3,864,234 and a change in the fair value of the warrant liability of $50,420,000 offset by interest earned on marketable securities held in the trust account of $2,257,985 and an unrealized gain on marketable securities held in the trust account of $4,728.</w:t>
      </w:r>
    </w:p>
    <w:p>
      <w:pPr>
        <w:sectPr>
          <w:pgSz w:w="11900" w:h="16838" w:orient="portrait"/>
          <w:cols w:equalWidth="0" w:num="1">
            <w:col w:w="11240"/>
          </w:cols>
          <w:pgMar w:left="320" w:top="122" w:right="339" w:bottom="679"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For the nine months ended September 30, 2020, we had a net loss of $2,743,662, which consists of operating and formation costs of $839,460, a change in the fair value of the warrant liability of $4,095,000, and an unrealized loss on marketable securities held in the Trust Account of 16,343, offset by interest income on marketable securities held in the Trust Account of $2,207,141.</w:t>
      </w:r>
    </w:p>
    <w:p>
      <w:pPr>
        <w:spacing w:after="0" w:line="212"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For the three months ended September 30, 2020, we had a net loss of $1,418,960, which consists of operating and formation costs of $159,017, a change in the fair value of the warrant liability of $1,305,000 and an unrealized loss on marketable securities held in the Trust Account of $297,069, offset by interest income on marketable securities held in the Trust Account of $342,126.</w:t>
      </w:r>
    </w:p>
    <w:p>
      <w:pPr>
        <w:spacing w:after="0" w:line="161"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9"/>
          <w:szCs w:val="19"/>
          <w:color w:val="auto"/>
        </w:rPr>
        <w:t>For the six months ended June 30, 2020, we had a net loss of $1,324,702, which consists of operating and formation costs of $680,443 and a change in the fair value of the warrant liability of $2,790,000, offset by interest income on marketable securities held in the Trust Account of $1,865,015 and an unrealized gain on marketable securities held in the Trust Account of $280,726.</w:t>
      </w:r>
    </w:p>
    <w:p>
      <w:pPr>
        <w:spacing w:after="0" w:line="161" w:lineRule="exact"/>
        <w:rPr>
          <w:sz w:val="20"/>
          <w:szCs w:val="20"/>
          <w:color w:val="auto"/>
        </w:rPr>
      </w:pPr>
    </w:p>
    <w:p>
      <w:pPr>
        <w:jc w:val="both"/>
        <w:ind w:right="120" w:firstLine="324"/>
        <w:spacing w:after="0" w:line="297" w:lineRule="auto"/>
        <w:rPr>
          <w:sz w:val="20"/>
          <w:szCs w:val="20"/>
          <w:color w:val="auto"/>
        </w:rPr>
      </w:pPr>
      <w:r>
        <w:rPr>
          <w:rFonts w:ascii="Arial" w:cs="Arial" w:eastAsia="Arial" w:hAnsi="Arial"/>
          <w:sz w:val="19"/>
          <w:szCs w:val="19"/>
          <w:color w:val="auto"/>
        </w:rPr>
        <w:t>For the three months ended June 30, 2020, we had a net loss of $3,146,809, which consists of operating and formation costs of $222,827, an unrealized loss on marketable securities held in the Trust Account of $871,960, and a change in the fair value of the warrant liability of $2,985,000, offset by interest income on marketable securities held in the Trust Account of $932,978.</w:t>
      </w:r>
    </w:p>
    <w:p>
      <w:pPr>
        <w:spacing w:after="0" w:line="161"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For the three months ended March 31, 2020, we had net income of $1,822,107, which consists of interest income on marketable securities held in the Trust Account of $932,037, an unrealized gain on marketable securities held in the Trust Account of $1,152,686, and a change in fair value of the warrant liability of $195,000, offset by operating and formation costs of $457,616.</w:t>
      </w:r>
    </w:p>
    <w:p>
      <w:pPr>
        <w:spacing w:after="0" w:line="212"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color w:val="auto"/>
        </w:rPr>
        <w:t>For the period from June 7, 2019 (inception) through December 31, 2019, we had net income of $5,352,568, which consists of interest income on marketable securities held in the Trust Account of $1,812,577, a change in the fair value of the warrant liability of $4,645,000 and an unrealized gain on marketable securities held in the Trust Account of $112,416, offset by operating and formation costs of $306,834, compensation expense of $280,000 and transaction costs of $630,591.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For the period from June 7, 2019 (inception) through September 30, 2019, we had a net loss of $822,468, which consists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operating and formation costs of $138,620, a change in the fair value of the warrant liability of $460,000, transaction costs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$630,591, and compensation expense of $280,000, offset by interest income on marketable securities held in the Trust Account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$620,669 and an unrealized gain on marketable securities held in the Trust Account of $66,074.</w:t>
      </w:r>
    </w:p>
    <w:p>
      <w:pPr>
        <w:spacing w:after="0" w:line="215"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For the three months ended September 30, 2019, we had a net loss of $817,468, which consists of operating and formation costs of $133,620, a change in the fair value of the warrant liability of $460,000, transaction costs of $630,591, and compensation expense of $280,000, offset by interest income on marketable securities held in the Trust Account of $620,669 and an unrealized gain on marketable securities held in the Trust Account of $66,074.</w:t>
      </w:r>
    </w:p>
    <w:p>
      <w:pPr>
        <w:spacing w:after="0" w:line="212"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On August 12, 2019, upon the consummation of our IPO, we had total assets of $251,801,230, which consists of cash held in an operating account of $1,774,430, cash held in the Trust account of $250,000,000, and prepaid expenses of $26,800. We had total liabilities of $27,099,592, which consists of accrued offering costs of $444,592, a deferred underwriting fee payable of $8,750,000, and a warrant liability of $17,905,000. There were 21,970,163 Class A ordinary shares subject to possible redemption, representing a commitment of $219,701,630 at redemption value. Total shareholders’ equity was $5,000,008, which consists of $303 of Class A ordinary shares (excluding Class A ordinary shares subject to possible redemption), $719 of Class B ordinary shares, additional paid-in capital of $5,914,577, offset by an accumulated deficit of $915,591.</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Going Concern, Liquidity and Capital Resources</w:t>
      </w:r>
    </w:p>
    <w:p>
      <w:pPr>
        <w:spacing w:after="0" w:line="239" w:lineRule="exact"/>
        <w:rPr>
          <w:sz w:val="20"/>
          <w:szCs w:val="20"/>
          <w:color w:val="auto"/>
        </w:rPr>
      </w:pPr>
    </w:p>
    <w:p>
      <w:pPr>
        <w:ind w:right="100" w:firstLine="324"/>
        <w:spacing w:after="0" w:line="257" w:lineRule="auto"/>
        <w:rPr>
          <w:sz w:val="20"/>
          <w:szCs w:val="20"/>
          <w:color w:val="auto"/>
        </w:rPr>
      </w:pPr>
      <w:r>
        <w:rPr>
          <w:rFonts w:ascii="Arial" w:cs="Arial" w:eastAsia="Arial" w:hAnsi="Arial"/>
          <w:sz w:val="21"/>
          <w:szCs w:val="21"/>
          <w:color w:val="auto"/>
        </w:rPr>
        <w:t>August 12, 2019, we consummated the IPO of 25,000,000 Units, at a price of $10.00 per unit, generating gross proceeds of $250,000,000. Simultaneously with the closing of the IPO, we consummated the sale of 7,000,000 private placement warrants to our sponsor at a price of $1.00 per warrant, generating gross proceeds of $7,000,000.</w:t>
      </w:r>
    </w:p>
    <w:p>
      <w:pPr>
        <w:spacing w:after="0" w:line="196"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Following the IPO and the sale of the private placement warrants, a total of $250,000,000 was placed in the trust account. We incurred $14,413,362 in transaction costs, including $5,000,000 of underwriting fees, $8,750,000 of deferred underwriting fees and $663,362 of other offering costs.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52" w:lineRule="auto"/>
        <w:rPr>
          <w:sz w:val="20"/>
          <w:szCs w:val="20"/>
          <w:color w:val="auto"/>
        </w:rPr>
      </w:pPr>
      <w:r>
        <w:rPr>
          <w:rFonts w:ascii="Arial" w:cs="Arial" w:eastAsia="Arial" w:hAnsi="Arial"/>
          <w:sz w:val="21"/>
          <w:szCs w:val="21"/>
          <w:color w:val="auto"/>
        </w:rPr>
        <w:t>For the year ended December 31, 2020, cash used in operating activities was $581,882. Net loss of $52,021,521 was affected by interest earned on marketable securities held in the trust account of $2,257,985and an unrealized gain on marketable securities of $4,728 offset by a non-cash charge for the change in the fair value of warrant liabilities of $50,420,000. Changes in operating assets and liabilities provided $3,282,352 of cash from operating activities.</w:t>
      </w:r>
    </w:p>
    <w:p>
      <w:pPr>
        <w:spacing w:after="0" w:line="201"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color w:val="auto"/>
        </w:rPr>
        <w:t>For the period from June 7, 2019 (inception) through December 31, 2019, cash used in operating activities was $467,049. Net income of $5,352,568 was affected by compensation expense of $280,000 and transaction costs of $630,591 offset by interest earned on marketable securities held in the trust account of $1,812,577, a non-cash charge for the change in the fair value of warrant liabilities of $4,645,000, an unrealized gain on marketable securities of $112,416 and changes in operating assets and liabilities, which used $160,215 of cash from operating activities.</w:t>
      </w:r>
    </w:p>
    <w:p>
      <w:pPr>
        <w:spacing w:after="0" w:line="205" w:lineRule="exact"/>
        <w:rPr>
          <w:sz w:val="20"/>
          <w:szCs w:val="20"/>
          <w:color w:val="auto"/>
        </w:rPr>
      </w:pPr>
    </w:p>
    <w:p>
      <w:pPr>
        <w:ind w:right="380" w:firstLine="324"/>
        <w:spacing w:after="0" w:line="279" w:lineRule="auto"/>
        <w:rPr>
          <w:sz w:val="20"/>
          <w:szCs w:val="20"/>
          <w:color w:val="auto"/>
        </w:rPr>
      </w:pPr>
      <w:r>
        <w:rPr>
          <w:rFonts w:ascii="Arial" w:cs="Arial" w:eastAsia="Arial" w:hAnsi="Arial"/>
          <w:sz w:val="19"/>
          <w:szCs w:val="19"/>
          <w:color w:val="auto"/>
        </w:rPr>
        <w:t>As of December 31, 2020, we had marketable securities held in the trust account of $254,187,706.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77"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As of December 31, 2020, we had cash of $312,707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214"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 On February 18, 2021, we issued a note in the amount of up to $750,000 to the sponsor for general working capital purposes.</w:t>
      </w:r>
    </w:p>
    <w:p>
      <w:pPr>
        <w:spacing w:after="0" w:line="207"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will need to raise additional capital through loans or additional investments from our sponsors, or an affiliate of the sponsor, officers, directors, or third parties. Our sponsors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July 10, 2021, the date that we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we be unable to continue as a going concern.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ind w:right="240" w:firstLine="324"/>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ectPr>
          <w:pgSz w:w="11900" w:h="16838" w:orient="portrait"/>
          <w:cols w:equalWidth="0" w:num="1">
            <w:col w:w="11240"/>
          </w:cols>
          <w:pgMar w:left="320" w:top="122"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ind w:right="20" w:firstLine="324"/>
        <w:spacing w:after="0" w:line="252" w:lineRule="auto"/>
        <w:rPr>
          <w:sz w:val="20"/>
          <w:szCs w:val="20"/>
          <w:color w:val="auto"/>
        </w:rPr>
      </w:pPr>
      <w:r>
        <w:rPr>
          <w:rFonts w:ascii="Arial" w:cs="Arial" w:eastAsia="Arial" w:hAnsi="Arial"/>
          <w:sz w:val="21"/>
          <w:szCs w:val="21"/>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Warrant Liability</w:t>
      </w:r>
    </w:p>
    <w:p>
      <w:pPr>
        <w:spacing w:after="0" w:line="233"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Modified Black Scholes Option Pricing Model approach.</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Class A Ordinary Shares Subject to Redemption</w:t>
      </w:r>
    </w:p>
    <w:p>
      <w:pPr>
        <w:spacing w:after="0" w:line="233" w:lineRule="exact"/>
        <w:rPr>
          <w:sz w:val="20"/>
          <w:szCs w:val="20"/>
          <w:color w:val="auto"/>
        </w:rPr>
      </w:pPr>
    </w:p>
    <w:p>
      <w:pPr>
        <w:ind w:right="120" w:firstLine="324"/>
        <w:spacing w:after="0" w:line="245" w:lineRule="auto"/>
        <w:rPr>
          <w:sz w:val="20"/>
          <w:szCs w:val="20"/>
          <w:color w:val="auto"/>
        </w:rPr>
      </w:pPr>
      <w:r>
        <w:rPr>
          <w:rFonts w:ascii="Arial" w:cs="Arial" w:eastAsia="Arial" w:hAnsi="Arial"/>
          <w:sz w:val="21"/>
          <w:szCs w:val="21"/>
          <w:color w:val="auto"/>
        </w:rPr>
        <w:t>We account for our Class A ordinary shares subject to possible conversion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consolidated balance sheets.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Net Income (Loss) per Common Share</w:t>
      </w:r>
    </w:p>
    <w:p>
      <w:pPr>
        <w:spacing w:after="0" w:line="2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9"/>
          <w:szCs w:val="19"/>
          <w:color w:val="auto"/>
        </w:rPr>
        <w:t>We apply the two-class method in calculating earnings per share. Net income per common share, basic and diluted for Class A ordinary shares subject to possible redemption is calculated by dividing the interest income earned on the Trust Account, net of applicable taxes, if any, by the weighted average number of shares of Class A ordinary shares subject to possible redemption outstanding for the period. Net loss per common share, basic and diluted for non-redeemable Class B ordinary shares is calculated by dividing net income less income attributable to Class A ordinary shares subject to possible redemption, by the weighted average number of shares of non-redeemable Class B ordinary shares outstanding for the period presented.</w:t>
      </w:r>
    </w:p>
    <w:p>
      <w:pPr>
        <w:spacing w:after="0" w:line="177"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our consolidated financial statements.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Recent Accounting Standards</w:t>
      </w:r>
    </w:p>
    <w:p>
      <w:pPr>
        <w:spacing w:after="0" w:line="233"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Management does not believe that any other recently issued, but not yet effective, accounting standards, if currently adopted, would have a material effect on our consolidated financial statements.</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Following the consummation of our IPO, the net proceeds of our IPO,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information appears following Item 15 of this Annual Report and is included herein by reference.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239"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solely due to the Company’s restatement of its financial statements to reclassify the Company’s Public Warrants and Private Placement Warrants as described in the Explanatory Note to this Amendment, our disclosure controls and procedures were not effective as of December 31, 2020.</w:t>
      </w:r>
    </w:p>
    <w:p>
      <w:pPr>
        <w:spacing w:after="0" w:line="188" w:lineRule="exact"/>
        <w:rPr>
          <w:sz w:val="20"/>
          <w:szCs w:val="20"/>
          <w:color w:val="auto"/>
        </w:rPr>
      </w:pPr>
    </w:p>
    <w:p>
      <w:pPr>
        <w:ind w:right="220" w:firstLine="324"/>
        <w:spacing w:after="0" w:line="275" w:lineRule="auto"/>
        <w:rPr>
          <w:sz w:val="20"/>
          <w:szCs w:val="20"/>
          <w:color w:val="auto"/>
        </w:rPr>
      </w:pPr>
      <w:r>
        <w:rPr>
          <w:rFonts w:ascii="Arial" w:cs="Arial" w:eastAsia="Arial" w:hAnsi="Arial"/>
          <w:sz w:val="19"/>
          <w:szCs w:val="19"/>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Annual Report on Internal Control over Financial Reporting</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December 31, 2020.</w:t>
      </w:r>
    </w:p>
    <w:p>
      <w:pPr>
        <w:spacing w:after="0" w:line="185"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In connection with the restatement of our financial statements included in this Annual Report, our management, including our principal executive and financial officers, have evaluated the effectiveness of our internal control over financial reporting and concluded that we did not maintain effective internal control over financial reporting as of December 31, 2020 because of a material weakness in our internal control over financial reporting described below related to the accounting for a significant transaction related to the warrants we issued in connection with our Initial Public Offering. Notwithstanding the material weakness described below, our management has concluded that our restated and revised audited financial statements included in this Annual Report are fairly stated in all material respects in accordance with U.S. GAAP for each of the periods presented herein.</w:t>
      </w:r>
    </w:p>
    <w:p>
      <w:pPr>
        <w:spacing w:after="0" w:line="21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9"/>
          <w:szCs w:val="19"/>
          <w:color w:val="auto"/>
        </w:rPr>
        <w:t>In connection with the restatement described in “Note 2— Restatement of Previously Issued Financial Statements” to the accompanying financial statements included in this Annual Report, management identified a material weakness in our internal control over financial reporting related to the accounting for a significant transaction related to the warrants we issued in connection with the Initial Public Offering. This material weakness resulted in a material misstatement of our warrant liability, change in fair value of warrant liability, additional paid-in capital and accumulated deficit as of and for the period from June 9, 2019 (inception) through December 31, 2019 and for the year ended December 31, 2020.</w:t>
      </w:r>
    </w:p>
    <w:p>
      <w:pPr>
        <w:sectPr>
          <w:pgSz w:w="11900" w:h="16838" w:orient="portrait"/>
          <w:cols w:equalWidth="0" w:num="1">
            <w:col w:w="11200"/>
          </w:cols>
          <w:pgMar w:left="320" w:top="122" w:right="379" w:bottom="0" w:gutter="0" w:footer="0" w:header="0"/>
        </w:sectPr>
      </w:pPr>
    </w:p>
    <w:bookmarkStart w:id="67" w:name="page68"/>
    <w:bookmarkEnd w:id="67"/>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7" w:lineRule="exact"/>
        <w:rPr>
          <w:sz w:val="20"/>
          <w:szCs w:val="20"/>
          <w:color w:val="auto"/>
        </w:rPr>
      </w:pPr>
    </w:p>
    <w:p>
      <w:pPr>
        <w:ind w:right="180" w:firstLine="324"/>
        <w:spacing w:after="0" w:line="250" w:lineRule="auto"/>
        <w:rPr>
          <w:sz w:val="20"/>
          <w:szCs w:val="20"/>
          <w:color w:val="auto"/>
        </w:rPr>
      </w:pPr>
      <w:r>
        <w:rPr>
          <w:rFonts w:ascii="Arial" w:cs="Arial" w:eastAsia="Arial" w:hAnsi="Arial"/>
          <w:sz w:val="22"/>
          <w:szCs w:val="22"/>
          <w:color w:val="auto"/>
        </w:rPr>
        <w:t>This Annual Report on Form 10-K/A does not include an attestation report of our independent registered public accounting firm due to a transition period established by rules of the SEC for newly public companies.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Restatement of Previously Issued Financial Statements</w:t>
      </w:r>
    </w:p>
    <w:p>
      <w:pPr>
        <w:spacing w:after="0" w:line="23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On April 30, 2021, we revised our prior position on accounting for warrants and concluded that our previously issued financial statements as of and for the period from June 7, 2019 (inception) through December 31, 2020 should not be relied on because of a misapplication in the guidance on warrant accounting. However, the non-cash adjustments to the financial statements do not impact the amounts previously reported for our cash and cash equivalents, total assets, revenue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gridSpan w:val="2"/>
          </w:tcPr>
          <w:p>
            <w:pPr>
              <w:ind w:left="2360"/>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ind w:left="180"/>
              <w:spacing w:after="0"/>
              <w:rPr>
                <w:sz w:val="20"/>
                <w:szCs w:val="20"/>
                <w:color w:val="auto"/>
              </w:rPr>
            </w:pPr>
            <w:r>
              <w:rPr>
                <w:rFonts w:ascii="Arial" w:cs="Arial" w:eastAsia="Arial" w:hAnsi="Arial"/>
                <w:sz w:val="18"/>
                <w:szCs w:val="18"/>
                <w:b w:val="1"/>
                <w:bCs w:val="1"/>
                <w:color w:val="auto"/>
              </w:rPr>
              <w:t>Age</w:t>
            </w:r>
          </w:p>
        </w:tc>
        <w:tc>
          <w:tcPr>
            <w:tcW w:w="5160" w:type="dxa"/>
            <w:vAlign w:val="bottom"/>
          </w:tcPr>
          <w:p>
            <w:pPr>
              <w:ind w:left="2400"/>
              <w:spacing w:after="0"/>
              <w:rPr>
                <w:sz w:val="20"/>
                <w:szCs w:val="20"/>
                <w:color w:val="auto"/>
              </w:rPr>
            </w:pPr>
            <w:r>
              <w:rPr>
                <w:rFonts w:ascii="Arial" w:cs="Arial" w:eastAsia="Arial" w:hAnsi="Arial"/>
                <w:sz w:val="18"/>
                <w:szCs w:val="18"/>
                <w:b w:val="1"/>
                <w:bCs w:val="1"/>
                <w:color w:val="auto"/>
              </w:rPr>
              <w:t>Title</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Gordon</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Chairman</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William Healy</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 Gentile</w:t>
            </w:r>
          </w:p>
        </w:tc>
        <w:tc>
          <w:tcPr>
            <w:tcW w:w="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Orrin Devinsky</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Goldman</w:t>
            </w:r>
          </w:p>
        </w:tc>
        <w:tc>
          <w:tcPr>
            <w:tcW w:w="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Kenneth H. Landis</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directors and executive officers are as follows:</w:t>
      </w:r>
    </w:p>
    <w:p>
      <w:pPr>
        <w:spacing w:after="0" w:line="233" w:lineRule="exact"/>
        <w:rPr>
          <w:sz w:val="20"/>
          <w:szCs w:val="20"/>
          <w:color w:val="auto"/>
        </w:rPr>
      </w:pPr>
    </w:p>
    <w:p>
      <w:pPr>
        <w:ind w:right="20" w:firstLine="324"/>
        <w:spacing w:after="0" w:line="268" w:lineRule="auto"/>
        <w:rPr>
          <w:sz w:val="20"/>
          <w:szCs w:val="20"/>
          <w:color w:val="auto"/>
        </w:rPr>
      </w:pPr>
      <w:r>
        <w:rPr>
          <w:rFonts w:ascii="Arial" w:cs="Arial" w:eastAsia="Arial" w:hAnsi="Arial"/>
          <w:sz w:val="19"/>
          <w:szCs w:val="19"/>
          <w:b w:val="1"/>
          <w:bCs w:val="1"/>
          <w:i w:val="1"/>
          <w:iCs w:val="1"/>
          <w:color w:val="auto"/>
        </w:rPr>
        <w:t xml:space="preserve">Scott Gordon </w:t>
      </w:r>
      <w:r>
        <w:rPr>
          <w:rFonts w:ascii="Arial" w:cs="Arial" w:eastAsia="Arial" w:hAnsi="Arial"/>
          <w:sz w:val="19"/>
          <w:szCs w:val="19"/>
          <w:color w:val="auto"/>
        </w:rPr>
        <w:t>has been the Chairman of our board of directors and has served as our Chief Executive Officer since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inception. Mr. Gordon is also Chairman of the board of directors and Chief Executive Officer of Silver Spike Acquisition Corp II, a blank check company whose sponsor is an affiliate of Silver Spike Capital. The transaction is subject to approval of Silver Spike Acquisition Corp.’s shareholders and other customer closing conditions.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w:t>
      </w:r>
    </w:p>
    <w:p>
      <w:pPr>
        <w:spacing w:after="0" w:line="7"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215"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b w:val="1"/>
          <w:bCs w:val="1"/>
          <w:i w:val="1"/>
          <w:iCs w:val="1"/>
          <w:color w:val="auto"/>
        </w:rPr>
        <w:t xml:space="preserve">William Healy </w:t>
      </w:r>
      <w:r>
        <w:rPr>
          <w:rFonts w:ascii="Arial" w:cs="Arial" w:eastAsia="Arial" w:hAnsi="Arial"/>
          <w:sz w:val="19"/>
          <w:szCs w:val="19"/>
          <w:color w:val="auto"/>
        </w:rPr>
        <w:t>has been a member of our board of directors and has served as our President since our inception. Mr. Healy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serves as a member of the board of directors and President of Silver Spike Acquisition Corp II. Since 1986, 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183" w:lineRule="exact"/>
        <w:rPr>
          <w:sz w:val="20"/>
          <w:szCs w:val="20"/>
          <w:color w:val="auto"/>
        </w:rPr>
      </w:pPr>
    </w:p>
    <w:p>
      <w:pPr>
        <w:ind w:right="160" w:firstLine="324"/>
        <w:spacing w:after="0" w:line="248" w:lineRule="auto"/>
        <w:rPr>
          <w:sz w:val="20"/>
          <w:szCs w:val="20"/>
          <w:color w:val="auto"/>
        </w:rPr>
      </w:pPr>
      <w:r>
        <w:rPr>
          <w:rFonts w:ascii="Arial" w:cs="Arial" w:eastAsia="Arial" w:hAnsi="Arial"/>
          <w:sz w:val="21"/>
          <w:szCs w:val="21"/>
          <w:b w:val="1"/>
          <w:bCs w:val="1"/>
          <w:i w:val="1"/>
          <w:iCs w:val="1"/>
          <w:color w:val="auto"/>
        </w:rPr>
        <w:t xml:space="preserve">Gregory M. Gentile </w:t>
      </w:r>
      <w:r>
        <w:rPr>
          <w:rFonts w:ascii="Arial" w:cs="Arial" w:eastAsia="Arial" w:hAnsi="Arial"/>
          <w:sz w:val="21"/>
          <w:szCs w:val="21"/>
          <w:color w:val="auto"/>
        </w:rPr>
        <w:t>has served as our Chief Financial Officer since our inception. Mr. Gentile also serves as Chief Financial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Officer of Silver Spike Acquisition Corp II. From 2010 to 2018, Mr. Gentile was Chief Executive Officer of GMG 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9"/>
          <w:szCs w:val="19"/>
          <w:b w:val="1"/>
          <w:bCs w:val="1"/>
          <w:i w:val="1"/>
          <w:iCs w:val="1"/>
          <w:color w:val="auto"/>
        </w:rPr>
        <w:t xml:space="preserve">Orrin Devinsky </w:t>
      </w:r>
      <w:r>
        <w:rPr>
          <w:rFonts w:ascii="Arial" w:cs="Arial" w:eastAsia="Arial" w:hAnsi="Arial"/>
          <w:sz w:val="19"/>
          <w:szCs w:val="19"/>
          <w:color w:val="auto"/>
        </w:rPr>
        <w:t>has served as a member of our board of directors since our IPO. Since 1989, Dr. Devinsky has directed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183"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b w:val="1"/>
          <w:bCs w:val="1"/>
          <w:i w:val="1"/>
          <w:iCs w:val="1"/>
          <w:color w:val="auto"/>
        </w:rPr>
        <w:t xml:space="preserve">Richard M. Goldman </w:t>
      </w:r>
      <w:r>
        <w:rPr>
          <w:rFonts w:ascii="Arial" w:cs="Arial" w:eastAsia="Arial" w:hAnsi="Arial"/>
          <w:sz w:val="21"/>
          <w:szCs w:val="21"/>
          <w:color w:val="auto"/>
        </w:rPr>
        <w:t>has served as a member of our board of directors since our IPO. Since 2012, Mr. Goldman has been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w:t>
      </w:r>
    </w:p>
    <w:p>
      <w:pPr>
        <w:spacing w:after="0" w:line="215"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b w:val="1"/>
          <w:bCs w:val="1"/>
          <w:i w:val="1"/>
          <w:iCs w:val="1"/>
          <w:color w:val="auto"/>
        </w:rPr>
        <w:t xml:space="preserve">Kenneth H. Landis </w:t>
      </w:r>
      <w:r>
        <w:rPr>
          <w:rFonts w:ascii="Arial" w:cs="Arial" w:eastAsia="Arial" w:hAnsi="Arial"/>
          <w:sz w:val="21"/>
          <w:szCs w:val="21"/>
          <w:color w:val="auto"/>
        </w:rPr>
        <w:t>has served as a member of our board of directors since our IPO. Since 2000, Mr. Landis has been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CEO of Landis Capital, LLC, a provider of capital for seed, early-stage and later-stage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early-stage private companies and as a Trustee of Suffield Academy. Mr. Landis obtained a BS in Economics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208" w:lineRule="exact"/>
        <w:rPr>
          <w:sz w:val="20"/>
          <w:szCs w:val="20"/>
          <w:color w:val="auto"/>
        </w:rPr>
      </w:pPr>
    </w:p>
    <w:p>
      <w:pPr>
        <w:ind w:right="900" w:firstLine="324"/>
        <w:spacing w:after="0" w:line="250" w:lineRule="auto"/>
        <w:rPr>
          <w:sz w:val="20"/>
          <w:szCs w:val="20"/>
          <w:color w:val="auto"/>
        </w:rPr>
      </w:pPr>
      <w:r>
        <w:rPr>
          <w:rFonts w:ascii="Arial" w:cs="Arial" w:eastAsia="Arial" w:hAnsi="Arial"/>
          <w:sz w:val="22"/>
          <w:szCs w:val="22"/>
          <w:color w:val="auto"/>
        </w:rPr>
        <w:t>In addition to our directors and executive officers, the following individual advises us in making our initial business combination:</w:t>
      </w:r>
    </w:p>
    <w:p>
      <w:pPr>
        <w:spacing w:after="0" w:line="20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b w:val="1"/>
          <w:bCs w:val="1"/>
          <w:i w:val="1"/>
          <w:iCs w:val="1"/>
          <w:color w:val="auto"/>
        </w:rPr>
        <w:t xml:space="preserve">Rob Josephson </w:t>
      </w:r>
      <w:r>
        <w:rPr>
          <w:rFonts w:ascii="Arial" w:cs="Arial" w:eastAsia="Arial" w:hAnsi="Arial"/>
          <w:sz w:val="19"/>
          <w:szCs w:val="19"/>
          <w:color w:val="auto"/>
        </w:rPr>
        <w:t>has served as an investment partner since our inception. From October 2017 to present, Mr. Josephson has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acted as CEO of Seed Capital, a merchant bank. From January 2014 to October 2017, Mr. Josephson acted as a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Terms of Office and Election of Officers and Directors</w:t>
      </w:r>
    </w:p>
    <w:p>
      <w:pPr>
        <w:spacing w:after="0" w:line="239"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Our board of directors consists of five members and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ectPr>
          <w:pgSz w:w="11900" w:h="16838" w:orient="portrait"/>
          <w:cols w:equalWidth="0" w:num="1">
            <w:col w:w="11240"/>
          </w:cols>
          <w:pgMar w:left="320" w:top="122"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360" w:firstLine="324"/>
        <w:spacing w:after="0" w:line="246" w:lineRule="auto"/>
        <w:rPr>
          <w:sz w:val="20"/>
          <w:szCs w:val="20"/>
          <w:color w:val="auto"/>
        </w:rPr>
      </w:pPr>
      <w:r>
        <w:rPr>
          <w:rFonts w:ascii="Arial" w:cs="Arial" w:eastAsia="Arial" w:hAnsi="Arial"/>
          <w:sz w:val="21"/>
          <w:szCs w:val="21"/>
          <w:color w:val="auto"/>
        </w:rPr>
        <w:t>Nasdaq listing standards require that a majority of our board of directors be independent within one year of our IPO.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39"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IPO is permitted to phase in its compliance with the independent committee requirements. We do not intend to rely on the phase-in schedules set forth in Nasdaq listing rule 5615(b)(1).</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Audit Committee</w:t>
      </w:r>
    </w:p>
    <w:p>
      <w:pPr>
        <w:spacing w:after="0" w:line="233" w:lineRule="exact"/>
        <w:rPr>
          <w:sz w:val="20"/>
          <w:szCs w:val="20"/>
          <w:color w:val="auto"/>
        </w:rPr>
      </w:pPr>
    </w:p>
    <w:p>
      <w:pPr>
        <w:ind w:right="220" w:firstLine="324"/>
        <w:spacing w:after="0" w:line="274" w:lineRule="auto"/>
        <w:rPr>
          <w:sz w:val="20"/>
          <w:szCs w:val="20"/>
          <w:color w:val="auto"/>
        </w:rPr>
      </w:pPr>
      <w:r>
        <w:rPr>
          <w:rFonts w:ascii="Arial" w:cs="Arial" w:eastAsia="Arial" w:hAnsi="Arial"/>
          <w:sz w:val="21"/>
          <w:szCs w:val="21"/>
          <w:color w:val="auto"/>
        </w:rPr>
        <w:t>We have established an audit committee of the board of directors. The members of our audit committee are Orrin Devinsky, Richard Goldman and Kenneth Landis. Kenneth Landis serves as Chairman of the audit committee.</w:t>
      </w:r>
    </w:p>
    <w:p>
      <w:pPr>
        <w:spacing w:after="0" w:line="178" w:lineRule="exact"/>
        <w:rPr>
          <w:sz w:val="20"/>
          <w:szCs w:val="20"/>
          <w:color w:val="auto"/>
        </w:rPr>
      </w:pPr>
    </w:p>
    <w:p>
      <w:pPr>
        <w:ind w:right="400" w:firstLine="324"/>
        <w:spacing w:after="0"/>
        <w:rPr>
          <w:sz w:val="20"/>
          <w:szCs w:val="20"/>
          <w:color w:val="auto"/>
        </w:rPr>
      </w:pPr>
      <w:r>
        <w:rPr>
          <w:rFonts w:ascii="Arial" w:cs="Arial" w:eastAsia="Arial" w:hAnsi="Arial"/>
          <w:sz w:val="22"/>
          <w:szCs w:val="22"/>
          <w:color w:val="auto"/>
        </w:rPr>
        <w:t>Each member of the audit committee is financially literate and our board of directors has determined that Kenneth Landis qualifies as an “audit committee financial expert” as defined in applicable SEC rules and has accounting or related financial management expertise.</w:t>
      </w:r>
    </w:p>
    <w:p>
      <w:pPr>
        <w:spacing w:after="0" w:line="213"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We have adopted an audit committee charter, which details the purpose and principal functions of the audit committee, including:</w:t>
      </w:r>
    </w:p>
    <w:p>
      <w:pPr>
        <w:spacing w:after="0" w:line="209" w:lineRule="exact"/>
        <w:rPr>
          <w:sz w:val="20"/>
          <w:szCs w:val="20"/>
          <w:color w:val="auto"/>
        </w:rPr>
      </w:pPr>
    </w:p>
    <w:p>
      <w:pPr>
        <w:ind w:left="660" w:right="60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97" w:lineRule="exact"/>
        <w:rPr>
          <w:rFonts w:ascii="Arial" w:cs="Arial" w:eastAsia="Arial" w:hAnsi="Arial"/>
          <w:sz w:val="18"/>
          <w:szCs w:val="18"/>
          <w:color w:val="auto"/>
        </w:rPr>
      </w:pPr>
    </w:p>
    <w:p>
      <w:pPr>
        <w:ind w:left="660" w:right="9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52"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ectPr>
          <w:pgSz w:w="11900" w:h="16838" w:orient="portrait"/>
          <w:cols w:equalWidth="0" w:num="1">
            <w:col w:w="11240"/>
          </w:cols>
          <w:pgMar w:left="320" w:top="122"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97"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233" w:lineRule="exact"/>
        <w:rPr>
          <w:sz w:val="20"/>
          <w:szCs w:val="20"/>
          <w:color w:val="auto"/>
        </w:rPr>
      </w:pPr>
    </w:p>
    <w:p>
      <w:pPr>
        <w:jc w:val="both"/>
        <w:ind w:right="200" w:firstLine="324"/>
        <w:spacing w:after="0" w:line="328" w:lineRule="auto"/>
        <w:rPr>
          <w:sz w:val="20"/>
          <w:szCs w:val="20"/>
          <w:color w:val="auto"/>
        </w:rPr>
      </w:pPr>
      <w:r>
        <w:rPr>
          <w:rFonts w:ascii="Arial" w:cs="Arial" w:eastAsia="Arial" w:hAnsi="Arial"/>
          <w:sz w:val="19"/>
          <w:szCs w:val="19"/>
          <w:color w:val="auto"/>
        </w:rPr>
        <w:t>We have established a compensation committee of the board of directors. The members of our compensation committee are Orrin Devinsky, Richard Goldman and Kenneth Landis. Richard Goldman serves as Chairman of the compensation committee.</w:t>
      </w:r>
    </w:p>
    <w:p>
      <w:pPr>
        <w:spacing w:after="0" w:line="132"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We have adopted a compensation committee charter, which details the purpose and responsibility of the compensation committee, including:</w:t>
      </w:r>
    </w:p>
    <w:p>
      <w:pPr>
        <w:spacing w:after="0" w:line="209" w:lineRule="exact"/>
        <w:rPr>
          <w:sz w:val="20"/>
          <w:szCs w:val="20"/>
          <w:color w:val="auto"/>
        </w:rPr>
      </w:pPr>
    </w:p>
    <w:p>
      <w:pPr>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compensation policies and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45"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The charter also provides that the compensation committee may, in its sole discretion, retain or obtain the advice of a compensation consultant, independent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Nominating Committee</w:t>
      </w:r>
    </w:p>
    <w:p>
      <w:pPr>
        <w:spacing w:after="0" w:line="233" w:lineRule="exact"/>
        <w:rPr>
          <w:sz w:val="20"/>
          <w:szCs w:val="20"/>
          <w:color w:val="auto"/>
        </w:rPr>
      </w:pPr>
    </w:p>
    <w:p>
      <w:pPr>
        <w:ind w:right="100" w:firstLine="324"/>
        <w:spacing w:after="0" w:line="274" w:lineRule="auto"/>
        <w:rPr>
          <w:sz w:val="20"/>
          <w:szCs w:val="20"/>
          <w:color w:val="auto"/>
        </w:rPr>
      </w:pPr>
      <w:r>
        <w:rPr>
          <w:rFonts w:ascii="Arial" w:cs="Arial" w:eastAsia="Arial" w:hAnsi="Arial"/>
          <w:sz w:val="21"/>
          <w:szCs w:val="21"/>
          <w:color w:val="auto"/>
        </w:rPr>
        <w:t>We have established a nominating committee of the board of directors. The members of our nominating committee are Orrin Devinsky, Richard Goldman and Kenneth Landis. Orrin Devinsky serves as Chairman of the audit committee.</w:t>
      </w:r>
    </w:p>
    <w:p>
      <w:pPr>
        <w:spacing w:after="0" w:line="178" w:lineRule="exact"/>
        <w:rPr>
          <w:sz w:val="20"/>
          <w:szCs w:val="20"/>
          <w:color w:val="auto"/>
        </w:rPr>
      </w:pPr>
    </w:p>
    <w:p>
      <w:pPr>
        <w:ind w:right="960" w:firstLine="324"/>
        <w:spacing w:after="0" w:line="250" w:lineRule="auto"/>
        <w:rPr>
          <w:sz w:val="20"/>
          <w:szCs w:val="20"/>
          <w:color w:val="auto"/>
        </w:rPr>
      </w:pPr>
      <w:r>
        <w:rPr>
          <w:rFonts w:ascii="Arial" w:cs="Arial" w:eastAsia="Arial" w:hAnsi="Arial"/>
          <w:sz w:val="22"/>
          <w:szCs w:val="22"/>
          <w:color w:val="auto"/>
        </w:rPr>
        <w:t>We have adopted a nominating committee charter, which details the purpose and responsibilities of the nominating committee, including:</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22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52"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45" w:lineRule="exact"/>
        <w:rPr>
          <w:sz w:val="20"/>
          <w:szCs w:val="20"/>
          <w:color w:val="auto"/>
        </w:rPr>
      </w:pPr>
    </w:p>
    <w:p>
      <w:pPr>
        <w:ind w:right="300" w:firstLine="324"/>
        <w:spacing w:after="0"/>
        <w:rPr>
          <w:sz w:val="20"/>
          <w:szCs w:val="20"/>
          <w:color w:val="auto"/>
        </w:rPr>
      </w:pPr>
      <w:r>
        <w:rPr>
          <w:rFonts w:ascii="Arial" w:cs="Arial" w:eastAsia="Arial" w:hAnsi="Arial"/>
          <w:sz w:val="22"/>
          <w:szCs w:val="22"/>
          <w:color w:val="auto"/>
        </w:rPr>
        <w:t>The charter also provides that the nominating committee may, in its sole discretion, retain or obtain the advice of, and terminate, any search firm to be used to identify director candidates, and is directly responsible for approving the search firm’s fees and other retention terms.</w:t>
      </w:r>
    </w:p>
    <w:p>
      <w:pPr>
        <w:spacing w:after="0" w:line="213" w:lineRule="exact"/>
        <w:rPr>
          <w:sz w:val="20"/>
          <w:szCs w:val="20"/>
          <w:color w:val="auto"/>
        </w:rPr>
      </w:pPr>
    </w:p>
    <w:p>
      <w:pPr>
        <w:ind w:right="200" w:firstLine="324"/>
        <w:spacing w:after="0" w:line="252" w:lineRule="auto"/>
        <w:rPr>
          <w:sz w:val="20"/>
          <w:szCs w:val="20"/>
          <w:color w:val="auto"/>
        </w:rPr>
      </w:pPr>
      <w:r>
        <w:rPr>
          <w:rFonts w:ascii="Arial" w:cs="Arial" w:eastAsia="Arial" w:hAnsi="Arial"/>
          <w:sz w:val="21"/>
          <w:szCs w:val="21"/>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39" w:lineRule="exact"/>
        <w:rPr>
          <w:sz w:val="20"/>
          <w:szCs w:val="20"/>
          <w:color w:val="auto"/>
        </w:rPr>
      </w:pPr>
    </w:p>
    <w:p>
      <w:pPr>
        <w:ind w:right="1080" w:firstLine="324"/>
        <w:spacing w:after="0" w:line="328" w:lineRule="auto"/>
        <w:rPr>
          <w:sz w:val="20"/>
          <w:szCs w:val="20"/>
          <w:color w:val="auto"/>
        </w:rPr>
      </w:pPr>
      <w:r>
        <w:rPr>
          <w:rFonts w:ascii="Arial" w:cs="Arial" w:eastAsia="Arial" w:hAnsi="Arial"/>
          <w:sz w:val="19"/>
          <w:szCs w:val="19"/>
          <w:color w:val="auto"/>
        </w:rPr>
        <w:t>None of our officers currently serves, and in the past year has not served, as a member of the board of directors or compensation committee of any entity that has one or more officers serving on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Section 16(a) of the Exchange Act requires our officers, directors and persons who beneficially own more than 10%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2020 there were no delinquent filers.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39"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color w:val="auto"/>
        </w:rPr>
        <w:t>We have adopted a code of ethics applicable to our directors, officers and employees (our “Code of Ethics”). Our Code of Ethics is available on our website. Our Code of Ethics is a “code of ethics,” as defined in Item 406(b) of Regulation S-K. We will make any legally required disclosures regarding amendments to, or waivers of, provisions of our Code of Ethics on our website.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 Cayman Islands law, directors and officers owe the following fiduciary duties:</w:t>
      </w:r>
    </w:p>
    <w:p>
      <w:pPr>
        <w:spacing w:after="0" w:line="24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45"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212"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4"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Potential investors should also be aware of the following potential conflicts of interest:</w:t>
      </w:r>
    </w:p>
    <w:p>
      <w:pPr>
        <w:spacing w:after="0" w:line="240" w:lineRule="exact"/>
        <w:rPr>
          <w:sz w:val="20"/>
          <w:szCs w:val="20"/>
          <w:color w:val="auto"/>
        </w:rPr>
      </w:pPr>
    </w:p>
    <w:p>
      <w:pPr>
        <w:ind w:left="660" w:right="6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97"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210"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by July 10, 2021. However, if our initial shareholders or any of our officers, directors or affiliates acquire public shares,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our IPO, our officers and directors may have a conflict of interest in determining whether a particular target business is an appropriate business with which to effectuate our initial business combination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300" w:hanging="328"/>
        <w:spacing w:after="0" w:line="28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92"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conflicts described above may not be resolved in our favor.</w:t>
      </w:r>
    </w:p>
    <w:p>
      <w:pPr>
        <w:spacing w:after="0" w:line="233" w:lineRule="exact"/>
        <w:rPr>
          <w:sz w:val="20"/>
          <w:szCs w:val="20"/>
          <w:color w:val="auto"/>
        </w:rPr>
      </w:pPr>
    </w:p>
    <w:p>
      <w:pPr>
        <w:jc w:val="both"/>
        <w:ind w:right="200" w:firstLine="324"/>
        <w:spacing w:after="0" w:line="297" w:lineRule="auto"/>
        <w:rPr>
          <w:sz w:val="20"/>
          <w:szCs w:val="20"/>
          <w:color w:val="auto"/>
        </w:rPr>
      </w:pPr>
      <w:r>
        <w:rPr>
          <w:rFonts w:ascii="Arial" w:cs="Arial" w:eastAsia="Arial" w:hAnsi="Arial"/>
          <w:sz w:val="19"/>
          <w:szCs w:val="19"/>
          <w:color w:val="auto"/>
        </w:rPr>
        <w:t>Accordingly, as a result of multiple business affiliations, our officers and directors have similar legal obligations to multiple entities relating to presenting business opportunities meeting the above-listed criteria. Below is a table summarizing the entities and businesses to which our officers and directors currently have fiduciary duties or contractual obligations: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Individual</w:t>
            </w:r>
          </w:p>
        </w:tc>
        <w:tc>
          <w:tcPr>
            <w:tcW w:w="120" w:type="dxa"/>
            <w:vAlign w:val="bottom"/>
            <w:tcBorders>
              <w:bottom w:val="single" w:sz="8" w:color="CCEEFF"/>
            </w:tcBorders>
          </w:tcPr>
          <w:p>
            <w:pPr>
              <w:spacing w:after="0"/>
              <w:rPr>
                <w:sz w:val="22"/>
                <w:szCs w:val="22"/>
                <w:color w:val="auto"/>
              </w:rPr>
            </w:pPr>
          </w:p>
        </w:tc>
        <w:tc>
          <w:tcPr>
            <w:tcW w:w="280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Entity</w:t>
            </w:r>
          </w:p>
        </w:tc>
        <w:tc>
          <w:tcPr>
            <w:tcW w:w="120" w:type="dxa"/>
            <w:vAlign w:val="bottom"/>
            <w:tcBorders>
              <w:bottom w:val="single" w:sz="8" w:color="CCEEFF"/>
            </w:tcBorders>
          </w:tcPr>
          <w:p>
            <w:pPr>
              <w:spacing w:after="0"/>
              <w:rPr>
                <w:sz w:val="22"/>
                <w:szCs w:val="22"/>
                <w:color w:val="auto"/>
              </w:rPr>
            </w:pPr>
          </w:p>
        </w:tc>
        <w:tc>
          <w:tcPr>
            <w:tcW w:w="27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Entity’s Business</w:t>
            </w:r>
          </w:p>
        </w:tc>
        <w:tc>
          <w:tcPr>
            <w:tcW w:w="120" w:type="dxa"/>
            <w:vAlign w:val="bottom"/>
            <w:tcBorders>
              <w:bottom w:val="single" w:sz="8" w:color="CCEEFF"/>
            </w:tcBorders>
          </w:tcPr>
          <w:p>
            <w:pPr>
              <w:spacing w:after="0"/>
              <w:rPr>
                <w:sz w:val="22"/>
                <w:szCs w:val="22"/>
                <w:color w:val="auto"/>
              </w:rPr>
            </w:pPr>
          </w:p>
        </w:tc>
        <w:tc>
          <w:tcPr>
            <w:tcW w:w="33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Affiliation</w:t>
            </w:r>
          </w:p>
        </w:tc>
      </w:tr>
      <w:tr>
        <w:trPr>
          <w:trHeight w:val="195"/>
        </w:trPr>
        <w:tc>
          <w:tcPr>
            <w:tcW w:w="20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Scott Gordon</w:t>
            </w:r>
          </w:p>
        </w:tc>
        <w:tc>
          <w:tcPr>
            <w:tcW w:w="1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Egg Rock Holdings (including</w:t>
            </w:r>
          </w:p>
        </w:tc>
        <w:tc>
          <w:tcPr>
            <w:tcW w:w="12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Cannabis products, manufacturing,</w:t>
            </w:r>
          </w:p>
        </w:tc>
        <w:tc>
          <w:tcPr>
            <w:tcW w:w="12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Co-founder and Chairman</w:t>
            </w: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subsidiaries operating the Papa &amp;</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processing, and logistics; hemp-</w:t>
            </w: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30"/>
        </w:trPr>
        <w:tc>
          <w:tcPr>
            <w:tcW w:w="206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Barkley business line)</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derived CBD</w:t>
            </w:r>
          </w:p>
        </w:tc>
        <w:tc>
          <w:tcPr>
            <w:tcW w:w="12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02"/>
        </w:trPr>
        <w:tc>
          <w:tcPr>
            <w:tcW w:w="2060" w:type="dxa"/>
            <w:vAlign w:val="bottom"/>
          </w:tcPr>
          <w:p>
            <w:pPr>
              <w:spacing w:after="0"/>
              <w:rPr>
                <w:sz w:val="17"/>
                <w:szCs w:val="17"/>
                <w:color w:val="auto"/>
              </w:rPr>
            </w:pP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Asset management fund focused on</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Manager, CEO</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cannabis and related health &amp;</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wellness industries</w:t>
            </w: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Silver Spike Acquisition Corp II</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Blank check company</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CEO and Chairman</w:t>
            </w: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b w:val="1"/>
                <w:bCs w:val="1"/>
                <w:color w:val="auto"/>
              </w:rPr>
              <w:t>William Healy</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Asset management fund focused on</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Manager</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cannabis and related health &amp;</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wellness industries</w:t>
            </w: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Silver Spike Acquisition Corp II</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Blank check company</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and Director</w:t>
            </w: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b w:val="1"/>
                <w:bCs w:val="1"/>
                <w:color w:val="auto"/>
              </w:rPr>
              <w:t>Greg Gentile</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Asset management fund focused on</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Manager, CFO</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cannabis and related health &amp;</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wellness industries</w:t>
            </w: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Silver Spike Acquisition Corp II</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Blank check company</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CFO</w:t>
            </w: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b w:val="1"/>
                <w:bCs w:val="1"/>
                <w:color w:val="auto"/>
              </w:rPr>
              <w:t>Orrin Devinsky</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NYU Langone Comprehensive</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Medical center</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06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Epilepsy Center</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02"/>
        </w:trPr>
        <w:tc>
          <w:tcPr>
            <w:tcW w:w="20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NYU School of Medicine</w:t>
            </w:r>
          </w:p>
        </w:tc>
        <w:tc>
          <w:tcPr>
            <w:tcW w:w="28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Medical school</w:t>
            </w:r>
          </w:p>
        </w:tc>
        <w:tc>
          <w:tcPr>
            <w:tcW w:w="3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Professor of Neurology, Neuroscience,</w:t>
            </w:r>
          </w:p>
        </w:tc>
      </w:tr>
      <w:tr>
        <w:trPr>
          <w:trHeight w:val="230"/>
        </w:trPr>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Psychiatry and Neurosurgery</w:t>
            </w:r>
          </w:p>
        </w:tc>
      </w:tr>
      <w:tr>
        <w:trPr>
          <w:trHeight w:val="216"/>
        </w:trPr>
        <w:tc>
          <w:tcPr>
            <w:tcW w:w="20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Tilray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Pharmaceutical and cannabis</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Chair of the Medical Advisory Board</w:t>
            </w:r>
          </w:p>
        </w:tc>
      </w:tr>
      <w:tr>
        <w:trPr>
          <w:trHeight w:val="202"/>
        </w:trPr>
        <w:tc>
          <w:tcPr>
            <w:tcW w:w="20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Papa &amp; Barkley</w:t>
            </w:r>
          </w:p>
        </w:tc>
        <w:tc>
          <w:tcPr>
            <w:tcW w:w="28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Cannabis products, manufacturing,</w:t>
            </w:r>
          </w:p>
        </w:tc>
        <w:tc>
          <w:tcPr>
            <w:tcW w:w="3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Member of the Scientific Advisory Board</w:t>
            </w:r>
          </w:p>
        </w:tc>
      </w:tr>
      <w:tr>
        <w:trPr>
          <w:trHeight w:val="216"/>
        </w:trPr>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processing, and logistics; hemp-</w:t>
            </w: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30"/>
        </w:trPr>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derived CBD</w:t>
            </w:r>
          </w:p>
        </w:tc>
        <w:tc>
          <w:tcPr>
            <w:tcW w:w="12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02"/>
        </w:trPr>
        <w:tc>
          <w:tcPr>
            <w:tcW w:w="2060" w:type="dxa"/>
            <w:vAlign w:val="bottom"/>
          </w:tcPr>
          <w:p>
            <w:pPr>
              <w:spacing w:after="0"/>
              <w:rPr>
                <w:sz w:val="17"/>
                <w:szCs w:val="17"/>
                <w:color w:val="auto"/>
              </w:rPr>
            </w:pP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Tevard</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Genetic therapy</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Member of the Business and Scientific</w:t>
            </w:r>
          </w:p>
        </w:tc>
      </w:tr>
      <w:tr>
        <w:trPr>
          <w:trHeight w:val="230"/>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Advisory Boards</w:t>
            </w:r>
          </w:p>
        </w:tc>
      </w:tr>
      <w:tr>
        <w:trPr>
          <w:trHeight w:val="202"/>
        </w:trPr>
        <w:tc>
          <w:tcPr>
            <w:tcW w:w="20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Engage Therapeutics</w:t>
            </w:r>
          </w:p>
        </w:tc>
        <w:tc>
          <w:tcPr>
            <w:tcW w:w="28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Biopharmaceutical</w:t>
            </w:r>
          </w:p>
        </w:tc>
        <w:tc>
          <w:tcPr>
            <w:tcW w:w="3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Member of the Business and Scientific</w:t>
            </w:r>
          </w:p>
        </w:tc>
      </w:tr>
      <w:tr>
        <w:trPr>
          <w:trHeight w:val="230"/>
        </w:trPr>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Advisory Boards</w:t>
            </w:r>
          </w:p>
        </w:tc>
      </w:tr>
      <w:tr>
        <w:trPr>
          <w:trHeight w:val="202"/>
        </w:trPr>
        <w:tc>
          <w:tcPr>
            <w:tcW w:w="2060" w:type="dxa"/>
            <w:vAlign w:val="bottom"/>
          </w:tcPr>
          <w:p>
            <w:pPr>
              <w:spacing w:after="0"/>
              <w:rPr>
                <w:sz w:val="17"/>
                <w:szCs w:val="17"/>
                <w:color w:val="auto"/>
              </w:rPr>
            </w:pP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Receptor Life Sciences</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Cannabinoid medicine drug</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Chief Medical Officer</w:t>
            </w:r>
          </w:p>
        </w:tc>
      </w:tr>
      <w:tr>
        <w:trPr>
          <w:trHeight w:val="230"/>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development</w:t>
            </w: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Empatica</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Seizure detection watch</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 of the Scientific Advisory Board</w:t>
            </w:r>
          </w:p>
        </w:tc>
      </w:tr>
      <w:tr>
        <w:trPr>
          <w:trHeight w:val="216"/>
        </w:trPr>
        <w:tc>
          <w:tcPr>
            <w:tcW w:w="20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RETTCO</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Genetic therapy</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Member of the Scientific Advisory Board</w:t>
            </w: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Qstate Biosciences</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Genetic therapy</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 of the Scientific Advisory Board</w:t>
            </w: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b w:val="1"/>
                <w:bCs w:val="1"/>
                <w:color w:val="auto"/>
              </w:rPr>
              <w:t>Richard Goldman</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Becket Capital, LLC</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Advisory services firm for</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Managing Member</w:t>
            </w:r>
          </w:p>
        </w:tc>
      </w:tr>
      <w:tr>
        <w:trPr>
          <w:trHeight w:val="230"/>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w w:val="93"/>
              </w:rPr>
              <w:t>investment management companies</w:t>
            </w: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O’Shares Investments ETF Trust</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Exchange-traded investment fund</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Independent Director</w:t>
            </w:r>
          </w:p>
        </w:tc>
      </w:tr>
      <w:tr>
        <w:trPr>
          <w:trHeight w:val="216"/>
        </w:trPr>
        <w:tc>
          <w:tcPr>
            <w:tcW w:w="20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Harvest Volatility Edge Trust</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Mutual fund investment trust</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Independent Chairman of the Board</w:t>
            </w: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Trinitas Capital Management</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 management firm</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 of Board of Directors</w:t>
            </w:r>
          </w:p>
        </w:tc>
      </w:tr>
      <w:tr>
        <w:trPr>
          <w:trHeight w:val="202"/>
        </w:trPr>
        <w:tc>
          <w:tcPr>
            <w:tcW w:w="2060" w:type="dxa"/>
            <w:vAlign w:val="bottom"/>
          </w:tcPr>
          <w:p>
            <w:pPr>
              <w:spacing w:after="0"/>
              <w:rPr>
                <w:sz w:val="17"/>
                <w:szCs w:val="17"/>
                <w:color w:val="auto"/>
              </w:rPr>
            </w:pP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Axonic Alternative Income Interval</w:t>
            </w:r>
          </w:p>
        </w:tc>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Mutual fund</w:t>
            </w:r>
          </w:p>
        </w:tc>
        <w:tc>
          <w:tcPr>
            <w:tcW w:w="3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Lead Independent Director</w:t>
            </w:r>
          </w:p>
        </w:tc>
      </w:tr>
      <w:tr>
        <w:trPr>
          <w:trHeight w:val="230"/>
        </w:trPr>
        <w:tc>
          <w:tcPr>
            <w:tcW w:w="206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Fund</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Kenneth H. Landis</w:t>
            </w: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Landis Capital, LLC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Venture capital</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w:t>
            </w:r>
          </w:p>
        </w:tc>
      </w:tr>
      <w:tr>
        <w:trPr>
          <w:trHeight w:val="216"/>
        </w:trPr>
        <w:tc>
          <w:tcPr>
            <w:tcW w:w="20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Suffield Academy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Preparatory school</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Trustee</w:t>
            </w:r>
          </w:p>
        </w:tc>
      </w:tr>
      <w:tr>
        <w:trPr>
          <w:trHeight w:val="216"/>
        </w:trPr>
        <w:tc>
          <w:tcPr>
            <w:tcW w:w="20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TULA Life, INC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Cosmetics</w:t>
            </w: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 of Board of Directors</w:t>
            </w:r>
          </w:p>
        </w:tc>
      </w:tr>
      <w:tr>
        <w:trPr>
          <w:trHeight w:val="230"/>
        </w:trPr>
        <w:tc>
          <w:tcPr>
            <w:tcW w:w="206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AllWork, Inc.</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Human resources technology</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Member of Board of Directors</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204"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212"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212" w:lineRule="exact"/>
        <w:rPr>
          <w:sz w:val="20"/>
          <w:szCs w:val="20"/>
          <w:color w:val="auto"/>
        </w:rPr>
      </w:pPr>
    </w:p>
    <w:p>
      <w:pPr>
        <w:ind w:right="100" w:firstLine="324"/>
        <w:spacing w:after="0" w:line="236" w:lineRule="auto"/>
        <w:rPr>
          <w:sz w:val="20"/>
          <w:szCs w:val="20"/>
          <w:color w:val="auto"/>
        </w:rPr>
      </w:pPr>
      <w:r>
        <w:rPr>
          <w:rFonts w:ascii="Arial" w:cs="Arial" w:eastAsia="Arial" w:hAnsi="Arial"/>
          <w:sz w:val="22"/>
          <w:szCs w:val="22"/>
          <w:color w:val="auto"/>
        </w:rPr>
        <w:t>In the event that we submit our initial business combination to our public shareholders for a vote, our initial shareholders have agreed (and their permitted transferees will agree), pursuant to the terms of a letter agreement entered into with us, to vote their founder shares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Liability and Indemnification of Officers and Directors</w:t>
      </w:r>
    </w:p>
    <w:p>
      <w:pPr>
        <w:spacing w:after="0" w:line="239"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w:t>
      </w:r>
    </w:p>
    <w:p>
      <w:pPr>
        <w:spacing w:after="0" w:line="204" w:lineRule="exact"/>
        <w:rPr>
          <w:sz w:val="20"/>
          <w:szCs w:val="20"/>
          <w:color w:val="auto"/>
        </w:rPr>
      </w:pPr>
    </w:p>
    <w:p>
      <w:pPr>
        <w:ind w:right="80" w:firstLine="324"/>
        <w:spacing w:after="0" w:line="257" w:lineRule="auto"/>
        <w:rPr>
          <w:sz w:val="20"/>
          <w:szCs w:val="20"/>
          <w:color w:val="auto"/>
        </w:rPr>
      </w:pPr>
      <w:r>
        <w:rPr>
          <w:rFonts w:ascii="Arial" w:cs="Arial" w:eastAsia="Arial" w:hAnsi="Arial"/>
          <w:sz w:val="21"/>
          <w:szCs w:val="21"/>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96" w:lineRule="exact"/>
        <w:rPr>
          <w:sz w:val="20"/>
          <w:szCs w:val="20"/>
          <w:color w:val="auto"/>
        </w:rPr>
      </w:pPr>
    </w:p>
    <w:p>
      <w:pPr>
        <w:ind w:right="260" w:firstLine="324"/>
        <w:spacing w:after="0" w:line="246" w:lineRule="auto"/>
        <w:rPr>
          <w:sz w:val="20"/>
          <w:szCs w:val="20"/>
          <w:color w:val="auto"/>
        </w:rPr>
      </w:pPr>
      <w:r>
        <w:rPr>
          <w:rFonts w:ascii="Arial" w:cs="Arial" w:eastAsia="Arial" w:hAnsi="Arial"/>
          <w:sz w:val="21"/>
          <w:szCs w:val="21"/>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firstLine="324"/>
        <w:spacing w:after="0" w:line="250" w:lineRule="auto"/>
        <w:rPr>
          <w:sz w:val="20"/>
          <w:szCs w:val="20"/>
          <w:color w:val="auto"/>
        </w:rPr>
      </w:pPr>
      <w:r>
        <w:rPr>
          <w:rFonts w:ascii="Arial" w:cs="Arial" w:eastAsia="Arial" w:hAnsi="Arial"/>
          <w:sz w:val="22"/>
          <w:szCs w:val="22"/>
          <w:color w:val="auto"/>
        </w:rPr>
        <w:t>We believe that these provisions, the insurance and the indemnity agreements are necessary to attract and retain talented and experienced officers and directors.</w:t>
      </w:r>
    </w:p>
    <w:p>
      <w:pPr>
        <w:spacing w:after="0" w:line="202"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21"/>
          <w:szCs w:val="21"/>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None of our officers or directors have received, or prior to our initial business combination will receive, any cash compensation for services rendered to us. We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our IPO, our sponsor granted equity interests in our sponsor to our independent directors that collectively comprise approximately 1% of the outstanding equity interests in our sponsor. Our audit committee will review on a quarterly basis all payments that were made to our sponsor, officers, directors or our or any of their affiliates.</w:t>
      </w:r>
    </w:p>
    <w:p>
      <w:pPr>
        <w:spacing w:after="0" w:line="21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9"/>
          <w:szCs w:val="19"/>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9" w:lineRule="exact"/>
        <w:rPr>
          <w:sz w:val="20"/>
          <w:szCs w:val="20"/>
          <w:color w:val="auto"/>
        </w:rPr>
      </w:pPr>
    </w:p>
    <w:p>
      <w:pPr>
        <w:ind w:right="180" w:firstLine="324"/>
        <w:spacing w:after="0" w:line="236" w:lineRule="auto"/>
        <w:rPr>
          <w:sz w:val="20"/>
          <w:szCs w:val="20"/>
          <w:color w:val="auto"/>
        </w:rPr>
      </w:pPr>
      <w:r>
        <w:rPr>
          <w:rFonts w:ascii="Arial" w:cs="Arial" w:eastAsia="Arial" w:hAnsi="Arial"/>
          <w:sz w:val="22"/>
          <w:szCs w:val="22"/>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The following table sets forth information regarding the beneficial ownership of our ordinary shares available to us at March 6, 2021, with respect to our ordinary shares held by:</w:t>
      </w:r>
    </w:p>
    <w:p>
      <w:pPr>
        <w:spacing w:after="0" w:line="20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45" w:lineRule="exact"/>
        <w:rPr>
          <w:sz w:val="20"/>
          <w:szCs w:val="20"/>
          <w:color w:val="auto"/>
        </w:rPr>
      </w:pPr>
    </w:p>
    <w:p>
      <w:pPr>
        <w:ind w:firstLine="324"/>
        <w:spacing w:after="0" w:line="257" w:lineRule="auto"/>
        <w:rPr>
          <w:sz w:val="20"/>
          <w:szCs w:val="20"/>
          <w:color w:val="auto"/>
        </w:rPr>
      </w:pPr>
      <w:r>
        <w:rPr>
          <w:rFonts w:ascii="Arial" w:cs="Arial" w:eastAsia="Arial" w:hAnsi="Arial"/>
          <w:sz w:val="21"/>
          <w:szCs w:val="21"/>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March 6, 2021.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4580" w:type="dxa"/>
            <w:vAlign w:val="bottom"/>
            <w:gridSpan w:val="4"/>
          </w:tcPr>
          <w:p>
            <w:pPr>
              <w:spacing w:after="0"/>
              <w:rPr>
                <w:rFonts w:ascii="Arial" w:cs="Arial" w:eastAsia="Arial" w:hAnsi="Arial"/>
                <w:sz w:val="14"/>
                <w:szCs w:val="14"/>
                <w:i w:val="1"/>
                <w:iCs w:val="1"/>
                <w:color w:val="0000EE"/>
              </w:rPr>
            </w:pPr>
            <w:hyperlink w:anchor="page5">
              <w:r>
                <w:rPr>
                  <w:rFonts w:ascii="Arial" w:cs="Arial" w:eastAsia="Arial" w:hAnsi="Arial"/>
                  <w:sz w:val="14"/>
                  <w:szCs w:val="14"/>
                  <w:i w:val="1"/>
                  <w:iCs w:val="1"/>
                  <w:color w:val="0000EE"/>
                </w:rPr>
                <w:t>Table of Contents</w:t>
              </w:r>
            </w:hyperlink>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6"/>
              </w:rPr>
              <w:t>Class B ordinary shares(2)</w:t>
            </w:r>
          </w:p>
        </w:tc>
        <w:tc>
          <w:tcPr>
            <w:tcW w:w="27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Class A ordinary shares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Approximate</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Voting</w:t>
            </w:r>
          </w:p>
        </w:tc>
      </w:tr>
      <w:tr>
        <w:trPr>
          <w:trHeight w:val="241"/>
        </w:trPr>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Name of Beneficial Owners(1)</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160" w:type="dxa"/>
            <w:vAlign w:val="bottom"/>
          </w:tcPr>
          <w:p>
            <w:pPr>
              <w:spacing w:after="0"/>
              <w:rPr>
                <w:sz w:val="20"/>
                <w:szCs w:val="20"/>
                <w:color w:val="auto"/>
              </w:rPr>
            </w:pPr>
          </w:p>
        </w:tc>
      </w:tr>
      <w:tr>
        <w:trPr>
          <w:trHeight w:val="216"/>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A. Yoseloff (3)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Polar Asset Management Partners, Inc.(4)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2,573,000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Weiss Asset Management KO(5)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1,890,387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Silver Spike Sponsor, LLC(6)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6,250,000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r>
        <w:trPr>
          <w:trHeight w:val="216"/>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Scott Gordon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William Healy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Gregory Gentile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Orrin Devinsky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Goldman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Kenneth Landis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directors and officers as a group (nine individuals)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0"/>
        </w:trPr>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2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one 1%.</w:t>
      </w:r>
    </w:p>
    <w:p>
      <w:pPr>
        <w:spacing w:after="0" w:line="252" w:lineRule="exact"/>
        <w:rPr>
          <w:sz w:val="20"/>
          <w:szCs w:val="20"/>
          <w:color w:val="auto"/>
        </w:rPr>
      </w:pPr>
    </w:p>
    <w:p>
      <w:pPr>
        <w:ind w:left="340" w:right="30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660 Madison Ave, Suite 1600, New York, New York 10065, United States of America.</w:t>
      </w:r>
    </w:p>
    <w:p>
      <w:pPr>
        <w:spacing w:after="0" w:line="197"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on the first business day following our initial business combination on a one-for-one basis.</w:t>
      </w:r>
    </w:p>
    <w:p>
      <w:pPr>
        <w:spacing w:after="0" w:line="197" w:lineRule="exact"/>
        <w:rPr>
          <w:rFonts w:ascii="Arial" w:cs="Arial" w:eastAsia="Arial" w:hAnsi="Arial"/>
          <w:sz w:val="18"/>
          <w:szCs w:val="18"/>
          <w:color w:val="auto"/>
        </w:rPr>
      </w:pPr>
    </w:p>
    <w:p>
      <w:pPr>
        <w:ind w:left="340" w:right="100" w:hanging="332"/>
        <w:spacing w:after="0" w:line="273"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 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204"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210" w:lineRule="exact"/>
        <w:rPr>
          <w:rFonts w:ascii="Arial" w:cs="Arial" w:eastAsia="Arial" w:hAnsi="Arial"/>
          <w:sz w:val="18"/>
          <w:szCs w:val="18"/>
          <w:color w:val="auto"/>
        </w:rPr>
      </w:pPr>
    </w:p>
    <w:p>
      <w:pPr>
        <w:ind w:left="340" w:right="20" w:hanging="332"/>
        <w:spacing w:after="0" w:line="29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Class A ordinary shares beneficially owned by a private investment partnership (the “Partnership”) of which BIP GP LLC is the sole general partner. Weiss Asset Management LP is the sole investment manager to the Partnership. WAM GP is the sole general partner of Weiss Asset Management LP. Andrew Weiss is the managing member of WAM GP and BIP GP. Shares reported for WAM GP, Mr. Andrew Weiss, Ph.D. and Weiss Asset Management include shares beneficially owned by the Partnership (and reported above for BIP GP LLC). BIP GP LLC, Weiss Asset Management LP, WAM GP LLC, and Andrew M. Weiss, Ph.D. have a business address of 222 Berkeley St., 16th floor, Boston, Massachusetts 02116.</w:t>
      </w:r>
    </w:p>
    <w:p>
      <w:pPr>
        <w:spacing w:after="0" w:line="188" w:lineRule="exact"/>
        <w:rPr>
          <w:rFonts w:ascii="Arial" w:cs="Arial" w:eastAsia="Arial" w:hAnsi="Arial"/>
          <w:sz w:val="16"/>
          <w:szCs w:val="16"/>
          <w:color w:val="auto"/>
        </w:rPr>
      </w:pPr>
    </w:p>
    <w:p>
      <w:pPr>
        <w:ind w:left="340" w:right="320" w:hanging="332"/>
        <w:spacing w:after="0" w:line="275"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196" w:lineRule="exact"/>
        <w:rPr>
          <w:sz w:val="20"/>
          <w:szCs w:val="20"/>
          <w:color w:val="auto"/>
        </w:rPr>
      </w:pPr>
    </w:p>
    <w:p>
      <w:pPr>
        <w:ind w:right="100" w:firstLine="324"/>
        <w:spacing w:after="0" w:line="248" w:lineRule="auto"/>
        <w:rPr>
          <w:sz w:val="20"/>
          <w:szCs w:val="20"/>
          <w:color w:val="auto"/>
        </w:rPr>
      </w:pPr>
      <w:r>
        <w:rPr>
          <w:rFonts w:ascii="Arial" w:cs="Arial" w:eastAsia="Arial" w:hAnsi="Arial"/>
          <w:sz w:val="21"/>
          <w:szCs w:val="21"/>
          <w:color w:val="auto"/>
        </w:rPr>
        <w:t>Our initial shareholders beneficially own 20% of the issued and outstanding ordinary shares (excluding the representative shares). Prior to our initial business combination, only holders of our founders shares have the right to vote on the election of directors, and holders of a majority of our founders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324"/>
        <w:spacing w:after="0" w:line="273" w:lineRule="auto"/>
        <w:rPr>
          <w:sz w:val="20"/>
          <w:szCs w:val="20"/>
          <w:color w:val="auto"/>
        </w:rPr>
      </w:pPr>
      <w:r>
        <w:rPr>
          <w:rFonts w:ascii="Arial" w:cs="Arial" w:eastAsia="Arial" w:hAnsi="Arial"/>
          <w:sz w:val="19"/>
          <w:szCs w:val="19"/>
          <w:color w:val="auto"/>
        </w:rPr>
        <w:t>Our sponsor has purchased an aggregate of 7,000,000 private placement warrants at a price of $1.00 per warrant in a private placement that occurred simultaneously with the closing of our IPO. Each private placement warrant entitles the holder to purchase one Class A ordinary share at a price of $11.50 per share, subject to adjustment as provided herein. If we do not complete our initial business combination by July 10, 2021,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sold in our IPO. Otherwise, the private placement warrants have terms and provisions that are identical to those of the warrants sold as part of the units in our IPO.</w:t>
      </w:r>
    </w:p>
    <w:p>
      <w:pPr>
        <w:spacing w:after="0" w:line="188" w:lineRule="exact"/>
        <w:rPr>
          <w:sz w:val="20"/>
          <w:szCs w:val="20"/>
          <w:color w:val="auto"/>
        </w:rPr>
      </w:pPr>
    </w:p>
    <w:p>
      <w:pPr>
        <w:jc w:val="both"/>
        <w:ind w:right="720" w:firstLine="324"/>
        <w:spacing w:after="0"/>
        <w:rPr>
          <w:sz w:val="20"/>
          <w:szCs w:val="20"/>
          <w:color w:val="auto"/>
        </w:rPr>
      </w:pPr>
      <w:r>
        <w:rPr>
          <w:rFonts w:ascii="Arial" w:cs="Arial" w:eastAsia="Arial" w:hAnsi="Arial"/>
          <w:sz w:val="22"/>
          <w:szCs w:val="22"/>
          <w:color w:val="auto"/>
        </w:rPr>
        <w:t>Our sponsor and our officers and directors are deemed to be our “promoters” as such term is defined under the federal securities laws. See “Item 13. Certain Relationships and Related Transactions, and Director Independence” for additional information regarding our relationships with our promoters.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Transfers of Founder Shares and Private Placement Warrants</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signed on the effective date of our IPO requiring us to register such securities for resale. The holders of these securities will be entitled to make up to three demands, excluding short-form registration demands, that we register such securities.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239"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As of December 31, 2020, we had no compensation plans (including individual compensation arrangements) under which equity securities were authorized for issuance.</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9"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In June 2019, our sponsor purchased 7,187,500 founder shares for an aggregate purchase price of $25,000, or $0.004 per share. On September 23, 2019, in connection with the expiration of the underwriter’s over-allotment option, our sponsor surrendered 937,500 founder shares. As a result, our sponsor now owns 6,250,000 founder shares. In connection with the closing of our IPO, our sponsor granted sponsor LLC equity interests to our independent directors that collectively comprise approximately 1% of the outstanding equity interests in our sponsor. Our initial shareholders collectively own 20% of our issued and outstanding shares as of our IPO.</w:t>
      </w:r>
    </w:p>
    <w:p>
      <w:pPr>
        <w:spacing w:after="0" w:line="215"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Our sponsor purchased an aggregate of 7,000,000 private placement warrants for a purchase price of $1.00 per warrant in a private placement simultaneously with the closing of our IPO.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174" w:lineRule="exact"/>
        <w:rPr>
          <w:sz w:val="20"/>
          <w:szCs w:val="20"/>
          <w:color w:val="auto"/>
        </w:rPr>
      </w:pPr>
    </w:p>
    <w:p>
      <w:pPr>
        <w:ind w:right="80" w:firstLine="324"/>
        <w:spacing w:after="0" w:line="234" w:lineRule="auto"/>
        <w:rPr>
          <w:sz w:val="20"/>
          <w:szCs w:val="20"/>
          <w:color w:val="auto"/>
        </w:rPr>
      </w:pPr>
      <w:r>
        <w:rPr>
          <w:rFonts w:ascii="Arial" w:cs="Arial" w:eastAsia="Arial" w:hAnsi="Arial"/>
          <w:sz w:val="22"/>
          <w:szCs w:val="22"/>
          <w:color w:val="auto"/>
        </w:rPr>
        <w:t>As more fully discussed in “Item 10. Directors, Executive Officers and Corporate Governance—Conflicts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218"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We entered into an Administrative Services Agreement pursuant to which we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until July 10, 2021, our sponsor will be paid an aggregate of up to approximately $460,000 ($20,000) per month for office space, administrative and support services and will be entitled to be reimbursed for any out-of-pocket expenses.</w:t>
      </w:r>
    </w:p>
    <w:p>
      <w:pPr>
        <w:spacing w:after="0" w:line="174" w:lineRule="exact"/>
        <w:rPr>
          <w:sz w:val="20"/>
          <w:szCs w:val="20"/>
          <w:color w:val="auto"/>
        </w:rPr>
      </w:pPr>
    </w:p>
    <w:p>
      <w:pPr>
        <w:ind w:right="200" w:firstLine="324"/>
        <w:spacing w:after="0" w:line="248" w:lineRule="auto"/>
        <w:rPr>
          <w:sz w:val="20"/>
          <w:szCs w:val="20"/>
          <w:color w:val="auto"/>
        </w:rPr>
      </w:pPr>
      <w:r>
        <w:rPr>
          <w:rFonts w:ascii="Arial" w:cs="Arial" w:eastAsia="Arial" w:hAnsi="Arial"/>
          <w:sz w:val="21"/>
          <w:szCs w:val="21"/>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204" w:lineRule="exact"/>
        <w:rPr>
          <w:sz w:val="20"/>
          <w:szCs w:val="20"/>
          <w:color w:val="auto"/>
        </w:rPr>
      </w:pPr>
    </w:p>
    <w:p>
      <w:pPr>
        <w:ind w:right="100" w:firstLine="324"/>
        <w:spacing w:after="0" w:line="236" w:lineRule="auto"/>
        <w:rPr>
          <w:sz w:val="20"/>
          <w:szCs w:val="20"/>
          <w:color w:val="auto"/>
        </w:rPr>
      </w:pPr>
      <w:r>
        <w:rPr>
          <w:rFonts w:ascii="Arial" w:cs="Arial" w:eastAsia="Arial" w:hAnsi="Arial"/>
          <w:sz w:val="22"/>
          <w:szCs w:val="22"/>
          <w:color w:val="auto"/>
        </w:rPr>
        <w:t>Our sponsor agreed to loan us up to $250,000 under an unsecured promissory note to be used for a portion of the expenses of our IPO. These loans were non-interest bearing and unsecured, and were repaid upon completion of the IPO out of the $1,000,000 of offering proceeds that had been allocated for the payment of offering expenses (other than underwriting commissions) not held in the trust account. The value of our sponsor’s interest in this loan transaction corresponded to the principal amount outstanding under any such loan.</w:t>
      </w:r>
    </w:p>
    <w:p>
      <w:pPr>
        <w:sectPr>
          <w:pgSz w:w="11900" w:h="16838" w:orient="portrait"/>
          <w:cols w:equalWidth="0" w:num="1">
            <w:col w:w="11240"/>
          </w:cols>
          <w:pgMar w:left="320" w:top="121" w:right="339" w:bottom="70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6" w:gutter="0" w:footer="0" w:header="0"/>
          <w:type w:val="continuous"/>
        </w:sectPr>
      </w:pPr>
    </w:p>
    <w:bookmarkStart w:id="81" w:name="page82"/>
    <w:bookmarkEnd w:id="8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9"/>
          <w:szCs w:val="19"/>
          <w:color w:val="auto"/>
        </w:rPr>
        <w:t>Our sponsor agreed to loan us $750,000 under an unsecured promissory note to be used for our working capital expenses. These loans are non-interest bearing and unsecured. The value of our sponsor’s interest in this loan transaction corresponded to the principal amount outstanding under any such loan. On February 18, 2021, our sponsor agreed to loan us an additional $750,000 under an additional unsecured promissory note to be used for the payment of working capital expenses, including expenses incurred in connection with the business combination. The note is non-interest bearing, unsecured and due on the earliest of (i) June 10, 2021 and (ii) the consummation of our initial business combination.</w:t>
      </w:r>
    </w:p>
    <w:p>
      <w:pPr>
        <w:spacing w:after="0" w:line="177" w:lineRule="exact"/>
        <w:rPr>
          <w:sz w:val="20"/>
          <w:szCs w:val="20"/>
          <w:color w:val="auto"/>
        </w:rPr>
      </w:pPr>
    </w:p>
    <w:p>
      <w:pPr>
        <w:ind w:right="40" w:firstLine="324"/>
        <w:spacing w:after="0" w:line="275" w:lineRule="auto"/>
        <w:rPr>
          <w:sz w:val="20"/>
          <w:szCs w:val="20"/>
          <w:color w:val="auto"/>
        </w:rPr>
      </w:pPr>
      <w:r>
        <w:rPr>
          <w:rFonts w:ascii="Arial" w:cs="Arial" w:eastAsia="Arial" w:hAnsi="Arial"/>
          <w:sz w:val="19"/>
          <w:szCs w:val="19"/>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4"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204" w:lineRule="exact"/>
        <w:rPr>
          <w:sz w:val="20"/>
          <w:szCs w:val="20"/>
          <w:color w:val="auto"/>
        </w:rPr>
      </w:pPr>
    </w:p>
    <w:p>
      <w:pPr>
        <w:jc w:val="both"/>
        <w:ind w:right="600" w:firstLine="324"/>
        <w:spacing w:after="0" w:line="297" w:lineRule="auto"/>
        <w:rPr>
          <w:sz w:val="20"/>
          <w:szCs w:val="20"/>
          <w:color w:val="auto"/>
        </w:rPr>
      </w:pPr>
      <w:r>
        <w:rPr>
          <w:rFonts w:ascii="Arial" w:cs="Arial" w:eastAsia="Arial" w:hAnsi="Arial"/>
          <w:sz w:val="19"/>
          <w:szCs w:val="19"/>
          <w:color w:val="auto"/>
        </w:rPr>
        <w:t>We have entered into a registration rights agreement with respect to the founder shares, private placement warrants and warrants issued upon conversion of working capital loans (if any), which is described under the heading “Item 12. Security Ownership of Certain Beneficial Owners and Management and Related Stockholder Matters—Registration Rights.”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Policy</w:t>
      </w:r>
    </w:p>
    <w:p>
      <w:pPr>
        <w:spacing w:after="0" w:line="23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color w:val="auto"/>
        </w:rPr>
        <w:t>We adopted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In addition, our audit committee, pursuant to a written charter,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Our audit committee reviews on a quarterly basis all payments that were made to our sponsor, officers or directors, or our or any of their affiliates.</w:t>
      </w:r>
    </w:p>
    <w:p>
      <w:pPr>
        <w:spacing w:after="0" w:line="177" w:lineRule="exact"/>
        <w:rPr>
          <w:sz w:val="20"/>
          <w:szCs w:val="20"/>
          <w:color w:val="auto"/>
        </w:rPr>
      </w:pPr>
    </w:p>
    <w:p>
      <w:pPr>
        <w:ind w:right="260" w:firstLine="324"/>
        <w:spacing w:after="0" w:line="245" w:lineRule="auto"/>
        <w:rPr>
          <w:sz w:val="20"/>
          <w:szCs w:val="20"/>
          <w:color w:val="auto"/>
        </w:rPr>
      </w:pPr>
      <w:r>
        <w:rPr>
          <w:rFonts w:ascii="Arial" w:cs="Arial" w:eastAsia="Arial" w:hAnsi="Arial"/>
          <w:sz w:val="21"/>
          <w:szCs w:val="21"/>
          <w:color w:val="auto"/>
        </w:rPr>
        <w:t>On August 7, 2019, we adopted a formal written policy for the review, approval or ratification of related party transactions. Our policy covers transactions in which any director or executive officer, immediate family member of a director or executive officer, any nominee for director and immediate family member of such nominee and 5% beneficial owner of the Company or immediate family of such owner have a direct or indirect material interest as determined by our audit committee. The audit committee considers all relevant facts and circumstances, including without limitation the commercial reasonableness of the terms, the benefit and perceived benefit, or lack thereof, to the Company, opportunity costs of alternate transactions, the materiality and character of the related person’s direct or indirect interest, and the actual or apparent conflict of interest of the related person. The audit committee will not approve or ratify a related party transaction unless it shall have determined that, upon consideration of all relevant information, the transaction is in, or not inconsistent with, the best interests of the Company and its stockholders.</w:t>
      </w:r>
    </w:p>
    <w:p>
      <w:pPr>
        <w:spacing w:after="0" w:line="208"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These procedures are intended to determine whether any such related party transaction impairs the independence of a director or presents a conflict of interest on the part of a director, employee or officer.</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80" w:firstLine="324"/>
        <w:spacing w:after="0" w:line="252" w:lineRule="auto"/>
        <w:rPr>
          <w:sz w:val="20"/>
          <w:szCs w:val="20"/>
          <w:color w:val="auto"/>
        </w:rPr>
      </w:pPr>
      <w:r>
        <w:rPr>
          <w:rFonts w:ascii="Arial" w:cs="Arial" w:eastAsia="Arial" w:hAnsi="Arial"/>
          <w:sz w:val="21"/>
          <w:szCs w:val="21"/>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201" w:lineRule="exact"/>
        <w:rPr>
          <w:sz w:val="20"/>
          <w:szCs w:val="20"/>
          <w:color w:val="auto"/>
        </w:rPr>
      </w:pPr>
    </w:p>
    <w:p>
      <w:pPr>
        <w:ind w:right="240" w:firstLine="324"/>
        <w:spacing w:after="0" w:line="287" w:lineRule="auto"/>
        <w:rPr>
          <w:sz w:val="20"/>
          <w:szCs w:val="20"/>
          <w:color w:val="auto"/>
        </w:rPr>
      </w:pPr>
      <w:r>
        <w:rPr>
          <w:rFonts w:ascii="Arial" w:cs="Arial" w:eastAsia="Arial" w:hAnsi="Arial"/>
          <w:sz w:val="19"/>
          <w:szCs w:val="19"/>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our IPO and the sale of the private placement warrants held in the trust account prior to the completion of our initial business combination:</w:t>
      </w:r>
    </w:p>
    <w:p>
      <w:pPr>
        <w:spacing w:after="0" w:line="17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Repayment of an aggregate of up to $250,000 in loans made to us by our sponsor to cover offering-related and organizational expenses;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to our sponsor of up to $20,000 per month for office space, administrative and support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63"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206"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The above payments may be funded using the net proceeds of our IPO and the sale of the private placement warrants not held in the trust account or, upon completion of the initial business combination, from any amounts remaining from the proceeds of the trust account released to us in connection therewith.</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320" w:firstLine="324"/>
        <w:spacing w:after="0" w:line="246" w:lineRule="auto"/>
        <w:rPr>
          <w:sz w:val="20"/>
          <w:szCs w:val="20"/>
          <w:color w:val="auto"/>
        </w:rPr>
      </w:pPr>
      <w:r>
        <w:rPr>
          <w:rFonts w:ascii="Arial" w:cs="Arial" w:eastAsia="Arial" w:hAnsi="Arial"/>
          <w:sz w:val="21"/>
          <w:szCs w:val="21"/>
          <w:color w:val="auto"/>
        </w:rPr>
        <w:t>Nasdaq listing standards require that a majority of our board of directors be independent within one year of our IPO.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is a summary of fees paid or to be paid to Marcum LLP, or Marcum, for services rendered.</w:t>
      </w:r>
    </w:p>
    <w:p>
      <w:pPr>
        <w:spacing w:after="0" w:line="233"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i w:val="1"/>
          <w:iCs w:val="1"/>
          <w:color w:val="auto"/>
        </w:rPr>
        <w:t>Audit Fees</w:t>
      </w:r>
      <w:r>
        <w:rPr>
          <w:rFonts w:ascii="Arial" w:cs="Arial" w:eastAsia="Arial" w:hAnsi="Arial"/>
          <w:sz w:val="19"/>
          <w:szCs w:val="19"/>
          <w:color w:val="auto"/>
        </w:rPr>
        <w:t>. Audit fees consist of fees billed for professional services rendered for the audit of our year-end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and services that are normally provided by Marcum in connection with regulatory filings. The aggregate fees billed by Marcum for professional services rendered for the audit of our annual consolidated financial statements, review of the financial information included in our Forms 10-Q for the respective periods and other required filings with the SEC for the year ended December 31, 2020 and for the period from June 7, 2019 (inception) through December 31, 2019 totaled $52,015 and $65,995, respectively. The above amounts include interim procedures and audit fees, as well as attendance at audit committee meetings.</w:t>
      </w:r>
    </w:p>
    <w:p>
      <w:pPr>
        <w:spacing w:after="0" w:line="177"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i w:val="1"/>
          <w:iCs w:val="1"/>
          <w:color w:val="auto"/>
        </w:rPr>
        <w:t>Audit-Related Fees</w:t>
      </w:r>
      <w:r>
        <w:rPr>
          <w:rFonts w:ascii="Arial" w:cs="Arial" w:eastAsia="Arial" w:hAnsi="Arial"/>
          <w:sz w:val="19"/>
          <w:szCs w:val="19"/>
          <w:color w:val="auto"/>
        </w:rPr>
        <w:t>. Audit-related services consist of fees billed for assurance and related services that are reasonably related</w:t>
      </w:r>
      <w:r>
        <w:rPr>
          <w:rFonts w:ascii="Arial" w:cs="Arial" w:eastAsia="Arial" w:hAnsi="Arial"/>
          <w:sz w:val="19"/>
          <w:szCs w:val="19"/>
          <w:i w:val="1"/>
          <w:iCs w:val="1"/>
          <w:color w:val="auto"/>
        </w:rPr>
        <w:t xml:space="preserve"> </w:t>
      </w:r>
      <w:r>
        <w:rPr>
          <w:rFonts w:ascii="Arial" w:cs="Arial" w:eastAsia="Arial" w:hAnsi="Arial"/>
          <w:sz w:val="19"/>
          <w:szCs w:val="19"/>
          <w:color w:val="auto"/>
        </w:rPr>
        <w:t>to performance of the audit or review of our consolidated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 ended December 31, 2020 and for the period from June 7, 2019 (inception) through December 31, 2019.</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firstLine="324"/>
        <w:spacing w:after="0" w:line="250" w:lineRule="auto"/>
        <w:rPr>
          <w:sz w:val="20"/>
          <w:szCs w:val="20"/>
          <w:color w:val="auto"/>
        </w:rPr>
      </w:pPr>
      <w:r>
        <w:rPr>
          <w:rFonts w:ascii="Arial" w:cs="Arial" w:eastAsia="Arial" w:hAnsi="Arial"/>
          <w:sz w:val="22"/>
          <w:szCs w:val="22"/>
          <w:i w:val="1"/>
          <w:iCs w:val="1"/>
          <w:color w:val="auto"/>
        </w:rPr>
        <w:t>Tax Fees</w:t>
      </w:r>
      <w:r>
        <w:rPr>
          <w:rFonts w:ascii="Arial" w:cs="Arial" w:eastAsia="Arial" w:hAnsi="Arial"/>
          <w:sz w:val="22"/>
          <w:szCs w:val="22"/>
          <w:color w:val="auto"/>
        </w:rPr>
        <w:t>. We did not pay Marcum for tax planning and tax advice for the year ended December 31, 2020 and for the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from June 7, 2019 (inception) through December 31, 2019.</w:t>
      </w:r>
    </w:p>
    <w:p>
      <w:pPr>
        <w:spacing w:after="0" w:line="202" w:lineRule="exact"/>
        <w:rPr>
          <w:sz w:val="20"/>
          <w:szCs w:val="20"/>
          <w:color w:val="auto"/>
        </w:rPr>
      </w:pPr>
    </w:p>
    <w:p>
      <w:pPr>
        <w:ind w:right="440" w:firstLine="324"/>
        <w:spacing w:after="0" w:line="250" w:lineRule="auto"/>
        <w:rPr>
          <w:sz w:val="20"/>
          <w:szCs w:val="20"/>
          <w:color w:val="auto"/>
        </w:rPr>
      </w:pPr>
      <w:r>
        <w:rPr>
          <w:rFonts w:ascii="Arial" w:cs="Arial" w:eastAsia="Arial" w:hAnsi="Arial"/>
          <w:sz w:val="22"/>
          <w:szCs w:val="22"/>
          <w:i w:val="1"/>
          <w:iCs w:val="1"/>
          <w:color w:val="auto"/>
        </w:rPr>
        <w:t>All Other Fees</w:t>
      </w:r>
      <w:r>
        <w:rPr>
          <w:rFonts w:ascii="Arial" w:cs="Arial" w:eastAsia="Arial" w:hAnsi="Arial"/>
          <w:sz w:val="22"/>
          <w:szCs w:val="22"/>
          <w:color w:val="auto"/>
        </w:rPr>
        <w:t>. We did not pay Marcum for other services for the year ended December 31, 2020 and for the period from</w:t>
      </w:r>
      <w:r>
        <w:rPr>
          <w:rFonts w:ascii="Arial" w:cs="Arial" w:eastAsia="Arial" w:hAnsi="Arial"/>
          <w:sz w:val="22"/>
          <w:szCs w:val="22"/>
          <w:i w:val="1"/>
          <w:iCs w:val="1"/>
          <w:color w:val="auto"/>
        </w:rPr>
        <w:t xml:space="preserve"> </w:t>
      </w:r>
      <w:r>
        <w:rPr>
          <w:rFonts w:ascii="Arial" w:cs="Arial" w:eastAsia="Arial" w:hAnsi="Arial"/>
          <w:sz w:val="22"/>
          <w:szCs w:val="22"/>
          <w:color w:val="auto"/>
        </w:rPr>
        <w:t>June 7, 2019 (inception) through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Policy</w:t>
      </w:r>
    </w:p>
    <w:p>
      <w:pPr>
        <w:spacing w:after="0" w:line="239"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9" w:lineRule="exact"/>
        <w:rPr>
          <w:sz w:val="20"/>
          <w:szCs w:val="20"/>
          <w:color w:val="auto"/>
        </w:rPr>
      </w:pPr>
    </w:p>
    <w:p>
      <w:pPr>
        <w:ind w:left="1100" w:hanging="768"/>
        <w:spacing w:after="0"/>
        <w:tabs>
          <w:tab w:leader="none" w:pos="11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following documents are filed as part of this Form 10-K:</w:t>
      </w:r>
    </w:p>
    <w:p>
      <w:pPr>
        <w:spacing w:after="0" w:line="236" w:lineRule="exact"/>
        <w:rPr>
          <w:rFonts w:ascii="Arial" w:cs="Arial" w:eastAsia="Arial" w:hAnsi="Arial"/>
          <w:sz w:val="22"/>
          <w:szCs w:val="22"/>
          <w:color w:val="auto"/>
        </w:rPr>
      </w:pPr>
    </w:p>
    <w:p>
      <w:pPr>
        <w:ind w:left="980" w:hanging="324"/>
        <w:spacing w:after="0"/>
        <w:tabs>
          <w:tab w:leader="none" w:pos="98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Balance Sheet (Restated)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(Restated)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Statement of Changes in Shareholders’ Equity (Restated)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 (Restated)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Notes to Financial Statements (Restated)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F-7</w:t>
            </w: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249"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We hereby file as part of this Annual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5"/>
          </w:tcPr>
          <w:p>
            <w:pPr>
              <w:spacing w:after="0"/>
              <w:rPr>
                <w:rFonts w:ascii="Arial" w:cs="Arial" w:eastAsia="Arial" w:hAnsi="Arial"/>
                <w:sz w:val="14"/>
                <w:szCs w:val="14"/>
                <w:i w:val="1"/>
                <w:iCs w:val="1"/>
                <w:color w:val="0000EE"/>
                <w:w w:val="90"/>
              </w:rPr>
            </w:pPr>
            <w:hyperlink w:anchor="page5">
              <w:r>
                <w:rPr>
                  <w:rFonts w:ascii="Arial" w:cs="Arial" w:eastAsia="Arial" w:hAnsi="Arial"/>
                  <w:sz w:val="14"/>
                  <w:szCs w:val="14"/>
                  <w:i w:val="1"/>
                  <w:iCs w:val="1"/>
                  <w:color w:val="0000EE"/>
                  <w:w w:val="90"/>
                </w:rPr>
                <w:t>Table of Contents</w:t>
              </w:r>
            </w:hyperlink>
          </w:p>
        </w:tc>
        <w:tc>
          <w:tcPr>
            <w:tcW w:w="120" w:type="dxa"/>
            <w:vAlign w:val="bottom"/>
          </w:tcPr>
          <w:p>
            <w:pPr>
              <w:spacing w:after="0"/>
              <w:rPr>
                <w:sz w:val="14"/>
                <w:szCs w:val="14"/>
                <w:color w:val="auto"/>
              </w:rPr>
            </w:pPr>
          </w:p>
        </w:tc>
        <w:tc>
          <w:tcPr>
            <w:tcW w:w="10100" w:type="dxa"/>
            <w:vAlign w:val="bottom"/>
          </w:tcPr>
          <w:p>
            <w:pPr>
              <w:spacing w:after="0"/>
              <w:rPr>
                <w:sz w:val="14"/>
                <w:szCs w:val="14"/>
                <w:color w:val="auto"/>
              </w:rPr>
            </w:pPr>
          </w:p>
        </w:tc>
      </w:tr>
      <w:tr>
        <w:trPr>
          <w:trHeight w:val="405"/>
        </w:trPr>
        <w:tc>
          <w:tcPr>
            <w:tcW w:w="114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20" w:type="dxa"/>
            <w:vAlign w:val="bottom"/>
            <w:tcBorders>
              <w:top w:val="single" w:sz="8" w:color="auto"/>
            </w:tcBorders>
            <w:gridSpan w:val="4"/>
            <w:shd w:val="clear" w:color="auto" w:fill="CCEEFF"/>
          </w:tcPr>
          <w:p>
            <w:pPr>
              <w:jc w:val="right"/>
              <w:spacing w:after="0" w:line="176" w:lineRule="exact"/>
              <w:rPr>
                <w:rFonts w:ascii="Arial" w:cs="Arial" w:eastAsia="Arial" w:hAnsi="Arial"/>
                <w:sz w:val="18"/>
                <w:szCs w:val="18"/>
                <w:color w:val="0000EE"/>
              </w:rPr>
            </w:pPr>
            <w:hyperlink r:id="rId9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6"/>
              </w:rPr>
              <w:t>Amended and Restated Memorandum and Articles of Association (incorporated herein by reference to Exhibit 3.2 of the Company’s</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S-1 (File No. 333-235447) filed with the SEC on July 26, 2019)</w:t>
            </w:r>
          </w:p>
        </w:tc>
      </w:tr>
      <w:tr>
        <w:trPr>
          <w:trHeight w:val="175"/>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3"/>
              </w:rPr>
              <w:t>Amendment to Amended and Restated Memorandum and Articles of Association (incorporated herein by reference to Exhibit 3.1 of the</w:t>
            </w: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Company’s Current Report on Form 8-K filed with the SEC on January 14, 2021)</w:t>
            </w:r>
          </w:p>
        </w:tc>
      </w:tr>
      <w:tr>
        <w:trPr>
          <w:trHeight w:val="176"/>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Description of Securities Registered Pursuant to Section 12 of the Securities Exchange Act of 1934, as Amended (incorporated herein by</w:t>
            </w:r>
          </w:p>
        </w:tc>
      </w:tr>
      <w:tr>
        <w:trPr>
          <w:trHeight w:val="236"/>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4.1 of the Company’s Annual Report on Form 10-K filed with the SEC on March 30, 2020)</w:t>
            </w:r>
          </w:p>
        </w:tc>
      </w:tr>
      <w:tr>
        <w:trPr>
          <w:trHeight w:val="176"/>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4"/>
              </w:rPr>
              <w:t>Warrant Agreement, dated August 7, 2019, between the Company and Continental Stock Transfer &amp; Trust Company, as warrant agent</w:t>
            </w: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4"/>
              </w:rPr>
              <w:t>(incorporated herein by reference to Exhibit 4.1 of the Company’s Current Report on Form 8-K filed with the SEC on August 12, 2019)</w:t>
            </w:r>
          </w:p>
        </w:tc>
      </w:tr>
      <w:tr>
        <w:trPr>
          <w:trHeight w:val="175"/>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Letter Agreement, dated August 7, 2019, among the Company and its officers and directors and Silver Spike Sponsor, LLC (incorporated</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herein by reference to Exhibit 10.1 of the Company’s Current Report on Form 8-K filed with the SEC on August 12, 2019)</w:t>
            </w:r>
          </w:p>
        </w:tc>
      </w:tr>
      <w:tr>
        <w:trPr>
          <w:trHeight w:val="176"/>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4"/>
              </w:rPr>
              <w:t>Investment Management Trust Agreement, dated December 10, 2019, between the Company and Continental Stock Transfer &amp; Trust</w:t>
            </w:r>
          </w:p>
        </w:tc>
      </w:tr>
      <w:tr>
        <w:trPr>
          <w:trHeight w:val="222"/>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Company, as trustee (incorporated herein by reference to Exhibit 10.2 of the Company’s Current Report on Form 8-K filed with the SEC on</w:t>
            </w: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August 12, 2019)</w:t>
            </w:r>
          </w:p>
        </w:tc>
      </w:tr>
      <w:tr>
        <w:trPr>
          <w:trHeight w:val="175"/>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Registration Rights Agreement, dated December 10, 2019, between the Company and certain security holders (incorporated herein by</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10.3 of the Company’s Current Report on Form 8-K filed with the SEC on August 12, 2019)</w:t>
            </w:r>
          </w:p>
        </w:tc>
      </w:tr>
      <w:tr>
        <w:trPr>
          <w:trHeight w:val="176"/>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1"/>
              </w:rPr>
              <w:t>Administrative Services Agreement, dated December 10, 2019, between the Company and Silver Spike Sponsor, LLC (incorporated herein</w:t>
            </w:r>
          </w:p>
        </w:tc>
      </w:tr>
      <w:tr>
        <w:trPr>
          <w:trHeight w:val="236"/>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by reference to Exhibit 10.4 of the Company’s Current Report on Form 8-K filed with the SEC on August 12, 2019)</w:t>
            </w:r>
          </w:p>
        </w:tc>
      </w:tr>
      <w:tr>
        <w:trPr>
          <w:trHeight w:val="176"/>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Sponsor Warrants Purchase Agreement, dated December 10, 2019, between the Company and Silver Spike Sponsor, LLC (incorporated</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herein by reference to Exhibit 10.5 of the Company’s Current Report on Form 8-K filed with the SEC on August 12, 2019)</w:t>
            </w:r>
          </w:p>
        </w:tc>
      </w:tr>
      <w:tr>
        <w:trPr>
          <w:trHeight w:val="175"/>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1"/>
              </w:rPr>
              <w:t>Agreement and Plan of Merger, dated December 10, 2020, by and among Silver Spike, Merger Sub, WMH and the Holder Representative</w:t>
            </w:r>
          </w:p>
        </w:tc>
      </w:tr>
      <w:tr>
        <w:trPr>
          <w:trHeight w:val="222"/>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6"/>
              </w:rPr>
              <w:t>named therein (incorporated herein by reference to Exhibit 2.1 of the Company’s Current Report on Form 8-K filed with the SEC on</w:t>
            </w: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December 10, 2020)</w:t>
            </w:r>
          </w:p>
        </w:tc>
      </w:tr>
      <w:tr>
        <w:trPr>
          <w:trHeight w:val="176"/>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Form of Subscription Agreement (incorporated herein by reference to Exhibit 10.1 of the Company’s Current Report on Form 8-K filed</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the SEC on December 10, 2020)</w:t>
            </w:r>
          </w:p>
        </w:tc>
      </w:tr>
      <w:tr>
        <w:trPr>
          <w:trHeight w:val="175"/>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4"/>
              </w:rPr>
              <w:t>Form of Voting and Support Agreement, dated December 10, 2020 (incorporated herein by reference to Exhibit 10.2 of the Company’s</w:t>
            </w: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Current Report on Form 8-K filed with the SEC on December 16, 2020)</w:t>
            </w:r>
          </w:p>
        </w:tc>
      </w:tr>
      <w:tr>
        <w:trPr>
          <w:trHeight w:val="175"/>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Sponsor Letter Agreement, dated December 10, 2020, by and among Silver Spike, Merger Sub and WMH (incorporated herein by reference</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 Exhibit 10.3 of the Company’s Current Report on Form 8-K filed with the SEC on December 16, 2020)</w:t>
            </w:r>
          </w:p>
        </w:tc>
      </w:tr>
      <w:tr>
        <w:trPr>
          <w:trHeight w:val="175"/>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3"/>
              </w:rPr>
              <w:t>Promissory Note dated February 18, 2021, issued by Silver Spike Acquisition Corp. to the Sponsor (incorporated herein by reference to</w:t>
            </w:r>
          </w:p>
        </w:tc>
      </w:tr>
      <w:tr>
        <w:trPr>
          <w:trHeight w:val="236"/>
        </w:trPr>
        <w:tc>
          <w:tcPr>
            <w:tcW w:w="50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Exhibit 10.1 of the Company’s Current Report on Form 8-K filed with the SEC on February 18, 2021)</w:t>
            </w:r>
          </w:p>
        </w:tc>
      </w:tr>
      <w:tr>
        <w:trPr>
          <w:trHeight w:val="175"/>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the Registrant’s Chief Executive Officer (Principal Executive Officer) Pursuant to Rules 13a-14(a) and 15d-14(a) under the</w:t>
            </w:r>
          </w:p>
        </w:tc>
      </w:tr>
      <w:tr>
        <w:trPr>
          <w:trHeight w:val="237"/>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Exchange Act of 1934, as Adopted Pursuant to Section 302 of the Sarbanes-Oxley Act of 2002*</w:t>
            </w:r>
          </w:p>
        </w:tc>
      </w:tr>
      <w:tr>
        <w:trPr>
          <w:trHeight w:val="175"/>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2"/>
              </w:rPr>
              <w:t>Certification of the Registrant’s Chief Financial Officer (Principal Financial and Accounting Officer) Pursuant to Rules 13a-14(a) and 15d-</w:t>
            </w: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14(a) under the Securities Exchange Act of 1934, as Adopted Pursuant to Section 302 of the Sarbanes-Oxley Act of 2002*</w:t>
            </w:r>
          </w:p>
        </w:tc>
      </w:tr>
      <w:tr>
        <w:trPr>
          <w:trHeight w:val="175"/>
        </w:trPr>
        <w:tc>
          <w:tcPr>
            <w:tcW w:w="1020" w:type="dxa"/>
            <w:vAlign w:val="bottom"/>
            <w:gridSpan w:val="5"/>
            <w:shd w:val="clear" w:color="auto" w:fill="CCEEFF"/>
          </w:tcPr>
          <w:p>
            <w:pPr>
              <w:jc w:val="right"/>
              <w:ind w:right="100"/>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of the Registrant’s Chief Executive Officer (Principal Executive Officer) Pursuant to 18 U.S.C. Section 1350, as Adopted</w:t>
            </w:r>
          </w:p>
        </w:tc>
      </w:tr>
      <w:tr>
        <w:trPr>
          <w:trHeight w:val="236"/>
        </w:trPr>
        <w:tc>
          <w:tcPr>
            <w:tcW w:w="5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176"/>
        </w:trPr>
        <w:tc>
          <w:tcPr>
            <w:tcW w:w="1020" w:type="dxa"/>
            <w:vAlign w:val="bottom"/>
            <w:gridSpan w:val="5"/>
          </w:tcPr>
          <w:p>
            <w:pPr>
              <w:jc w:val="right"/>
              <w:ind w:right="100"/>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20" w:type="dxa"/>
            <w:vAlign w:val="bottom"/>
          </w:tcPr>
          <w:p>
            <w:pPr>
              <w:spacing w:after="0"/>
              <w:rPr>
                <w:sz w:val="15"/>
                <w:szCs w:val="15"/>
                <w:color w:val="auto"/>
              </w:rPr>
            </w:pPr>
          </w:p>
        </w:tc>
        <w:tc>
          <w:tcPr>
            <w:tcW w:w="10100" w:type="dxa"/>
            <w:vAlign w:val="bottom"/>
          </w:tcPr>
          <w:p>
            <w:pPr>
              <w:spacing w:after="0" w:line="176" w:lineRule="exact"/>
              <w:rPr>
                <w:sz w:val="20"/>
                <w:szCs w:val="20"/>
                <w:color w:val="auto"/>
              </w:rPr>
            </w:pPr>
            <w:r>
              <w:rPr>
                <w:rFonts w:ascii="Arial" w:cs="Arial" w:eastAsia="Arial" w:hAnsi="Arial"/>
                <w:sz w:val="18"/>
                <w:szCs w:val="18"/>
                <w:color w:val="auto"/>
                <w:w w:val="93"/>
              </w:rPr>
              <w:t>Certification of the Registrant’s Chief Financial Officer (Principal Financial and Accounting Officer) Pursuant to 18 U.S.C. Section 1350,</w:t>
            </w:r>
          </w:p>
        </w:tc>
      </w:tr>
      <w:tr>
        <w:trPr>
          <w:trHeight w:val="236"/>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as Adopted Pursuant to Section 906 of the Sarbanes-Oxley Act of 2002*</w:t>
            </w:r>
          </w:p>
        </w:tc>
      </w:tr>
      <w:tr>
        <w:trPr>
          <w:trHeight w:val="216"/>
        </w:trPr>
        <w:tc>
          <w:tcPr>
            <w:tcW w:w="11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101.INS</w:t>
            </w: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6"/>
          </w:tcPr>
          <w:p>
            <w:pPr>
              <w:jc w:val="right"/>
              <w:ind w:right="22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101.CAL</w:t>
            </w: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40" w:type="dxa"/>
            <w:vAlign w:val="bottom"/>
            <w:gridSpan w:val="6"/>
          </w:tcPr>
          <w:p>
            <w:pPr>
              <w:jc w:val="right"/>
              <w:ind w:right="22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1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101.LAB</w:t>
            </w: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140" w:type="dxa"/>
            <w:vAlign w:val="bottom"/>
            <w:gridSpan w:val="6"/>
          </w:tcPr>
          <w:p>
            <w:pPr>
              <w:jc w:val="right"/>
              <w:ind w:right="22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797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79780" cy="17145"/>
                    </a:xfrm>
                    <a:prstGeom prst="rect">
                      <a:avLst/>
                    </a:prstGeom>
                    <a:noFill/>
                  </pic:spPr>
                </pic:pic>
              </a:graphicData>
            </a:graphic>
          </wp:anchor>
        </w:drawing>
      </w:r>
    </w:p>
    <w:p>
      <w:pPr>
        <w:spacing w:after="0" w:line="22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40" w:firstLine="324"/>
        <w:spacing w:after="0" w:line="328" w:lineRule="auto"/>
        <w:rPr>
          <w:sz w:val="20"/>
          <w:szCs w:val="20"/>
          <w:color w:val="auto"/>
        </w:rPr>
      </w:pPr>
      <w:r>
        <w:rPr>
          <w:rFonts w:ascii="Arial" w:cs="Arial" w:eastAsia="Arial" w:hAnsi="Arial"/>
          <w:sz w:val="19"/>
          <w:szCs w:val="19"/>
          <w:color w:val="auto"/>
        </w:rPr>
        <w:t>Pursuant to the requirements of Section 13 or 15(d) of the Securities Act of 1934, as amended, the registrant has duly caused this Annual Report on Form 10-K to be signed on its behalf by the undersigned, thereunto duly authorized, on May 12, 2021.</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Scott Gordon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Chairman</w:t>
      </w:r>
    </w:p>
    <w:p>
      <w:pPr>
        <w:spacing w:after="0" w:line="231"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this Annual Report on Form 10-K has been signed by the following persons in the capacity and on the dates indicated.</w:t>
      </w:r>
    </w:p>
    <w:p>
      <w:pPr>
        <w:sectPr>
          <w:pgSz w:w="11900" w:h="16838" w:orient="portrait"/>
          <w:cols w:equalWidth="0" w:num="1">
            <w:col w:w="11240"/>
          </w:cols>
          <w:pgMar w:left="320" w:top="121" w:right="339" w:bottom="1440" w:gutter="0" w:footer="0" w:header="0"/>
        </w:sectPr>
      </w:pP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227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William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Healy</w:t>
      </w:r>
    </w:p>
    <w:p>
      <w:pPr>
        <w:spacing w:after="0" w:line="239" w:lineRule="exact"/>
        <w:rPr>
          <w:sz w:val="20"/>
          <w:szCs w:val="20"/>
          <w:color w:val="auto"/>
        </w:rPr>
      </w:pPr>
    </w:p>
    <w:p>
      <w:pPr>
        <w:ind w:right="480"/>
        <w:spacing w:after="0" w:line="377" w:lineRule="auto"/>
        <w:rPr>
          <w:sz w:val="20"/>
          <w:szCs w:val="20"/>
          <w:color w:val="auto"/>
        </w:rPr>
      </w:pPr>
      <w:r>
        <w:rPr>
          <w:rFonts w:ascii="Arial" w:cs="Arial" w:eastAsia="Arial" w:hAnsi="Arial"/>
          <w:sz w:val="16"/>
          <w:szCs w:val="16"/>
          <w:color w:val="auto"/>
        </w:rPr>
        <w:t>/s/ Gregory M. Gentile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227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Orrin Devinsky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Orrin Devinsky</w:t>
      </w:r>
    </w:p>
    <w:p>
      <w:pPr>
        <w:spacing w:after="0" w:line="239" w:lineRule="exact"/>
        <w:rPr>
          <w:sz w:val="20"/>
          <w:szCs w:val="20"/>
          <w:color w:val="auto"/>
        </w:rPr>
      </w:pPr>
    </w:p>
    <w:p>
      <w:pPr>
        <w:ind w:right="360"/>
        <w:spacing w:after="0" w:line="377" w:lineRule="auto"/>
        <w:rPr>
          <w:sz w:val="20"/>
          <w:szCs w:val="20"/>
          <w:color w:val="auto"/>
        </w:rPr>
      </w:pPr>
      <w:r>
        <w:rPr>
          <w:rFonts w:ascii="Arial" w:cs="Arial" w:eastAsia="Arial" w:hAnsi="Arial"/>
          <w:sz w:val="16"/>
          <w:szCs w:val="16"/>
          <w:color w:val="auto"/>
        </w:rPr>
        <w:t>/s/ Richard M. Goldman Richard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227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90" w:lineRule="exact"/>
        <w:rPr>
          <w:sz w:val="20"/>
          <w:szCs w:val="20"/>
          <w:color w:val="auto"/>
        </w:rPr>
      </w:pPr>
    </w:p>
    <w:p>
      <w:pPr>
        <w:ind w:right="540"/>
        <w:spacing w:after="0" w:line="377" w:lineRule="auto"/>
        <w:rPr>
          <w:sz w:val="20"/>
          <w:szCs w:val="20"/>
          <w:color w:val="auto"/>
        </w:rPr>
      </w:pPr>
      <w:r>
        <w:rPr>
          <w:rFonts w:ascii="Arial" w:cs="Arial" w:eastAsia="Arial" w:hAnsi="Arial"/>
          <w:sz w:val="16"/>
          <w:szCs w:val="16"/>
          <w:color w:val="auto"/>
        </w:rPr>
        <w:t>/s/ Kenneth H. Landis Kenneth H.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227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Borders>
              <w:bottom w:val="single" w:sz="8" w:color="auto"/>
            </w:tcBorders>
          </w:tcPr>
          <w:p>
            <w:pPr>
              <w:ind w:left="3020"/>
              <w:spacing w:after="0"/>
              <w:rPr>
                <w:sz w:val="20"/>
                <w:szCs w:val="20"/>
                <w:color w:val="auto"/>
              </w:rPr>
            </w:pPr>
            <w:r>
              <w:rPr>
                <w:rFonts w:ascii="Arial" w:cs="Arial" w:eastAsia="Arial" w:hAnsi="Arial"/>
                <w:sz w:val="18"/>
                <w:szCs w:val="18"/>
                <w:b w:val="1"/>
                <w:bCs w:val="1"/>
                <w:color w:val="auto"/>
              </w:rPr>
              <w:t>Positon</w:t>
            </w:r>
          </w:p>
        </w:tc>
        <w:tc>
          <w:tcPr>
            <w:tcW w:w="100" w:type="dxa"/>
            <w:vAlign w:val="bottom"/>
          </w:tcPr>
          <w:p>
            <w:pPr>
              <w:spacing w:after="0"/>
              <w:rPr>
                <w:sz w:val="20"/>
                <w:szCs w:val="20"/>
                <w:color w:val="auto"/>
              </w:rPr>
            </w:pPr>
          </w:p>
        </w:tc>
        <w:tc>
          <w:tcPr>
            <w:tcW w:w="16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r>
      <w:tr>
        <w:trPr>
          <w:trHeight w:val="432"/>
        </w:trPr>
        <w:tc>
          <w:tcPr>
            <w:tcW w:w="672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(Principal Executive Officer)</w:t>
            </w:r>
          </w:p>
        </w:tc>
        <w:tc>
          <w:tcPr>
            <w:tcW w:w="1680" w:type="dxa"/>
            <w:vAlign w:val="bottom"/>
          </w:tcPr>
          <w:p>
            <w:pPr>
              <w:spacing w:after="0"/>
              <w:rPr>
                <w:sz w:val="20"/>
                <w:szCs w:val="20"/>
                <w:color w:val="auto"/>
              </w:rPr>
            </w:pPr>
            <w:r>
              <w:rPr>
                <w:rFonts w:ascii="Arial" w:cs="Arial" w:eastAsia="Arial" w:hAnsi="Arial"/>
                <w:sz w:val="18"/>
                <w:szCs w:val="18"/>
                <w:color w:val="auto"/>
              </w:rPr>
              <w:t>May 12, 2021</w:t>
            </w:r>
          </w:p>
        </w:tc>
      </w:tr>
      <w:tr>
        <w:trPr>
          <w:trHeight w:val="688"/>
        </w:trPr>
        <w:tc>
          <w:tcPr>
            <w:tcW w:w="67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680" w:type="dxa"/>
            <w:vAlign w:val="bottom"/>
          </w:tcPr>
          <w:p>
            <w:pPr>
              <w:spacing w:after="0"/>
              <w:rPr>
                <w:sz w:val="20"/>
                <w:szCs w:val="20"/>
                <w:color w:val="auto"/>
              </w:rPr>
            </w:pPr>
            <w:r>
              <w:rPr>
                <w:rFonts w:ascii="Arial" w:cs="Arial" w:eastAsia="Arial" w:hAnsi="Arial"/>
                <w:sz w:val="18"/>
                <w:szCs w:val="18"/>
                <w:color w:val="auto"/>
              </w:rPr>
              <w:t>May 12, 2021</w:t>
            </w:r>
          </w:p>
        </w:tc>
      </w:tr>
      <w:tr>
        <w:trPr>
          <w:trHeight w:val="689"/>
        </w:trPr>
        <w:tc>
          <w:tcPr>
            <w:tcW w:w="672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680" w:type="dxa"/>
            <w:vAlign w:val="bottom"/>
          </w:tcPr>
          <w:p>
            <w:pPr>
              <w:spacing w:after="0"/>
              <w:rPr>
                <w:sz w:val="20"/>
                <w:szCs w:val="20"/>
                <w:color w:val="auto"/>
              </w:rPr>
            </w:pPr>
            <w:r>
              <w:rPr>
                <w:rFonts w:ascii="Arial" w:cs="Arial" w:eastAsia="Arial" w:hAnsi="Arial"/>
                <w:sz w:val="18"/>
                <w:szCs w:val="18"/>
                <w:color w:val="auto"/>
              </w:rPr>
              <w:t>May 12, 2021</w:t>
            </w:r>
          </w:p>
        </w:tc>
      </w:tr>
      <w:tr>
        <w:trPr>
          <w:trHeight w:val="688"/>
        </w:trPr>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May 12, 2021</w:t>
            </w:r>
          </w:p>
        </w:tc>
      </w:tr>
      <w:tr>
        <w:trPr>
          <w:trHeight w:val="688"/>
        </w:trPr>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May 12, 2021</w:t>
            </w:r>
          </w:p>
        </w:tc>
      </w:tr>
      <w:tr>
        <w:trPr>
          <w:trHeight w:val="688"/>
        </w:trPr>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May 12, 2021</w:t>
            </w:r>
          </w:p>
        </w:tc>
      </w:tr>
    </w:tbl>
    <w:p>
      <w:pPr>
        <w:spacing w:after="0" w:line="561" w:lineRule="exact"/>
        <w:rPr>
          <w:sz w:val="20"/>
          <w:szCs w:val="20"/>
          <w:color w:val="auto"/>
        </w:rPr>
      </w:pPr>
    </w:p>
    <w:p>
      <w:pPr>
        <w:sectPr>
          <w:pgSz w:w="11900" w:h="16838" w:orient="portrait"/>
          <w:cols w:equalWidth="0" w:num="2">
            <w:col w:w="2120" w:space="720"/>
            <w:col w:w="8400"/>
          </w:cols>
          <w:pgMar w:left="320" w:top="121" w:right="339" w:bottom="1440" w:gutter="0" w:footer="0" w:header="0"/>
          <w:type w:val="continuous"/>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60" w:type="dxa"/>
            <w:vAlign w:val="bottom"/>
            <w:gridSpan w:val="7"/>
            <w:shd w:val="clear" w:color="auto" w:fill="CCEEFF"/>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34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F-2</w:t>
            </w:r>
          </w:p>
        </w:tc>
      </w:tr>
      <w:tr>
        <w:trPr>
          <w:trHeight w:val="216"/>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3540" w:type="dxa"/>
            <w:vAlign w:val="bottom"/>
            <w:tcBorders>
              <w:top w:val="single" w:sz="8" w:color="CCEEFF"/>
            </w:tcBorders>
            <w:gridSpan w:val="2"/>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r>
      <w:tr>
        <w:trPr>
          <w:trHeight w:val="176"/>
        </w:trPr>
        <w:tc>
          <w:tcPr>
            <w:tcW w:w="7760" w:type="dxa"/>
            <w:vAlign w:val="bottom"/>
            <w:gridSpan w:val="7"/>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Balance Sheets (Restated)</w:t>
              </w:r>
            </w:hyperlink>
          </w:p>
        </w:tc>
        <w:tc>
          <w:tcPr>
            <w:tcW w:w="3480" w:type="dxa"/>
            <w:vAlign w:val="bottom"/>
            <w:shd w:val="clear" w:color="auto" w:fill="CCEEFF"/>
          </w:tcPr>
          <w:p>
            <w:pPr>
              <w:ind w:left="2580"/>
              <w:spacing w:after="0" w:line="176" w:lineRule="exact"/>
              <w:rPr>
                <w:sz w:val="20"/>
                <w:szCs w:val="20"/>
                <w:color w:val="auto"/>
              </w:rPr>
            </w:pPr>
            <w:r>
              <w:rPr>
                <w:rFonts w:ascii="Arial" w:cs="Arial" w:eastAsia="Arial" w:hAnsi="Arial"/>
                <w:sz w:val="18"/>
                <w:szCs w:val="18"/>
                <w:color w:val="auto"/>
              </w:rPr>
              <w:t>F-3</w:t>
            </w:r>
          </w:p>
        </w:tc>
      </w:tr>
      <w:tr>
        <w:trPr>
          <w:trHeight w:val="20"/>
        </w:trPr>
        <w:tc>
          <w:tcPr>
            <w:tcW w:w="28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760" w:type="dxa"/>
            <w:vAlign w:val="bottom"/>
            <w:gridSpan w:val="7"/>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Operations (Restated)</w:t>
              </w:r>
            </w:hyperlink>
          </w:p>
        </w:tc>
        <w:tc>
          <w:tcPr>
            <w:tcW w:w="3480" w:type="dxa"/>
            <w:vAlign w:val="bottom"/>
          </w:tcPr>
          <w:p>
            <w:pPr>
              <w:ind w:left="2580"/>
              <w:spacing w:after="0" w:line="176" w:lineRule="exact"/>
              <w:rPr>
                <w:sz w:val="20"/>
                <w:szCs w:val="20"/>
                <w:color w:val="auto"/>
              </w:rPr>
            </w:pPr>
            <w:r>
              <w:rPr>
                <w:rFonts w:ascii="Arial" w:cs="Arial" w:eastAsia="Arial" w:hAnsi="Arial"/>
                <w:sz w:val="18"/>
                <w:szCs w:val="18"/>
                <w:color w:val="auto"/>
              </w:rPr>
              <w:t>F-4</w:t>
            </w: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7760" w:type="dxa"/>
            <w:vAlign w:val="bottom"/>
            <w:gridSpan w:val="7"/>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Changes in Shareholders’ Equity (Restated)</w:t>
              </w:r>
            </w:hyperlink>
          </w:p>
        </w:tc>
        <w:tc>
          <w:tcPr>
            <w:tcW w:w="3480" w:type="dxa"/>
            <w:vAlign w:val="bottom"/>
            <w:shd w:val="clear" w:color="auto" w:fill="CCEEFF"/>
          </w:tcPr>
          <w:p>
            <w:pPr>
              <w:ind w:left="2580"/>
              <w:spacing w:after="0" w:line="176" w:lineRule="exact"/>
              <w:rPr>
                <w:sz w:val="20"/>
                <w:szCs w:val="20"/>
                <w:color w:val="auto"/>
              </w:rPr>
            </w:pPr>
            <w:r>
              <w:rPr>
                <w:rFonts w:ascii="Arial" w:cs="Arial" w:eastAsia="Arial" w:hAnsi="Arial"/>
                <w:sz w:val="18"/>
                <w:szCs w:val="18"/>
                <w:color w:val="auto"/>
              </w:rPr>
              <w:t>F-5</w:t>
            </w:r>
          </w:p>
        </w:tc>
      </w:tr>
      <w:tr>
        <w:trPr>
          <w:trHeight w:val="175"/>
        </w:trPr>
        <w:tc>
          <w:tcPr>
            <w:tcW w:w="51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Cash Flows (Restated)</w:t>
              </w:r>
            </w:hyperlink>
          </w:p>
        </w:tc>
        <w:tc>
          <w:tcPr>
            <w:tcW w:w="2580" w:type="dxa"/>
            <w:vAlign w:val="bottom"/>
            <w:tcBorders>
              <w:top w:val="single" w:sz="8" w:color="CCEEFF"/>
            </w:tcBorders>
          </w:tcPr>
          <w:p>
            <w:pPr>
              <w:spacing w:after="0"/>
              <w:rPr>
                <w:sz w:val="15"/>
                <w:szCs w:val="15"/>
                <w:color w:val="auto"/>
              </w:rPr>
            </w:pPr>
          </w:p>
        </w:tc>
        <w:tc>
          <w:tcPr>
            <w:tcW w:w="3480" w:type="dxa"/>
            <w:vAlign w:val="bottom"/>
            <w:tcBorders>
              <w:top w:val="single" w:sz="8" w:color="CCEEFF"/>
            </w:tcBorders>
          </w:tcPr>
          <w:p>
            <w:pPr>
              <w:ind w:left="2580"/>
              <w:spacing w:after="0" w:line="176" w:lineRule="exact"/>
              <w:rPr>
                <w:sz w:val="20"/>
                <w:szCs w:val="20"/>
                <w:color w:val="auto"/>
              </w:rPr>
            </w:pPr>
            <w:r>
              <w:rPr>
                <w:rFonts w:ascii="Arial" w:cs="Arial" w:eastAsia="Arial" w:hAnsi="Arial"/>
                <w:sz w:val="18"/>
                <w:szCs w:val="18"/>
                <w:color w:val="auto"/>
              </w:rPr>
              <w:t>F-6</w:t>
            </w: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7760" w:type="dxa"/>
            <w:vAlign w:val="bottom"/>
            <w:gridSpan w:val="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 (Restated)</w:t>
              </w:r>
            </w:hyperlink>
          </w:p>
        </w:tc>
        <w:tc>
          <w:tcPr>
            <w:tcW w:w="3480" w:type="dxa"/>
            <w:vAlign w:val="bottom"/>
            <w:shd w:val="clear" w:color="auto" w:fill="CCEEFF"/>
          </w:tcPr>
          <w:p>
            <w:pPr>
              <w:ind w:left="2580"/>
              <w:spacing w:after="0" w:line="176" w:lineRule="exact"/>
              <w:rPr>
                <w:sz w:val="20"/>
                <w:szCs w:val="20"/>
                <w:color w:val="auto"/>
              </w:rPr>
            </w:pPr>
            <w:r>
              <w:rPr>
                <w:rFonts w:ascii="Arial" w:cs="Arial" w:eastAsia="Arial" w:hAnsi="Arial"/>
                <w:sz w:val="18"/>
                <w:szCs w:val="18"/>
                <w:color w:val="auto"/>
                <w:w w:val="98"/>
              </w:rPr>
              <w:t>F-7 to F-23</w:t>
            </w:r>
          </w:p>
        </w:tc>
      </w:tr>
      <w:tr>
        <w:trPr>
          <w:trHeight w:val="439"/>
        </w:trPr>
        <w:tc>
          <w:tcPr>
            <w:tcW w:w="28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2580" w:type="dxa"/>
            <w:vAlign w:val="bottom"/>
            <w:tcBorders>
              <w:top w:val="single" w:sz="8" w:color="CCEEFF"/>
              <w:bottom w:val="single" w:sz="8" w:color="auto"/>
            </w:tcBorders>
          </w:tcPr>
          <w:p>
            <w:pPr>
              <w:spacing w:after="0"/>
              <w:rPr>
                <w:sz w:val="24"/>
                <w:szCs w:val="24"/>
                <w:color w:val="auto"/>
              </w:rPr>
            </w:pPr>
          </w:p>
        </w:tc>
        <w:tc>
          <w:tcPr>
            <w:tcW w:w="3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Silver Spike Acquisition Corp.</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have audited the accompanying consolidated balance sheets of Silver Spike Acquisition Corp. (the “Company”) as of December 31, 2020 and 2019, the related consolidated statements of operations, changes in shareholders’ equity and cash flows for year ended December 31, 2020 and for the period from June 7,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June 7, 2019 (inception) through December 31, 2019,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Explanatory Paragraph – Going Concern</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accompanying consolidated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Restatement of Previously Issued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discussed in Note 2 , the accompanying financial statements as of December 31, 2020 and 2019 and for the year ended December 31, 2020 and for the period June 7, 2019 (inception) through December 31, 2019, have been restated to correct an error.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Marcum LLP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line="8" w:lineRule="exact"/>
        <w:rPr>
          <w:sz w:val="20"/>
          <w:szCs w:val="20"/>
          <w:color w:val="auto"/>
        </w:rPr>
      </w:pPr>
    </w:p>
    <w:p>
      <w:pPr>
        <w:ind w:right="4180"/>
        <w:spacing w:after="0" w:line="236" w:lineRule="auto"/>
        <w:rPr>
          <w:sz w:val="20"/>
          <w:szCs w:val="20"/>
          <w:color w:val="auto"/>
        </w:rPr>
      </w:pPr>
      <w:r>
        <w:rPr>
          <w:rFonts w:ascii="Arial" w:cs="Arial" w:eastAsia="Arial" w:hAnsi="Arial"/>
          <w:sz w:val="22"/>
          <w:szCs w:val="22"/>
          <w:color w:val="auto"/>
        </w:rPr>
        <w:t>March 8, 2021, except for the effects of the restatement disclosed in Note 2 to the financial statements, as to which the date is May 12, 2021.</w:t>
      </w:r>
    </w:p>
    <w:p>
      <w:pPr>
        <w:sectPr>
          <w:pgSz w:w="11900" w:h="16838" w:orient="portrait"/>
          <w:cols w:equalWidth="0" w:num="1">
            <w:col w:w="11240"/>
          </w:cols>
          <w:pgMar w:left="320" w:top="121" w:right="339" w:bottom="856"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56"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 (As Restated)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894,589</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30,833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257,110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343,540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254,187,706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251,924,993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254,531,246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63,680,000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13,260,000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75,582,970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22,106,895</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subject to possible redemption, 17,108,250 and 22,424,313 shares at redemption value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December 31, 2020 and 2019,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173,948,273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225,969,796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Class A ordinary shares, $0.0001 par value; 200,000,000 shares authorized; 7,891,750 and 2,575,687 shares issued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0"/>
              </w:rPr>
              <w:t>and outstanding (excluding 17,108,250 and 22,424,313 shares subject to possible redemption) at December 31, 2020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and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6,250,000 shares issued and outstanding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2020 and 2019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52,020,992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(47,022,403)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4,999,118</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5,000,003</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254,531,246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253,076,692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2060"/>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 (As Restated)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June 7, 2019</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868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3,864,234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Compensation Expense</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(3,864,234)</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(586,834)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2,257,985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1,812,577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(50,420,000)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(630,591)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(48,157,287)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5,939,402</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(52,021,521)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5,352,568</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Ordinary shares subject to redemption</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22,226,328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21,936,952</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 redemption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9,023,672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8,367,106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(5.94)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2060"/>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SHAREHOLDERS’ EQUITY (As Restated)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1940" w:type="dxa"/>
            <w:vAlign w:val="bottom"/>
          </w:tcPr>
          <w:p>
            <w:pPr>
              <w:spacing w:after="0"/>
              <w:rPr>
                <w:sz w:val="18"/>
                <w:szCs w:val="18"/>
                <w:color w:val="auto"/>
              </w:rPr>
            </w:pPr>
          </w:p>
        </w:tc>
        <w:tc>
          <w:tcPr>
            <w:tcW w:w="27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Class A Ordinary Shares</w:t>
            </w:r>
          </w:p>
        </w:tc>
        <w:tc>
          <w:tcPr>
            <w:tcW w:w="26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Class B Ordinary Shares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19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Balance – June 7, 2019</w:t>
            </w: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(inception)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ordinary shares to</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Sponsor</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7,187,500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25,000,000</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net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underwriting discounts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offering expenses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225,589,729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225,592,229</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937,500</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 ordinary</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ordinary shares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possible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(22,424,313)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(225,614,104)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(353,450)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(225,969,796)</w:t>
            </w:r>
          </w:p>
        </w:tc>
      </w:tr>
      <w:tr>
        <w:trPr>
          <w:trHeight w:val="216"/>
        </w:trPr>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5,352,568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5,352,568</w:t>
            </w:r>
          </w:p>
        </w:tc>
      </w:tr>
      <w:tr>
        <w:trPr>
          <w:trHeight w:val="216"/>
        </w:trPr>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31, 2019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2,575,687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6,250,000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4,999,118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5,000,001</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value of Class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 ordinary shares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possible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5,316,063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52,020,992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52,021,523</w:t>
            </w:r>
          </w:p>
        </w:tc>
      </w:tr>
      <w:tr>
        <w:trPr>
          <w:trHeight w:val="216"/>
        </w:trPr>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(52,021,521)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(52,021,521)</w:t>
            </w:r>
          </w:p>
        </w:tc>
      </w:tr>
      <w:tr>
        <w:trPr>
          <w:trHeight w:val="216"/>
        </w:trPr>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7,891,750</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52,020,992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(47,022,403)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5,000,003</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2060"/>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(As Restated)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2"/>
              </w:rPr>
              <w:t>Period</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9"/>
              </w:rPr>
              <w:t>from June 7,</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868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(52,201,521)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5,352,568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(2,257,985)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(1,812,577)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50,420,000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(4,645,000)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280,000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630,591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(112,416)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(257,110)</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3,056,075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96,895</w:t>
            </w:r>
          </w:p>
        </w:tc>
      </w:tr>
      <w:tr>
        <w:trPr>
          <w:trHeight w:val="223"/>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(581,882)</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(467,049)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2"/>
              </w:rPr>
              <w:t>(250,000,000)</w:t>
            </w:r>
          </w:p>
        </w:tc>
      </w:tr>
      <w:tr>
        <w:trPr>
          <w:trHeight w:val="223"/>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(250,000,000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245,000,000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7,000,000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237,470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(237,470)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(638,362)</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251,361,638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(581,882)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894,589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 Beginning</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894,589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312,707</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894,589</w:t>
            </w:r>
          </w:p>
        </w:tc>
        <w:tc>
          <w:tcPr>
            <w:tcW w:w="10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219,701,630</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(52,021,523</w:t>
            </w:r>
          </w:p>
        </w:tc>
        <w:tc>
          <w:tcPr>
            <w:tcW w:w="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6,268,166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Offering costs paid directly by Sponsor for issuance of Class B ordinary shares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ind w:left="2060"/>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ORGANIZATION AND BUSINESS OPERATIONS</w:t>
      </w:r>
    </w:p>
    <w:p>
      <w:pPr>
        <w:spacing w:after="0" w:line="24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12" w:lineRule="exact"/>
        <w:rPr>
          <w:sz w:val="20"/>
          <w:szCs w:val="20"/>
          <w:color w:val="auto"/>
        </w:rPr>
      </w:pPr>
    </w:p>
    <w:p>
      <w:pPr>
        <w:ind w:right="300" w:firstLine="324"/>
        <w:spacing w:after="0"/>
        <w:rPr>
          <w:sz w:val="20"/>
          <w:szCs w:val="20"/>
          <w:color w:val="auto"/>
        </w:rPr>
      </w:pPr>
      <w:r>
        <w:rPr>
          <w:rFonts w:ascii="Arial" w:cs="Arial" w:eastAsia="Arial" w:hAnsi="Arial"/>
          <w:sz w:val="22"/>
          <w:szCs w:val="22"/>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21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The Company has one subsidiary, Silver Spike Merger Sub LLC, a wholly-owned subsidiary of the Company incorporated in Delaware on December 7, 2020 (“Merger Sub”).</w:t>
      </w:r>
    </w:p>
    <w:p>
      <w:pPr>
        <w:spacing w:after="0" w:line="202" w:lineRule="exact"/>
        <w:rPr>
          <w:sz w:val="20"/>
          <w:szCs w:val="20"/>
          <w:color w:val="auto"/>
        </w:rPr>
      </w:pPr>
    </w:p>
    <w:p>
      <w:pPr>
        <w:ind w:right="120" w:firstLine="324"/>
        <w:spacing w:after="0" w:line="248" w:lineRule="auto"/>
        <w:rPr>
          <w:sz w:val="20"/>
          <w:szCs w:val="20"/>
          <w:color w:val="auto"/>
        </w:rPr>
      </w:pPr>
      <w:r>
        <w:rPr>
          <w:rFonts w:ascii="Arial" w:cs="Arial" w:eastAsia="Arial" w:hAnsi="Arial"/>
          <w:sz w:val="21"/>
          <w:szCs w:val="21"/>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7).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04"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4.</w:t>
      </w:r>
    </w:p>
    <w:p>
      <w:pPr>
        <w:spacing w:after="0" w:line="21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21"/>
          <w:szCs w:val="21"/>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5.</w:t>
      </w:r>
    </w:p>
    <w:p>
      <w:pPr>
        <w:spacing w:after="0" w:line="196" w:lineRule="exact"/>
        <w:rPr>
          <w:sz w:val="20"/>
          <w:szCs w:val="20"/>
          <w:color w:val="auto"/>
        </w:rPr>
      </w:pPr>
    </w:p>
    <w:p>
      <w:pPr>
        <w:ind w:right="340" w:firstLine="324"/>
        <w:spacing w:after="0" w:line="297" w:lineRule="auto"/>
        <w:rPr>
          <w:sz w:val="20"/>
          <w:szCs w:val="20"/>
          <w:color w:val="auto"/>
        </w:rPr>
      </w:pPr>
      <w:r>
        <w:rPr>
          <w:rFonts w:ascii="Arial" w:cs="Arial" w:eastAsia="Arial" w:hAnsi="Arial"/>
          <w:sz w:val="19"/>
          <w:szCs w:val="19"/>
          <w:color w:val="auto"/>
        </w:rPr>
        <w:t>Transaction costs amounted to $14,413,362, consisting of $5,000,000 of underwriting fees, $8,750,000 of deferred underwriting fees and $663,362 of other offering costs. $630,591 of the total transaction costs were deemed attributable to the initial warrant derivative liability and thus were reclassified from equity to an expense of the Company.</w:t>
      </w:r>
    </w:p>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179"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8). There will be no redemption rights upon the completion of a Business Combination with respect to the Company’s warrants.</w:t>
      </w:r>
    </w:p>
    <w:p>
      <w:pPr>
        <w:spacing w:after="0" w:line="208"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6)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87"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15"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00" w:lineRule="exact"/>
        <w:rPr>
          <w:sz w:val="20"/>
          <w:szCs w:val="20"/>
          <w:color w:val="auto"/>
        </w:rPr>
      </w:pPr>
    </w:p>
    <w:p>
      <w:pPr>
        <w:spacing w:after="0" w:line="23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9"/>
          <w:szCs w:val="19"/>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ectPr>
          <w:pgSz w:w="11900" w:h="16838" w:orient="portrait"/>
          <w:cols w:equalWidth="0" w:num="1">
            <w:col w:w="11220"/>
          </w:cols>
          <w:pgMar w:left="320" w:top="121" w:right="359"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24" w:gutter="0" w:footer="0" w:header="0"/>
          <w:type w:val="continuous"/>
        </w:sectPr>
      </w:pPr>
    </w:p>
    <w:bookmarkStart w:id="94" w:name="page95"/>
    <w:bookmarkEnd w:id="9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80" w:firstLine="324"/>
        <w:spacing w:after="0"/>
        <w:rPr>
          <w:sz w:val="20"/>
          <w:szCs w:val="20"/>
          <w:color w:val="auto"/>
        </w:rPr>
      </w:pPr>
      <w:r>
        <w:rPr>
          <w:rFonts w:ascii="Arial" w:cs="Arial" w:eastAsia="Arial" w:hAnsi="Arial"/>
          <w:sz w:val="22"/>
          <w:szCs w:val="22"/>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 (see Note 10).</w:t>
      </w:r>
    </w:p>
    <w:p>
      <w:pPr>
        <w:spacing w:after="0" w:line="213"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Liquidity and Going Concern</w:t>
      </w:r>
    </w:p>
    <w:p>
      <w:pPr>
        <w:spacing w:after="0" w:line="233"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9"/>
          <w:szCs w:val="19"/>
          <w:color w:val="auto"/>
        </w:rPr>
        <w:t>As of December 31, 2020, the Company had $312,707 in its operating bank accounts, $254,187,706 in securities held in the Trust Account to be used for a Business Combination or to repurchase or redeem its ordinary shares in connection therewith and working capital deficit of $2,809,430. As of December 31, 2020, approximately $4,188,000 of the amount on deposit in the Trust Account represented interest income, which is available to pay the Company’s tax obligations.</w:t>
      </w:r>
    </w:p>
    <w:p>
      <w:pPr>
        <w:spacing w:after="0" w:line="17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On February 18, 2021, the Company issued an unsecured promissory note (the “Note”) in the amount of up to $750,000 to the Sponsor for general working capital purposes (see Note 11).</w:t>
      </w:r>
    </w:p>
    <w:p>
      <w:pPr>
        <w:spacing w:after="0" w:line="202"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21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9"/>
          <w:szCs w:val="19"/>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Risks and Uncertainties</w:t>
      </w:r>
    </w:p>
    <w:p>
      <w:pPr>
        <w:spacing w:after="0" w:line="233"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RESTATEMENT OF PREVIOUSLY ISSUED FINANCIAL STATEMENTS</w:t>
      </w:r>
    </w:p>
    <w:p>
      <w:pPr>
        <w:spacing w:after="0" w:line="239" w:lineRule="exact"/>
        <w:rPr>
          <w:sz w:val="20"/>
          <w:szCs w:val="20"/>
          <w:color w:val="auto"/>
        </w:rPr>
      </w:pPr>
    </w:p>
    <w:p>
      <w:pPr>
        <w:ind w:right="100" w:firstLine="324"/>
        <w:spacing w:after="0" w:line="245" w:lineRule="auto"/>
        <w:rPr>
          <w:sz w:val="20"/>
          <w:szCs w:val="20"/>
          <w:color w:val="auto"/>
        </w:rPr>
      </w:pPr>
      <w:r>
        <w:rPr>
          <w:rFonts w:ascii="Arial" w:cs="Arial" w:eastAsia="Arial" w:hAnsi="Arial"/>
          <w:sz w:val="21"/>
          <w:szCs w:val="21"/>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the Company’s warrants. As a result of the SEC Statement, the Company reevaluated the accounting treatment of (i) the 12,500,000 redeemable warrants (the “Public Warrants”) that were included in the units issued by the Company in its initial public offering and (ii) the 7,000,000 redeemable warrants that were issued to the Company’s sponsor in a private placement that closed concurrently with the closing of the IPO. The Company previously accounted for the Warrants as components of equity.</w:t>
      </w:r>
    </w:p>
    <w:p>
      <w:pPr>
        <w:spacing w:after="0" w:line="208"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ordinary shares, all holders of the warrants would be entitled to receive cash for their warrants (the “tender offer provision”).</w:t>
      </w:r>
    </w:p>
    <w:p>
      <w:pPr>
        <w:spacing w:after="0" w:line="177"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The Company’s Private Placement Warrants are not indexed to the Company’s ordinary shares in the manner contemplated by ASC Section 815-40-15 because the holder of the instrument is not an input into the pricing of a fixed-for-fixed option on equity shares. In addition, the tender offer provision included in the warrant agreement fails the “classified in shareholders’ equity” criteria as contemplated by ASC Section 815-40-25.</w:t>
      </w:r>
    </w:p>
    <w:p>
      <w:pPr>
        <w:spacing w:after="0" w:line="188"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212" w:lineRule="exact"/>
        <w:rPr>
          <w:sz w:val="20"/>
          <w:szCs w:val="20"/>
          <w:color w:val="auto"/>
        </w:rPr>
      </w:pPr>
    </w:p>
    <w:p>
      <w:pPr>
        <w:ind w:right="280" w:firstLine="324"/>
        <w:spacing w:after="0"/>
        <w:rPr>
          <w:sz w:val="20"/>
          <w:szCs w:val="20"/>
          <w:color w:val="auto"/>
        </w:rPr>
      </w:pPr>
      <w:r>
        <w:rPr>
          <w:rFonts w:ascii="Arial" w:cs="Arial" w:eastAsia="Arial" w:hAnsi="Arial"/>
          <w:sz w:val="22"/>
          <w:szCs w:val="22"/>
          <w:color w:val="auto"/>
        </w:rPr>
        <w:t>In addition, a portion of the initial transaction costs related to the IPO and attributable to the warrants must be immediately expensed, and the difference between the fair market value of the private placement warrants and the initial purchase consideration thereof is recorded as a compensation expense.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5">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As Previously</w:t>
            </w:r>
          </w:p>
        </w:tc>
        <w:tc>
          <w:tcPr>
            <w:tcW w:w="120" w:type="dxa"/>
            <w:vAlign w:val="bottom"/>
          </w:tcPr>
          <w:p>
            <w:pPr>
              <w:spacing w:after="0"/>
              <w:rPr>
                <w:sz w:val="24"/>
                <w:szCs w:val="2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24"/>
                <w:szCs w:val="24"/>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8"/>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as of August 12, 2019 (audited)</w:t>
            </w:r>
          </w:p>
        </w:tc>
        <w:tc>
          <w:tcPr>
            <w:tcW w:w="12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9,194,592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27,099,592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237,606,630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(17,905,000)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219,701,630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5,004,165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910,412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5,914,577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(910,591)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(915,591)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2019 (unaudited)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8,826,397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18,365,000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27,191,397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238,159,760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(18,365,000)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219,794,760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4,451,128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1,370,408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5,821,536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548,123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(1,370,591)</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(822,468)</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December 31, 2019 (audited)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8,846,895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22,106,895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239,229,796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(13,260,000)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225,969,796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3,381,091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(3,381,091)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1,618,159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3,380,959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4,999,118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March 31, 2020 (unaudited)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9,163,720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13,065,000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22,228,720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240,856,900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(13,065,000)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227,791,900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1,753,984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(1,753,984)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3,245,266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1,753,855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4,999,121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9,187,458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16,050,000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25,237,458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240,695,088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(16,050,000)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224,645,088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1,915,793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(591,117)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1,324,676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3,083,457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590,959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3,674,416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9,247,425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17,355,000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26,602,425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240,581,127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(17,355,000)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223,226,127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2,029,753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713,870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2,743,623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2,969,497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(714,041)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2,255,456</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11,902,970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63,680,000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75,582,970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237,628,272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(63,679,999)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173,948,273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4,982,578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47,038,414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52,020,992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(47,039,041)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(47,022,403)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2019 (unaudited)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553,123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(1,370,591)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(817,468)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ordinary shares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21,970,163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21,970,163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 subject to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6,910,082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953,636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7,863,718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2019 (unaudited)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548,123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(1,370,591)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(822,468)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rFonts w:ascii="Arial" w:cs="Arial" w:eastAsia="Arial" w:hAnsi="Arial"/>
                <w:sz w:val="14"/>
                <w:szCs w:val="14"/>
                <w:i w:val="1"/>
                <w:iCs w:val="1"/>
                <w:color w:val="0000EE"/>
              </w:rPr>
            </w:pPr>
            <w:hyperlink w:anchor="page5">
              <w:r>
                <w:rPr>
                  <w:rFonts w:ascii="Arial" w:cs="Arial" w:eastAsia="Arial" w:hAnsi="Arial"/>
                  <w:sz w:val="14"/>
                  <w:szCs w:val="14"/>
                  <w:i w:val="1"/>
                  <w:iCs w:val="1"/>
                  <w:color w:val="0000EE"/>
                </w:rPr>
                <w:t>Table of Contents</w:t>
              </w:r>
            </w:hyperlink>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4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As Previously</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As Restated</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21,970,163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21,970,163</w:t>
            </w: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Basic and diluted net loss per share, ordinary shares subject to redemption</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6,792,210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783,344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7,575,554</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216"/>
        </w:trPr>
        <w:tc>
          <w:tcPr>
            <w:tcW w:w="10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 (audited)</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1,618,159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3,734,409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5,352,568</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23,754,184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(1,817,232)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21,936,952</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89"/>
              </w:rPr>
              <w:t>Basic and diluted earnings per share, ordinary shares subject to redemption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7,111,079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1,256,028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8,367,106</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10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2020 (unaudited)</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1,627,107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1,822,107</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22,424,313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22,424,313</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Basic and diluted earnings per share, ordinary shares subject to redemption</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7,509,819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1,315,868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8,825,687</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10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2020 (unaudited)</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(161,809)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(2,985,000)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(3,146,809)</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22,419,605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22,419,605</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7,544,519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1,285,876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8,830,395</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r>
      <w:tr>
        <w:trPr>
          <w:trHeight w:val="216"/>
        </w:trPr>
        <w:tc>
          <w:tcPr>
            <w:tcW w:w="10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2020 (unaudited)</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1,465,298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(2,790,000)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(1,324,702)</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22,421,959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22,421,959</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89"/>
              </w:rPr>
              <w:t>Basic and diluted earnings per share, ordinary shares subject to redemption</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7,527,169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1,300,872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8,828,041</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r>
      <w:tr>
        <w:trPr>
          <w:trHeight w:val="216"/>
        </w:trPr>
        <w:tc>
          <w:tcPr>
            <w:tcW w:w="10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2020 (unaudited)</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(113,960)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(1,418,960)</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22,104,581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22,104,581</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7,566,134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1,579,285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9,145,419</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r>
      <w:tr>
        <w:trPr>
          <w:trHeight w:val="216"/>
        </w:trPr>
        <w:tc>
          <w:tcPr>
            <w:tcW w:w="10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2020 (unaudited)</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1,351,338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(2,743,662)</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of redeemable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22,315,394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22,315,394</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Basic and diluted earnings per share, ordinary shares subject to redemption</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7,538,169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1,396,437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8,934,606</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595"/>
        </w:trPr>
        <w:tc>
          <w:tcPr>
            <w:tcW w:w="1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40" w:type="dxa"/>
            <w:vAlign w:val="bottom"/>
            <w:gridSpan w:val="2"/>
          </w:tcPr>
          <w:p>
            <w:pPr>
              <w:jc w:val="right"/>
              <w:ind w:right="1630"/>
              <w:spacing w:after="0"/>
              <w:rPr>
                <w:sz w:val="20"/>
                <w:szCs w:val="20"/>
                <w:color w:val="auto"/>
              </w:rPr>
            </w:pPr>
            <w:r>
              <w:rPr>
                <w:rFonts w:ascii="Arial" w:cs="Arial" w:eastAsia="Arial" w:hAnsi="Arial"/>
                <w:sz w:val="14"/>
                <w:szCs w:val="14"/>
                <w:color w:val="auto"/>
              </w:rPr>
              <w:t>F-12</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5">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As Previously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As Restated</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2020 (audited)</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(1,601,521)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(50,420,000)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(52,021,521)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redeemable ordinary shares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23,699,368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(1,473,041)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22,226,328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share, ordinary shares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7,550,632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1,473,041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9,023,672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Statement of cash flows for the period from June 7, 2019 (inception) through September 30,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2019 (unaudited)</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548,123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(1,370,591)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(822,468)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(460,000)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(280,000)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(630,591)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(630,591)</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year ended December 31, 2019 (audited)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1,618,159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3,734,409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5,352,568</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4,645,000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Compensation expense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(280,000)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(630,591)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(630,591)</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three months ended March 31, 2020 (unaudited)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1,627,107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1,822,107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195,000</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six months ended June 30, 2020 (unaudited)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1,465,298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(1,324,702)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(2,790,000)</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nine months ended September 30, 2020 (unaudited)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1,351,338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(4,095,000)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(2,743,662)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(4,095,000)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(4,095,000)</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year ended December 31, 2020 (audited)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(1,601,521)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(50,420,000)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(52,021,521)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(50,420,000)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(50,420,000)</w:t>
            </w:r>
          </w:p>
        </w:tc>
      </w:tr>
      <w:tr>
        <w:trPr>
          <w:trHeight w:val="595"/>
        </w:trPr>
        <w:tc>
          <w:tcPr>
            <w:tcW w:w="1020" w:type="dxa"/>
            <w:vAlign w:val="bottom"/>
          </w:tcPr>
          <w:p>
            <w:pPr>
              <w:spacing w:after="0"/>
              <w:rPr>
                <w:sz w:val="24"/>
                <w:szCs w:val="24"/>
                <w:color w:val="auto"/>
              </w:rPr>
            </w:pPr>
          </w:p>
        </w:tc>
        <w:tc>
          <w:tcPr>
            <w:tcW w:w="6300" w:type="dxa"/>
            <w:vAlign w:val="bottom"/>
          </w:tcPr>
          <w:p>
            <w:pPr>
              <w:ind w:left="4460"/>
              <w:spacing w:after="0"/>
              <w:rPr>
                <w:sz w:val="20"/>
                <w:szCs w:val="20"/>
                <w:color w:val="auto"/>
              </w:rPr>
            </w:pPr>
            <w:r>
              <w:rPr>
                <w:rFonts w:ascii="Arial" w:cs="Arial" w:eastAsia="Arial" w:hAnsi="Arial"/>
                <w:sz w:val="14"/>
                <w:szCs w:val="14"/>
                <w:color w:val="auto"/>
              </w:rPr>
              <w:t>F-13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233" w:lineRule="exact"/>
        <w:rPr>
          <w:sz w:val="20"/>
          <w:szCs w:val="20"/>
          <w:color w:val="auto"/>
        </w:rPr>
      </w:pPr>
    </w:p>
    <w:p>
      <w:pPr>
        <w:ind w:right="700" w:firstLine="324"/>
        <w:spacing w:after="0" w:line="328" w:lineRule="auto"/>
        <w:rPr>
          <w:sz w:val="20"/>
          <w:szCs w:val="20"/>
          <w:color w:val="auto"/>
        </w:rPr>
      </w:pPr>
      <w:r>
        <w:rPr>
          <w:rFonts w:ascii="Arial" w:cs="Arial" w:eastAsia="Arial" w:hAnsi="Arial"/>
          <w:sz w:val="19"/>
          <w:szCs w:val="19"/>
          <w:color w:val="auto"/>
        </w:rPr>
        <w:t>The accompanying consolidated financial statements are presented in conformity with accounting principles generally accepted in the United States of America (“GAAP”) and pursuant to the rules and regulations of the SEC.</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233" w:lineRule="exact"/>
        <w:rPr>
          <w:sz w:val="20"/>
          <w:szCs w:val="20"/>
          <w:color w:val="auto"/>
        </w:rPr>
      </w:pPr>
    </w:p>
    <w:p>
      <w:pPr>
        <w:ind w:right="100" w:firstLine="324"/>
        <w:spacing w:after="0" w:line="252" w:lineRule="auto"/>
        <w:rPr>
          <w:sz w:val="20"/>
          <w:szCs w:val="20"/>
          <w:color w:val="auto"/>
        </w:rPr>
      </w:pPr>
      <w:r>
        <w:rPr>
          <w:rFonts w:ascii="Arial" w:cs="Arial" w:eastAsia="Arial" w:hAnsi="Arial"/>
          <w:sz w:val="21"/>
          <w:szCs w:val="21"/>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Emerging Growth Company</w:t>
      </w:r>
    </w:p>
    <w:p>
      <w:pPr>
        <w:spacing w:after="0" w:line="233"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33"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9"/>
          <w:szCs w:val="19"/>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61"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33" w:lineRule="exact"/>
        <w:rPr>
          <w:sz w:val="20"/>
          <w:szCs w:val="20"/>
          <w:color w:val="auto"/>
        </w:rPr>
      </w:pPr>
    </w:p>
    <w:p>
      <w:pPr>
        <w:ind w:right="340" w:firstLine="324"/>
        <w:spacing w:after="0" w:line="328" w:lineRule="auto"/>
        <w:rPr>
          <w:sz w:val="20"/>
          <w:szCs w:val="20"/>
          <w:color w:val="auto"/>
        </w:rPr>
      </w:pPr>
      <w:r>
        <w:rPr>
          <w:rFonts w:ascii="Arial" w:cs="Arial" w:eastAsia="Arial" w:hAnsi="Arial"/>
          <w:sz w:val="19"/>
          <w:szCs w:val="19"/>
          <w:color w:val="auto"/>
        </w:rPr>
        <w:t>The Company considers all short-term investments with an original maturity of three months or less when purchased to be cash equivalents. The Company did not have any cash equivalents as of December 31, 2020 and December 31, 2019.</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Marketable Securities Held in Trust Account</w:t>
      </w:r>
    </w:p>
    <w:p>
      <w:pPr>
        <w:spacing w:after="0" w:line="233"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At December 31, 2020, the assets held in the Trust Account were held in money market funds, which primarily invest in U.S. Treasury securities and U.S. Treasury Bills. At December 31, 2019, the assets held in the Trust Account were substantially held in U.S. Treasury Bills.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Warrant Liability (Restated)</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5"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Transaction Costs and Related Compensation</w:t>
      </w:r>
    </w:p>
    <w:p>
      <w:pPr>
        <w:spacing w:after="0" w:line="2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The Company accounts for transaction costs associated with the issuance of equity and equity-like instruments depending on the nature of the instruments themselves. Transaction costs related to equity instruments of the company are charged against the aggregate offering proceeds. Transaction costs related to the issuance of equity-like instruments which the Company classifies as derivative liabilities are immediately expensed concurrent with the offering. In the event that the issuance two or more instruments are deemed to constitute one in the same transaction, the Company allocates the transaction costs between the constituent components pro rata according to the fair value of each component.</w:t>
      </w:r>
    </w:p>
    <w:p>
      <w:pPr>
        <w:spacing w:after="0" w:line="177" w:lineRule="exact"/>
        <w:rPr>
          <w:sz w:val="20"/>
          <w:szCs w:val="20"/>
          <w:color w:val="auto"/>
        </w:rPr>
      </w:pPr>
    </w:p>
    <w:p>
      <w:pPr>
        <w:ind w:right="220" w:firstLine="324"/>
        <w:spacing w:after="0"/>
        <w:rPr>
          <w:sz w:val="20"/>
          <w:szCs w:val="20"/>
          <w:color w:val="auto"/>
        </w:rPr>
      </w:pPr>
      <w:r>
        <w:rPr>
          <w:rFonts w:ascii="Arial" w:cs="Arial" w:eastAsia="Arial" w:hAnsi="Arial"/>
          <w:sz w:val="22"/>
          <w:szCs w:val="22"/>
          <w:color w:val="auto"/>
        </w:rPr>
        <w:t>To the extent that the aggregate proceeds from the issuance of an instrument which is classified by the Company as a derivative liability is less than the fair market value determination of such liability, the amount of such liability in excess of the aggregate issuance proceeds is immediately recorded as compensation expense.</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Class A Ordinary Shares Subject to Possible Redemption</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Income Taxes</w:t>
      </w:r>
    </w:p>
    <w:p>
      <w:pPr>
        <w:spacing w:after="0" w:line="233"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1" w:name="page102"/>
    <w:bookmarkEnd w:id="101"/>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7"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(Loss) Per Ordinary Share (Restated)</w:t>
      </w:r>
    </w:p>
    <w:p>
      <w:pPr>
        <w:spacing w:after="0" w:line="239"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Net income (loss) per ordinary share is computed by dividing net income by the weighted-average number of ordinary shares outstanding during the period. The Company has not considered the effect of the warrants sold in the Public Offering and Private Placement to purchase an aggregate of 19,500,000 shares in the calculation of diluted loss per share, since the exercise of the warrants are contingent upon the occurrence of future events and the inclusion of such warrants would be anti-dilutive.</w:t>
      </w:r>
    </w:p>
    <w:p>
      <w:pPr>
        <w:spacing w:after="0" w:line="170" w:lineRule="exact"/>
        <w:rPr>
          <w:sz w:val="20"/>
          <w:szCs w:val="20"/>
          <w:color w:val="auto"/>
        </w:rPr>
      </w:pPr>
    </w:p>
    <w:p>
      <w:pPr>
        <w:ind w:right="180" w:firstLine="324"/>
        <w:spacing w:after="0" w:line="249" w:lineRule="auto"/>
        <w:rPr>
          <w:sz w:val="20"/>
          <w:szCs w:val="20"/>
          <w:color w:val="auto"/>
        </w:rPr>
      </w:pPr>
      <w:r>
        <w:rPr>
          <w:rFonts w:ascii="Arial" w:cs="Arial" w:eastAsia="Arial" w:hAnsi="Arial"/>
          <w:sz w:val="21"/>
          <w:szCs w:val="21"/>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205" w:lineRule="exact"/>
        <w:rPr>
          <w:sz w:val="20"/>
          <w:szCs w:val="20"/>
          <w:color w:val="auto"/>
        </w:rPr>
      </w:pPr>
    </w:p>
    <w:p>
      <w:pPr>
        <w:ind w:right="520" w:firstLine="324"/>
        <w:spacing w:after="0" w:line="257" w:lineRule="auto"/>
        <w:rPr>
          <w:sz w:val="20"/>
          <w:szCs w:val="20"/>
          <w:color w:val="auto"/>
        </w:rPr>
      </w:pPr>
      <w:r>
        <w:rPr>
          <w:rFonts w:ascii="Arial" w:cs="Arial" w:eastAsia="Arial" w:hAnsi="Arial"/>
          <w:sz w:val="21"/>
          <w:szCs w:val="21"/>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196"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213"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The following table reflects the calculation of basic and diluted net income (loss) per ordinary share (in dollars,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from June 7,</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For year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Ordinary shares subject to possible redemption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 redemption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1,721,223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106,750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1,548,374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1,827,973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Denominator: Weighted Average Ordinary shares subject to possible redemption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22,226,328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21,936,952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(52,021,521)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5,352,568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(1,548,374)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(1,827,973)</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Non-Redeemable Net (Loss)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(53,569,895)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3,524,595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9,023,672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8,367,106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bl>
    <w:p>
      <w:pPr>
        <w:spacing w:after="0" w:line="200" w:lineRule="exact"/>
        <w:rPr>
          <w:sz w:val="20"/>
          <w:szCs w:val="20"/>
          <w:color w:val="auto"/>
        </w:rPr>
      </w:pPr>
    </w:p>
    <w:p>
      <w:pPr>
        <w:sectPr>
          <w:pgSz w:w="11900" w:h="16838" w:orient="portrait"/>
          <w:cols w:equalWidth="0" w:num="1">
            <w:col w:w="11240"/>
          </w:cols>
          <w:pgMar w:left="320" w:top="121" w:right="339" w:bottom="829"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9" w:gutter="0" w:footer="0" w:header="0"/>
          <w:type w:val="continuous"/>
        </w:sectPr>
      </w:pPr>
    </w:p>
    <w:bookmarkStart w:id="102" w:name="page103"/>
    <w:bookmarkEnd w:id="102"/>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233" w:lineRule="exact"/>
        <w:rPr>
          <w:sz w:val="20"/>
          <w:szCs w:val="20"/>
          <w:color w:val="auto"/>
        </w:rPr>
      </w:pPr>
    </w:p>
    <w:p>
      <w:pPr>
        <w:ind w:right="160" w:firstLine="324"/>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233" w:lineRule="exact"/>
        <w:rPr>
          <w:sz w:val="20"/>
          <w:szCs w:val="20"/>
          <w:color w:val="auto"/>
        </w:rPr>
      </w:pPr>
    </w:p>
    <w:p>
      <w:pPr>
        <w:jc w:val="both"/>
        <w:ind w:right="360" w:firstLine="324"/>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Fair Value Measurements (Restated)</w:t>
      </w:r>
    </w:p>
    <w:p>
      <w:pPr>
        <w:spacing w:after="0" w:line="233"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2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52" w:lineRule="exact"/>
        <w:rPr>
          <w:rFonts w:ascii="Arial" w:cs="Arial" w:eastAsia="Arial" w:hAnsi="Arial"/>
          <w:sz w:val="18"/>
          <w:szCs w:val="18"/>
          <w:color w:val="auto"/>
        </w:rPr>
      </w:pPr>
    </w:p>
    <w:p>
      <w:pPr>
        <w:ind w:left="660" w:right="44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3"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6" w:lineRule="exact"/>
        <w:rPr>
          <w:sz w:val="20"/>
          <w:szCs w:val="20"/>
          <w:color w:val="auto"/>
        </w:rPr>
      </w:pPr>
    </w:p>
    <w:p>
      <w:pPr>
        <w:jc w:val="both"/>
        <w:ind w:right="400" w:firstLine="324"/>
        <w:spacing w:after="0"/>
        <w:rPr>
          <w:sz w:val="20"/>
          <w:szCs w:val="20"/>
          <w:color w:val="auto"/>
        </w:rPr>
      </w:pPr>
      <w:r>
        <w:rPr>
          <w:rFonts w:ascii="Arial" w:cs="Arial" w:eastAsia="Arial" w:hAnsi="Arial"/>
          <w:sz w:val="22"/>
          <w:szCs w:val="2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Derivative Financial Instruments (Restated)</w:t>
      </w:r>
    </w:p>
    <w:p>
      <w:pPr>
        <w:spacing w:after="0" w:line="233" w:lineRule="exact"/>
        <w:rPr>
          <w:sz w:val="20"/>
          <w:szCs w:val="20"/>
          <w:color w:val="auto"/>
        </w:rPr>
      </w:pPr>
    </w:p>
    <w:p>
      <w:pPr>
        <w:ind w:right="260" w:firstLine="324"/>
        <w:spacing w:after="0" w:line="234" w:lineRule="auto"/>
        <w:rPr>
          <w:sz w:val="20"/>
          <w:szCs w:val="20"/>
          <w:color w:val="auto"/>
        </w:rPr>
      </w:pPr>
      <w:r>
        <w:rPr>
          <w:rFonts w:ascii="Arial" w:cs="Arial" w:eastAsia="Arial" w:hAnsi="Arial"/>
          <w:sz w:val="22"/>
          <w:szCs w:val="22"/>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Recently Issued Accounting Standards</w:t>
      </w:r>
    </w:p>
    <w:p>
      <w:pPr>
        <w:spacing w:after="0" w:line="233"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consolidated financial statements.</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INITIAL PUBLIC OFFERING</w:t>
      </w:r>
    </w:p>
    <w:p>
      <w:pPr>
        <w:spacing w:after="0" w:line="24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ectPr>
          <w:pgSz w:w="11900" w:h="16838" w:orient="portrait"/>
          <w:cols w:equalWidth="0" w:num="1">
            <w:col w:w="11220"/>
          </w:cols>
          <w:pgMar w:left="320" w:top="121" w:right="3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3" w:name="page104"/>
    <w:bookmarkEnd w:id="103"/>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PRIVATE PLACEMENT</w:t>
      </w:r>
    </w:p>
    <w:p>
      <w:pPr>
        <w:spacing w:after="0" w:line="2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8).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RELATED PARTY TRANSACTIONS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Founder Shares</w:t>
      </w:r>
    </w:p>
    <w:p>
      <w:pPr>
        <w:spacing w:after="0" w:line="233" w:lineRule="exact"/>
        <w:rPr>
          <w:sz w:val="20"/>
          <w:szCs w:val="20"/>
          <w:color w:val="auto"/>
        </w:rPr>
      </w:pPr>
    </w:p>
    <w:p>
      <w:pPr>
        <w:jc w:val="both"/>
        <w:ind w:right="140" w:firstLine="324"/>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8.</w:t>
      </w:r>
    </w:p>
    <w:p>
      <w:pPr>
        <w:spacing w:after="0" w:line="212" w:lineRule="exact"/>
        <w:rPr>
          <w:sz w:val="20"/>
          <w:szCs w:val="20"/>
          <w:color w:val="auto"/>
        </w:rPr>
      </w:pPr>
    </w:p>
    <w:p>
      <w:pPr>
        <w:ind w:right="200" w:firstLine="324"/>
        <w:spacing w:after="0" w:line="249" w:lineRule="auto"/>
        <w:rPr>
          <w:sz w:val="20"/>
          <w:szCs w:val="20"/>
          <w:color w:val="auto"/>
        </w:rPr>
      </w:pPr>
      <w:r>
        <w:rPr>
          <w:rFonts w:ascii="Arial" w:cs="Arial" w:eastAsia="Arial" w:hAnsi="Arial"/>
          <w:sz w:val="21"/>
          <w:szCs w:val="21"/>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205"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Administrative Services Agreement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Company entered into an agreement whereby, commencing on August 7, 2019, the Company will pay the Sponsor up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$20,000 per month for office space, administrative and support services. Upon completion of a Business Combination or its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liquidation, the Company will cease paying these monthly fees. For the year ended December 31, 2020 and for the period from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June 7, 2019 through December 31, 2019, the Company incurred $240,000 and $92,903 of such fees, of which $279,879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$82,228 of such fees are included in accounts payable and accrued expenses in the accompanying consolidated balance sheets at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 and 2019,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Promissory Note – Related Party</w:t>
      </w:r>
    </w:p>
    <w:p>
      <w:pPr>
        <w:spacing w:after="0" w:line="233"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Related Party Loans</w:t>
      </w:r>
    </w:p>
    <w:p>
      <w:pPr>
        <w:spacing w:after="0" w:line="233"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ectPr>
          <w:pgSz w:w="11900" w:h="16838" w:orient="portrait"/>
          <w:cols w:equalWidth="0" w:num="1">
            <w:col w:w="11220"/>
          </w:cols>
          <w:pgMar w:left="320" w:top="121" w:right="359" w:bottom="964"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64" w:gutter="0" w:footer="0" w:header="0"/>
          <w:type w:val="continuous"/>
        </w:sectPr>
      </w:pPr>
    </w:p>
    <w:bookmarkStart w:id="104" w:name="page105"/>
    <w:bookmarkEnd w:id="104"/>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COMMITMENTS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Registration Rights</w:t>
      </w:r>
    </w:p>
    <w:p>
      <w:pPr>
        <w:spacing w:after="0" w:line="233" w:lineRule="exact"/>
        <w:rPr>
          <w:sz w:val="20"/>
          <w:szCs w:val="20"/>
          <w:color w:val="auto"/>
        </w:rPr>
      </w:pPr>
    </w:p>
    <w:p>
      <w:pPr>
        <w:ind w:right="80" w:firstLine="324"/>
        <w:spacing w:after="0" w:line="273" w:lineRule="auto"/>
        <w:rPr>
          <w:sz w:val="20"/>
          <w:szCs w:val="20"/>
          <w:color w:val="auto"/>
        </w:rPr>
      </w:pPr>
      <w:r>
        <w:rPr>
          <w:rFonts w:ascii="Arial" w:cs="Arial" w:eastAsia="Arial" w:hAnsi="Arial"/>
          <w:sz w:val="19"/>
          <w:szCs w:val="19"/>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Underwriting Agreement</w:t>
      </w:r>
    </w:p>
    <w:p>
      <w:pPr>
        <w:spacing w:after="0" w:line="233"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Merger Agreement</w:t>
      </w:r>
    </w:p>
    <w:p>
      <w:pPr>
        <w:spacing w:after="0" w:line="233"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213" w:lineRule="exact"/>
        <w:rPr>
          <w:sz w:val="20"/>
          <w:szCs w:val="20"/>
          <w:color w:val="auto"/>
        </w:rPr>
      </w:pPr>
    </w:p>
    <w:p>
      <w:pPr>
        <w:ind w:firstLine="324"/>
        <w:spacing w:after="0" w:line="257" w:lineRule="auto"/>
        <w:rPr>
          <w:sz w:val="20"/>
          <w:szCs w:val="20"/>
          <w:color w:val="auto"/>
        </w:rPr>
      </w:pPr>
      <w:r>
        <w:rPr>
          <w:rFonts w:ascii="Arial" w:cs="Arial" w:eastAsia="Arial" w:hAnsi="Arial"/>
          <w:sz w:val="21"/>
          <w:szCs w:val="21"/>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196"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As a result of the Business Combination, each issued and outstanding Class A ordinary share and Class B ordinary share of the Company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212" w:lineRule="exact"/>
        <w:rPr>
          <w:sz w:val="20"/>
          <w:szCs w:val="20"/>
          <w:color w:val="auto"/>
        </w:rPr>
      </w:pPr>
    </w:p>
    <w:p>
      <w:pPr>
        <w:ind w:right="460" w:firstLine="324"/>
        <w:spacing w:after="0" w:line="297" w:lineRule="auto"/>
        <w:rPr>
          <w:sz w:val="20"/>
          <w:szCs w:val="20"/>
          <w:color w:val="auto"/>
        </w:rPr>
      </w:pPr>
      <w:r>
        <w:rPr>
          <w:rFonts w:ascii="Arial" w:cs="Arial" w:eastAsia="Arial" w:hAnsi="Arial"/>
          <w:sz w:val="19"/>
          <w:szCs w:val="19"/>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161"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The Merger Agreement contains customary representations, warranties and covenants by the parties thereto and the closing is subject to certain conditions as further described in the Merger Agreement.</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SHAREHOLDERS’ EQUITY (RESTATED)</w:t>
      </w:r>
    </w:p>
    <w:p>
      <w:pPr>
        <w:spacing w:after="0" w:line="24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9"/>
          <w:szCs w:val="19"/>
          <w:b w:val="1"/>
          <w:bCs w:val="1"/>
          <w:i w:val="1"/>
          <w:iCs w:val="1"/>
          <w:color w:val="auto"/>
        </w:rPr>
        <w:t xml:space="preserve">Preferred Shares </w:t>
      </w:r>
      <w:r>
        <w:rPr>
          <w:rFonts w:ascii="Arial" w:cs="Arial" w:eastAsia="Arial" w:hAnsi="Arial"/>
          <w:sz w:val="19"/>
          <w:szCs w:val="19"/>
          <w:color w:val="auto"/>
        </w:rPr>
        <w:t>— The Company is authorized to issue 1,000,000 preference shares with a par value of $0.0001.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2020 and December 31, 2019, there were no preference shares issued or outstanding.</w:t>
      </w:r>
    </w:p>
    <w:p>
      <w:pPr>
        <w:sectPr>
          <w:pgSz w:w="11900" w:h="16838" w:orient="portrait"/>
          <w:cols w:equalWidth="0" w:num="1">
            <w:col w:w="11220"/>
          </w:cols>
          <w:pgMar w:left="320" w:top="121" w:right="3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5" w:name="page106"/>
    <w:bookmarkEnd w:id="105"/>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9"/>
          <w:szCs w:val="19"/>
          <w:b w:val="1"/>
          <w:bCs w:val="1"/>
          <w:i w:val="1"/>
          <w:iCs w:val="1"/>
          <w:color w:val="auto"/>
        </w:rPr>
        <w:t xml:space="preserve">Class A Ordinary Shares </w:t>
      </w:r>
      <w:r>
        <w:rPr>
          <w:rFonts w:ascii="Arial" w:cs="Arial" w:eastAsia="Arial" w:hAnsi="Arial"/>
          <w:sz w:val="19"/>
          <w:szCs w:val="19"/>
          <w:color w:val="auto"/>
        </w:rPr>
        <w:t>— The Company is authorized to issue 200,000,000 Class A ordinary shares, with a par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$0.0001 per share. Holders of Class A ordinary shares are entitled to one vote for each share. At December 31, 2020 and December 31, 2019, there were 7,891,750 and 2,575,687 shares of Class A ordinary shares issued or outstanding, excluding 17,108,250 and 22,424,313 Class A ordinary shares subject to possible redemption, respectively.</w:t>
      </w:r>
    </w:p>
    <w:p>
      <w:pPr>
        <w:spacing w:after="0" w:line="170" w:lineRule="exact"/>
        <w:rPr>
          <w:sz w:val="20"/>
          <w:szCs w:val="20"/>
          <w:color w:val="auto"/>
        </w:rPr>
      </w:pPr>
    </w:p>
    <w:p>
      <w:pPr>
        <w:jc w:val="both"/>
        <w:ind w:right="400" w:firstLine="324"/>
        <w:spacing w:after="0" w:line="297" w:lineRule="auto"/>
        <w:rPr>
          <w:sz w:val="20"/>
          <w:szCs w:val="20"/>
          <w:color w:val="auto"/>
        </w:rPr>
      </w:pPr>
      <w:r>
        <w:rPr>
          <w:rFonts w:ascii="Arial" w:cs="Arial" w:eastAsia="Arial" w:hAnsi="Arial"/>
          <w:sz w:val="19"/>
          <w:szCs w:val="19"/>
          <w:b w:val="1"/>
          <w:bCs w:val="1"/>
          <w:i w:val="1"/>
          <w:iCs w:val="1"/>
          <w:color w:val="auto"/>
        </w:rPr>
        <w:t xml:space="preserve">Class B Ordinary Shares </w:t>
      </w:r>
      <w:r>
        <w:rPr>
          <w:rFonts w:ascii="Arial" w:cs="Arial" w:eastAsia="Arial" w:hAnsi="Arial"/>
          <w:sz w:val="19"/>
          <w:szCs w:val="19"/>
          <w:color w:val="auto"/>
        </w:rPr>
        <w:t>— The Company is authorized to issue 20,000,000 Class B ordinary shares, with a par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$0.0001 per share. Holders of the Class B ordinary shares are entitled to one vote for each share. At December 31, 2020 and December 31, 2019, there were 6,250,000 Class B ordinary shares issued and outstanding.</w:t>
      </w:r>
    </w:p>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21"/>
          <w:szCs w:val="21"/>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96"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WARRANT LIABILITY</w:t>
      </w:r>
    </w:p>
    <w:p>
      <w:pPr>
        <w:spacing w:after="0" w:line="249"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b w:val="1"/>
          <w:bCs w:val="1"/>
          <w:i w:val="1"/>
          <w:iCs w:val="1"/>
          <w:color w:val="auto"/>
        </w:rPr>
        <w:t xml:space="preserve">Warrants </w:t>
      </w:r>
      <w:r>
        <w:rPr>
          <w:rFonts w:ascii="Arial" w:cs="Arial" w:eastAsia="Arial" w:hAnsi="Arial"/>
          <w:sz w:val="19"/>
          <w:szCs w:val="19"/>
          <w:color w:val="auto"/>
        </w:rPr>
        <w:t>— Public Warrants may only be exercised for a whole number of shares. No fractional shares will be issued upon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9"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52"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03" w:lineRule="exact"/>
        <w:rPr>
          <w:sz w:val="20"/>
          <w:szCs w:val="20"/>
          <w:color w:val="auto"/>
        </w:rPr>
      </w:pPr>
    </w:p>
    <w:p>
      <w:pPr>
        <w:ind w:right="20" w:firstLine="324"/>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 addition, if (x) the Company issues additional Class A ordinary shares or equity-linked securities for capital raising</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purposes in connection with the closing of a Business Combination at an issue price or effective issue price of less than $9.20 per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Class A ordinary share (with such issue price or effective issue price to be determined in good faith by the Company’s board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directors, and in the case of any such issuance to the Sponsor or its affiliates, without taking into account any Founder Shares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held by the Sponsor or such affiliates, as applicable, prior to such issuance) (the “newly issued price”), (y) the aggregate gross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proceeds from such issuances represent more than 60% of the total equity proceeds, and interest thereon, available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funding of a Business Combination on the date of the completion of a Business Combination (net of redemptions), and (z)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volume weighted average trading price of the Company’s ordinary shares during the 20 trading day period starting on the trading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day prior to the day on which the Company consummates a Business Combination (such price, the “Market Value”) is below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$9.20 per share, the exercise price of the Public Warrants will be adjusted (to the nearest cent) to be equal to 115% of the higher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Market Value and the newly issued price, and the $18.00 per share redemption trigger price described above will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adjusted (to the nearest cent) to be equal to 180% of the higher of the Market Value and the newly issued price.</w:t>
      </w:r>
    </w:p>
    <w:p>
      <w:pPr>
        <w:spacing w:after="0" w:line="21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FAIR VALUE MEASUREMENTS (RESTATED)</w:t>
      </w:r>
    </w:p>
    <w:p>
      <w:pPr>
        <w:spacing w:after="0" w:line="249"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8" w:lineRule="exact"/>
        <w:rPr>
          <w:sz w:val="20"/>
          <w:szCs w:val="20"/>
          <w:color w:val="auto"/>
        </w:rPr>
      </w:pPr>
    </w:p>
    <w:p>
      <w:pPr>
        <w:ind w:left="660" w:right="88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0"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90"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at December 31, 2020 and December 31, 2019, and indicates the fair value hierarchy of the valuation inputs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254,187,706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251,924,993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Warrant Liability – Private Placement Warrants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22,680,000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8,260,000</w:t>
            </w:r>
          </w:p>
        </w:tc>
      </w:tr>
    </w:tbl>
    <w:p>
      <w:pPr>
        <w:spacing w:after="0" w:line="20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The Warrants were accounted for as liabilities in accordance with ASC 815-40 and are presented within warrant liabilities on our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161"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was used as the fair value as of each relevant date.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presents the changes in the fair value of warrant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Private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44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Placement</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7, 2019</w:t>
            </w:r>
          </w:p>
        </w:tc>
        <w:tc>
          <w:tcPr>
            <w:tcW w:w="2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Initial measurement on August 12, 2019</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7,280,000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10,625,000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17,905,000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Fair value as of December 31, 2019</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8,260,000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13,260,000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36,000,000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50,420,000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22,680,000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41,000,000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63,680,000</w:t>
            </w:r>
          </w:p>
        </w:tc>
      </w:tr>
      <w:tr>
        <w:trPr>
          <w:trHeight w:val="581"/>
        </w:trPr>
        <w:tc>
          <w:tcPr>
            <w:tcW w:w="4480" w:type="dxa"/>
            <w:vAlign w:val="bottom"/>
          </w:tcPr>
          <w:p>
            <w:pPr>
              <w:spacing w:after="0"/>
              <w:rPr>
                <w:sz w:val="24"/>
                <w:szCs w:val="24"/>
                <w:color w:val="auto"/>
              </w:rPr>
            </w:pPr>
          </w:p>
        </w:tc>
        <w:tc>
          <w:tcPr>
            <w:tcW w:w="2980" w:type="dxa"/>
            <w:vAlign w:val="bottom"/>
            <w:gridSpan w:val="2"/>
          </w:tcPr>
          <w:p>
            <w:pPr>
              <w:jc w:val="right"/>
              <w:ind w:right="1610"/>
              <w:spacing w:after="0"/>
              <w:rPr>
                <w:sz w:val="20"/>
                <w:szCs w:val="20"/>
                <w:color w:val="auto"/>
              </w:rPr>
            </w:pPr>
            <w:r>
              <w:rPr>
                <w:rFonts w:ascii="Arial" w:cs="Arial" w:eastAsia="Arial" w:hAnsi="Arial"/>
                <w:sz w:val="14"/>
                <w:szCs w:val="14"/>
                <w:color w:val="auto"/>
              </w:rPr>
              <w:t>F-22</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48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5">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There were no transfers in or out of Level 3 from other levels in the fair value hierarchy.</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SUBSEQUENT EVENTS</w:t>
      </w:r>
    </w:p>
    <w:p>
      <w:pPr>
        <w:spacing w:after="0" w:line="249" w:lineRule="exact"/>
        <w:rPr>
          <w:sz w:val="20"/>
          <w:szCs w:val="20"/>
          <w:color w:val="auto"/>
        </w:rPr>
      </w:pPr>
    </w:p>
    <w:p>
      <w:pPr>
        <w:ind w:right="220" w:firstLine="324"/>
        <w:spacing w:after="0" w:line="297" w:lineRule="auto"/>
        <w:rPr>
          <w:sz w:val="20"/>
          <w:szCs w:val="20"/>
          <w:color w:val="auto"/>
        </w:rPr>
      </w:pPr>
      <w:r>
        <w:rPr>
          <w:rFonts w:ascii="Arial" w:cs="Arial" w:eastAsia="Arial" w:hAnsi="Arial"/>
          <w:sz w:val="19"/>
          <w:szCs w:val="19"/>
          <w:color w:val="auto"/>
        </w:rPr>
        <w:t>The Company evaluated subsequent events and transactions that occurred after the balance sheet date up to the date that the consolidated financial statements were issued. Based upon this review, other than as describe below, the Company did not identify any subsequent events that would have required adjustment or disclosure in the consolidated financial statements.</w:t>
      </w:r>
    </w:p>
    <w:p>
      <w:pPr>
        <w:spacing w:after="0" w:line="161" w:lineRule="exact"/>
        <w:rPr>
          <w:sz w:val="20"/>
          <w:szCs w:val="20"/>
          <w:color w:val="auto"/>
        </w:rPr>
      </w:pPr>
    </w:p>
    <w:p>
      <w:pPr>
        <w:ind w:right="300" w:firstLine="324"/>
        <w:spacing w:after="0" w:line="252" w:lineRule="auto"/>
        <w:rPr>
          <w:sz w:val="20"/>
          <w:szCs w:val="20"/>
          <w:color w:val="auto"/>
        </w:rPr>
      </w:pPr>
      <w:r>
        <w:rPr>
          <w:rFonts w:ascii="Arial" w:cs="Arial" w:eastAsia="Arial" w:hAnsi="Arial"/>
          <w:sz w:val="21"/>
          <w:szCs w:val="21"/>
          <w:color w:val="auto"/>
        </w:rPr>
        <w:t>On January 13, 2021, the Company held an Extraordinary General Meeting pursuant to which the Company’s shareholders approved extending the Extension Date. In connection with the approval of the extension, shareholders elected to redeem an aggregate of 1,425 Class A ordinary shares. As a result, an aggregate of $14,489 (or approximately $10.17 per share) was released from the Company’s Trust Account to pay such shareholders.</w:t>
      </w:r>
    </w:p>
    <w:p>
      <w:pPr>
        <w:spacing w:after="0" w:line="201" w:lineRule="exact"/>
        <w:rPr>
          <w:sz w:val="20"/>
          <w:szCs w:val="20"/>
          <w:color w:val="auto"/>
        </w:rPr>
      </w:pPr>
    </w:p>
    <w:p>
      <w:pPr>
        <w:ind w:right="220" w:firstLine="324"/>
        <w:spacing w:after="0" w:line="236" w:lineRule="auto"/>
        <w:rPr>
          <w:sz w:val="20"/>
          <w:szCs w:val="20"/>
          <w:color w:val="auto"/>
        </w:rPr>
      </w:pPr>
      <w:r>
        <w:rPr>
          <w:rFonts w:ascii="Arial" w:cs="Arial" w:eastAsia="Arial" w:hAnsi="Arial"/>
          <w:sz w:val="22"/>
          <w:szCs w:val="22"/>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Legal proceedings</w:t>
      </w:r>
    </w:p>
    <w:p>
      <w:pPr>
        <w:spacing w:after="0" w:line="233"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00" w:lineRule="exact"/>
        <w:rPr>
          <w:sz w:val="20"/>
          <w:szCs w:val="20"/>
          <w:color w:val="auto"/>
        </w:rPr>
      </w:pPr>
    </w:p>
    <w:p>
      <w:pPr>
        <w:spacing w:after="0" w:line="276" w:lineRule="exact"/>
        <w:rPr>
          <w:sz w:val="20"/>
          <w:szCs w:val="20"/>
          <w:color w:val="auto"/>
        </w:rPr>
      </w:pPr>
    </w:p>
    <w:p>
      <w:pPr>
        <w:jc w:val="center"/>
        <w:ind w:left="340" w:right="2760"/>
        <w:spacing w:after="0" w:line="239" w:lineRule="auto"/>
        <w:rPr>
          <w:sz w:val="20"/>
          <w:szCs w:val="20"/>
          <w:color w:val="auto"/>
        </w:rPr>
      </w:pPr>
      <w:r>
        <w:rPr>
          <w:rFonts w:ascii="Arial" w:cs="Arial" w:eastAsia="Arial" w:hAnsi="Arial"/>
          <w:sz w:val="22"/>
          <w:szCs w:val="22"/>
          <w:b w:val="1"/>
          <w:bCs w:val="1"/>
          <w:color w:val="auto"/>
        </w:rPr>
        <w:t>CERTIFICATION OF THE CHIEF EXECUTIVE OFFICER PURSUANT TO RULE 13a-14(a)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Silver Spike Acquisition Corp. (the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 15(e) and 15d 15(e)) and internal control over financial reporting (as defined in Exchange Act Rules 13a 15(f) and 15d 15(f)) for the Company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10"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308"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12,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Chariman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OF THE CHIEF FINANCIAL OFFICER PURSUANT TO RULE 13a-14(a)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 Gregory M. Gentile, certify that:</w:t>
      </w:r>
    </w:p>
    <w:p>
      <w:pPr>
        <w:spacing w:after="0" w:line="24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Silver Spike Acquisition Corp. (the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 15(e) and 15d 15(e)) and internal control over financial reporting (as defined in Exchange Act Rules 13a 15(f) and 15d 15(f)) for the Company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10"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12,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M. Gentile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ind w:left="340" w:right="2760"/>
        <w:spacing w:after="0" w:line="239" w:lineRule="auto"/>
        <w:rPr>
          <w:sz w:val="20"/>
          <w:szCs w:val="20"/>
          <w:color w:val="auto"/>
        </w:rPr>
      </w:pPr>
      <w:r>
        <w:rPr>
          <w:rFonts w:ascii="Arial" w:cs="Arial" w:eastAsia="Arial" w:hAnsi="Arial"/>
          <w:sz w:val="22"/>
          <w:szCs w:val="22"/>
          <w:b w:val="1"/>
          <w:bCs w:val="1"/>
          <w:color w:val="auto"/>
        </w:rPr>
        <w:t>CERTIFICATION OF THE CHIEF EXECUTIVE OFFICER PURSUANT TO 18 U.S.C. § 1350 AS ADOPTED PURSUANT TO SECTION 906 OF THE SARBANES-OXLEY ACT OF 2002</w:t>
      </w:r>
    </w:p>
    <w:p>
      <w:pPr>
        <w:spacing w:after="0" w:line="213"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I, Scott Gordon, Chief Executive Officer and Chairman of Silver Spike Acquisition Corp. (the “Company”), certify, pursuant to 18 U.S.C. § 1350, as adopted pursuant to Section 906 of the Sarbanes-Oxley Act of 2002, that, to my knowledge:</w:t>
      </w:r>
    </w:p>
    <w:p>
      <w:pPr>
        <w:spacing w:after="0" w:line="139" w:lineRule="exact"/>
        <w:rPr>
          <w:sz w:val="20"/>
          <w:szCs w:val="20"/>
          <w:color w:val="auto"/>
        </w:rPr>
      </w:pPr>
    </w:p>
    <w:p>
      <w:pPr>
        <w:ind w:left="340" w:right="46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of the Company on Form 10-K/A for the fiscal year ended December 31, 2020 (the “Annual Report”) fully complies with the requirements of Section 13(a) or Section 15(d) of the Securities Exchange Act of 1934; and</w:t>
      </w:r>
    </w:p>
    <w:p>
      <w:pPr>
        <w:spacing w:after="0" w:line="197"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12,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Chariman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1"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certification accompanies the Report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OF THE CHIEF FINANCIAL OFFICER PURSUANT TO 18 U.S.C. § 1350 AS ADOPTED PURSUANT TO 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 Gregory M. Gentile, Chief Financial Officer of Silver Spike Acquisition Corp. (the “Company”), certify, pursuant to 18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1350, as adopted pursuant to Section 906 of the Sarbanes-Oxley Act of 2002, that, to my knowledge:</w:t>
      </w:r>
    </w:p>
    <w:p>
      <w:pPr>
        <w:spacing w:after="0" w:line="222" w:lineRule="exact"/>
        <w:rPr>
          <w:sz w:val="20"/>
          <w:szCs w:val="20"/>
          <w:color w:val="auto"/>
        </w:rPr>
      </w:pPr>
    </w:p>
    <w:p>
      <w:pPr>
        <w:ind w:left="340" w:right="4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of the Company on Form 10-K/A for the fiscal year ended December 31, 2020 (the “Annual Report”) fully complies with the requirements of Section 13(a) or Section 15(d) of the Securities Exchange Act of 1934; and</w:t>
      </w:r>
    </w:p>
    <w:p>
      <w:pPr>
        <w:spacing w:after="0" w:line="197"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May 12,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M. Gentile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certification accompanies the Report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1"/>
    </w:lvl>
  </w:abstractNum>
  <w:abstractNum w:abstractNumId="3">
    <w:nsid w:val="721DA317"/>
    <w:multiLevelType w:val="hybridMultilevel"/>
    <w:lvl w:ilvl="0">
      <w:lvlJc w:val="left"/>
      <w:lvlText w:val="(%1)"/>
      <w:numFmt w:val="decimal"/>
      <w:start w:val="17"/>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Roman"/>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Roman"/>
      <w:start w:val="4"/>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1"/>
    </w:lvl>
    <w:lvl w:ilvl="1">
      <w:lvlJc w:val="left"/>
      <w:lvlText w:val="(%2)"/>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93" Type="http://schemas.openxmlformats.org/officeDocument/2006/relationships/hyperlink" Target="https://www.sec.gov/Archives/edgar/data/1779474/000095010319009708/dp109955_ex0302.htm" TargetMode="External"/><Relationship Id="rId94" Type="http://schemas.openxmlformats.org/officeDocument/2006/relationships/hyperlink" Target="https://www.sec.gov/Archives/edgar/data/1779474/000095010321000525/dp144300_ex0301.htm" TargetMode="External"/><Relationship Id="rId95" Type="http://schemas.openxmlformats.org/officeDocument/2006/relationships/hyperlink" Target="https://www.sec.gov/Archives/edgar/data/1779474/000114036120007395/ex4_1.htm" TargetMode="External"/><Relationship Id="rId96" Type="http://schemas.openxmlformats.org/officeDocument/2006/relationships/hyperlink" Target="https://www.sec.gov/Archives/edgar/data/1779474/000095010319010751/dp111173_ex0401.htm" TargetMode="External"/><Relationship Id="rId97" Type="http://schemas.openxmlformats.org/officeDocument/2006/relationships/hyperlink" Target="https://www.sec.gov/Archives/edgar/data/1779474/000095010319010751/dp111173_ex1001.htm" TargetMode="External"/><Relationship Id="rId98" Type="http://schemas.openxmlformats.org/officeDocument/2006/relationships/hyperlink" Target="https://www.sec.gov/Archives/edgar/data/1779474/000095010319010751/dp111173_ex1002.htm" TargetMode="External"/><Relationship Id="rId99" Type="http://schemas.openxmlformats.org/officeDocument/2006/relationships/hyperlink" Target="https://www.sec.gov/Archives/edgar/data/1779474/000095010319010751/dp111173_ex1003.htm" TargetMode="External"/><Relationship Id="rId100" Type="http://schemas.openxmlformats.org/officeDocument/2006/relationships/hyperlink" Target="https://www.sec.gov/Archives/edgar/data/1779474/000095010319010751/dp111173_ex1004.htm" TargetMode="External"/><Relationship Id="rId101" Type="http://schemas.openxmlformats.org/officeDocument/2006/relationships/hyperlink" Target="https://www.sec.gov/Archives/edgar/data/1779474/000095010319010751/dp111173_ex1005.htm" TargetMode="External"/><Relationship Id="rId102" Type="http://schemas.openxmlformats.org/officeDocument/2006/relationships/hyperlink" Target="https://www.sec.gov/Archives/edgar/data/1779474/000095010320024045/dp142700_ex0201.htm" TargetMode="External"/><Relationship Id="rId103" Type="http://schemas.openxmlformats.org/officeDocument/2006/relationships/hyperlink" Target="https://www.sec.gov/Archives/edgar/data/1779474/000095010320024045/dp142700_ex1001.htm" TargetMode="External"/><Relationship Id="rId104" Type="http://schemas.openxmlformats.org/officeDocument/2006/relationships/hyperlink" Target="https://www.sec.gov/Archives/edgar/data/1779474/000095010320024284/dp142915_ex1002.htm" TargetMode="External"/><Relationship Id="rId105" Type="http://schemas.openxmlformats.org/officeDocument/2006/relationships/hyperlink" Target="https://www.sec.gov/Archives/edgar/data/1779474/000095010320024284/dp142915_ex1003.htm" TargetMode="External"/><Relationship Id="rId106" Type="http://schemas.openxmlformats.org/officeDocument/2006/relationships/hyperlink" Target="https://www.sec.gov/Archives/edgar/data/1779474/000095010321002510/dp14631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2021-05-12T16:35:02Z</dcterms:created>
  <dcterms:modified xsi:type="dcterms:W3CDTF">2021-05-12T16:35:02Z</dcterms:modified>
</cp:coreProperties>
</file>