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287020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278765</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WM Technology,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92971A109</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287655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203"/>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203"/>
        <w:spacing w:after="0"/>
        <w:tabs>
          <w:tab w:leader="none" w:pos="6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60" w:hanging="203"/>
        <w:spacing w:after="0"/>
        <w:tabs>
          <w:tab w:leader="none" w:pos="6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220" w:hanging="445"/>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92971A109</w:t>
      </w:r>
    </w:p>
    <w:p>
      <w:pPr>
        <w:spacing w:after="0" w:line="266"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1.</w:t>
        <w:tab/>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0575" cy="5812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81215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4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ind w:left="40"/>
              <w:spacing w:after="0"/>
              <w:rPr>
                <w:sz w:val="20"/>
                <w:szCs w:val="20"/>
                <w:color w:val="auto"/>
              </w:rPr>
            </w:pPr>
            <w:r>
              <w:rPr>
                <w:rFonts w:ascii="Arial" w:cs="Arial" w:eastAsia="Arial" w:hAnsi="Arial"/>
                <w:sz w:val="22"/>
                <w:szCs w:val="22"/>
                <w:color w:val="auto"/>
              </w:rPr>
              <w:t>Alger Associates, Inc. 13-3017981</w:t>
            </w:r>
          </w:p>
        </w:tc>
        <w:tc>
          <w:tcPr>
            <w:tcW w:w="0" w:type="dxa"/>
            <w:vAlign w:val="bottom"/>
          </w:tcPr>
          <w:p>
            <w:pPr>
              <w:spacing w:after="0"/>
              <w:rPr>
                <w:sz w:val="1"/>
                <w:szCs w:val="1"/>
                <w:color w:val="auto"/>
              </w:rPr>
            </w:pPr>
          </w:p>
        </w:tc>
      </w:tr>
      <w:tr>
        <w:trPr>
          <w:trHeight w:val="164"/>
        </w:trPr>
        <w:tc>
          <w:tcPr>
            <w:tcW w:w="640" w:type="dxa"/>
            <w:vAlign w:val="bottom"/>
          </w:tcPr>
          <w:p>
            <w:pPr>
              <w:jc w:val="right"/>
              <w:ind w:right="70"/>
              <w:spacing w:after="0" w:line="164" w:lineRule="exact"/>
              <w:rPr>
                <w:sz w:val="20"/>
                <w:szCs w:val="20"/>
                <w:color w:val="auto"/>
              </w:rPr>
            </w:pPr>
            <w:r>
              <w:rPr>
                <w:rFonts w:ascii="Arial" w:cs="Arial" w:eastAsia="Arial" w:hAnsi="Arial"/>
                <w:sz w:val="18"/>
                <w:szCs w:val="18"/>
                <w:color w:val="auto"/>
              </w:rPr>
              <w:t>2.</w:t>
            </w:r>
          </w:p>
        </w:tc>
        <w:tc>
          <w:tcPr>
            <w:tcW w:w="10620" w:type="dxa"/>
            <w:vAlign w:val="bottom"/>
            <w:gridSpan w:val="4"/>
          </w:tcPr>
          <w:p>
            <w:pPr>
              <w:ind w:left="4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64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0"/>
              </w:rPr>
              <w:t>(a)</w:t>
            </w:r>
          </w:p>
        </w:tc>
        <w:tc>
          <w:tcPr>
            <w:tcW w:w="58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97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0"/>
        </w:trPr>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620" w:type="dxa"/>
            <w:vAlign w:val="bottom"/>
            <w:gridSpan w:val="4"/>
          </w:tcPr>
          <w:p>
            <w:pPr>
              <w:ind w:left="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96"/>
        </w:trPr>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4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62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537"/>
        </w:trPr>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97"/>
              <w:spacing w:after="0"/>
              <w:rPr>
                <w:sz w:val="20"/>
                <w:szCs w:val="20"/>
                <w:color w:val="auto"/>
              </w:rPr>
            </w:pPr>
            <w:r>
              <w:rPr>
                <w:rFonts w:ascii="Arial" w:cs="Arial" w:eastAsia="Arial" w:hAnsi="Arial"/>
                <w:sz w:val="18"/>
                <w:szCs w:val="18"/>
                <w:color w:val="auto"/>
              </w:rPr>
              <w:t>5.</w:t>
            </w:r>
          </w:p>
        </w:tc>
        <w:tc>
          <w:tcPr>
            <w:tcW w:w="97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37"/>
        </w:trPr>
        <w:tc>
          <w:tcPr>
            <w:tcW w:w="106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420" w:type="dxa"/>
            <w:vAlign w:val="bottom"/>
            <w:tcBorders>
              <w:bottom w:val="single" w:sz="8" w:color="auto"/>
              <w:right w:val="single" w:sz="8" w:color="auto"/>
            </w:tcBorders>
          </w:tcPr>
          <w:p>
            <w:pPr>
              <w:spacing w:after="0"/>
              <w:rPr>
                <w:sz w:val="24"/>
                <w:szCs w:val="24"/>
                <w:color w:val="auto"/>
              </w:rPr>
            </w:pPr>
          </w:p>
        </w:tc>
        <w:tc>
          <w:tcPr>
            <w:tcW w:w="978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4,529,371</w:t>
            </w:r>
          </w:p>
        </w:tc>
        <w:tc>
          <w:tcPr>
            <w:tcW w:w="0" w:type="dxa"/>
            <w:vAlign w:val="bottom"/>
          </w:tcPr>
          <w:p>
            <w:pPr>
              <w:spacing w:after="0"/>
              <w:rPr>
                <w:sz w:val="1"/>
                <w:szCs w:val="1"/>
                <w:color w:val="auto"/>
              </w:rPr>
            </w:pPr>
          </w:p>
        </w:tc>
      </w:tr>
      <w:tr>
        <w:trPr>
          <w:trHeight w:val="157"/>
        </w:trPr>
        <w:tc>
          <w:tcPr>
            <w:tcW w:w="1060" w:type="dxa"/>
            <w:vAlign w:val="bottom"/>
            <w:tcBorders>
              <w:right w:val="single" w:sz="8" w:color="auto"/>
            </w:tcBorders>
            <w:gridSpan w:val="3"/>
            <w:vMerge w:val="continue"/>
          </w:tcPr>
          <w:p>
            <w:pPr>
              <w:spacing w:after="0"/>
              <w:rPr>
                <w:sz w:val="13"/>
                <w:szCs w:val="13"/>
                <w:color w:val="auto"/>
              </w:rPr>
            </w:pPr>
          </w:p>
        </w:tc>
        <w:tc>
          <w:tcPr>
            <w:tcW w:w="420" w:type="dxa"/>
            <w:vAlign w:val="bottom"/>
            <w:tcBorders>
              <w:right w:val="single" w:sz="8" w:color="auto"/>
            </w:tcBorders>
          </w:tcPr>
          <w:p>
            <w:pPr>
              <w:jc w:val="right"/>
              <w:ind w:right="97"/>
              <w:spacing w:after="0" w:line="157" w:lineRule="exact"/>
              <w:rPr>
                <w:sz w:val="20"/>
                <w:szCs w:val="20"/>
                <w:color w:val="auto"/>
              </w:rPr>
            </w:pPr>
            <w:r>
              <w:rPr>
                <w:rFonts w:ascii="Arial" w:cs="Arial" w:eastAsia="Arial" w:hAnsi="Arial"/>
                <w:sz w:val="18"/>
                <w:szCs w:val="18"/>
                <w:color w:val="auto"/>
              </w:rPr>
              <w:t>6.</w:t>
            </w:r>
          </w:p>
        </w:tc>
        <w:tc>
          <w:tcPr>
            <w:tcW w:w="9780" w:type="dxa"/>
            <w:vAlign w:val="bottom"/>
          </w:tcPr>
          <w:p>
            <w:pPr>
              <w:ind w:left="100"/>
              <w:spacing w:after="0" w:line="157"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1"/>
        </w:trPr>
        <w:tc>
          <w:tcPr>
            <w:tcW w:w="900" w:type="dxa"/>
            <w:vAlign w:val="bottom"/>
            <w:gridSpan w:val="2"/>
          </w:tcPr>
          <w:p>
            <w:pPr>
              <w:jc w:val="center"/>
              <w:ind w:left="210"/>
              <w:spacing w:after="0" w:line="161" w:lineRule="exact"/>
              <w:rPr>
                <w:sz w:val="20"/>
                <w:szCs w:val="20"/>
                <w:color w:val="auto"/>
              </w:rPr>
            </w:pPr>
            <w:r>
              <w:rPr>
                <w:rFonts w:ascii="Arial" w:cs="Arial" w:eastAsia="Arial" w:hAnsi="Arial"/>
                <w:sz w:val="18"/>
                <w:szCs w:val="18"/>
                <w:color w:val="auto"/>
                <w:w w:val="84"/>
              </w:rPr>
              <w:t>Shares</w:t>
            </w:r>
          </w:p>
        </w:tc>
        <w:tc>
          <w:tcPr>
            <w:tcW w:w="16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9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6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20" w:type="dxa"/>
            <w:vAlign w:val="bottom"/>
            <w:tcBorders>
              <w:right w:val="single" w:sz="8" w:color="auto"/>
            </w:tcBorders>
          </w:tcPr>
          <w:p>
            <w:pPr>
              <w:spacing w:after="0"/>
              <w:rPr>
                <w:sz w:val="18"/>
                <w:szCs w:val="18"/>
                <w:color w:val="auto"/>
              </w:rPr>
            </w:pPr>
          </w:p>
        </w:tc>
        <w:tc>
          <w:tcPr>
            <w:tcW w:w="978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06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420" w:type="dxa"/>
            <w:vAlign w:val="bottom"/>
            <w:tcBorders>
              <w:bottom w:val="single" w:sz="8" w:color="auto"/>
              <w:right w:val="single" w:sz="8" w:color="auto"/>
            </w:tcBorders>
          </w:tcPr>
          <w:p>
            <w:pPr>
              <w:spacing w:after="0"/>
              <w:rPr>
                <w:sz w:val="20"/>
                <w:szCs w:val="20"/>
                <w:color w:val="auto"/>
              </w:rPr>
            </w:pPr>
          </w:p>
        </w:tc>
        <w:tc>
          <w:tcPr>
            <w:tcW w:w="9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00" w:type="dxa"/>
            <w:vAlign w:val="bottom"/>
            <w:gridSpan w:val="2"/>
          </w:tcPr>
          <w:p>
            <w:pPr>
              <w:jc w:val="center"/>
              <w:ind w:left="210"/>
              <w:spacing w:after="0" w:line="182" w:lineRule="exact"/>
              <w:rPr>
                <w:sz w:val="20"/>
                <w:szCs w:val="20"/>
                <w:color w:val="auto"/>
              </w:rPr>
            </w:pPr>
            <w:r>
              <w:rPr>
                <w:rFonts w:ascii="Arial" w:cs="Arial" w:eastAsia="Arial" w:hAnsi="Arial"/>
                <w:sz w:val="18"/>
                <w:szCs w:val="18"/>
                <w:color w:val="auto"/>
                <w:w w:val="87"/>
              </w:rPr>
              <w:t>Each</w:t>
            </w:r>
          </w:p>
        </w:tc>
        <w:tc>
          <w:tcPr>
            <w:tcW w:w="16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97"/>
              <w:spacing w:after="0" w:line="182" w:lineRule="exact"/>
              <w:rPr>
                <w:sz w:val="20"/>
                <w:szCs w:val="20"/>
                <w:color w:val="auto"/>
              </w:rPr>
            </w:pPr>
            <w:r>
              <w:rPr>
                <w:rFonts w:ascii="Arial" w:cs="Arial" w:eastAsia="Arial" w:hAnsi="Arial"/>
                <w:sz w:val="18"/>
                <w:szCs w:val="18"/>
                <w:color w:val="auto"/>
              </w:rPr>
              <w:t>7.</w:t>
            </w:r>
          </w:p>
        </w:tc>
        <w:tc>
          <w:tcPr>
            <w:tcW w:w="97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tcPr>
          <w:p>
            <w:pPr>
              <w:spacing w:after="0"/>
              <w:rPr>
                <w:sz w:val="18"/>
                <w:szCs w:val="18"/>
                <w:color w:val="auto"/>
              </w:rPr>
            </w:pPr>
          </w:p>
        </w:tc>
        <w:tc>
          <w:tcPr>
            <w:tcW w:w="9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tcPr>
          <w:p>
            <w:pPr>
              <w:jc w:val="center"/>
              <w:ind w:left="210"/>
              <w:spacing w:after="0"/>
              <w:rPr>
                <w:sz w:val="20"/>
                <w:szCs w:val="20"/>
                <w:color w:val="auto"/>
              </w:rPr>
            </w:pPr>
            <w:r>
              <w:rPr>
                <w:rFonts w:ascii="Arial" w:cs="Arial" w:eastAsia="Arial" w:hAnsi="Arial"/>
                <w:sz w:val="18"/>
                <w:szCs w:val="18"/>
                <w:color w:val="auto"/>
                <w:w w:val="84"/>
              </w:rPr>
              <w:t>Person</w:t>
            </w:r>
          </w:p>
        </w:tc>
        <w:tc>
          <w:tcPr>
            <w:tcW w:w="1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780" w:type="dxa"/>
            <w:vAlign w:val="bottom"/>
            <w:vMerge w:val="restart"/>
          </w:tcPr>
          <w:p>
            <w:pPr>
              <w:ind w:left="320"/>
              <w:spacing w:after="0"/>
              <w:rPr>
                <w:sz w:val="20"/>
                <w:szCs w:val="20"/>
                <w:color w:val="auto"/>
              </w:rPr>
            </w:pPr>
            <w:r>
              <w:rPr>
                <w:rFonts w:ascii="Arial" w:cs="Arial" w:eastAsia="Arial" w:hAnsi="Arial"/>
                <w:sz w:val="22"/>
                <w:szCs w:val="22"/>
                <w:color w:val="auto"/>
              </w:rPr>
              <w:t>4,529,371</w:t>
            </w:r>
          </w:p>
        </w:tc>
        <w:tc>
          <w:tcPr>
            <w:tcW w:w="0" w:type="dxa"/>
            <w:vAlign w:val="bottom"/>
          </w:tcPr>
          <w:p>
            <w:pPr>
              <w:spacing w:after="0"/>
              <w:rPr>
                <w:sz w:val="1"/>
                <w:szCs w:val="1"/>
                <w:color w:val="auto"/>
              </w:rPr>
            </w:pPr>
          </w:p>
        </w:tc>
      </w:tr>
      <w:tr>
        <w:trPr>
          <w:trHeight w:val="148"/>
        </w:trPr>
        <w:tc>
          <w:tcPr>
            <w:tcW w:w="900" w:type="dxa"/>
            <w:vAlign w:val="bottom"/>
            <w:gridSpan w:val="2"/>
            <w:vMerge w:val="restart"/>
          </w:tcPr>
          <w:p>
            <w:pPr>
              <w:jc w:val="center"/>
              <w:ind w:left="210"/>
              <w:spacing w:after="0"/>
              <w:rPr>
                <w:sz w:val="20"/>
                <w:szCs w:val="20"/>
                <w:color w:val="auto"/>
              </w:rPr>
            </w:pPr>
            <w:r>
              <w:rPr>
                <w:rFonts w:ascii="Arial" w:cs="Arial" w:eastAsia="Arial" w:hAnsi="Arial"/>
                <w:sz w:val="18"/>
                <w:szCs w:val="18"/>
                <w:color w:val="auto"/>
                <w:w w:val="99"/>
              </w:rPr>
              <w:t>With</w:t>
            </w:r>
          </w:p>
        </w:tc>
        <w:tc>
          <w:tcPr>
            <w:tcW w:w="160" w:type="dxa"/>
            <w:vAlign w:val="bottom"/>
            <w:tcBorders>
              <w:right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9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90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vMerge w:val="restart"/>
          </w:tcPr>
          <w:p>
            <w:pPr>
              <w:jc w:val="right"/>
              <w:ind w:right="97"/>
              <w:spacing w:after="0"/>
              <w:rPr>
                <w:sz w:val="20"/>
                <w:szCs w:val="20"/>
                <w:color w:val="auto"/>
              </w:rPr>
            </w:pPr>
            <w:r>
              <w:rPr>
                <w:rFonts w:ascii="Arial" w:cs="Arial" w:eastAsia="Arial" w:hAnsi="Arial"/>
                <w:sz w:val="18"/>
                <w:szCs w:val="18"/>
                <w:color w:val="auto"/>
              </w:rPr>
              <w:t>8.</w:t>
            </w:r>
          </w:p>
        </w:tc>
        <w:tc>
          <w:tcPr>
            <w:tcW w:w="97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vMerge w:val="continue"/>
          </w:tcPr>
          <w:p>
            <w:pPr>
              <w:spacing w:after="0"/>
              <w:rPr>
                <w:sz w:val="14"/>
                <w:szCs w:val="14"/>
                <w:color w:val="auto"/>
              </w:rPr>
            </w:pPr>
          </w:p>
        </w:tc>
        <w:tc>
          <w:tcPr>
            <w:tcW w:w="9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7"/>
        </w:trPr>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78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6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9.</w:t>
            </w:r>
          </w:p>
        </w:tc>
        <w:tc>
          <w:tcPr>
            <w:tcW w:w="420" w:type="dxa"/>
            <w:vAlign w:val="bottom"/>
            <w:gridSpan w:val="2"/>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74"/>
              </w:rPr>
              <w:t>Aggregate</w:t>
            </w:r>
          </w:p>
        </w:tc>
        <w:tc>
          <w:tcPr>
            <w:tcW w:w="9780" w:type="dxa"/>
            <w:vAlign w:val="bottom"/>
          </w:tcPr>
          <w:p>
            <w:pPr>
              <w:ind w:left="16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537"/>
        </w:trPr>
        <w:tc>
          <w:tcPr>
            <w:tcW w:w="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4,529,371</w:t>
            </w:r>
          </w:p>
        </w:tc>
        <w:tc>
          <w:tcPr>
            <w:tcW w:w="0" w:type="dxa"/>
            <w:vAlign w:val="bottom"/>
          </w:tcPr>
          <w:p>
            <w:pPr>
              <w:spacing w:after="0"/>
              <w:rPr>
                <w:sz w:val="1"/>
                <w:szCs w:val="1"/>
                <w:color w:val="auto"/>
              </w:rPr>
            </w:pPr>
          </w:p>
        </w:tc>
      </w:tr>
      <w:tr>
        <w:trPr>
          <w:trHeight w:val="226"/>
        </w:trPr>
        <w:tc>
          <w:tcPr>
            <w:tcW w:w="6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1062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553"/>
        </w:trPr>
        <w:tc>
          <w:tcPr>
            <w:tcW w:w="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spacing w:after="0" w:line="221" w:lineRule="exact"/>
              <w:rPr>
                <w:sz w:val="20"/>
                <w:szCs w:val="20"/>
                <w:color w:val="auto"/>
              </w:rPr>
            </w:pPr>
            <w:r>
              <w:rPr>
                <w:rFonts w:ascii="MS PGothic" w:cs="MS PGothic" w:eastAsia="MS PGothic" w:hAnsi="MS PGothic"/>
                <w:sz w:val="22"/>
                <w:szCs w:val="22"/>
                <w:color w:val="auto"/>
              </w:rPr>
              <w:t>☐</w:t>
            </w:r>
          </w:p>
        </w:tc>
        <w:tc>
          <w:tcPr>
            <w:tcW w:w="9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11.</w:t>
            </w:r>
          </w:p>
        </w:tc>
        <w:tc>
          <w:tcPr>
            <w:tcW w:w="1062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537"/>
        </w:trPr>
        <w:tc>
          <w:tcPr>
            <w:tcW w:w="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6"/>
              </w:rPr>
              <w:t>7.11%</w:t>
            </w:r>
          </w:p>
        </w:tc>
        <w:tc>
          <w:tcPr>
            <w:tcW w:w="9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c>
          <w:tcPr>
            <w:tcW w:w="1062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537"/>
        </w:trPr>
        <w:tc>
          <w:tcPr>
            <w:tcW w:w="6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HC</w:t>
            </w:r>
          </w:p>
        </w:tc>
        <w:tc>
          <w:tcPr>
            <w:tcW w:w="9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80" w:type="dxa"/>
            <w:vAlign w:val="bottom"/>
          </w:tcPr>
          <w:p>
            <w:pPr>
              <w:ind w:left="4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Amendment No. 1 amends in its entirety that Schedule 13G originally filed with the Securities and Exchange Commission (the “SEC”) on March 10, 2021 by the Reporting Person under Silver Spike Acquisition Corp. Pursuant to its SEC filings, in connection with its domestication as a Delaware corporation on June 15, 2021 and its acquisition of WM Holding Company, LLC on June 16, 2021, Silver Spike Acquisition Corp. changed its name to WM Technology, Inc. It also changed its CUSIP number and ticker symbol.</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140" w:hanging="336"/>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WM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641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Address of Issuer’s Principal Executive Offices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41 Discovery</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Irvine, California 92618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641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jc w:val="both"/>
        <w:ind w:left="1140" w:right="8440" w:hanging="336"/>
        <w:spacing w:after="0" w:line="299"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Person Filing Alger Associates, Inc.</w:t>
      </w:r>
    </w:p>
    <w:p>
      <w:pPr>
        <w:ind w:left="1140" w:right="5800" w:hanging="336"/>
        <w:spacing w:after="0" w:line="299"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360 Park Avenue South, New York, NY 10010</w:t>
      </w:r>
    </w:p>
    <w:p>
      <w:pPr>
        <w:ind w:left="1140" w:right="9260" w:hanging="336"/>
        <w:spacing w:after="0" w:line="299"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Citizenship New York</w:t>
      </w:r>
    </w:p>
    <w:p>
      <w:pPr>
        <w:ind w:left="1140" w:right="8160" w:hanging="336"/>
        <w:spacing w:after="0" w:line="299"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Class of Securities Class A common stock</w:t>
      </w:r>
    </w:p>
    <w:p>
      <w:pPr>
        <w:ind w:left="1140" w:right="8940" w:hanging="336"/>
        <w:spacing w:after="0" w:line="34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92971A109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-1214755</wp:posOffset>
            </wp:positionV>
            <wp:extent cx="6412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-923290</wp:posOffset>
            </wp:positionV>
            <wp:extent cx="64122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-631825</wp:posOffset>
            </wp:positionV>
            <wp:extent cx="6412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-340360</wp:posOffset>
            </wp:positionV>
            <wp:extent cx="6412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-48895</wp:posOffset>
            </wp:positionV>
            <wp:extent cx="6412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15" w:lineRule="exact"/>
        <w:rPr>
          <w:sz w:val="20"/>
          <w:szCs w:val="20"/>
          <w:color w:val="auto"/>
        </w:rPr>
      </w:pPr>
    </w:p>
    <w:p>
      <w:pPr>
        <w:ind w:left="1160" w:hanging="356"/>
        <w:spacing w:after="0" w:line="207" w:lineRule="exact"/>
        <w:tabs>
          <w:tab w:leader="none" w:pos="11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44" w:lineRule="exact"/>
        <w:rPr>
          <w:rFonts w:ascii="Arial" w:cs="Arial" w:eastAsia="Arial" w:hAnsi="Arial"/>
          <w:sz w:val="18"/>
          <w:szCs w:val="18"/>
          <w:color w:val="auto"/>
        </w:rPr>
      </w:pPr>
    </w:p>
    <w:p>
      <w:pPr>
        <w:ind w:left="1160" w:hanging="356"/>
        <w:spacing w:after="0" w:line="207" w:lineRule="exact"/>
        <w:tabs>
          <w:tab w:leader="none" w:pos="11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44" w:lineRule="exact"/>
        <w:rPr>
          <w:rFonts w:ascii="Arial" w:cs="Arial" w:eastAsia="Arial" w:hAnsi="Arial"/>
          <w:sz w:val="18"/>
          <w:szCs w:val="18"/>
          <w:color w:val="auto"/>
        </w:rPr>
      </w:pPr>
    </w:p>
    <w:p>
      <w:pPr>
        <w:ind w:left="1160" w:hanging="356"/>
        <w:spacing w:after="0" w:line="207" w:lineRule="exact"/>
        <w:tabs>
          <w:tab w:leader="none" w:pos="11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44" w:lineRule="exact"/>
        <w:rPr>
          <w:rFonts w:ascii="Arial" w:cs="Arial" w:eastAsia="Arial" w:hAnsi="Arial"/>
          <w:sz w:val="18"/>
          <w:szCs w:val="18"/>
          <w:color w:val="auto"/>
        </w:rPr>
      </w:pPr>
    </w:p>
    <w:p>
      <w:pPr>
        <w:ind w:left="1160" w:hanging="356"/>
        <w:spacing w:after="0" w:line="207" w:lineRule="exact"/>
        <w:tabs>
          <w:tab w:leader="none" w:pos="11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160" w:hanging="356"/>
        <w:spacing w:after="0" w:line="207" w:lineRule="exact"/>
        <w:tabs>
          <w:tab w:leader="none" w:pos="11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44" w:lineRule="exact"/>
        <w:rPr>
          <w:rFonts w:ascii="Arial" w:cs="Arial" w:eastAsia="Arial" w:hAnsi="Arial"/>
          <w:sz w:val="18"/>
          <w:szCs w:val="18"/>
          <w:color w:val="auto"/>
        </w:rPr>
      </w:pPr>
    </w:p>
    <w:p>
      <w:pPr>
        <w:ind w:left="1160" w:hanging="356"/>
        <w:spacing w:after="0" w:line="207" w:lineRule="exact"/>
        <w:tabs>
          <w:tab w:leader="none" w:pos="11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44" w:lineRule="exact"/>
        <w:rPr>
          <w:rFonts w:ascii="Arial" w:cs="Arial" w:eastAsia="Arial" w:hAnsi="Arial"/>
          <w:sz w:val="18"/>
          <w:szCs w:val="18"/>
          <w:color w:val="auto"/>
        </w:rPr>
      </w:pPr>
    </w:p>
    <w:p>
      <w:pPr>
        <w:ind w:left="1160" w:hanging="356"/>
        <w:spacing w:after="0" w:line="207" w:lineRule="exact"/>
        <w:tabs>
          <w:tab w:leader="none" w:pos="11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44" w:lineRule="exact"/>
        <w:rPr>
          <w:rFonts w:ascii="Arial" w:cs="Arial" w:eastAsia="Arial" w:hAnsi="Arial"/>
          <w:sz w:val="18"/>
          <w:szCs w:val="18"/>
          <w:color w:val="auto"/>
        </w:rPr>
      </w:pPr>
    </w:p>
    <w:p>
      <w:pPr>
        <w:ind w:left="1160" w:hanging="356"/>
        <w:spacing w:after="0" w:line="207" w:lineRule="exact"/>
        <w:tabs>
          <w:tab w:leader="none" w:pos="11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44" w:lineRule="exact"/>
        <w:rPr>
          <w:rFonts w:ascii="Arial" w:cs="Arial" w:eastAsia="Arial" w:hAnsi="Arial"/>
          <w:sz w:val="18"/>
          <w:szCs w:val="18"/>
          <w:color w:val="auto"/>
        </w:rPr>
      </w:pPr>
    </w:p>
    <w:p>
      <w:pPr>
        <w:ind w:left="1480" w:hanging="676"/>
        <w:spacing w:after="0" w:line="239" w:lineRule="exact"/>
        <w:tabs>
          <w:tab w:leader="none" w:pos="1156"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160" w:hanging="356"/>
        <w:spacing w:after="0" w:line="207" w:lineRule="exact"/>
        <w:tabs>
          <w:tab w:leader="none" w:pos="11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44" w:lineRule="exact"/>
        <w:rPr>
          <w:rFonts w:ascii="Arial" w:cs="Arial" w:eastAsia="Arial" w:hAnsi="Arial"/>
          <w:sz w:val="18"/>
          <w:szCs w:val="18"/>
          <w:color w:val="auto"/>
        </w:rPr>
      </w:pPr>
    </w:p>
    <w:p>
      <w:pPr>
        <w:ind w:left="1480" w:right="340" w:hanging="676"/>
        <w:spacing w:after="0" w:line="239" w:lineRule="exact"/>
        <w:tabs>
          <w:tab w:leader="none" w:pos="1156"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2624455</wp:posOffset>
            </wp:positionH>
            <wp:positionV relativeFrom="paragraph">
              <wp:posOffset>-24130</wp:posOffset>
            </wp:positionV>
            <wp:extent cx="12852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4" w:right="359" w:bottom="1440" w:gutter="0" w:footer="0" w:header="0"/>
        </w:sectPr>
      </w:pPr>
    </w:p>
    <w:bookmarkStart w:id="3" w:name="page4"/>
    <w:bookmarkEnd w:id="3"/>
    <w:p>
      <w:pPr>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580"/>
        <w:spacing w:after="0"/>
        <w:tabs>
          <w:tab w:leader="none" w:pos="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Amount beneficially owned:</w:t>
      </w:r>
    </w:p>
    <w:p>
      <w:pPr>
        <w:spacing w:after="0" w:line="20" w:lineRule="exact"/>
        <w:rPr>
          <w:sz w:val="20"/>
          <w:szCs w:val="20"/>
          <w:color w:val="auto"/>
        </w:rPr>
      </w:pPr>
    </w:p>
    <w:p>
      <w:pPr>
        <w:jc w:val="center"/>
        <w:ind w:right="8500"/>
        <w:spacing w:after="0"/>
        <w:rPr>
          <w:sz w:val="20"/>
          <w:szCs w:val="20"/>
          <w:color w:val="auto"/>
        </w:rPr>
      </w:pPr>
      <w:r>
        <w:rPr>
          <w:rFonts w:ascii="Arial" w:cs="Arial" w:eastAsia="Arial" w:hAnsi="Arial"/>
          <w:sz w:val="22"/>
          <w:szCs w:val="22"/>
          <w:color w:val="auto"/>
        </w:rPr>
        <w:t>4,529,371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-3810</wp:posOffset>
            </wp:positionV>
            <wp:extent cx="65493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(b)  Percent of class:</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22"/>
          <w:szCs w:val="22"/>
          <w:color w:val="auto"/>
        </w:rPr>
        <w:t>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-3810</wp:posOffset>
            </wp:positionV>
            <wp:extent cx="65493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ind w:left="580"/>
        <w:spacing w:after="0"/>
        <w:tabs>
          <w:tab w:leader="none" w:pos="9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151765</wp:posOffset>
            </wp:positionV>
            <wp:extent cx="6549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232" w:lineRule="exact"/>
        <w:rPr>
          <w:sz w:val="20"/>
          <w:szCs w:val="20"/>
          <w:color w:val="auto"/>
        </w:rPr>
      </w:pPr>
    </w:p>
    <w:p>
      <w:pPr>
        <w:ind w:left="1580" w:hanging="564"/>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4,529,371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-3810</wp:posOffset>
            </wp:positionV>
            <wp:extent cx="61290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ind w:left="1580" w:hanging="564"/>
        <w:spacing w:after="0"/>
        <w:tabs>
          <w:tab w:leader="none" w:pos="1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0"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-3810</wp:posOffset>
            </wp:positionV>
            <wp:extent cx="61290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ind w:left="1580" w:hanging="564"/>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0"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4,529,371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-3810</wp:posOffset>
            </wp:positionV>
            <wp:extent cx="61290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ind w:left="1580" w:hanging="564"/>
        <w:spacing w:after="0"/>
        <w:tabs>
          <w:tab w:leader="none" w:pos="1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0"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-3810</wp:posOffset>
            </wp:positionV>
            <wp:extent cx="6129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3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The securities reported herein are beneficially owned by one or more open-end investment companies or other managed accounts that are investment management clients of Fred Alger Management, LLC (“FAM”), a registered investment adviser. FAM is a 100% owned subsidiary of Alger Group Holdings, LLC (“AGH”), a holding company. AGH is a 100% owned subsidiary of Alger Associates, Inc., a holding company.</w:t>
      </w:r>
    </w:p>
    <w:p>
      <w:pPr>
        <w:spacing w:after="0" w:line="26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See Exhibit A</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70" w:right="37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By: Alger Associates, Inc.</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Hal Liebes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5715</wp:posOffset>
            </wp:positionV>
            <wp:extent cx="24428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Hal Liebes</w:t>
      </w:r>
    </w:p>
    <w:p>
      <w:pPr>
        <w:spacing w:after="0" w:line="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Secretary</w:t>
      </w:r>
    </w:p>
    <w:p>
      <w:pPr>
        <w:spacing w:after="0" w:line="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w:t>
        <w:tab/>
        <w:t>July 9, 2021</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270" w:right="519" w:bottom="1440" w:gutter="0" w:footer="0" w:header="0"/>
        </w:sectPr>
      </w:pPr>
    </w:p>
    <w:bookmarkStart w:id="5" w:name="page6"/>
    <w:bookmarkEnd w:id="5"/>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Alger Group Holdings, LLC* — HC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Fred Alger Management, LLC* — IA</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  Entity beneficially owns 5% or greater of the outstanding shares of the security class being reported on this Schedule 13G.</w:t>
      </w:r>
    </w:p>
    <w:sectPr>
      <w:pgSz w:w="11900" w:h="16838" w:orient="portrait"/>
      <w:cols w:equalWidth="0" w:num="1">
        <w:col w:w="10139"/>
      </w:cols>
      <w:pgMar w:left="32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lowerRoman"/>
      <w:start w:val="3"/>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2021-07-09T16:12:26Z</dcterms:created>
  <dcterms:modified xsi:type="dcterms:W3CDTF">2021-07-09T16:12:26Z</dcterms:modified>
</cp:coreProperties>
</file>