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500380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54"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29" w:lineRule="exact"/>
        <w:rPr>
          <w:sz w:val="24"/>
          <w:szCs w:val="24"/>
          <w:color w:val="auto"/>
        </w:rPr>
      </w:pPr>
    </w:p>
    <w:p>
      <w:pPr>
        <w:ind w:left="4160" w:right="1620" w:hanging="2696"/>
        <w:spacing w:after="0" w:line="222" w:lineRule="auto"/>
        <w:tabs>
          <w:tab w:leader="none" w:pos="2068" w:val="left"/>
        </w:tabs>
        <w:numPr>
          <w:ilvl w:val="0"/>
          <w:numId w:val="1"/>
        </w:numPr>
        <w:rPr>
          <w:rFonts w:ascii="MS PGothic" w:cs="MS PGothic" w:eastAsia="MS PGothic" w:hAnsi="MS PGothic"/>
          <w:sz w:val="34"/>
          <w:szCs w:val="34"/>
          <w:color w:val="auto"/>
          <w:highlight w:val="black"/>
          <w:vertAlign w:val="superscript"/>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2024</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70" w:lineRule="exact"/>
        <w:rPr>
          <w:sz w:val="24"/>
          <w:szCs w:val="24"/>
          <w:color w:val="auto"/>
        </w:rPr>
      </w:pPr>
    </w:p>
    <w:p>
      <w:pPr>
        <w:ind w:left="1920" w:hanging="323"/>
        <w:spacing w:after="0"/>
        <w:tabs>
          <w:tab w:leader="none" w:pos="19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83" w:lineRule="exact"/>
        <w:rPr>
          <w:rFonts w:ascii="MS PGothic" w:cs="MS PGothic" w:eastAsia="MS PGothic" w:hAnsi="MS PGothic"/>
          <w:sz w:val="17"/>
          <w:szCs w:val="17"/>
          <w:color w:val="auto"/>
        </w:rPr>
      </w:pPr>
    </w:p>
    <w:p>
      <w:pPr>
        <w:ind w:left="4360"/>
        <w:spacing w:after="0"/>
        <w:rPr>
          <w:rFonts w:ascii="MS PGothic" w:cs="MS PGothic" w:eastAsia="MS PGothic" w:hAnsi="MS PGothic"/>
          <w:sz w:val="17"/>
          <w:szCs w:val="17"/>
          <w:color w:val="auto"/>
        </w:rPr>
      </w:pPr>
      <w:r>
        <w:rPr>
          <w:rFonts w:ascii="Times New Roman" w:cs="Times New Roman" w:eastAsia="Times New Roman" w:hAnsi="Times New Roman"/>
          <w:sz w:val="14"/>
          <w:szCs w:val="14"/>
          <w:b w:val="1"/>
          <w:bCs w:val="1"/>
          <w:color w:val="auto"/>
        </w:rPr>
        <w:t>For the transition period from ____ to ____</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001-39021</w:t>
      </w:r>
    </w:p>
    <w:p>
      <w:pPr>
        <w:spacing w:after="0" w:line="21"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WM TECHNOLOGY,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420" w:type="dxa"/>
            <w:vAlign w:val="bottom"/>
          </w:tcPr>
          <w:p>
            <w:pPr>
              <w:spacing w:after="0"/>
              <w:rPr>
                <w:sz w:val="15"/>
                <w:szCs w:val="15"/>
                <w:color w:val="auto"/>
              </w:rPr>
            </w:pPr>
          </w:p>
        </w:tc>
        <w:tc>
          <w:tcPr>
            <w:tcW w:w="3760" w:type="dxa"/>
            <w:vAlign w:val="bottom"/>
          </w:tcPr>
          <w:p>
            <w:pPr>
              <w:jc w:val="right"/>
              <w:ind w:right="2191"/>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206"/>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2420" w:type="dxa"/>
            <w:vAlign w:val="bottom"/>
          </w:tcPr>
          <w:p>
            <w:pPr>
              <w:spacing w:after="0"/>
              <w:rPr>
                <w:sz w:val="17"/>
                <w:szCs w:val="17"/>
                <w:color w:val="auto"/>
              </w:rPr>
            </w:pPr>
          </w:p>
        </w:tc>
        <w:tc>
          <w:tcPr>
            <w:tcW w:w="3760" w:type="dxa"/>
            <w:vAlign w:val="bottom"/>
          </w:tcPr>
          <w:p>
            <w:pPr>
              <w:jc w:val="center"/>
              <w:ind w:right="1331"/>
              <w:spacing w:after="0"/>
              <w:rPr>
                <w:sz w:val="20"/>
                <w:szCs w:val="20"/>
                <w:color w:val="auto"/>
              </w:rPr>
            </w:pPr>
            <w:r>
              <w:rPr>
                <w:rFonts w:ascii="Times New Roman" w:cs="Times New Roman" w:eastAsia="Times New Roman" w:hAnsi="Times New Roman"/>
                <w:sz w:val="14"/>
                <w:szCs w:val="14"/>
                <w:color w:val="auto"/>
                <w:w w:val="98"/>
              </w:rPr>
              <w:t>(I.R.S. Employer Identification No.)</w:t>
            </w:r>
          </w:p>
        </w:tc>
      </w:tr>
      <w:tr>
        <w:trPr>
          <w:trHeight w:val="230"/>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9"/>
              </w:rPr>
              <w:t>41 Discovery</w:t>
            </w:r>
          </w:p>
        </w:tc>
        <w:tc>
          <w:tcPr>
            <w:tcW w:w="242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182"/>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9"/>
              </w:rPr>
              <w:t>Irvine, California</w:t>
            </w:r>
          </w:p>
        </w:tc>
        <w:tc>
          <w:tcPr>
            <w:tcW w:w="2420" w:type="dxa"/>
            <w:vAlign w:val="bottom"/>
          </w:tcPr>
          <w:p>
            <w:pPr>
              <w:spacing w:after="0"/>
              <w:rPr>
                <w:sz w:val="15"/>
                <w:szCs w:val="15"/>
                <w:color w:val="auto"/>
              </w:rPr>
            </w:pPr>
          </w:p>
        </w:tc>
        <w:tc>
          <w:tcPr>
            <w:tcW w:w="3760" w:type="dxa"/>
            <w:vAlign w:val="bottom"/>
          </w:tcPr>
          <w:p>
            <w:pPr>
              <w:jc w:val="center"/>
              <w:ind w:right="1331"/>
              <w:spacing w:after="0"/>
              <w:rPr>
                <w:sz w:val="20"/>
                <w:szCs w:val="20"/>
                <w:color w:val="auto"/>
              </w:rPr>
            </w:pPr>
            <w:r>
              <w:rPr>
                <w:rFonts w:ascii="Times New Roman" w:cs="Times New Roman" w:eastAsia="Times New Roman" w:hAnsi="Times New Roman"/>
                <w:sz w:val="14"/>
                <w:szCs w:val="14"/>
                <w:b w:val="1"/>
                <w:bCs w:val="1"/>
                <w:color w:val="auto"/>
              </w:rPr>
              <w:t>92618</w:t>
            </w:r>
          </w:p>
        </w:tc>
      </w:tr>
      <w:tr>
        <w:trPr>
          <w:trHeight w:val="206"/>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97"/>
              </w:rPr>
              <w:t>(Address of Principal Executive Offices)</w:t>
            </w:r>
          </w:p>
        </w:tc>
        <w:tc>
          <w:tcPr>
            <w:tcW w:w="2420" w:type="dxa"/>
            <w:vAlign w:val="bottom"/>
          </w:tcPr>
          <w:p>
            <w:pPr>
              <w:spacing w:after="0"/>
              <w:rPr>
                <w:sz w:val="17"/>
                <w:szCs w:val="17"/>
                <w:color w:val="auto"/>
              </w:rPr>
            </w:pPr>
          </w:p>
        </w:tc>
        <w:tc>
          <w:tcPr>
            <w:tcW w:w="3760" w:type="dxa"/>
            <w:vAlign w:val="bottom"/>
          </w:tcPr>
          <w:p>
            <w:pPr>
              <w:jc w:val="center"/>
              <w:ind w:right="1331"/>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350"/>
        </w:trPr>
        <w:tc>
          <w:tcPr>
            <w:tcW w:w="5060" w:type="dxa"/>
            <w:vAlign w:val="bottom"/>
          </w:tcPr>
          <w:p>
            <w:pPr>
              <w:spacing w:after="0"/>
              <w:rPr>
                <w:sz w:val="24"/>
                <w:szCs w:val="24"/>
                <w:color w:val="auto"/>
              </w:rPr>
            </w:pPr>
          </w:p>
        </w:tc>
        <w:tc>
          <w:tcPr>
            <w:tcW w:w="2420" w:type="dxa"/>
            <w:vAlign w:val="bottom"/>
          </w:tcPr>
          <w:p>
            <w:pPr>
              <w:jc w:val="center"/>
              <w:ind w:right="1211"/>
              <w:spacing w:after="0"/>
              <w:rPr>
                <w:sz w:val="20"/>
                <w:szCs w:val="20"/>
                <w:color w:val="auto"/>
              </w:rPr>
            </w:pPr>
            <w:r>
              <w:rPr>
                <w:rFonts w:ascii="Times New Roman" w:cs="Times New Roman" w:eastAsia="Times New Roman" w:hAnsi="Times New Roman"/>
                <w:sz w:val="14"/>
                <w:szCs w:val="14"/>
                <w:b w:val="1"/>
                <w:bCs w:val="1"/>
                <w:color w:val="auto"/>
                <w:w w:val="98"/>
              </w:rPr>
              <w:t>(844) 933-3627</w:t>
            </w:r>
          </w:p>
        </w:tc>
        <w:tc>
          <w:tcPr>
            <w:tcW w:w="3760" w:type="dxa"/>
            <w:vAlign w:val="bottom"/>
          </w:tcPr>
          <w:p>
            <w:pPr>
              <w:spacing w:after="0"/>
              <w:rPr>
                <w:sz w:val="24"/>
                <w:szCs w:val="24"/>
                <w:color w:val="auto"/>
              </w:rPr>
            </w:pPr>
          </w:p>
        </w:tc>
      </w:tr>
      <w:tr>
        <w:trPr>
          <w:trHeight w:val="178"/>
        </w:trPr>
        <w:tc>
          <w:tcPr>
            <w:tcW w:w="7480" w:type="dxa"/>
            <w:vAlign w:val="bottom"/>
            <w:gridSpan w:val="2"/>
          </w:tcPr>
          <w:p>
            <w:pPr>
              <w:jc w:val="center"/>
              <w:ind w:left="3691"/>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c>
          <w:tcPr>
            <w:tcW w:w="3760" w:type="dxa"/>
            <w:vAlign w:val="bottom"/>
          </w:tcPr>
          <w:p>
            <w:pPr>
              <w:spacing w:after="0"/>
              <w:rPr>
                <w:sz w:val="15"/>
                <w:szCs w:val="15"/>
                <w:color w:val="auto"/>
              </w:rPr>
            </w:pPr>
          </w:p>
        </w:tc>
      </w:tr>
      <w:tr>
        <w:trPr>
          <w:trHeight w:val="271"/>
        </w:trPr>
        <w:tc>
          <w:tcPr>
            <w:tcW w:w="7480" w:type="dxa"/>
            <w:vAlign w:val="bottom"/>
            <w:gridSpan w:val="2"/>
          </w:tcPr>
          <w:p>
            <w:pPr>
              <w:jc w:val="center"/>
              <w:ind w:left="3691"/>
              <w:spacing w:after="0"/>
              <w:rPr>
                <w:sz w:val="20"/>
                <w:szCs w:val="20"/>
                <w:color w:val="auto"/>
              </w:rPr>
            </w:pPr>
            <w:r>
              <w:rPr>
                <w:rFonts w:ascii="Times New Roman" w:cs="Times New Roman" w:eastAsia="Times New Roman" w:hAnsi="Times New Roman"/>
                <w:sz w:val="14"/>
                <w:szCs w:val="14"/>
                <w:b w:val="1"/>
                <w:bCs w:val="1"/>
                <w:color w:val="auto"/>
                <w:w w:val="97"/>
              </w:rPr>
              <w:t>Securities registered pursuant to Section 12(b) of the Act:</w:t>
            </w:r>
          </w:p>
        </w:tc>
        <w:tc>
          <w:tcPr>
            <w:tcW w:w="3760" w:type="dxa"/>
            <w:vAlign w:val="bottom"/>
          </w:tcPr>
          <w:p>
            <w:pPr>
              <w:spacing w:after="0"/>
              <w:rPr>
                <w:sz w:val="23"/>
                <w:szCs w:val="23"/>
                <w:color w:val="auto"/>
              </w:rPr>
            </w:pPr>
          </w:p>
        </w:tc>
      </w:tr>
      <w:tr>
        <w:trPr>
          <w:trHeight w:val="309"/>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420" w:type="dxa"/>
            <w:vAlign w:val="bottom"/>
          </w:tcPr>
          <w:p>
            <w:pPr>
              <w:jc w:val="center"/>
              <w:ind w:right="691"/>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760" w:type="dxa"/>
            <w:vAlign w:val="bottom"/>
          </w:tcPr>
          <w:p>
            <w:pPr>
              <w:jc w:val="center"/>
              <w:ind w:right="651"/>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r>
      <w:tr>
        <w:trPr>
          <w:trHeight w:val="177"/>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Class A Common Stock, $0.0001 par value per share</w:t>
            </w:r>
          </w:p>
        </w:tc>
        <w:tc>
          <w:tcPr>
            <w:tcW w:w="2420" w:type="dxa"/>
            <w:vAlign w:val="bottom"/>
          </w:tcPr>
          <w:p>
            <w:pPr>
              <w:jc w:val="center"/>
              <w:ind w:right="691"/>
              <w:spacing w:after="0"/>
              <w:rPr>
                <w:sz w:val="20"/>
                <w:szCs w:val="20"/>
                <w:color w:val="auto"/>
              </w:rPr>
            </w:pPr>
            <w:r>
              <w:rPr>
                <w:rFonts w:ascii="Times New Roman" w:cs="Times New Roman" w:eastAsia="Times New Roman" w:hAnsi="Times New Roman"/>
                <w:sz w:val="14"/>
                <w:szCs w:val="14"/>
                <w:color w:val="auto"/>
                <w:w w:val="99"/>
              </w:rPr>
              <w:t>MAPS</w:t>
            </w:r>
          </w:p>
        </w:tc>
        <w:tc>
          <w:tcPr>
            <w:tcW w:w="3760" w:type="dxa"/>
            <w:vAlign w:val="bottom"/>
          </w:tcPr>
          <w:p>
            <w:pPr>
              <w:jc w:val="center"/>
              <w:ind w:right="651"/>
              <w:spacing w:after="0"/>
              <w:rPr>
                <w:sz w:val="20"/>
                <w:szCs w:val="20"/>
                <w:color w:val="auto"/>
              </w:rPr>
            </w:pPr>
            <w:r>
              <w:rPr>
                <w:rFonts w:ascii="Times New Roman" w:cs="Times New Roman" w:eastAsia="Times New Roman" w:hAnsi="Times New Roman"/>
                <w:sz w:val="14"/>
                <w:szCs w:val="14"/>
                <w:color w:val="auto"/>
                <w:w w:val="98"/>
              </w:rPr>
              <w:t>The Nasdaq Global Select Market</w:t>
            </w:r>
          </w:p>
        </w:tc>
      </w:tr>
      <w:tr>
        <w:trPr>
          <w:trHeight w:val="183"/>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Warrants, each whole warrant exercisable for one share of Class A Common Stock at an</w:t>
            </w:r>
          </w:p>
        </w:tc>
        <w:tc>
          <w:tcPr>
            <w:tcW w:w="242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178"/>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exercise price of $11.50 per share</w:t>
            </w:r>
          </w:p>
        </w:tc>
        <w:tc>
          <w:tcPr>
            <w:tcW w:w="2420" w:type="dxa"/>
            <w:vAlign w:val="bottom"/>
          </w:tcPr>
          <w:p>
            <w:pPr>
              <w:jc w:val="center"/>
              <w:ind w:right="691"/>
              <w:spacing w:after="0"/>
              <w:rPr>
                <w:sz w:val="20"/>
                <w:szCs w:val="20"/>
                <w:color w:val="auto"/>
              </w:rPr>
            </w:pPr>
            <w:r>
              <w:rPr>
                <w:rFonts w:ascii="Times New Roman" w:cs="Times New Roman" w:eastAsia="Times New Roman" w:hAnsi="Times New Roman"/>
                <w:sz w:val="14"/>
                <w:szCs w:val="14"/>
                <w:color w:val="auto"/>
                <w:w w:val="97"/>
              </w:rPr>
              <w:t>MAPSW</w:t>
            </w:r>
          </w:p>
        </w:tc>
        <w:tc>
          <w:tcPr>
            <w:tcW w:w="3760" w:type="dxa"/>
            <w:vAlign w:val="bottom"/>
          </w:tcPr>
          <w:p>
            <w:pPr>
              <w:jc w:val="center"/>
              <w:ind w:right="651"/>
              <w:spacing w:after="0"/>
              <w:rPr>
                <w:sz w:val="20"/>
                <w:szCs w:val="20"/>
                <w:color w:val="auto"/>
              </w:rPr>
            </w:pPr>
            <w:r>
              <w:rPr>
                <w:rFonts w:ascii="Times New Roman" w:cs="Times New Roman" w:eastAsia="Times New Roman" w:hAnsi="Times New Roman"/>
                <w:sz w:val="14"/>
                <w:szCs w:val="14"/>
                <w:color w:val="auto"/>
                <w:w w:val="98"/>
              </w:rPr>
              <w:t>The Nasdaq Global Select Market</w:t>
            </w:r>
          </w:p>
        </w:tc>
      </w:tr>
    </w:tbl>
    <w:p>
      <w:pPr>
        <w:spacing w:after="0" w:line="32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jc w:val="both"/>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p>
      <w:pPr>
        <w:ind w:left="20"/>
        <w:spacing w:after="0" w:line="161" w:lineRule="exact"/>
        <w:tabs>
          <w:tab w:leader="none" w:pos="3080" w:val="left"/>
          <w:tab w:leader="none" w:pos="3740" w:val="left"/>
          <w:tab w:leader="none" w:pos="68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1"/>
          <w:szCs w:val="11"/>
          <w:color w:val="auto"/>
        </w:rPr>
        <w:t>☒</w:t>
      </w:r>
    </w:p>
    <w:p>
      <w:pPr>
        <w:spacing w:after="0" w:line="69" w:lineRule="exact"/>
        <w:rPr>
          <w:sz w:val="24"/>
          <w:szCs w:val="24"/>
          <w:color w:val="auto"/>
        </w:rPr>
      </w:pPr>
    </w:p>
    <w:p>
      <w:pPr>
        <w:ind w:left="20"/>
        <w:spacing w:after="0" w:line="161" w:lineRule="exact"/>
        <w:tabs>
          <w:tab w:leader="none" w:pos="3080" w:val="left"/>
          <w:tab w:leader="none" w:pos="3740" w:val="left"/>
          <w:tab w:leader="none" w:pos="6840" w:val="left"/>
          <w:tab w:leader="none" w:pos="7500" w:val="left"/>
          <w:tab w:leader="none" w:pos="1058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1"/>
          <w:szCs w:val="11"/>
          <w:color w:val="auto"/>
        </w:rPr>
        <w:t>☐</w:t>
      </w:r>
    </w:p>
    <w:p>
      <w:pPr>
        <w:spacing w:after="0" w:line="92" w:lineRule="exact"/>
        <w:rPr>
          <w:sz w:val="24"/>
          <w:szCs w:val="24"/>
          <w:color w:val="auto"/>
        </w:rPr>
      </w:pPr>
    </w:p>
    <w:p>
      <w:pPr>
        <w:jc w:val="both"/>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3" w:lineRule="exact"/>
        <w:rPr>
          <w:sz w:val="24"/>
          <w:szCs w:val="24"/>
          <w:color w:val="auto"/>
        </w:rPr>
      </w:pPr>
    </w:p>
    <w:p>
      <w:pPr>
        <w:jc w:val="both"/>
        <w:spacing w:after="0" w:line="197" w:lineRule="exact"/>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w:t>
      </w:r>
      <w:r>
        <w:rPr>
          <w:rFonts w:ascii="MS PGothic" w:cs="MS PGothic" w:eastAsia="MS PGothic" w:hAnsi="MS PGothic"/>
          <w:sz w:val="17"/>
          <w:szCs w:val="17"/>
          <w:color w:val="auto"/>
        </w:rPr>
        <w:t>☒</w:t>
      </w:r>
    </w:p>
    <w:p>
      <w:pPr>
        <w:spacing w:after="0" w:line="58" w:lineRule="exact"/>
        <w:rPr>
          <w:sz w:val="24"/>
          <w:szCs w:val="24"/>
          <w:color w:val="auto"/>
        </w:rPr>
      </w:pPr>
    </w:p>
    <w:p>
      <w:pPr>
        <w:jc w:val="both"/>
        <w:spacing w:after="0" w:line="177"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4"/>
          <w:szCs w:val="14"/>
          <w:color w:val="auto"/>
        </w:rPr>
        <w:t>☐</w:t>
      </w:r>
    </w:p>
    <w:p>
      <w:pPr>
        <w:spacing w:after="0" w:line="60" w:lineRule="exact"/>
        <w:rPr>
          <w:sz w:val="24"/>
          <w:szCs w:val="24"/>
          <w:color w:val="auto"/>
        </w:rPr>
      </w:pPr>
    </w:p>
    <w:p>
      <w:pPr>
        <w:jc w:val="both"/>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tabs>
          <w:tab w:leader="none" w:pos="5820" w:val="left"/>
          <w:tab w:leader="none" w:pos="64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28"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28, 2024, the last business day of the registrant’s most recently completed second fiscal quarter, was approximately $89.0 million based upon the closing price reported for such date on the Nasdaq Global Select Market.</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5, 2025, there were 105,028,513 shares of the registrant’s Class A common stock outstanding and 49,319,542 shares of Class V common stock outstanding.</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ectPr>
          <w:pgSz w:w="11900" w:h="16838" w:orient="portrait"/>
          <w:cols w:equalWidth="0" w:num="1">
            <w:col w:w="11240"/>
          </w:cols>
          <w:pgMar w:left="320" w:top="226" w:right="339" w:bottom="1440" w:gutter="0" w:footer="0" w:header="0"/>
        </w:sectPr>
      </w:pP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Portions of the registrant’s Proxy Statement for the 2025 Annual Meeting of Stockholders are incorporated herein by reference in Part III of this Annual Report on Form 10-K to the extent stated herein.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Such proxy statement will be filed with the Securities and Exchange Commission within 120 days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554355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40" w:type="dxa"/>
            <w:vAlign w:val="bottom"/>
            <w:gridSpan w:val="9"/>
          </w:tcPr>
          <w:p>
            <w:pPr>
              <w:jc w:val="center"/>
              <w:ind w:right="3480"/>
              <w:spacing w:after="0"/>
              <w:rPr>
                <w:sz w:val="20"/>
                <w:szCs w:val="20"/>
                <w:color w:val="auto"/>
              </w:rPr>
            </w:pPr>
            <w:r>
              <w:rPr>
                <w:rFonts w:ascii="Times New Roman" w:cs="Times New Roman" w:eastAsia="Times New Roman" w:hAnsi="Times New Roman"/>
                <w:sz w:val="17"/>
                <w:szCs w:val="17"/>
                <w:b w:val="1"/>
                <w:bCs w:val="1"/>
                <w:color w:val="auto"/>
              </w:rPr>
              <w:t>WM TECHNOLOGY, INC.</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40" w:type="dxa"/>
            <w:vAlign w:val="bottom"/>
            <w:gridSpan w:val="9"/>
          </w:tcPr>
          <w:p>
            <w:pPr>
              <w:jc w:val="center"/>
              <w:ind w:right="35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gridSpan w:val="4"/>
          </w:tcPr>
          <w:p>
            <w:pPr>
              <w:ind w:left="26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5"/>
        </w:trPr>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60" w:type="dxa"/>
            <w:vAlign w:val="bottom"/>
            <w:gridSpan w:val="26"/>
            <w:vMerge w:val="restart"/>
          </w:tcPr>
          <w:p>
            <w:pPr>
              <w:spacing w:after="0"/>
              <w:rPr>
                <w:sz w:val="20"/>
                <w:szCs w:val="20"/>
                <w:color w:val="auto"/>
              </w:rPr>
            </w:pPr>
            <w:r>
              <w:rPr>
                <w:rFonts w:ascii="Times New Roman" w:cs="Times New Roman" w:eastAsia="Times New Roman" w:hAnsi="Times New Roman"/>
                <w:sz w:val="17"/>
                <w:szCs w:val="17"/>
                <w:color w:val="0000FF"/>
              </w:rPr>
              <w:t>Forward-Looking Statements</w:t>
            </w: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60" w:type="dxa"/>
            <w:vAlign w:val="bottom"/>
            <w:gridSpan w:val="26"/>
            <w:vMerge w:val="continue"/>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Risk Factor Summary</w:t>
            </w:r>
          </w:p>
        </w:tc>
        <w:tc>
          <w:tcPr>
            <w:tcW w:w="7240" w:type="dxa"/>
            <w:vAlign w:val="bottom"/>
            <w:gridSpan w:val="17"/>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8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Part I</w:t>
            </w:r>
          </w:p>
        </w:tc>
        <w:tc>
          <w:tcPr>
            <w:tcW w:w="1500" w:type="dxa"/>
            <w:vAlign w:val="bottom"/>
            <w:tcBorders>
              <w:top w:val="single" w:sz="8" w:color="0000FF"/>
            </w:tcBorders>
            <w:gridSpan w:val="4"/>
          </w:tcPr>
          <w:p>
            <w:pPr>
              <w:spacing w:after="0"/>
              <w:rPr>
                <w:sz w:val="24"/>
                <w:szCs w:val="24"/>
                <w:color w:val="auto"/>
              </w:rPr>
            </w:pPr>
          </w:p>
        </w:tc>
        <w:tc>
          <w:tcPr>
            <w:tcW w:w="7740" w:type="dxa"/>
            <w:vAlign w:val="bottom"/>
            <w:gridSpan w:val="21"/>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 Business</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1B. Unresolved Staff Comments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1C. Cybersecurity</w:t>
            </w:r>
          </w:p>
        </w:tc>
        <w:tc>
          <w:tcPr>
            <w:tcW w:w="800" w:type="dxa"/>
            <w:vAlign w:val="bottom"/>
            <w:tcBorders>
              <w:top w:val="single" w:sz="8" w:color="0000FF"/>
            </w:tcBorders>
            <w:gridSpan w:val="7"/>
          </w:tcPr>
          <w:p>
            <w:pPr>
              <w:spacing w:after="0"/>
              <w:rPr>
                <w:sz w:val="17"/>
                <w:szCs w:val="17"/>
                <w:color w:val="auto"/>
              </w:rPr>
            </w:pPr>
          </w:p>
        </w:tc>
        <w:tc>
          <w:tcPr>
            <w:tcW w:w="666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2. Properties</w:t>
            </w:r>
          </w:p>
        </w:tc>
        <w:tc>
          <w:tcPr>
            <w:tcW w:w="7460" w:type="dxa"/>
            <w:vAlign w:val="bottom"/>
            <w:gridSpan w:val="19"/>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3. Legal Proceedings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Part II</w:t>
            </w:r>
          </w:p>
        </w:tc>
        <w:tc>
          <w:tcPr>
            <w:tcW w:w="2200" w:type="dxa"/>
            <w:vAlign w:val="bottom"/>
            <w:tcBorders>
              <w:top w:val="single" w:sz="8" w:color="0000FF"/>
            </w:tcBorders>
            <w:gridSpan w:val="10"/>
          </w:tcPr>
          <w:p>
            <w:pPr>
              <w:spacing w:after="0"/>
              <w:rPr>
                <w:sz w:val="17"/>
                <w:szCs w:val="17"/>
                <w:color w:val="auto"/>
              </w:rPr>
            </w:pPr>
          </w:p>
        </w:tc>
        <w:tc>
          <w:tcPr>
            <w:tcW w:w="704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7"/>
                <w:szCs w:val="17"/>
                <w:color w:val="0000FF"/>
              </w:rPr>
              <w:t>Item 5. Market for Registrant’s Common Equity, Related Stockholder Matters and Issuer Purchases of Equity Securities</w:t>
            </w: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Item 6. Reserved</w:t>
            </w:r>
          </w:p>
        </w:tc>
        <w:tc>
          <w:tcPr>
            <w:tcW w:w="8080" w:type="dxa"/>
            <w:vAlign w:val="bottom"/>
            <w:gridSpan w:val="23"/>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7"/>
                <w:szCs w:val="17"/>
                <w:color w:val="0000FF"/>
              </w:rPr>
              <w:t>Item 7. Management’s Discussion and Analysis of Financial Condition and Results of Operations</w:t>
            </w:r>
          </w:p>
        </w:tc>
        <w:tc>
          <w:tcPr>
            <w:tcW w:w="256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Item 7A. Quantitative and Qualitative Disclosures About Market Risk</w:t>
            </w:r>
          </w:p>
        </w:tc>
        <w:tc>
          <w:tcPr>
            <w:tcW w:w="444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Item 8. Financial Statements and Supplementary Data</w:t>
            </w:r>
          </w:p>
        </w:tc>
        <w:tc>
          <w:tcPr>
            <w:tcW w:w="554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7"/>
                <w:szCs w:val="17"/>
                <w:color w:val="0000FF"/>
              </w:rPr>
              <w:t>Item 9. Changes in and Disagreements With Accountants on Accounting and Financial Disclosure</w:t>
            </w:r>
          </w:p>
        </w:tc>
        <w:tc>
          <w:tcPr>
            <w:tcW w:w="16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Item 9A. Controls and Procedures</w:t>
            </w:r>
          </w:p>
        </w:tc>
        <w:tc>
          <w:tcPr>
            <w:tcW w:w="690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9B. Other Information</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8"/>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9C. Disclosure Regarding Foreign Jurisdictions that Prevent Inspections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Part III</w:t>
            </w:r>
          </w:p>
        </w:tc>
        <w:tc>
          <w:tcPr>
            <w:tcW w:w="5300" w:type="dxa"/>
            <w:vAlign w:val="bottom"/>
            <w:tcBorders>
              <w:top w:val="single" w:sz="8" w:color="0000FF"/>
            </w:tcBorders>
            <w:gridSpan w:val="19"/>
          </w:tcPr>
          <w:p>
            <w:pPr>
              <w:spacing w:after="0"/>
              <w:rPr>
                <w:sz w:val="17"/>
                <w:szCs w:val="17"/>
                <w:color w:val="auto"/>
              </w:rPr>
            </w:pPr>
          </w:p>
        </w:tc>
        <w:tc>
          <w:tcPr>
            <w:tcW w:w="394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10. Directors, Executive Officers and Corporate Governance</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Item 11. Executive Compensation</w:t>
            </w:r>
          </w:p>
        </w:tc>
        <w:tc>
          <w:tcPr>
            <w:tcW w:w="2180" w:type="dxa"/>
            <w:vAlign w:val="bottom"/>
            <w:tcBorders>
              <w:top w:val="single" w:sz="8" w:color="0000FF"/>
            </w:tcBorders>
            <w:gridSpan w:val="6"/>
          </w:tcPr>
          <w:p>
            <w:pPr>
              <w:spacing w:after="0"/>
              <w:rPr>
                <w:sz w:val="17"/>
                <w:szCs w:val="17"/>
                <w:color w:val="auto"/>
              </w:rPr>
            </w:pPr>
          </w:p>
        </w:tc>
        <w:tc>
          <w:tcPr>
            <w:tcW w:w="474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12. Security Ownership of Certain Beneficial Owners and Management and Related Stockholder Matters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8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7"/>
                <w:szCs w:val="17"/>
                <w:color w:val="0000FF"/>
              </w:rPr>
              <w:t>Item 13. Certain Relationships and Related Transactions and Director Independence</w:t>
            </w:r>
          </w:p>
        </w:tc>
        <w:tc>
          <w:tcPr>
            <w:tcW w:w="16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Item 14. Principal Accounting Fees and Services</w:t>
            </w:r>
          </w:p>
        </w:tc>
        <w:tc>
          <w:tcPr>
            <w:tcW w:w="348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Part IV</w:t>
            </w:r>
          </w:p>
        </w:tc>
        <w:tc>
          <w:tcPr>
            <w:tcW w:w="3340" w:type="dxa"/>
            <w:vAlign w:val="bottom"/>
            <w:tcBorders>
              <w:top w:val="single" w:sz="8" w:color="0000FF"/>
            </w:tcBorders>
            <w:gridSpan w:val="14"/>
          </w:tcPr>
          <w:p>
            <w:pPr>
              <w:spacing w:after="0"/>
              <w:rPr>
                <w:sz w:val="17"/>
                <w:szCs w:val="17"/>
                <w:color w:val="auto"/>
              </w:rPr>
            </w:pPr>
          </w:p>
        </w:tc>
        <w:tc>
          <w:tcPr>
            <w:tcW w:w="590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Item 15. Exhibits and Financial Statement Schedules</w:t>
            </w:r>
          </w:p>
        </w:tc>
        <w:tc>
          <w:tcPr>
            <w:tcW w:w="562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16. Form 10–K Summary</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2100" w:type="dxa"/>
            <w:vAlign w:val="bottom"/>
            <w:tcBorders>
              <w:top w:val="single" w:sz="8" w:color="0000FF"/>
            </w:tcBorders>
            <w:gridSpan w:val="9"/>
          </w:tcPr>
          <w:p>
            <w:pPr>
              <w:spacing w:after="0"/>
              <w:rPr>
                <w:sz w:val="17"/>
                <w:szCs w:val="17"/>
                <w:color w:val="auto"/>
              </w:rPr>
            </w:pPr>
          </w:p>
        </w:tc>
        <w:tc>
          <w:tcPr>
            <w:tcW w:w="714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2410460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22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76"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and business performance, including key business metrics and any underlying assumptions thereunder;</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opportunity and our ability to acquire new clients and retain existing clients;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and timing related to commercial product launches;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go-to-market strategy;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scale our business and expand our offerings;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advantages and growth strategies;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capital requirements and sources and uses of cash;</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funding for our future operations;</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material weaknesses in our internal controls and our ability to remediate any such material weakness on the timing we anticipate, or at all;</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listing on the Nasdaq Stock Market LLC (“Nasdaq”);</w:t>
      </w:r>
    </w:p>
    <w:p>
      <w:pPr>
        <w:spacing w:after="0" w:line="6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impact of the restatement on our reputation and investor confidence in us and the increased possibility of legal proceedings and regulatory inquiries;</w:t>
      </w:r>
    </w:p>
    <w:p>
      <w:pPr>
        <w:spacing w:after="0" w:line="34"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known and unknown litigation and regulatory proceedings;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domestic and foreign business, market, financial, political and legal conditions;</w:t>
      </w:r>
    </w:p>
    <w:p>
      <w:pPr>
        <w:spacing w:after="0" w:line="101" w:lineRule="exact"/>
        <w:rPr>
          <w:rFonts w:ascii="Times New Roman" w:cs="Times New Roman" w:eastAsia="Times New Roman" w:hAnsi="Times New Roman"/>
          <w:sz w:val="17"/>
          <w:szCs w:val="17"/>
          <w:color w:val="auto"/>
        </w:rPr>
      </w:pPr>
    </w:p>
    <w:p>
      <w:pPr>
        <w:jc w:val="both"/>
        <w:ind w:left="620" w:hanging="307"/>
        <w:spacing w:after="0" w:line="245" w:lineRule="auto"/>
        <w:tabs>
          <w:tab w:leader="none" w:pos="61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including the military conflicts between Russia and Ukraine and the state of war between Israel and Hamas and the related risk of a larger regional conflict; and the occurrence of a catastrophic event, including but not limited to severe weather, war, or terrorist attack;</w:t>
      </w:r>
    </w:p>
    <w:p>
      <w:pPr>
        <w:spacing w:after="0" w:line="31"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global, regional or local economic and market conditions affecting the cannabis industry;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effects and enforcement of and changes to laws and regulations, including with respect to the cannabis and hemp industries;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capitalize on new and existing cannabis markets, including our ability to successfully monetize our solutions in those markets;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future growth;</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anticipate and address changes in the end-user market in the cannabis industry;</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competition on our future business;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in retaining or recruiting, or changes required in, officers, key employees or directors;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cyber-attacks and security vulnerabilities;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may be adversely affected by other economic, business or competitive factors.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Moreover, we operate in a very competitive and rapidly changing environment. New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597535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WHERE YOU CAN FIND ADDITIONAL INFORMATION</w:t>
      </w:r>
    </w:p>
    <w:p>
      <w:pPr>
        <w:spacing w:after="0" w:line="114"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7"/>
          <w:szCs w:val="17"/>
          <w:color w:val="auto"/>
        </w:rPr>
        <w:t>We intend to announce material information to the public through filings with the Securities and Exchange Commission (“SEC”), the investor relations page on our website, which is located at ir.weedmaps.com,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w:t>
      </w:r>
    </w:p>
    <w:p>
      <w:pPr>
        <w:spacing w:after="0" w:line="6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The information we post through these channels is not a part of this Annual Report on Form 10-K. Any updates to the list of disclosure channels through which we will announce information will be posted on the investor relations page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732155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 SUMMARY</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under the section titled “Risk Factors” as well as elsewhere in this Annual Report on Form 10-K and our other filings with the SEC. The below summary is qualified in its entirety by that more complete discussion of such risks and uncertainties. You should consider carefully the risks and uncertainties described under the section titled “Risk Factors” as part of your evaluation of an investment in our securities:</w:t>
      </w:r>
    </w:p>
    <w:p>
      <w:pPr>
        <w:spacing w:after="0" w:line="72"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our costs increase, we may not be able to generate sufficient revenue to achieve profitability in the future.</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retain our existing clients and consumers or to acquire new clients and consumers in a cost-effective manner, our revenue may decrease and our business may be harmed.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offer the optimal pricing of our products and solutions.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expand effectively into new markets, our revenue and business will be adversely affected.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the illicit cannabis market could impact our ability to succeed.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concentrated in California, and, as a result, our performance may be affected by factors unique to the California market.</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legal proceedings could expose us to significant liabilities and have a negative impact on our reputation or business.</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61"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19" w:lineRule="exact"/>
        <w:rPr>
          <w:rFonts w:ascii="Times New Roman" w:cs="Times New Roman" w:eastAsia="Times New Roman" w:hAnsi="Times New Roman"/>
          <w:sz w:val="17"/>
          <w:szCs w:val="17"/>
          <w:color w:val="auto"/>
        </w:rPr>
      </w:pPr>
    </w:p>
    <w:p>
      <w:pPr>
        <w:jc w:val="both"/>
        <w:ind w:left="620" w:hanging="307"/>
        <w:spacing w:after="0" w:line="261"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1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dependent on U.S. state laws and regulations.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our business is dependent, in part, upon continued market acceptance of cannabis by consumers, any negative trends could adversely affect our business operations.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our business is dependent, in part, on the continued legalization of cannabis.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clients and consumers using our platform fail to provide high-quality content that attracts consumers, we may not be able to generate sufficient consumer traffic to remain competitive.</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highly dependent upon our brand recognition and reputation, and the erosion or degradation of our brand recognition or reputation would likely adversely affect our business and operating results.</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face intense competition in the cannabis information market, and we expect competition to further intensify as the cannabis industry continues to evolve.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manage our employee operations and organization effectively, our brand, business and operating results could be harmed.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recruit, train, retain and motivate key personnel, we may not achieve our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593725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left="620" w:hanging="307"/>
        <w:spacing w:after="0" w:line="26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or are otherwise limited in our ability to conduct digital advertising by applicable laws, our ability to attract new clients may be impaired.</w:t>
      </w:r>
    </w:p>
    <w:p>
      <w:pPr>
        <w:spacing w:after="0" w:line="16"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current marketing model is not effective in attracting new clients, we may need to employ higher-cost sales and marketing methods to attract and retain clients, which could adversely affect our profitability.</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Apple App Store or Google Play limit the functionality or availability of our mobile application platform, including as a result of changes or violations of terms and conditions, access to and utilization of our platform may suffer.</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payment system and the payment systems of our clients depend on third-party providers and are subject to evolving laws and regulations.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our banking relations, and we may have difficulty accessing or consistently maintaining banking or other financial services due to our connection with the cannabis industry.</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drive engagement on our platform, as well as changes to our user engagement and advertising strategy and practices, pose risks to our business.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security incident, including a distributed denial of service attack, ransomware attack, security breach or unauthorized data access could impair or incapacitate our information technology systems or those of third parties with whom we work and delay or interrupt service to our clients and consumers, harm our reputation, or subject us to significant liability.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regulation of the internet continues to develop, and unfavorable changes could substantially harm our business and operating results.</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6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ongoing material weaknesses in our internal control over financial reporting as of December 31, 2024.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224"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previously restated our financial statements for several quarters, which resulted in unanticipated costs and may adversely affect investor confidence, our stock price, our ability to raise capital, raise reputational issues and may subject us to additional risks and uncertainties, including the increased possibility of legal proceedings and regulatory inquiries</w:t>
      </w:r>
    </w:p>
    <w:p>
      <w:pPr>
        <w:spacing w:after="0" w:line="10"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statements from investors, including expressions of interest or proposals to purchase our company, may increase the volatility of, or otherwise have an adverse impact on, the market price of our Class A common stock.</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price of our Class A Common Stock and certain of our Public Warrants have been, and may continue to be, volatile, and the value of our Class A Common Stock and such Warrants may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552450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w:t>
        <w:tab/>
        <w:t>BUSINESS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Weedmaps for Business, our SaaS offering, is a comprehensive set of eCommerce and compliance software solutions catered towards cannabis retailers, delivery services and brands that streamline front and back-end operations and help manage compliance needs. These tools support cannabis businesses at every stage in the consumer funnel, enabling them to:</w:t>
      </w:r>
    </w:p>
    <w:p>
      <w:pPr>
        <w:spacing w:after="0" w:line="83" w:lineRule="exact"/>
        <w:rPr>
          <w:sz w:val="20"/>
          <w:szCs w:val="20"/>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Strategically reach prospective cannabis consumers.</w:t>
      </w:r>
    </w:p>
    <w:p>
      <w:pPr>
        <w:spacing w:after="0" w:line="55"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Manage pickup, delivery and inventory in compliance with local regulations.</w:t>
      </w:r>
    </w:p>
    <w:p>
      <w:pPr>
        <w:spacing w:after="0" w:line="73" w:lineRule="exact"/>
        <w:rPr>
          <w:rFonts w:ascii="Arial" w:cs="Arial" w:eastAsia="Arial" w:hAnsi="Arial"/>
          <w:sz w:val="21"/>
          <w:szCs w:val="21"/>
          <w:color w:val="auto"/>
        </w:rPr>
      </w:pPr>
    </w:p>
    <w:p>
      <w:pPr>
        <w:ind w:left="620" w:hanging="307"/>
        <w:spacing w:after="0"/>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Help improve the customer experience by creating online browsing and ordering functionality on a brand or retailer (including delivery) operator’s website.</w:t>
      </w:r>
    </w:p>
    <w:p>
      <w:pPr>
        <w:spacing w:after="0" w:line="255"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Foster customer loyalty and re-engage with segments of consumers.</w:t>
      </w:r>
    </w:p>
    <w:p>
      <w:pPr>
        <w:spacing w:after="0" w:line="73"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Leverage the Weedmaps for Business products in conjunction with any other preferred software solutions via integrations and application programming interfaces (“APIs”).</w:t>
      </w:r>
    </w:p>
    <w:p>
      <w:pPr>
        <w:spacing w:after="0" w:line="74"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Make informed marketing and merchandising decisions using performance analytics and consumer and brand insights to promote products to specific consumer groups.</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w:t>
      </w:r>
    </w:p>
    <w:p>
      <w:pPr>
        <w:jc w:val="both"/>
        <w:ind w:firstLine="3"/>
        <w:spacing w:after="0" w:line="253" w:lineRule="auto"/>
        <w:tabs>
          <w:tab w:leader="none" w:pos="27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reserve products for pickup by consumers or delivery to consumers (either through weedmaps.com, on a white labeled WM Store website or third-party websites through our orders and menu embed product), (iii) customizable menus for brands, retailers and delivery operators to embed on their website,</w:t>
      </w:r>
    </w:p>
    <w:p>
      <w:pPr>
        <w:ind w:firstLine="3"/>
        <w:spacing w:after="0" w:line="266" w:lineRule="auto"/>
        <w:tabs>
          <w:tab w:leader="none" w:pos="30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 to our APIs, including real-time connectivity between Weedmaps for Business to a POS to streamline workflows and promote compliance through accuracy and (v) analytics dashboards. We also offer add-on and a la carte products and services for additional fees, as discussed below.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state-legal cannabis industry in the United States has grown consistently in recent years and was estimated to be between approximately $30-31 billion in 2024, according to Wall Street analyst estimates, and is expected by some estimates to grow to approximately $35 billion by 2027, assuming a continued pace of new state legalization, with 68% of U.S. adults in support of having legal access to cannabis. Currently, forty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 Despite expectations of growth, the regulated cannabis market in the United States is still nascent and fragmented, with significant challenges facing both consumers seeking to understand cannabis and find the right products for them and businesses seeking to operate compliantly and to effectively reach and market to cannabis consumers. Within the U.S., cannabis users (defined as adults, aged 21 and older, who have consumed cannabis in the past year) represent less than 22% of the total U.S. adult, aged 21 and older, population today (and less than 16% for those that consumed in the past month). On the client side, as of December 31, 2024, there were approximately 12,000 retail licenses across the United States with medical and/or adult-use regulations in place, which is an effective retail density of approximately one retail license per 21,750 residents across these markets in the aggregate, based on data available from individual governmental cannabis license databases and the U.S. Census Bureau estimates for both licenses and population.</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to these nascent consumer and business dynamics, cannabis itself is a highly complex, regulated and diverse, non-shelf stable consumer good that spans hundreds of strains and a growing set of form factors available for consumption, including flower, pre-rolls, vapes, edibles, tinctures and concentrates. Despite these complexities, consumers still expect the same product information, discovery and comparison options across multiple channels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consumers. Retailers and brands must meet these consumer expectations and provide omni-channel engagement opportunities with the same (i) level of service,</w:t>
      </w:r>
    </w:p>
    <w:p>
      <w:pPr>
        <w:spacing w:after="0" w:line="3" w:lineRule="exact"/>
        <w:rPr>
          <w:sz w:val="20"/>
          <w:szCs w:val="20"/>
          <w:color w:val="auto"/>
        </w:rPr>
      </w:pPr>
    </w:p>
    <w:p>
      <w:pPr>
        <w:jc w:val="both"/>
        <w:ind w:firstLine="3"/>
        <w:spacing w:after="0" w:line="257" w:lineRule="auto"/>
        <w:tabs>
          <w:tab w:leader="none" w:pos="26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599430" cy="2734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9943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solutions are designed to address the challenges facing cannabis consumers and businesses. The Weedmaps marketplace allows cannabis consumers to search for and browse cannabis products from retailers and brands, and ultimately reserve products from certain local retailers, in a manner similar to other technology platforms with breadth and depth of product, brand and retailer selection. With Weedmaps for Business, we offer an end-to-end platform for licensed cannabis retailers to comply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state law. We sell a monthly subscription offering to retailer and brand clients as well as upsell and add-on offerings to licensed clients.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current Weedmaps for Business monthly subscription package includes:</w:t>
      </w:r>
    </w:p>
    <w:p>
      <w:pPr>
        <w:spacing w:after="0" w:line="114" w:lineRule="exact"/>
        <w:rPr>
          <w:sz w:val="20"/>
          <w:szCs w:val="20"/>
          <w:color w:val="auto"/>
        </w:rPr>
      </w:pPr>
    </w:p>
    <w:p>
      <w:pPr>
        <w:jc w:val="both"/>
        <w:ind w:left="620" w:hanging="307"/>
        <w:spacing w:after="0" w:line="270"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Listings: A listing page with product menu for a retailer or brand on the Weedmaps marketplace, enabling our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Orders: Software for retailers to receive pickup and delivery orders directly from a Weedmaps listing and connect orders directly with a client’s point-of-sale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1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offer other add-on products for additional fees, including:</w:t>
      </w:r>
    </w:p>
    <w:p>
      <w:pPr>
        <w:spacing w:after="0" w:line="114" w:lineRule="exact"/>
        <w:rPr>
          <w:sz w:val="20"/>
          <w:szCs w:val="20"/>
          <w:color w:val="auto"/>
        </w:rPr>
      </w:pPr>
    </w:p>
    <w:p>
      <w:pPr>
        <w:ind w:left="620" w:hanging="307"/>
        <w:spacing w:after="0" w:line="287"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Ads: Ad solutions on the Weedmaps marketplace designed for clients to amplify their businesses and reach more highly engaged cannabis consumers throughout their buying journey including:</w:t>
      </w:r>
    </w:p>
    <w:p>
      <w:pPr>
        <w:spacing w:after="0" w:line="48" w:lineRule="exact"/>
        <w:rPr>
          <w:rFonts w:ascii="Times New Roman" w:cs="Times New Roman" w:eastAsia="Times New Roman" w:hAnsi="Times New Roman"/>
          <w:sz w:val="17"/>
          <w:szCs w:val="17"/>
          <w:color w:val="auto"/>
        </w:rPr>
      </w:pPr>
    </w:p>
    <w:p>
      <w:pPr>
        <w:ind w:left="1240" w:hanging="309"/>
        <w:spacing w:after="0" w:line="284" w:lineRule="auto"/>
        <w:tabs>
          <w:tab w:leader="none" w:pos="1236"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Featured Listings: Premium placement ad solutions on high visibility locations on the Weedmaps marketplace (desktop and mobile) to amplify our clients’ businesses and maximize clients’ listings and deal presence.</w:t>
      </w:r>
    </w:p>
    <w:p>
      <w:pPr>
        <w:spacing w:after="0" w:line="1" w:lineRule="exact"/>
        <w:rPr>
          <w:rFonts w:ascii="Times New Roman" w:cs="Times New Roman" w:eastAsia="Times New Roman" w:hAnsi="Times New Roman"/>
          <w:sz w:val="17"/>
          <w:szCs w:val="17"/>
          <w:color w:val="auto"/>
        </w:rPr>
      </w:pPr>
    </w:p>
    <w:p>
      <w:pPr>
        <w:ind w:left="1240" w:hanging="309"/>
        <w:spacing w:after="0" w:line="284" w:lineRule="auto"/>
        <w:tabs>
          <w:tab w:leader="none" w:pos="1236"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1" w:lineRule="exact"/>
        <w:rPr>
          <w:rFonts w:ascii="Times New Roman" w:cs="Times New Roman" w:eastAsia="Times New Roman" w:hAnsi="Times New Roman"/>
          <w:sz w:val="17"/>
          <w:szCs w:val="17"/>
          <w:color w:val="auto"/>
        </w:rPr>
      </w:pPr>
    </w:p>
    <w:p>
      <w:pPr>
        <w:ind w:left="1240" w:hanging="309"/>
        <w:spacing w:after="0" w:line="284" w:lineRule="auto"/>
        <w:tabs>
          <w:tab w:leader="none" w:pos="1249"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sell our Weedmaps for Business suite in the United States and have a limited number of non-monetized listings in several other countries including Austria, Canada, Germany, the Netherlands, Spain, Switzerland, and Uruguay. We operate in the United States, Canada and other foreign jurisdictions where medical and/or adult cannabis use is legal under state or national law. As of December 31, 2024, we actively operated in over 35 U.S. states and territories that have adult-use and/or medical-use regulations in place. We define actively operated markets as those U.S. states or territories with greater than $1,000 monthly revenue. Substantially all of our revenue was generated in the United States.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While the cannabis industry is still in the early innings of what could be decades of growth, we have established a leading position and a recognized brand given our 16-year operating history. Over the coming years, we plan to continue expanding our solutions and service offerings.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Challenges in Our End-Markets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Despite cannabis being a large and growing sector in the United States, we believe that cannabis is unlike many other consumer goods and retail categories for a number of reasons:</w:t>
      </w:r>
    </w:p>
    <w:p>
      <w:pPr>
        <w:spacing w:after="0" w:line="48"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as a regulated industry is still in a nascent stage of development.</w:t>
      </w:r>
    </w:p>
    <w:p>
      <w:pPr>
        <w:spacing w:after="0" w:line="62" w:lineRule="exact"/>
        <w:rPr>
          <w:rFonts w:ascii="Times New Roman" w:cs="Times New Roman" w:eastAsia="Times New Roman" w:hAnsi="Times New Roman"/>
          <w:sz w:val="17"/>
          <w:szCs w:val="17"/>
          <w:color w:val="auto"/>
        </w:rPr>
      </w:pPr>
    </w:p>
    <w:p>
      <w:pPr>
        <w:ind w:left="620" w:hanging="307"/>
        <w:spacing w:after="0" w:line="258"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users (defined as adults, aged 21 and older, who have consumed cannabis in the past year) represent less than 22% of the total U.S. adult, aged 21 and older, population today (and less than 16% for those that consumed in the past month)</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without a “typical” user profile.</w:t>
      </w: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governing cannabis are complex and vary state-by-state and by city and county within states.</w:t>
      </w:r>
    </w:p>
    <w:p>
      <w:pPr>
        <w:spacing w:after="0" w:line="4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has wide variance in characteristics that make it complex for consumers to make an informed purchase decision.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is a perishable good with a lack of product homogeneity.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Brands are only in the early stages of establishing a consumer presence.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illicit market continues to pose a major challenge, directly competing with licensed operators burdened by high taxes and complex regulations.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industry has experienced periods of price deflation, including over the past three years, impacting the financial performance of businesses across the value chain.</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access to capital (relative to other industries) and limitations under Section 280E of the Internal Revenue Code of 1986, as amended (the “Code”) on deduction or credit for certain expenses of cannabis business can reduce the cash flow and liquidity of many industry participants.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Since our founding in 2008, we have grown to become a leading provider of technology solutions to the cannabis industry by leveraging our competitive strengths, including:</w:t>
      </w:r>
    </w:p>
    <w:p>
      <w:pPr>
        <w:spacing w:after="0" w:line="42" w:lineRule="exact"/>
        <w:rPr>
          <w:sz w:val="20"/>
          <w:szCs w:val="20"/>
          <w:color w:val="auto"/>
        </w:rPr>
      </w:pPr>
    </w:p>
    <w:p>
      <w:pPr>
        <w:jc w:val="both"/>
        <w:ind w:left="620" w:hanging="307"/>
        <w:spacing w:after="0" w:line="26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Long History as a Technology Leader Serving the Cannabis Industry. </w:t>
      </w:r>
      <w:r>
        <w:rPr>
          <w:rFonts w:ascii="Times New Roman" w:cs="Times New Roman" w:eastAsia="Times New Roman" w:hAnsi="Times New Roman"/>
          <w:sz w:val="17"/>
          <w:szCs w:val="17"/>
          <w:color w:val="auto"/>
        </w:rPr>
        <w:t>Founded in 2008, we have a long history and established relationships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cannabis businesses and consumers across the United States. This long history has given us several competitive advantages, such as scale, attractive operating margins and local insights into emerging consumer and business trends across many markets. Our policy expertise allows us to anticipate and react quickly to changes in cannabis regulations and informs all aspects of our business, including our product ideation, development and go-to-market strategies.</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Largest Two-Sided Platform for Cannabis Businesses and Consumers. </w:t>
      </w:r>
      <w:r>
        <w:rPr>
          <w:rFonts w:ascii="Times New Roman" w:cs="Times New Roman" w:eastAsia="Times New Roman" w:hAnsi="Times New Roman"/>
          <w:sz w:val="17"/>
          <w:szCs w:val="17"/>
          <w:color w:val="auto"/>
        </w:rPr>
        <w:t>With $184.5 million in revenues and 5,077 average monthly paying clients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year ended December 31, 2024, we believe we are the largest two-sided platform for cannabis businesses and consumers in the United States. Increasing the number of users on our platform, generates more engagements, which we expect can more easily persuade our business clients to consolidate their service providers by switching to our value-priced Weedmaps for Business bundled solution. Increasing the number of businesses on our marketplace, allows us to be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ind w:left="620" w:hanging="307"/>
        <w:spacing w:after="0" w:line="259"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 Fully-Integrated Solution Specific to the Cannabis Industry. </w:t>
      </w:r>
      <w:r>
        <w:rPr>
          <w:rFonts w:ascii="Times New Roman" w:cs="Times New Roman" w:eastAsia="Times New Roman" w:hAnsi="Times New Roman"/>
          <w:sz w:val="17"/>
          <w:szCs w:val="17"/>
          <w:color w:val="auto"/>
        </w:rPr>
        <w:t>We believe our Weedmaps for Business is the industry’s only comprehensive solution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incorporates embedded compliance functionality so that our clients comply with state law through integrated software solutions ranging from live menus, logistics and fulfillment, POS integrations, inventory management and data and analytics. We also believe we are the only platform servicing cannabis that combines both a scaled marketplace and software - most other technology providers offer software solutions without the marketplace or a marketplace without software. We also believe we offer the most comprehensive software platform that allows cannabis retailers to reach their target audience, quickly and cost effectively, addressing a wide range of needs. Our platform features self-service administrative functionality that enables clients to manage their listings page, including adding images, adjusting their menus, editing product information and responding to reviews as well as analyzing traffic trends.</w:t>
      </w:r>
    </w:p>
    <w:p>
      <w:pPr>
        <w:spacing w:after="0" w:line="225" w:lineRule="exact"/>
        <w:rPr>
          <w:rFonts w:ascii="Times New Roman" w:cs="Times New Roman" w:eastAsia="Times New Roman" w:hAnsi="Times New Roman"/>
          <w:sz w:val="17"/>
          <w:szCs w:val="17"/>
          <w:color w:val="auto"/>
        </w:rPr>
      </w:pPr>
    </w:p>
    <w:p>
      <w:pPr>
        <w:jc w:val="both"/>
        <w:ind w:left="620" w:hanging="307"/>
        <w:spacing w:after="0" w:line="263"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Unique and Growing Data Asset. </w:t>
      </w:r>
      <w:r>
        <w:rPr>
          <w:rFonts w:ascii="Times New Roman" w:cs="Times New Roman" w:eastAsia="Times New Roman" w:hAnsi="Times New Roman"/>
          <w:sz w:val="17"/>
          <w:szCs w:val="17"/>
          <w:color w:val="auto"/>
        </w:rPr>
        <w:t>As a result our established presence, scale and the breadth of product offerings that provide us with a high volume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59"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Ability to Innovate Rapidly and Launch New Products Efficiently at Scale. </w:t>
      </w:r>
      <w:r>
        <w:rPr>
          <w:rFonts w:ascii="Times New Roman" w:cs="Times New Roman" w:eastAsia="Times New Roman" w:hAnsi="Times New Roman"/>
          <w:sz w:val="17"/>
          <w:szCs w:val="17"/>
          <w:color w:val="auto"/>
        </w:rPr>
        <w:t>We have an agile product innovation and deployment process. Our sales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14" w:lineRule="exact"/>
        <w:rPr>
          <w:rFonts w:ascii="Times New Roman" w:cs="Times New Roman" w:eastAsia="Times New Roman" w:hAnsi="Times New Roman"/>
          <w:sz w:val="17"/>
          <w:szCs w:val="17"/>
          <w:color w:val="auto"/>
        </w:rPr>
      </w:pPr>
    </w:p>
    <w:p>
      <w:pPr>
        <w:jc w:val="both"/>
        <w:ind w:left="620" w:hanging="307"/>
        <w:spacing w:after="0" w:line="263"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Capital-Efficient Business Model with Historical Track Record of Positive Cash Flows. </w:t>
      </w:r>
      <w:r>
        <w:rPr>
          <w:rFonts w:ascii="Times New Roman" w:cs="Times New Roman" w:eastAsia="Times New Roman" w:hAnsi="Times New Roman"/>
          <w:sz w:val="17"/>
          <w:szCs w:val="17"/>
          <w:color w:val="auto"/>
        </w:rPr>
        <w:t>We operate a cloud-based platform, and 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historical robust margin profile and, our track record of positive Adjusted EBITDA and cash flows from operating activities.</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63"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Operationally-Focused Management Team with Deep Experience. </w:t>
      </w:r>
      <w:r>
        <w:rPr>
          <w:rFonts w:ascii="Times New Roman" w:cs="Times New Roman" w:eastAsia="Times New Roman" w:hAnsi="Times New Roman"/>
          <w:sz w:val="17"/>
          <w:szCs w:val="17"/>
          <w:color w:val="auto"/>
        </w:rPr>
        <w:t>Our executive leadership team has extensive and relevant professional experience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spanning the technology, consumer, retail, legal and financial services industries, with a track record of operational execution and driving growth. Our Chief Executive Officer, Douglas Francis is a co-founder of WM Technology and, prior to 2024, had also served as Executive Chair. We believe our deep knowledge of our end-markets and broad-based operational expertise spanning several industry sectors provides a key competitive advantage in executing against our growth strategy.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leading marketplace and software platform, our goal is not only to grow our market share but to grow the entire market by promoting wider access to licensed cannabis, educating consumers on how to shop for cannabis and providing licensed operators with the tools they need to access users and grow their businesses. We believe we are well-positioned to capitalize on underlying growth across our end-markets by executing against our strategy as follows:</w:t>
      </w:r>
    </w:p>
    <w:p>
      <w:pPr>
        <w:spacing w:after="0" w:line="56" w:lineRule="exact"/>
        <w:rPr>
          <w:sz w:val="20"/>
          <w:szCs w:val="20"/>
          <w:color w:val="auto"/>
        </w:rPr>
      </w:pPr>
    </w:p>
    <w:p>
      <w:pPr>
        <w:jc w:val="both"/>
        <w:ind w:left="620" w:hanging="307"/>
        <w:spacing w:after="0" w:line="263"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Grow Our Two-Sided Marketplace. </w:t>
      </w:r>
      <w:r>
        <w:rPr>
          <w:rFonts w:ascii="Times New Roman" w:cs="Times New Roman" w:eastAsia="Times New Roman" w:hAnsi="Times New Roman"/>
          <w:sz w:val="17"/>
          <w:szCs w:val="17"/>
          <w:color w:val="auto"/>
        </w:rPr>
        <w:t>Our goal is to be the center of commerce for consumers seeking cannabis. To support this goal, we intend to continue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growing the number of consumers on our platform through original content that educates, entertains, facilitates discovery of new products, increases awareness of our platform and encourages repeat usage. As we grow our users and user engagements, we will continue to engage with our clients to demonstrate the value we believe they receive on our platform and can convince more businesses to increase adoption of our Weedmaps for Business services through our Weedmaps for Business subscription offering and additional add-ons.</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67"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Expand Our Existing Markets and Enter New Markets. </w:t>
      </w:r>
      <w:r>
        <w:rPr>
          <w:rFonts w:ascii="Times New Roman" w:cs="Times New Roman" w:eastAsia="Times New Roman" w:hAnsi="Times New Roman"/>
          <w:sz w:val="17"/>
          <w:szCs w:val="17"/>
          <w:color w:val="auto"/>
        </w:rPr>
        <w:t>We have a significant opportunity to grow our client base both within existing markets that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continuing to grow and new markets as they become open to regulated cannabis. We believe we are a nationally-recognized brand in the cannabis industry, and we are monetizing our platform in over 35 U.S. states and territories, as of December 31, 2024. Based on our internal research, we believe the minimum level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17"/>
          <w:szCs w:val="17"/>
          <w:color w:val="auto"/>
        </w:rPr>
        <w:t>of acceptable retail density to have a healthy and functioning licensed market is one licensed retailer per 10,000 residents. Many of the U.S. states where we operate today are still under-penetrated with low levels of licensed retail density based on our internal data. Despite recent and near term challenges, we believe that there are substantial growth opportunities for us in the long-term within our existing markets as retail licenses continue to be issued, and states move towards, and eventually beyond, the one retail license per 10,000 people ratio. As of December 31, 2024, there were approximately 12,000 existing retail and delivery licenses across the United States. Assuming no cap on the number of licenses issued or other restrictions on the number of licenses issued, if these same markets were to issue enough licenses to match a ratio of one retail license per 10,000 residents, approximately 22,000 new retail licenses would be issued. This may require continued liberalization of license restrictions across cities and counties within certain states where we do business today. In addition, we believe that legalization by additional states and eventually the U.S. government is inevitable. Assuming no other restrictions on the number of licenses issued, if the entire United States reached a minimum level of density of one retail license per 10,000 residents, the total universe of retail licenses would reach approximately 34,000, which is approximately 2.8 times the current count of retail licenses in the United States. If our assumptions and projections are correct,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225" w:lineRule="exact"/>
        <w:rPr>
          <w:sz w:val="20"/>
          <w:szCs w:val="20"/>
          <w:color w:val="auto"/>
        </w:rPr>
      </w:pPr>
    </w:p>
    <w:p>
      <w:pPr>
        <w:jc w:val="both"/>
        <w:ind w:left="620" w:hanging="307"/>
        <w:spacing w:after="0" w:line="259"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Expand Our Weedmaps for Business Solutions and Monetize Gross Merchandise Value (“GMV”) Consistent with Federal and State Laws. </w:t>
      </w:r>
      <w:r>
        <w:rPr>
          <w:rFonts w:ascii="Times New Roman" w:cs="Times New Roman" w:eastAsia="Times New Roman" w:hAnsi="Times New Roman"/>
          <w:sz w:val="17"/>
          <w:szCs w:val="17"/>
          <w:color w:val="auto"/>
        </w:rPr>
        <w:t>We intend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continue expanding our suite of valuable advertising and software solutions and the functionality of our Weedmaps for Business solutions through additional offerings of premium analytics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Weedmaps for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when and if U.S. federal regulations allow us to monetize our clients’ currently off-platform transaction activity through take-rates or payment fees.</w:t>
      </w:r>
    </w:p>
    <w:p>
      <w:pPr>
        <w:spacing w:after="0" w:line="14" w:lineRule="exact"/>
        <w:rPr>
          <w:rFonts w:ascii="Times New Roman" w:cs="Times New Roman" w:eastAsia="Times New Roman" w:hAnsi="Times New Roman"/>
          <w:sz w:val="17"/>
          <w:szCs w:val="17"/>
          <w:color w:val="auto"/>
        </w:rPr>
      </w:pPr>
    </w:p>
    <w:p>
      <w:pPr>
        <w:ind w:left="620" w:hanging="307"/>
        <w:spacing w:after="0" w:line="294"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Pursue Strategic Acquisitions. </w:t>
      </w:r>
      <w:r>
        <w:rPr>
          <w:rFonts w:ascii="Times New Roman" w:cs="Times New Roman" w:eastAsia="Times New Roman" w:hAnsi="Times New Roman"/>
          <w:sz w:val="17"/>
          <w:szCs w:val="17"/>
          <w:color w:val="auto"/>
        </w:rPr>
        <w:t>We take a measured approach to acquisition-related growth. We intend to continue selectively pursuing opportunities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invest in and acquire technology offerings that either complement our existing products and services or allow us to accelerate our growth.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direct competitors for individual components or parts of our platform include cannabis-focused marketplace like Leafly (for retail listing pages), cannabis-focused technology companies like Dutchie and Jane Technologies and a variety of cannabis-focused marketing and advertising technology solutions. In addition, for our retail listing pages, our platform may also compete with current or potential products and solutions offered by internet search engines and advertising networks like Google, general two-sided networks like Yelp, various other newspaper, television and media companies, outdoor billboard advertising, and online merchant platforms, such as Shopify, Square and Lightspeed, or delivery companies like DoorDash. For example, in January 2025, DoorDash announced an expanded offering to allow customers of legal age to purchase hemp derived THC and CBD products from merchants. We believe that the principal competitive factors in our market include the scale of our network, comprehensiveness of offerings, ease of adoption and use, ability to facilitate compliance with the complex, disparate regulations applicable to businesses operating in the cannabis industry and the breadth and trustworthiness of information available to consumers and brand. We believe we compete favorably based on these factors. On May 16, 2024, President Biden announced that the U.S. Attorney General initiated proceedings to transfer cannabis from Schedule I to Schedule III, through a Notice of Proposed Rulemaking ("NPRM") published on May 21, 2024. Should cannabis ultimately be rescheduled to Schedule III,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spacing w:after="0" w:line="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additional information about the risks to our business related to competition, see the section titled “Risk Factors—Risks Related to our Business and Industry —We currently face intense competition in the market and we expect competition to further intensify as the cannabis industry continues to evolve.”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sales team is primarily based out of our Irvine, California headquarters. Members of our sales team are knowledgeable about the products and add-ons that we offer and assist new and existing clients with our platform.</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believe the quality and strength of our platform is our most valuable marketing asset. Our marketing strategy, across both business-to-consumer and business-to-business commerce, consists of user acquisition, brand marketing, communications and field marketing.</w:t>
      </w:r>
    </w:p>
    <w:p>
      <w:pPr>
        <w:spacing w:after="0" w:line="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Our key marketing efforts consist of driving awareness of the marketplace, new user acquisition, and increasing platform engagement with existing users. To drive awareness, we apply a range of strategies from broad integrated marketing campaigns, such as our work each year on April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(“420”), to local, on-the ground events in partnership with brands and retailers. While many traditional paid channels are still not available to cannabis industry brands (Google search and some social platforms for example) we have an evolving playbook of tactics to acquire new users that includes a combination of targeted out-of-home, programmatic display, and affiliate marketing campaigns. We augment our paid efforts with social media and search engine optimization tactics to drive organic traffic. To engage and retain existing users, we apply lifecycle tactics, leveraging our first party data to personalize touch points based on user interests.</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reinvested in our own on-the-ground and field marketing presence and are increasing the types and cadence of client events. These events and in-store activations allow us to engage with consumers at the point of purchase and to engage directly with our clients, allowing us to understand each of their needs and challenges and foster goodwill.</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Social Impact</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We have drafted white papers and mock legislative provisions that were designed to support the enactment of social equity licensing programs and have advocated for state and local governments to enact social equity licensing programs. We have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Development</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product development efforts focus on adding new features and solutions to our platform, as well as increasing the functionality and enhancing the ease of use of our platform. While we expect product development costs to increase as we continue to increase the functionality of our platform, we expect the percentage of total revenues represented by such costs to remain unchanged.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intellectual property and proprietary rights are valuable assets that are important to our business. In our efforts to safeguard our intellectual property, including copyrights, trade secrets, trademarks, patents and other forms of intellectual property rights, we rely on a combination of federal, state, common law and international rights in the jurisdictions in which we operate.</w:t>
      </w:r>
    </w:p>
    <w:p>
      <w:pPr>
        <w:spacing w:after="0" w:line="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2024, we have been issued trademark registrations in the United States, Canada, Japan, the European Union, the United Kingdom, Mexico and Australia. We have also been issued an international trademark registration with designation in Australia and the European Union for “Weedmaps.”</w:t>
      </w:r>
    </w:p>
    <w:p>
      <w:pPr>
        <w:spacing w:after="0" w:line="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to our numerous trademark applications and registrations, we have United States copyright registrations for our weedmaps.com website, “Grow One,” and two versions of our Lab API documentation. Further, we own several domain names, including: weedmaps.com, marijuana.com, cannabis.com, wmpolicy.com, themuseumofweed.com, wm-retail.com, wmforbusiness.com and WM.store. Our trademarks and domain names are material to our business and brand identity.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Circumstances outside our control could pose a threat to our intellectual property rights. For more information, refer to the section titled “Risk Factors—Risks Related to our Business and Industry.”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and the Wednesday before Thanksgiving (“Green Wednesday”).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People Operations and Human Capital Resources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2024, we had 440 full-time employees and 17 temporary employees, including 171 in engineering, product and design, 191 in sales and marketing and 95 in general and administrative. Of these employees, 450 are located in the United States and 7 are located in Canada.</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candidates who are technically skilled and passionate about our mission and products. We devote substantial resources to this task. Our dedicated, best-in-class Talent Acquisition team is focused on finding and attracting diverse and capable talent, and our People &amp; Workplace team is focused on making us a world class employer of choice for that talent once they get here. None of our employees are represented by a labor union or covered by collective bargaining agreements and we have not experienced any work stoppages.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United States and Territories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Notwithstanding the trend toward further state legalization, the U.S. government continues to categorize cannabis as a prohibited controlled substance, and accordingly the cultivation, processing, distribution, sale, advertisement of sale and possession by our customers violate federal law, as discussed further in the sections titled “Risk Factors—Risks Related to our Business and Industry.”</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January 4, 2018, then U.S. Attorney General Jeff Sessions issued a memorandum for all U.S. Attorneys (the “Sessions Memo”) rescinding certain past Department of Justice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w:t>
      </w:r>
    </w:p>
    <w:p>
      <w:pPr>
        <w:spacing w:after="0" w:line="2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Since 2014, versions of the U.S. omnibus spending bill have included a provision prohibiting the DOJ, which includes the Drug Enforcement Administration (“DEA”),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2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Despite the Sessions Memo, the U.S. government has not prioritized the enforcement of those laws against cannabis companies complying with state law and their vendors, and has not since 2014. No reversal of that policy of prosecutorial discretion is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expected under a Trump administration given his prior administrations actions on cannabis and statements while campaigning, although prosecutions against state-legal entities cannot be ruled out entirely at this time. Prior to the current administration, President Biden signed into law the “Medical Marijuana and Cannabidiol Research Expansion Act,” a bill aimed at easing restrictions on cannabis research -- bipartisan legislation which is the first standalone cannabis reform bill to pass</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and the Attorney General initiate an administrative process to review cannabis’s Schedule I classification under the CSA. On August 29, 2023, HHS issued a letter to the DEA recommending that cannabis be reclassified as a Schedule III controlled substance under the CSA. Following that recommendation, DOJ issued a Notice of Proposed Rulemaking (the “NPRM”) proposing to reschedule cannabis, and DEA issued a notice for a hearing which commenced in November 2023, but the hearing is currently stayed pending an administrative interlocutory appeal. It is unclear when the hearing will recommence, and whether the new administration will support rescheduling. If this move is confirmed, it would be a momentous change whose full implications are currently unknown. The DEA’s decision to reclassify cannabis would neither legalize nor likely eliminate current state cannabis program. If placed under Schedule III, cannabis will remain a controlled substance and state-legal programs will continue to operate outside of federally legal channels in their distribution of the substance particularly because no state operator holds a DEA registration to possess or distribute cannabis. One notable impact for our clients is that rescheduling cannabis to Schedule III would remove the various tax-related hindrances tied to IRS code section 280E, and cannabis-related businesses (whether involved in medical or adult-use cannabis) would finally be able to take advantage of all applicable deductions and credits on their business taxes that other businesses enjoy. However, some fear that if cannabis were successfully rescheduled the DEA or FDA may impose additional requirements or begin to target enforcement on state cannabis programs.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2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U.S. Attorney General, Pam Bondi has repeatedly declined to specify her stance on cannabis policy issues, responding to all related questions from senators that she will give “careful consideration after consulting with appropriate Department officials.” She also avoided specifying her stance on the federal enforcement of cannabis laws or how she would approach states where cannabis is legal. Therefore, key questions remain about how Attorney General Bondi would handle both the rescheduling process and federal enforcement priorities. Despite President Trump's recent support for cannabis rescheduling and ending arrests for personal use, Attorney General Bondi's past record as Florida Attorney General shows opposition to medical cannabis legalization, including defending a ban on smoking medical cannabis in 2018, which has raised concerns among advocates about her approach at the federal level. It is unclear whether the status quo of federal non-enforcement will continue for the foreseeable future; however, increased enforcement would be a marked departure from the prior ten years and inconsistent with President Trump’s purported views on cannabis.</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Members of the U.S. Congress from both parties have introduced bills to end the federal cannabis prohibition, by de-scheduling cannabis completely and regulating it. In addition to broader reforms, this session has seen additional incremental reform bills that aim to increase research, cement medical cannabis patients’ rights, or facilitate state-legal cannabis. Since the recent election, however, there has also been proposed anti-cannabis legislation, for example, a bill aiming to ensure 280E continues to apply to state cannabis businesses even if cannabis is ultimately rescheduled to Schedule III. Nevertheless, while the timing of federal reform remains unknown, it is expected that federal policy on cannabis will continue becoming more, rather than less, permissive and legislative efforts to legalize cannabis banking at the national level may progress in 2025.</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Some of our retail clients sell products with hemp-derived cannabinoids, including, tetrahydrocannabinol (“THC”) and cannabidiol (“CBD”) products. In December 2018, the U.S. government removed hemp and extracts of hemp from the CSA schedules through the Agriculture Improvement Act of 2018, Pub. L. 115-334 (the “2018 Farm Bill”). Accordingly, the production, sale and possession of hemp or extracts of hemp, including certain THC and CBD products, no longer violate the CSA. The states have implemented a patchwork of different laws on hemp and its extracts. Additionally, the Food &amp; Drug Administration (“FDA”) claims that the Food, Drugs &amp; Cosmetics Act significantly limits the legality of certain hemp-derived THC and CBD products. In January 2023, FDA affirmed that the agency will not compromise—or create new standards—in evaluating or permitting cannabis or cannabinoid compounds and products, and particularly CBD, indicating that Congress must take action to end the stalemate between federal and state laws and the purgatory of FDA selective enforcement. Furthermore, industry stakeholders (including cannabis industry stakeholders) have urged Congress to reassess the legality of certain hemp THC products. While enforcement regarding hemp-derived products has generally been limited, changes in enforcement priorities or further federal regulations could negatively impact our clients that sell such products, which could adversely impact our business, operating results, financial condition, brand and reputation; at the same time, lack of federal enforcement could negatively impact our cannabis clients that compete against such products, which could adversely impact our business, operating results, financial condition, brand and reputation.</w:t>
      </w:r>
    </w:p>
    <w:p>
      <w:pPr>
        <w:spacing w:after="0" w:line="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been neither a defendant in a criminal action nor the subject of a civil or regulatory enforcement proceeding, prosecuted by a U.S. governmental authority based on our provision of products and solutions to the cannabis industry.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Furthermore,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and WM Learn. All of these sections are general news and information, and none of these sections are advertisements for, or listing pages of, cannabis businesses. For additional information about Section 230, see the sections titled “Business— Overview” and “Risk Factors—Risks Related to our Business and Industry.”</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Policy &amp; Compliance Operations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Canada</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(“ACMPR”). Under the Cannabis Act, holders of licenses to cultivate and/or process cannabis are also permitted to supply cannabis under their existing licenses obtained pursuant to the ACMPR to the regulated adult-use market.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 of the World</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listings are legally permissible.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Available Information</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Internet address is www.weedmaps.com. Our investor relations website is located at https://ir.weedmaps.com. Our Annual Reports on Form 10-K, Quarterly Reports on Form 10-Q, Current Reports on Form 8-K and our Proxy Statements and any amendments to these reports, are available through our investor relations website, free of charge, after we file them with the SEC. We may from time to time provide important disclosures to investors by posting them in the investor relations section of our website, as allowed by SEC rules.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SEC maintains an Internet website at www.sec.gov that contains reports, proxy and information statements and other information regarding our company that we file electronically with the SEC.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Annual Report on Form 10-K or our Quarterly Reports on Form 10-Q are not the only risks and uncertainties that we face. Additional risks and uncertainties not presently known to us or that we currently believe to be immaterial may become material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 our costs increase, we may not be able to generate sufficient revenue to achieve profitability in the future.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revenue remained relatively flat in 2024 when compared with 2023. Our revenue may decline due to a number of factors including, but not limited to, slowdowns in the pace of issuance of new licenses to cannabis retailers and brands, and the decline in the number of new major geographic markets in which the sale of cannabis is permitted and to which we have not already expanded. Accordingly, we may not be able to generate sufficient revenue to offset potential cost increases and our ability to achieve and sustain profitability may be impacted. Additionally, we expect our costs to increase in future periods as we expend substantial financial and other resources on, among other things:</w:t>
      </w:r>
    </w:p>
    <w:p>
      <w:pPr>
        <w:spacing w:after="0" w:line="72"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and marketing, including continued investment in our current marketing efforts and future marketing initiatives;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of additional employees, including in our product and engineering teams;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domestically and internationally in an effort to increase our consumer and client usage, client base and our sales to our clients;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new products, and increased investment in the ongoing development of our existing products;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integrating any acquired companies into our operations; and</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administration, including continued compliance with various regulations applicable to public companies and cannabis industry businesses and other work arising from the growth and maturity of our company.</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pacing w:after="0" w:line="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compete in a dynamic, innovative market, which we expect will continue to evolve rapidly. We believe that our success is dependent on our ability to continue identifying and anticipating the needs of our clients and consumers and growing our two-sided marketplace by retaining our existing clients and consumers and adding new clients and consumers. This two-sided marketplace has grown more slowly than anticipated, and may continue to grow more slowly than we expect or than it has grown in the past. For example, beginning on January 1, 2023, California instituted a cannabis excise tax of 15%, which is scheduled to increase to 19% in July 2025, of the gross receipts on any retail sale of cannabis or cannabis products, this tax, or similar efforts, has contributed to and may further have a material adverse effect on our clients’ business, operating results and financial condition, thereby limiting their ability to spend with us. As we have become larger through organic growth, the number of paying clients and monthly revenue per client have at times slowed or declined and may similarly slow or decline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marketplace will be diminished.</w:t>
      </w:r>
    </w:p>
    <w:p>
      <w:pPr>
        <w:spacing w:after="0" w:line="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 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existing clients or consumers, even if such losses are offset by an increase in revenue resulting from the acquisition of new clients or consumers, could have rapid, concentrated and adverse effect on our business and operating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fail to offer the optimal pricing of our products and solutions.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limited experience in determining the optimal pricing of our products and solutions, and we have in the past changed and may in the future change our pricing model. We also have historically priced our add-on premium offerings in a bid-auction format. Our ability to continue growing depends on our ability to maintain and expand our client base. If our clients do not believe the incremental additional cost we are charging for Weedmaps for Business is justified by the additional components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included in our software bundles or that our add-on offerings do not generate proper return on investment, such clients may decline to continue using our services, and our revenue and other financial results may be adversely impacted.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expand effectively into new markets, our revenue and business will be adversely affected.</w:t>
      </w:r>
    </w:p>
    <w:p>
      <w:pPr>
        <w:spacing w:after="0" w:line="10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While a key part of our business strategy is to add clients and consumers in our existing geographic markets, we also intend to expand our operations into new markets if and as cannabis continues to be legalized. Any such expansion places us in competitive markets with which we may be unfamiliar, requires us to invest significant time and resources, including to analyze the potential applicability of new and complicated regulations regarding the usage, sale and marketing of cannabis in such markets, and involves various risks, including the possibility that returns on such investments will not be achieved for several years, if at all. As a result of new market expansions,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12529"/>
        </w:rPr>
        <w:t xml:space="preserve">Competition </w:t>
      </w:r>
      <w:r>
        <w:rPr>
          <w:rFonts w:ascii="Times New Roman" w:cs="Times New Roman" w:eastAsia="Times New Roman" w:hAnsi="Times New Roman"/>
          <w:sz w:val="17"/>
          <w:szCs w:val="17"/>
          <w:b w:val="1"/>
          <w:bCs w:val="1"/>
          <w:i w:val="1"/>
          <w:iCs w:val="1"/>
          <w:color w:val="000000"/>
        </w:rPr>
        <w:t>from the illicit cannabis market could impact our ability to succeed.</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212529"/>
        </w:rPr>
        <w:t xml:space="preserve">Our clients face competition from illegal market operators that are unlicensed and unregulated including illegal dispensaries and illicit market suppliers selling cannabis and cannabis-based products. Because these illegal market participants do not comply with the regulations governing the cannabis industry, their operations may have significantly lower costs. The perpetuation of the illegal market for cannabis may have a material adverse effect on our clients and our business, results of operations, as well as the perception of cannabis use. Furthermore, given the restrictions on regulated cannabis retail, it is possible that legal cannabis consumers revert to the illicit market as a matter of convenience. </w:t>
      </w:r>
      <w:r>
        <w:rPr>
          <w:rFonts w:ascii="Times New Roman" w:cs="Times New Roman" w:eastAsia="Times New Roman" w:hAnsi="Times New Roman"/>
          <w:sz w:val="17"/>
          <w:szCs w:val="17"/>
          <w:color w:val="000000"/>
        </w:rPr>
        <w:t>In particular, we rely on licensed cannabis businesses to drive the growth of our revenue</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concentrated in California, and, as a result, our performance may be affected by factors unique to the California market.</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California represents one of the largest state legal cannabis markets in the United States, and approximately 53% and 52% of our revenue for the years ended December 31, 2024 and 2023, were generated in California. As new markets develop and our current markets expand, we anticipate that there will be a further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For example, beginning on January 1, 2023, California instituted a cannabis excise tax of 15%, which is scheduled to increase to 19% in July 2025, of the gross receipts on any retail sale of cannabis or cannabis products, this tax, or similar efforts, has contributed to and may further have a material adverse effect on our clients’ business, operating results and financial condition, thereby limiting their ability to spend with us. As a result, our business and results of operations are particularly susceptible to, and may be disproportionately impacted by, trends in the California cannabis market, as well as adverse economic, regulatory, political and other conditions in California.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 or legal proceedings could expose us to significant liabilities and have a negative impact on our reputation or business.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From time to time, we may be party to various claims and legal proceedings. For example, in August 2022, our board of directors determined to voluntarily report an internal complaint and subsequent internal investigation to the SEC. Since that date, we have responded to subpoenas from the SEC’s Division of Enforcement and on July 22, 2024, we reached an agreement in principle with the SEC staff to resolve the SEC staff’s investigation with respect to us. The settlement was approved by the SEC, and the administrative cease-and-desist order was entered in September 2024. In addition, on October 17, 2024, a putative shareholder class action complaint, captioned </w:t>
      </w:r>
      <w:r>
        <w:rPr>
          <w:rFonts w:ascii="Times New Roman" w:cs="Times New Roman" w:eastAsia="Times New Roman" w:hAnsi="Times New Roman"/>
          <w:sz w:val="17"/>
          <w:szCs w:val="17"/>
          <w:i w:val="1"/>
          <w:iCs w:val="1"/>
          <w:color w:val="auto"/>
        </w:rPr>
        <w:t>Seret Ishak v. WM Technology, Inc. et al.</w:t>
      </w:r>
      <w:r>
        <w:rPr>
          <w:rFonts w:ascii="Times New Roman" w:cs="Times New Roman" w:eastAsia="Times New Roman" w:hAnsi="Times New Roman"/>
          <w:sz w:val="17"/>
          <w:szCs w:val="17"/>
          <w:color w:val="auto"/>
        </w:rPr>
        <w:t xml:space="preserve">, Case No. 2:24-cv-08959, was filed in the U.S. District Court for the Central District of California, naming us and certain former and current officers and/or directors of the Company and Silver Spike as defendants. The lawsuit alleges that we made material misrepresentations and/or omissions of material fact relating to historical public reporting of our monthly active users (“MAUs”) metric. In addition, on November 8, 2024, a shareholder derivative action, captioned </w:t>
      </w:r>
      <w:r>
        <w:rPr>
          <w:rFonts w:ascii="Times New Roman" w:cs="Times New Roman" w:eastAsia="Times New Roman" w:hAnsi="Times New Roman"/>
          <w:sz w:val="17"/>
          <w:szCs w:val="17"/>
          <w:i w:val="1"/>
          <w:iCs w:val="1"/>
          <w:color w:val="auto"/>
        </w:rPr>
        <w:t>DeGennaro v. Francis, et. al</w:t>
      </w:r>
      <w:r>
        <w:rPr>
          <w:rFonts w:ascii="Times New Roman" w:cs="Times New Roman" w:eastAsia="Times New Roman" w:hAnsi="Times New Roman"/>
          <w:sz w:val="17"/>
          <w:szCs w:val="17"/>
          <w:color w:val="auto"/>
        </w:rPr>
        <w:t>, Case No. 8:24-cv-02454, was filed in the U.S. District Court for the Central District of California against certain members of our board of directors and certain former and current officers. The derivative complaint alleges that the individual defendants authorized or permitted materially false statements and/or material omissions of fact relating to historical public reporting of MAUs.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Further, on November 18, 2024, a shareholder derivative action, captioned </w:t>
      </w:r>
      <w:r>
        <w:rPr>
          <w:rFonts w:ascii="Times New Roman" w:cs="Times New Roman" w:eastAsia="Times New Roman" w:hAnsi="Times New Roman"/>
          <w:sz w:val="17"/>
          <w:szCs w:val="17"/>
          <w:i w:val="1"/>
          <w:iCs w:val="1"/>
          <w:color w:val="auto"/>
        </w:rPr>
        <w:t>Pearson v. Francis, et. al</w:t>
      </w:r>
      <w:r>
        <w:rPr>
          <w:rFonts w:ascii="Times New Roman" w:cs="Times New Roman" w:eastAsia="Times New Roman" w:hAnsi="Times New Roman"/>
          <w:sz w:val="17"/>
          <w:szCs w:val="17"/>
          <w:color w:val="auto"/>
        </w:rPr>
        <w:t>, Case No. 8:24-cv-02525, was filed in the U.S. District Court for the Central District of California against certain former and current members of our board of directors and certain former and current officers. The derivative complaint alleges, among other things, that the individual defendants authorized or permitted materially false statements and/or material omissions of fact relating to historical public reporting of MAUs and corporate governance matters. On December 10, 2024, the U.S. District Court of the Central District of California issued an order consolidating the DeGennaro and Pearson shareholder derivative actions.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Regardless of the outcome, such proceedings can have an adverse impact on us because of legal costs, penalties and other sanctions, diversion of management resources, negative publicity and reputational harm and other factors.</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Even when not merited, the defense of any lawsuits or legal proceedings, including potential securities litigation, is expensive and may divert management’s attention, and we may incur significant expenses in defending any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We evaluate all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In addition, any claims or litigation, even if fully indemnified or insured, could damage our reputation and make it more difficult to compete effectively or to obtain adequate insurance in the future.</w:t>
      </w:r>
    </w:p>
    <w:p>
      <w:pPr>
        <w:spacing w:after="0" w:line="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withdrew a subpoena served on us in September 2019, and informed us that it had no present plan to exercise its discretion to proceed further in the matter. The U.S. Attorney’s Office for the Eastern District of California also stated that its decision was not a grant of immunity, however, and there can be no assurance that the U.S. Attorney’s Office for the Eastern District of California — either the U.S. Attorney’s Office for the Eastern District of California or another Department of Justice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and reputation. In addition, allowing businesses that engage in false or deceptive advertising practices to use our solutions may subject us to negative publicity, which could have similar adverse impacts on us.</w:t>
      </w:r>
    </w:p>
    <w:p>
      <w:pPr>
        <w:spacing w:after="0" w:line="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We require all operational cannabis retailer clients, 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hemp products at retail, and the illicit market could fraudulently attempt to use our hemp product listings to sell products containing more than the allowable amount of THC under federal or state laws. While we periodically audit and respond to reports related to our hemp product listings, it is difficult to monitor the individual products listed, and marketing claims contained, in the listings of our hemp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hemp, which could negatively impact us.</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generally do not, and cannot, ensure that our clients will conduct their business activities in a manner compliant with certain regulations and other legal requirements applicable to the cannabis industry, in whole or in part, even if our solutions provide features to support our clients’ compliance with such regulations and requirements. Their legal noncompliance could result in regulatory and even criminal actions against them, which could have a material adverse impact on our business and operating results or financial condition. For additional information, see the other risk factors in this section 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dependent on U.S. state laws and regulations.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Although cannabis is a restricted controlled substance under the federal CSA, U.S. states have legalized cannabis to varying degrees through state-specific regulatory frameworks.</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Laws and regulations affecting the cannabis industry in states and territories of the United States are continually changing. Any change or even the speed of changes could require us to incur substantial costs associated with compliance or alter 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Given the concentration of our revenue from the sale of listing products, any increase in the stringency of any applicable laws, including U.S. state, or Canadian federal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regulatory discretion. U.S. state, or Canadian federal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cannabis industry, and the complex regulatory regime applicable to it,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62" w:lineRule="exact"/>
        <w:rPr>
          <w:sz w:val="20"/>
          <w:szCs w:val="20"/>
          <w:color w:val="auto"/>
        </w:rPr>
      </w:pPr>
    </w:p>
    <w:p>
      <w:pPr>
        <w:ind w:left="620" w:hanging="307"/>
        <w:spacing w:after="0" w:line="284"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complex, disparate and rapidly evolving regulatory regimes imposed by U.S. federal, state and local and other non-U.S. governments around the world applicable to cannabis and cannabis-related businesses;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adapting to rapidly evolving trends in the cannabis industry and the way consumers and cannabis industry businesses interact with technology;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and increasing our base of clients and consumers;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to preserve and build our brand while upgrading our existing offerings;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attracting, hiring and retaining qualified personnel to manage operations;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adapting to changes in the cannabis industry if sales of cannabis expand significantly beyond a regulated model;</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commodification of the cannabis industry;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the hemp industry;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implementing and executing our business and marketing strategies;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expanding our business into new and existing cannabis markets.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the demand for our platform and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Because our business is dependent, in part, upon continued market acceptance of cannabis by consumers, any negative trends could adversely affect our business operations.</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dependent on public support, continued market acceptance and the proliferation of consumers in the legalized cannabis markets in states and territories of the United States.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Expansion of our business is dependent on the continued legalization of cannabis.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Expansion of our business is in part dependent upon continued legislative authorization, including by voter initiatives and referendums, of cannabis in various jurisdictions worldwide. Any number of factors could slow, halt, or even reverse progress in this area. For example, in 2023, ballot measures to allow for adult use succeeded in Ohio, but failed in Oklahoma, and in 2024 ballot measures to allow for medical use succeeded in Nebraska, but ballot measures for adult use failed in Florida, North Dakota and South Dakota. In addition, implementation of state laws is often a multi-year process following a ballot initiative or legislation.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implementation, and enforcement of applicable laws or regulations. Any one of these factors could slow or halt the legalization of cannabis, which would negatively impact our ability to expand our business.</w:t>
      </w:r>
    </w:p>
    <w:p>
      <w:pPr>
        <w:spacing w:after="0" w:line="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While a recent amendment (S.B. 1186), which became effective in January 2024, prevents local governments from banning the delivery of medical cannabis to patients, adult-use cannabis storefront retail and delivery operations may continue to be restricted by some cities and counties. The imposition or potential enforcement of local jurisdiction delivery bans may negatively impact the viability and attractiveness of our offerings in California going forward. We generated approximately 53% and 52% of our revenue for the years ended December 31, 2024 and 2023 in California, and such developments may in turn have a material adverse effect on our business, operating results and financial condition. For more information, refer to “Risk Factors—Our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paying clients face challenges including, among other factors, limited access to capital (relative to other industries) and the impact of Section 280E of the Code (which, as applied to certain cannabis businesses, disallows the deduction of “ordinary and necessary” business expenses, such as below-the-line deductions, essentially resulting in federal income tax liability calculated based on gross income), limiting cash flow and liquidity of many industry participants. Additionally, the cannabis industry faced price deflation in 2024 and 2023 further pressuring many of our paying clients. This resulted in financial hardship for certain cannabis companies, including some of our paying clients which caused elevated churn and bad debt expense in 2023 and 2022. If our clients struggle financially or do not remain viable, it can negatively impact our ability to generate new revenue, maintain existing revenue or collect on outstanding receivables. We have customers with past due balances and our failure to collect a significant portion of such balances could adversely affect our cash and provision for credit losses. See “Accounts Receivable, Net” of Note 2, “Summary of Significant Accounting Policies” to the audited consolidated financial statements for additional information.</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if we filter out helpful content or fail to filter out unhelpful content, clients and consumers alike may stop or reduce their use of our platform and products, which could negatively impact our business.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of our marketing efforts;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 high-quality, innovative and error- and bug-free platform;</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high satisfaction among clients and consumers;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quality and perceived value of our platform;</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implementing and developing new features, including alternative revenue streams;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maintain and enforce trademarks and other indicia of origin that are valuable to our brand;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differentiate our platform from competitors’ products;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laws and regulations, including those applicable to any political action committees affiliated with us and to our registered lobbying activities;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provide client support;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actual or perceived data breach or data loss, or misuse or perceived misuse of our platform.</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our brand recognition and reputation may be affected by factors that are outside our control, such as:</w:t>
      </w:r>
    </w:p>
    <w:p>
      <w:pPr>
        <w:spacing w:after="0" w:line="62"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of competitors or other third parties;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quality and timeliness of our clients’ delivery businesses;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consumers’ experiences with clients or products identified through our platform;</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delays or attacks on our platform;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regulatory developments.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currently face intense competition in the cannabis information market, and we expect competition to further intensify as the cannabis industry continues to evolve.</w:t>
      </w:r>
    </w:p>
    <w:p>
      <w:pPr>
        <w:spacing w:after="0" w:line="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or parts of our platform include cannabis-focused, marketplace like Leafly (for retailer listing pages) and cannabis-focused technology companies like Dutchie and Jane Technologies (for menu embed and orders functionality) and a variety of cannabis-focused marketing and advertising technology solutions.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or delivery companies like DoorDash. In January 2025, DoorDash announced an expanded offering to allow customers of legal age to purchase hemp-derived THC and CBD products from merchants on the DoorDash app.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Such companies may have substantially greater financial, technical and other resources than us or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Additionally, as the legalization of cannabis continues, cannabis cultivators, distributors and retailers have and likely will continue to experience consolidation as existing cannabis businesses seek to obtain greater market share and purchasing power and new entrants seek to establish a significant market presence. Consolidation of retailers in the cannabis industry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between cannabis businesses could ultimately have a negative impact on the viability of individual market participants, which could reduce or eliminate their ability to purchase our products and solutions.</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May 16, 2024, President Biden announced that the U.S. Attorney General initiated proceedings to transfer cannabis from Schedule I to Schedule III, through an NPRM published on May 21, 2024. If cannabis is ultimately rescheduled to schedule III,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manage our employee operations and organization effectively, our brand, business and operating results could be harmed.</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experienced rapid organic growth in our headcount and operations, which placed substantial demands on management and our operational infrastructure. As a result of both macroeconomic and industry challenges, as well as misalignment between our organizational growth and business growth, we completed a substantial reduction in force in 2022 and experienced significant executive departures since 2022. As a result of these changes, many of our current employees have been with us for less than 24 months. To execute on our growth strategy, we will need to continue to increase the productivity of our current employees as well as hire, train and manage new employees, as well as improve existing, and implement new, transaction processing, operational and financial systems, procedures and controls. We intend to continue making substantial investments in our technology, sales and data infrastructure. As our business matures, we may make periodic changes and adjustments to our organization in response to various internal and external considerations, including market opportunities, the competitive landscape, new and enhanced products, acquisitions, sales performance, availability of employee talent and costs, while maintaining the beneficial aspects of our existing corporate culture, which we believe fosters innovation, teamwork and a passion for our products and clients. In some instances, these changes have resulted in a temporary lack of focus and reduced productivity, which may occur again in connection with any future changes to our organization and may negatively affect our results of operations. If we are unable to adapt quickly and effectively to changes or adjustments to our organization, our business will be harmed. If we are unable to manage our employee operations and organization effectively, the quality of our platform, efficiency of our operations, and management of our expenses could suffer, which could negatively impact our brand, business, profitability and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recruit, train, retain and motivate key personnel, we may not achieve our business objectives.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future success depends on our continued ability to recruit, train, retain and motivate key personnel, including Douglas Francis, our Chief Executive Officer and Chairman; Brian Camire, our General Counsel and Sarah Griffis, our Chief Technology Officer.</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Competition for qualified personnel in the technology industry is intense, particularly in Southern California, where we are headquartered, and Austin, Texas, where we have a growing office. Additionally, we face additional challenges in attracting, retaining and motivating highly qualified personnel due to our relationship to the cannabis industry, which is rapidly evolving and has varying levels of social acceptance. The loss of the services of a significant portion of our workforce or any member of our senior management or the inability to hire or retain qualified personnel could adversely affect our ability to execute our business plan and harm our operating results. We generally do not maintain fixed term employment contracts or key man life insurance with any of our employees.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our Chief Financial Officer, Susan Echard, is a consultant and not a full time employee. Ms. Echard is a partner at SeatonHill Partners, LP a CFO services firm. Ms. Echard served as our interim Chief Financial Officer from February 2024 through November 2024, which, as noted in our Notification of Late Filing on Form 12b-25 with the SEC, had an impact on our ability to complete our financial statements. If Ms. Echard departs, and we are unable to recruit and retain a qualified replacement in a timely manner it could result in management, operating and financial reporting difficulties, which could have an adverse effect on our business.</w:t>
      </w:r>
    </w:p>
    <w:p>
      <w:pPr>
        <w:spacing w:after="0" w:line="6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less prominently or fail to appear in search results for any reason, including ineffective implementation of our digital marketing strategies or any change by a search engine to its ranking algorithms or advertising policies.</w:t>
      </w:r>
    </w:p>
    <w:p>
      <w:pPr>
        <w:spacing w:after="0" w:line="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Visits to our website could also decline if our social media accounts, such as those on Facebook, Instagram, X formerly known as Twitter or LinkedIn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for short periods in each of September 2024, October 2024, and has been suspended since November 2024. Once our account is restated, it may, and our other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the Apple App Store or Google Play limit the functionality or availability of our mobile application platform, including as a result of changes or violations of terms and conditions, access to and utilization of our platform may suffer.</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For example, we have at times been unable to offer our WM Orders functionality in our iOS Weedmaps mobile application and are currently unable to offer such functionality in our Android Weedmaps mobile application due to restrictions imposed by the Apple App Store and Google Play, respectively. While our platform is still available in the Apple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App Store or the Google Play,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other security incidents.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wholly or partially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have and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technology and network architecture to accommodate actual and anticipated changes in technology, our business and operating results would be harmed.</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and expect to continue making significant investments in the functionality, performance, reliability, design, security and scalability of our platform. We have in the past and may in the future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 To the extent we are not able to continue successfully improving and enhancing our platform, our business could be adversely affected.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payment system and the payment systems of our clients depend on third-party providers and are subject to evolving laws and regulations.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engaged third-party service providers to perform credit and debit card processing services for client’s payments to us, and we understand that some of our clients use those services. We also have and may continue to engage third-party service providers in the future to provide fraud analysis services and we may integrate with third-party service providers used by our clients to process payments made by consumers if done in a manner compliant with applicable federal and local law. If these service providers do not perform adequately or if our relationships, or the relationships of our clients, with these current or future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refer to “Risk Factors—We are subject to industry standards, governmental laws and regulations, policies and other obligations governing privacy, data protection and information security and any actual or perceived failure to comply with such obligations could harm our business” below.</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Further, through our agreement with our third-party credit card processors, we are subject to payment card association operating rules and certification requirements, including restrictions on product mix and the Payment Card Industry Data Security Standard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 statistics could include a significant number of repeat underlying users. Our internal tools and processes we use to identify multiple accounts or fraudulent accounts have a number of limitations, and our methodologies for tracking performance metrics may change over time, which could result in unexpected changes to our metrics, including historical metrics. Our ability to recalculate our historical metrics may be impacted by data limitations or other factors that require us to</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For example, we determined to discontinue reporting monthly active users as a key operational metric as a result of our reevaluation of the value of this metric to investors in light of its significant quarterly fluctuations that we do not believe necessarily reflect the underlying and most important trends in our business. If our performance metrics, including any key metrics we disclose in the future, are not accurate measurements of our business, user or client base, or traffic levels; if we discover material inaccuracies in such metrics, we may not be able to effectively implement our business strategy, our reputation may be harmed, and our operating and financial results could be adversely affected.</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clients, analysts and investors may rely on our metrics, including additional metrics we may disclose in the future, as a representation of our performance. If these third parties do not perceive such metrics to be accurate representations of our business,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ability to successfully drive engagement on our platform, as well as changes to our user engagement and advertising strategy and practices, pose risks to our business.</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clients use our products and services as they believe the value received from paying for our products and services justifies the cost of those services. We believe the overall level of engagement of our users with our clients is critical to our success and our long-term financial performance. As we evolve our user engagement and advertising strategy and practices, we may not be successful in improving user engagement in a cost-efficient manner, or at all. Certain operating decisions, including our substantially decreased usage of pop-under advertisements, may significantly decrease our user engagement and/or traffic, increase the cost of generating user engagement and/or traffic or decrease our overall success rate in promoting engagement on our platform. Declining user growth, engagement or traffic could make us less attractive to our clients, which may seriously harm our business. In addition, we continue to compete with other companies to attract and retain consumer attention. A number of factors have affected and could potentially negatively affect our reported user engagement and/or traffic and our overall user engagement with our clients, including if:</w:t>
      </w:r>
    </w:p>
    <w:p>
      <w:pPr>
        <w:spacing w:after="0" w:line="72" w:lineRule="exact"/>
        <w:rPr>
          <w:sz w:val="20"/>
          <w:szCs w:val="20"/>
          <w:color w:val="auto"/>
        </w:rPr>
      </w:pPr>
    </w:p>
    <w:p>
      <w:pPr>
        <w:ind w:left="620" w:hanging="307"/>
        <w:spacing w:after="0" w:line="284"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provide a compelling consumer experience to entice consumers to use our products and services, or our consumers don’t have the ability to maximize the consumer experience;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unable to convince consumers and clients of the value and usefulness of our platform and services;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unable to find cost-effective marketing channels or other strategies to drive traffic to our website, including replacing any pop-under advertisements that we have decreased our usage of or discontinued;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fail to operate effectively on the iOS or Android mobile operating systems;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unable to continue to develop products that work with a variety of mobile operating systems, networks and smartphones;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provide a compelling consumer experience because of the decisions we make regarding the type and frequency of advertisements that we display or the structure and design of our products;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consumers engage more with competing platforms or products at the expense of ours or those of our clients;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manner in which we promote engagement or traffic is seen by consumers or clients as unappealing or harm our brand image or reputation;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concerns about the privacy implications, safety, or security of our products;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are subject to increased regulatory scrutiny or approvals, or there are changes in our products that are mandated or prompted by legislation, regulatory authorities, executive actions, or litigation, including settlements or consent decrees, that adversely affect the consumer experience;</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or other problems frustrate the consumer experience, including by providers that host our platforms, particularly if those problems prevent us from delivering our product experience in a fast and reliable manner;</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our partners, or other companies in our industry segment are the subject of adverse media reports or other negative publicity, some of which may be inaccurate or include confidential information that we are unable to correct or retract; or</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or future products reduce consumer activity on our website or our applications by making it easier for our consumers to interact directly with our clients.</w:t>
      </w:r>
    </w:p>
    <w:p>
      <w:pPr>
        <w:spacing w:after="0" w:line="4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Any decrease to consumer retention, growth, or engagement could render our products less attractive to consumers, advertisers, or partners, and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prevent others from aggregating or misappropriating data from our websites.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and activity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2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the ordinary course of our business, we collect, receive, store, generate, use, protect, secure, dispose of, transmit, disclose, or otherwise make accessible (collectively “process”) proprietary, confidential, and sensitive data, including personal data, intellectual property, and trade secrets. We rely upon third parties (such as service providers) for certain data processing-related activities, such as data centers, cloud hosting platforms, marketing communications, and application providers. For example, 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We also share and receive certain sensitive data with or from third parties.</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ability to monitor these third parties’ information security practices is limited, and these third parties may not have adequate information security measures in place. If our third-party service providers experience a security incident or other interruption, which has occurred in the past,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 particularly for companies like ours that are engaged in critical infrastructure or manufacturing – and can lead to significant interruptions in our operations, ability to provide our products or services, loss of sensitive data and income, reputational harm, and diversion of funds.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Extortion payments may alleviate the negative impact of a ransomware attack, but we may be unwilling or unable to make such payments due to, for example, applicable laws or regulations prohibiting such payments.</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Remote work has increased risks to our information technology systems and data, as our employees utilize network connections, computers and devices outside our premises or network, including working at home, while in transit and in public locations.</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For example, 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 In addition to bugs, we may not detect and remediate all identified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Any actual or perceived security incident could damage our reputation and brand, result in decreased utilization of our platform or prevent users from using our platform, expose us to fines and penalties, government investigations and a risk of litigation and possible liability, require us to expend significant capital and other resources (including management’s attention) to alleviate any resulting problems and otherwise to remediate the incident, and require us to expend increased cybersecurity protection costs. We have in the past and may in the future incur significant costs in an effort to detect and prevent security incidents. Numerous state, federal and foreign laws and regulations require companies to notify individuals, regulatory authorities, or other stakeholders of certain security involving incidents, including those that involve certain types of personal data. Any disclosures of security incidents,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Any of these impacts or circumstances arising from an actual or perceived security incident could materially and adversely affect our business, financial condition, reputation and relationships with clients and consumers.</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Additionally, sensitive information of the Company or our customers could be leaked, disclosed, or revealed as a result of or in connection with our employees’, personnel’s, or vendors’ use of generative AI technologies.</w:t>
      </w:r>
    </w:p>
    <w:p>
      <w:pPr>
        <w:spacing w:after="0" w:line="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operations and employees face risks related to macroeconomic conditions and catastrophic events, that have adversely impacted and could in the future adversely impact our business, financial condition and operating results.</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Macroeconomic conditions, including but not limited to inflation, tariffs, uncertain credit and global financial markets, past and potential future disruptions in access to bank deposits or lending commitments due to bank failures; current and potential future geopolitical events, including the military conflicts between Russia and Ukraine and the state of war between Israel and Hamas and the related risk of a larger regional conflict; and the occurrence of a catastrophic event, including but not limited to severe weather, wildfire, war, or terrorist attack, could adversely impact our business, financial condition and operating results. For example, in the event of damage or interruption, our insurance policies may not adequately compensate us for any losses that we may incur. We also face risks related to public health crises , like the COVID-19 pandemic and other adverse health developments. For example, in connection with the COVID-19 pandemic, governments implemented significant measures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intended to control the spread of the virus, including closures, quarantines, travel restrictions and other social distancing directives.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To the extent that restrictions or prevention and mitigation measures are implemented in connection with any future pandemic or outbreak of disease,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Shelter-in-place orders and similar regulations resulting from catastrophic events could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any future catastrophic events. Further, these conditions may impact our ability to access financial markets to obtain the necessary funding to expand our business, which may adversely affect our liquidity and working capital.</w:t>
      </w:r>
    </w:p>
    <w:p>
      <w:pPr>
        <w:spacing w:after="0" w:line="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It is not currently possible to ascertain the overall impact of such an event on our business. However, if such an event occurs, the event may harm our business, and may also have the effect of heightening many of the other risks described in this “Risk Factors” section.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Fluctuations in our quarterly and annual operating results may adversely affect our business and prospects.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68"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clients and consumers and retain existing clients and consumers;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accurately forecast revenue and appropriately plan our expenses;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changes in search engine placement and prominence;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increased competition on our business;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expand in existing markets and successfully enter new markets;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global, regional or economic conditions;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licensed cannabis markets to successfully grow and out compete illegal cannabis markets;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intellectual property;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effectively manage an adequate rate of growth;</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increase traffic to our platform;</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defending claims, including intellectual property infringement claims and related judgments or settlements;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governmental or other regulation affecting our business;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in platform availability and any related impact on our business, reputation or brand;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attraction and retention of qualified personnel;</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natural or man-made catastrophic events;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internal controls, including the material weaknesses that we have identified.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improve our products and solutions in ways that forego short-term gains.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mentioned above may not produce the long-term benefits that we expect, in which case our business and operating results could be adversely affected.</w:t>
      </w:r>
    </w:p>
    <w:p>
      <w:pPr>
        <w:spacing w:after="0" w:line="1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subject to U.S. and certain foreign export and import controls, sanctions, embargoes, and anti-corruption laws and regulations. Compliance with these legal standards could impair our ability to compete in domestic and international markets. We can face criminal liability and other serious consequences for violations which can harm our business.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sell our Weedmaps for Business offering in the United States and have a limited number of non-monetized listings in several other countries including Austria, Canada, Germany, the Netherlands, Spain, Switzerland, and Uruguay.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76"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social and economic instability;</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legal and regulatory environment in foreign jurisdictions, including with respect to privacy and data protection, and unexpected changes in laws, regulatory requirements and enforcement;</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levels of credit risk and payment fraud;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tax requirements of multiple jurisdictions;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enhanced difficulties of integrating any foreign acquisitions;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present our content effectively in foreign languages;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a variety of foreign laws, including certain employment laws requiring national collective bargaining agreements that set minimum salaries, benefits, working conditions and termination requirements;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protection for intellectual property rights in some countries;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global operations and the increased travel, infrastructure and compliance costs associated with multiple foreign locations;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that might add difficulties in repatriating cash earned outside the United States and otherwise preventing us from freely moving cash;</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 and export restrictions and changes in trade regulation;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statutory equity requirements;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hanging="307"/>
        <w:spacing w:after="0" w:line="284"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the U.S. Foreign Corrupt Practices Act of 1977, as amended, the U.K. Bribery Act 2010, the Corruption of Public Officials Act (Canada), and similar laws in other jurisdictions; and</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export controls and economic sanctions administered by the U.S. Department of Commerce Bureau of Industry and Security and the U.S. Treasury Department’s Office of Foreign Assets Control.</w:t>
      </w:r>
    </w:p>
    <w:p>
      <w:pPr>
        <w:spacing w:after="0" w:line="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industry standards, governmental laws and regulations, contractual obligations, policies, and other obligations governing privacy, data protection and information security, and any actual or perceived failure to comply with such obligations could harm our business.</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the ordinary course of business, we process personal data and other sensitive information, including proprietary and confidential business data, intellectual property, and sensitive third-party data. Our data processing subjects us to various federal, state, provincial and foreign laws and regulations, as well as other obligations including contractual obligations, industry standards and internal and external policies related to privacy, data protection, and information security.</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sale of personal data,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obtaining consumer consent and conducting data privacy impact assessments. These state laws allow for statutory fines for noncompliance. For example, the California Consumer Privacy Act (“CCPA”), applies to personal data of consumers, business representatives, and employees who are California residents, provides for fines, and allows private litigants affected by certain data breaches to recover significant statutory damages for certain data breaches. A number of other proposals are being considered or have passed at the federal, state, and local levels, and we expect more states to pass similar laws in the future.</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Many foreign countries and governmental bodies, including Canada, the United Kingdom (“UK”), and the European Union (“E.U.”) have laws and regulations concerning the processing of personal information, including for example, in Canada, the federal Personal Information Protection and Electronic Documents Act, or PIPEDA and various related laws. Further, Canada has robust anti-spam legislation, the Anti-Spam Legislation, or CASL. The penalties for non-compliance under CASL are significant. In addition, the E.U.’s General Data Protection Regulation, or the EU GDPR, and the United Kingdom’s GDPR, or UK GDPR (collectively, “GDPR”) regulate the processing of personal data and provide for substantial penalties for noncompliance. For example, under the GDPR, companies may face temporary or definitive bans on data processing and other corrective actions; fines of up to 20 million Euros under the EU GDPR, 17.5 million pounds sterling under the UK GDPR or, in each case, up to 4% of annual global revenue, whichever is greater; or private litigation related to processing of personal data brought by classes of data subjects or consumer protection organizations authorized at law to represent their interests.</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There are also laws governing the privacy of consumer health data.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w:t>
      </w:r>
    </w:p>
    <w:p>
      <w:pPr>
        <w:spacing w:after="0" w:line="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have and may continue to adopt similarly stringent data localization and cross-border data transfer laws.</w:t>
      </w:r>
    </w:p>
    <w:p>
      <w:pPr>
        <w:spacing w:after="0" w:line="2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a company can satisfy or rely on these measures to lawfully transfer personal data to the United States.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there is no lawful manner for a company to transfer personal data from the EEA, the UK or other jurisdictions to the United States, or if the requirements for a legally-compliant transfer are too onerous, a company could face significant adverse consequences, including, increased exposure to regulatory actions, substantial fines and penalties, the inability to transfer data and work with partners, vendors and other third parties, and injunctions against their processing or transferring of personal data related to EU users.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Additionally, under various privacy laws and other obligations, we may be required to obtain certain consents to process personal data. For example, some of our data processing practices may be challenged under wiretapping laws, if we share consumer information to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publish privacy policies, marketing materials and other statements regarding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Obligations related to data privacy and security (and consumers’ data privacy expectations) are evolving, becoming increasingly stringent, and creating uncertainty. These obligations have and may be modified, interpreted and applied in an inconsistent manner from one jurisdiction to another, and may conflict with one another, other requirements or legal obligations. Future laws, regulations, standards and other obligations, or amendments or changes in the interpretation of existing laws, regulations, standards and other obligations, could impair our or (or the third parties upon whom we rely) ability to collect, use, disclose or otherwise process information relating to employees or consumers, which could decrease demand for our applications, increase our costs and impair our ability to maintain and grow our client and consumer bases and increase revenue.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Any failure or perceived failure by us or the third parties upon whom we rely to comply with federal, state, provincial or foreign laws or regulations, industry standards, contractual obligations or other legal obligations may result in governmental enforcement actions (e.g., investigations, fines, penalties, audits, inspections, and similar) and prosecutions, private litigation (including class actions) and mass arbitration demands, adverse publicity that could cause employees, clients and consumers to lose trust in us,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Governmental regulation of the internet continues to develop, and unfavorable changes could substantially harm our business and operating results.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and libel apply to the internet or online services. There is also a risk that these laws may be interpreted and applied in conflicting ways across jurisdictions, and in a manner that is not consistent with our current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brought against us as a result of content we provide.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legal claims based on the content published to our platform.</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Future investments in alternative revenue streams or acquisitions could disrupt our business and adversely affect our operating results, financial condition and cash flows.</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48" w:lineRule="exact"/>
        <w:rPr>
          <w:sz w:val="20"/>
          <w:szCs w:val="20"/>
          <w:color w:val="auto"/>
        </w:rPr>
      </w:pPr>
    </w:p>
    <w:p>
      <w:pPr>
        <w:jc w:val="both"/>
        <w:ind w:left="620" w:hanging="307"/>
        <w:spacing w:after="0" w:line="264"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1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disrupt our ongoing business, divert resources, increase our expenses and distract our management;</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result in a delay or reduction of sales for both us and the company we acquired due to uncertainty about continuity and effectiveness of products or support from either company;</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difficulties in, or may be unable to, successfully sell any acquired products;</w:t>
      </w:r>
    </w:p>
    <w:p>
      <w:pPr>
        <w:spacing w:after="0" w:line="6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involve the entry into geographic or business markets in which we have little or no prior experience or where competitors have stronger market positions;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strain on our financial and managerial controls and reporting systems and procedures;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known and unknown liabilities associated with an acquired company;</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incur debt to fund such acquisitions, such debt may subject us to material restrictions on our ability to conduct our business as well as financial maintenance covenants;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impairment charges related to potential write-downs of acquired assets or goodwill in future acquisitions;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we issue a significant amount of equity or convertible debt securities in connection with future acquisitions, existing equity holders may be diluted and earnings per share may decrease; and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the varying intellectual property protection strategies and other activities of an acquired company.</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operating results may be harmed if we are deemed responsible for the collection and remittance of state sales taxes or other indirect taxes.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do not collect sales and use, value-added, goods and services, or other similar taxes as part of our client agreements in the United States or Canada. Sales and use, value-added and similar tax laws and rates vary greatly by jurisdiction. If we are deemed an agent for the clients on our platform under state or other applicable tax law, we may be deemed responsible for collecting and remitting such taxes directly to certain states or jurisdictions. It is possible that one or more states or other jurisdictions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potential adverse tax consequences both domestically and in foreign jurisdictions.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operate and to changes in tax laws or their interpretation.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results of operations and financial condition. In addition, audits may require ongoing time and attention from our management, which could limit their ability to focus on other aspects of our business and impact our business in the future.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accounting standards or other factors could negatively impact our future effective tax rate.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future effective tax rate may be affected by such factors as changes in tax laws,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For example, in 2023, California implemented a 15% excise tax on cannabis sales to be paid by consumers and remitted by retailers, which is scheduled to increase to 19% in July 2025, which has and may continue to have a material adverse effect on the number of consumers purchasing cannabis, as well as negatively impact the operating results of cannabis retail, both of which has and may continue to adversely affect to our business, cash flow, financial condition and operating results. In addition, existing tax laws, statutes, rules, regulations, or ordinances, such as Section 280E of the Code, discussed in this Annual Report on Form 10-K,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ongoing material weaknesses in our internal control over financial reporting as of December 31, 2024.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Effective internal controls are necessary for us to provide reliable financial reports and prevent fraud.</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Under the supervision of and with the participation of our management, we assessed the effectiveness of our internal control over financial reporting as of December 31, 2024, using the criteria set forth by the Committee of Sponsoring Organizations of the Treadway Commission (COSO) in Internal Control — Integrated Framework (2013). Based on management’s assessment of our internal control over financial reporting, under the criteria described in the preceding sentence, management has identified that as of December 31, 2024, our internal control over financial reporting was not effective due to the ongoing material weaknesses in internal control over financial reporting.</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As of December 31, 2024, we have an ongoing entity-level material weakness that was identified in the years ended December 31, 2023 and 2022, and for which remediation efforts continued in the year ended December 31, 2024 as further described below.</w:t>
      </w:r>
    </w:p>
    <w:p>
      <w:pPr>
        <w:spacing w:after="0" w:line="61" w:lineRule="exact"/>
        <w:rPr>
          <w:sz w:val="20"/>
          <w:szCs w:val="20"/>
          <w:color w:val="auto"/>
        </w:rPr>
      </w:pPr>
    </w:p>
    <w:p>
      <w:pPr>
        <w:jc w:val="both"/>
        <w:ind w:left="620" w:hanging="307"/>
        <w:spacing w:after="0" w:line="261"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entity-level material weakness contributed to material weaknesses within our system of internal control over financial reporting as follows: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Unremediated material weaknesses identified in the years ended December 31, 2024, 2023 and 2022</w:t>
      </w:r>
    </w:p>
    <w:p>
      <w:pPr>
        <w:spacing w:after="0" w:line="118" w:lineRule="exact"/>
        <w:rPr>
          <w:sz w:val="20"/>
          <w:szCs w:val="20"/>
          <w:color w:val="auto"/>
        </w:rPr>
      </w:pPr>
    </w:p>
    <w:p>
      <w:pPr>
        <w:jc w:val="both"/>
        <w:ind w:left="620" w:hanging="307"/>
        <w:spacing w:after="0" w:line="257"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information technology (IT) general controls for certain information systems supporting our key financial reporting processes, including for our enterprise resource planning (ERP) system and for certain in-scope on-premise and vendor-supported applications.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48"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As of December 31, 2024, we also concluded that this material weakness applied to the payroll cycle and income taxes</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Additionally, these material weaknesses could result in a misstatement of account balances or disclosures that could result in a material misstatement to the annual or interim consolidated financial statements that would not be prevented or detected.</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Management has been implementing and continues to implement measures to remediate the ongoing material weaknesses. However, until the remediation plan is implemented, tested, and deemed effective, we cannot assure that our actions will adequately remediate the material weaknesses or that additional material weaknesses in our internal controls will not be identified in the future. Additionally, these remediation measures may be time consuming and costly and there is no assurance that these initiatives will ultimately have the intended effects.</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As a result, investors may lose confidence in the accuracy and completeness of our financial reporting, access to capital markets and perceptions of our creditworthiness could be adversely affected and our stock price may decline as a result. Also, the existence of any current or future material weakness could require management to devote significant time and incur significant expense to remediate any such material weakness, and management may not be able to remediate any such material weakness in a timely manner, or at all. These events could have a material and adverse effect on our business, operating results, financial condition and prospects. We cannot assure you that the measures we have taken to date, or any measures we may take in the future, will be sufficient to avoid potential future material weaknesses.</w:t>
      </w:r>
    </w:p>
    <w:p>
      <w:pPr>
        <w:spacing w:after="0" w:line="2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previously restated our financial statements for several quarters, which resulted in unanticipated costs and may adversely affect investor confidence, our stock price, our ability to raise capital, raise reputational issues and may subject us to additional risks and uncertainties, including the increased possibility of legal proceedings and regulatory inquiries</w:t>
      </w:r>
    </w:p>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20, 2024, management and the audit committee of our board of directors concluded that our previously issued unaudited condensed consolidated financial statements as of and for the three months ended March 31, 2023, six months ended June 30, 2023 and nine months ended September 30, 2023 included in our Quarterly Reports on Form 10-Q filed with the SEC on May 9, 2023, August 9, 2023 and November 8, 2023, respectively (collectively, the “Affected Periods”), were materially misstated and should no longer be relied upon due to identified errors in the application of our revenue recognition policies related to the cash collection of a certain subset of our customers that had been placed on a cash basis. As a result, we restated the financial statements for the Affected Periods.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 and have become subject to a number of additional risks and uncertainties, including the increased possibility of litigation and regulatory inquiries. Any of the foregoing may affect investor confidence in the accuracy of our financial disclosures and may raise reputational risks for our business, both of which could harm our business and financial results. Any restatements may have the effect of eroding investor confidence in us and our financial reporting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accounting practices and processes and may raise reputational issues for our business. The restatements may negatively impact the trading price of our securities and may make it more difficult for us to raise capital on acceptable terms, or at all.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Organizational Structure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 this discussion of risks related to our organizational structure, references to “we,” “us” and “our” generally refer to WM Technology Inc.</w:t>
      </w:r>
    </w:p>
    <w:p>
      <w:pPr>
        <w:spacing w:after="0" w:line="2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a holding company and our only material asset is our interest in WMH LLC, and we are accordingly dependent upon distributions made by WMH LLC and its subsidiaries to pay taxes, make payments under the tax receivable agreement and pay dividends.</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a holding company with no material assets other than our ownership of units of WMH LLC (“WMH Units”) and our managing member interest in WMH LLC. As a result, we have no independent means of generating revenue or cash flow. Our ability to pay taxes, make payments under the tax receivable agreement (the “TRA”)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WMH LLC will continue to be treated as a partnership for U.S. federal income tax purposes and, as such, generally will not be subject to any entity-level U.S. federal income tax. Instead, WMH LLC’s taxable income will be allocated to holders of WMH Units, including us. Accordingly, we will be required to pay income taxes on our allocable share of any net taxable income of WMH LLC. Under the terms of the amended operating agreement, WMH LLC is obligated to make tax distributions to holders of WMH Units (including us) calculated at certain assumed tax rates. In addition to tax expenses, we will also incur expenses related to our operations, including payment obligations under the TRA agreement (and the cost of administering such payment obligations), which could be significant. We intend to cause WMH LLC to make distributions to holders of WMH Units in amounts sufficient to cover all applicable taxes (calculated at assumed tax rates), relevant operating expenses, payments under the TRA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TRA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TRA for any reason, such payments will be deferred and will accrue interest until paid; provided, however, that nonpayment for a specified period may constitute a material breach of a material obligation under the TRA and therefore accelerate payments due under the TRA.</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Additionally, although WMH LLC generally will not be subject to any entity-level U.S. federal income tax, it may be liable under the Code and related guidance for adjustments to its tax return, absent an election to the contrary. In the event WMH LLC’s calculations of taxable income are incorrect, its members, including us, in later years may be subject to material liabilities pursuant to these provisions.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the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TRA. We will determine in our sole discretion the appropriate uses for any excess cash so accumulated, which may include, among other uses, dividends, the payment of obligations under the TRA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 such cash balances or lend them to WMH LLC, other holders of WMH Units would benefit from any value attributable to such cash balances as a result of their ownership of Class A Common Stock following a redemption or exchange of their WMH Units.</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Acquisitions by us of Legacy WMH common units in the Business Combination and subsequent taxable redemptions or exchanges of Class A units representing limited liability company interests of WMH LLC (the “Class A Units”) by the WMH LLC equity holders for shares of Class A Common Stock or cash pursuant to the exchange agreement have resulted, and are expected to continue to result in, favorable tax attributes for us.</w:t>
      </w:r>
    </w:p>
    <w:p>
      <w:pPr>
        <w:spacing w:after="0" w:line="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connection with the Business Combination, we entered into the TRA with WMH Class A equity holders and their representative. Under the TRA, we generally are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Legacy WMH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the TRA. The payment obligations under the TRA are our obligations and not obligations of WMH LLC.</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payments we will be required to make under the TRA may be substantial. Potential payments will depend on the future tax savings that we will be realize (or, in certain circumstances, are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WMH LLC Class A equity holders’ continued ownership of us. See Note 15, “Income Taxes,” to our audited consolidated financial statements included herein.</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 certain cases, payments under the TRA may be accelerated and/or significantly exceed the actual benefits we realize in respect of the tax attributes subject to the TRA.</w:t>
      </w:r>
    </w:p>
    <w:p>
      <w:pPr>
        <w:spacing w:after="0" w:line="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Payments under the TRA will be based on the tax reporting positions we determine, and the U.S. Internal Revenue Service (“IRS”) or another tax authority may challenge all or a part of the existing tax basis, tax basis increases, or other tax attributes subject to the TRA, and a court could sustain such challenge. The parties to the TRA will not reimburse us for any payments previously made if such tax basis, or other tax benefits are subsequently disallowed, except that any excess payments made to a party under the TRA will be netted against future payments otherwise to be made under the TRA, if any, after the determination of such excess.</w:t>
      </w:r>
    </w:p>
    <w:p>
      <w:pPr>
        <w:spacing w:after="0" w:line="2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the TRA provides that if (1) we breach any of our material obligations under the TRA (including in the event that we are more than three months late making a payment that is due under the TRA, except in the case of certain liquidity exceptions) (2) we are subject to certain bankruptcy, insolvency or similar proceedings, or (3) at any time, we elect an early termination of the TRA, our obligations under the TRA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TRA. The TRA also provides that, upon certain mergers, asset sales or other forms of business combination, or certain other changes of control, (x) our obligations under the TRA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TRA would be based on certain assumptions, including that we or our successor would have sufficient taxable income to fully utilize the increased tax deductions and tax basis and other benefits covered by the TRA As a result, upon any acceleration of our obligations under the TRA (including upon a change of control), we could be required to make payments under the TRA that are greater than 85% of our actual cash tax savings, which could negatively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impact our liquidity. The change of control provisions in the TRA may also result in situations where the WMH LLC Class A equity holders have interests that differ from or are in addition to those of the holders of our Class A Common Stock.</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Finally, because we are a holding company with no operations of our own, our ability to make payments under the TRA depends on the ability of WMH LLC to make distributions to us. To the extent that we are unable to make payments under the TRA for any reason, such payments will be deferred and will accrue interest until paid, which could negatively impact our results of operations and could also affect our liquidity in periods in which such payments are made.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Risks Related to the Cannabis Industry</w:t>
      </w:r>
    </w:p>
    <w:p>
      <w:pPr>
        <w:spacing w:after="0" w:line="11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Cannabis remains prohibited under federal law, and therefore, strict enforcement of federal laws regarding cannabis would likely result in our inability to execute our business plan.</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Cannabis, other than hemp (defined by the U.S. government as </w:t>
      </w:r>
      <w:r>
        <w:rPr>
          <w:rFonts w:ascii="Times New Roman" w:cs="Times New Roman" w:eastAsia="Times New Roman" w:hAnsi="Times New Roman"/>
          <w:sz w:val="17"/>
          <w:szCs w:val="17"/>
          <w:i w:val="1"/>
          <w:iCs w:val="1"/>
          <w:color w:val="auto"/>
        </w:rPr>
        <w:t>Cannabis sativa</w:t>
      </w:r>
      <w:r>
        <w:rPr>
          <w:rFonts w:ascii="Times New Roman" w:cs="Times New Roman" w:eastAsia="Times New Roman" w:hAnsi="Times New Roman"/>
          <w:sz w:val="17"/>
          <w:szCs w:val="17"/>
          <w:color w:val="auto"/>
        </w:rPr>
        <w:t xml:space="preserve"> L. with a THC concentration of not more than 0.3% on a dry weight basis), is a prohibited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Since 2014, however, the U.S. government has not prioritized the enforcement of those laws against cannabis companies complying with state law and their vendors. It is unclear whether that policy of prosecutorial discretion will continue under the new administration under President Trump; while President Trump has been generally supportive of cannabis during the campaign, his Attorney General and acting DEA Administrator picks have not supported cannabis in the past. Therefore, federal prosecutions against state-legal entities cannot be ruled out entirely at this time.</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seven years ago, however, U.S. Attorneys have generally not prioritized the targeting of state law compliant entities.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DEA, from using appropriated funds to prevent states from implementing their medical-use cannabis laws (formerly known as the Rohrabacher-Bluemnauer Amendment, and now known as the Joyce Amendment). In 2021, President Joe Biden became the first president to propose a budget with the Joyce amendment included. The amendment most recently was renewed through the signing of the stopgap spending bill. While the Joyce Amendment has continuously been renewed since its inception with little fanfare, there is no assurance that Congress will approve inclusion of a similar prohibition on DOJ spending in future appropriations bills.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i w:val="1"/>
          <w:iCs w:val="1"/>
          <w:color w:val="auto"/>
        </w:rPr>
        <w:t>USA vs. McIntosh</w:t>
      </w:r>
      <w:r>
        <w:rPr>
          <w:rFonts w:ascii="Times New Roman" w:cs="Times New Roman" w:eastAsia="Times New Roman" w:hAnsi="Times New Roman"/>
          <w:sz w:val="17"/>
          <w:szCs w:val="17"/>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the prior administration,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(“HHS”)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Biden announced that the U.S. Attorney General initiated proceedings to transfer cannabis from Schedule I to Schedule III, through an NPRM published on May 21, 2024. Following the NPRM, DEA issued a notice for a hearing which commenced in November 2023, but the hearing is currently stayed pending an administrative interlocutory appeal. It is unclear when the hearing will recommence, and whether the new administration will support rescheduling. If rescheduling does occur, this would be a momentous change whose full implications are currently unknown. The DEA’s decision to reclassify cannabis would neither legalize nor likely eliminate current state cannabis programs. If placed under Schedule III, cannabis will remain a controlled substance and state-legal programs will continue to operate outside of federally legal channels in their distribution of the substance particularly because no state operator holds a DEA registration to possess or distribute cannabis. However, some fear that, if cannabis is successfully rescheduled, the DEA or FDA may impose additional requirements or begin to target enforcement of state cannabis programs. If our clients are ultimately negatively impacted by rescheduling, we would likely be unable to execute our business plan, and our business and financial results would be adversely affected.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Additionally, although President Trump has appeared supportive of the cannabis industry, his nominees have not offered clear answers on their cannabis stance.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President alone cannot reschedule or legalize medical cannabis, and as states have demonstrated, legalizing cannabis can take many different forms.</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U.S. Attorney General Pam Bondi has repeatedly declined to specify her stance on cannabis policy issues, responding to all related questions from senators that she will give “careful consideration after consulting with appropriate Department officials.” She also avoided specifying her stance on the federal enforcement of cannabis laws. Therefore, key questions remain about how Attorney General Bondi would handle both the rescheduling process and federal enforcement priorities. Despite President Trump's recent support for cannabis rescheduling and ending arrests for personal use, Attorney General Bondi's past record as Florida Attorney General shows opposition to medical cannabis legalization, including defending a ban on smoking medical cannabis in 2018, which has raised concerns among advocates about her approach at the federal level. It is unclear whether the status quo of federal non-enforcement will continue for the foreseeable future; however, increased enforcement would be a marked departure from the prior ten years and inconsistent with President Trump’s purported views on cannabis.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Furthermore, while industry observers are hopeful that there will continue to be incremental federal cannabis policy reform, we cannot provide assurances about the content, timing or chances of passage of a bill legalizing cannabis. In recent years, members of the U.S. Congress from both parties have introduced bills to end the federal cannabis prohibition, by de-scheduling cannabis completely and regulating it, as well as incremental reform bills, including the “Medical Marijuana and Cannabidiol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Research Expansion Act” described above. Since the recent election, however, there has also been proposed anti-cannabis legislation, for example, a bill aiming to ensure 280E continues to apply to state cannabis businesses even if cannabis is ultimately rescheduled to schedule III. Nevertheless, the timing of federal reform remains unknown, it is expected that federal policy on cannabis will continue becoming more, rather than less, permissive, and legislative efforts to legalize cannabis banking at the national level are likely to continue in 2025.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 rescission of the DOJ’s guidance on the state cannabis programs in early 2018 increased uncertainty and heightened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Trump’s prior lack of action against cannabis and his current stance on cannabis, can be found in the “U.S. and Territories” section.</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7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dependent on the banking industry to support the financial functions of our products and solutions. Our business operating functions including payroll for our employees and other expenses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do not sell cannabis, or products that contain cannabis; accordingly, our company is not part of the cannabis industry that generally has been restricted from using federal and federally insured banks. However, because of “weed” in our name and the fact that our revenue is generated largely from companies licensed as operators in the cannabis industry, banks have and may continue to consider us to be subject to banking restrictions related to cannabis.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and Mastercard currently prohibit processing of transactions involving the sale of cannabis on their networks, and Mastercard has reportedly issued cease-and-desist letters to certain banks and payment processors to stop allowing such transactions on its debit cards.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 Furthermore, our clients may be adversely impacted by Visa’s or Mastercard’s policies, which could in turn have a material adverse effect on our business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Participating in transactions involving proceeds derived from cannabis may constitute criminal money laundering.</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have difficulty using bankruptcy courts due to our involvement in the regulated cannabis industry.</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conduct of third parties may jeopardize our business.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Policy &amp; Compliance Operations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conduct of third parties may jeopardize our regulatory compliance.</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Policy &amp; Compliance Operations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Synthetic or hemp-derived products may compete with cannabis use and products.</w:t>
      </w:r>
    </w:p>
    <w:p>
      <w:pPr>
        <w:spacing w:after="0" w:line="1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hemp and pharmaceutical industry may attempt to compete with or dominate the cannabis industry, and in particular, legal cannabis, through the development and distribution of hemp-derived containing intoxicating doses of THC or other cannabinoids (e.g., delta-8-THC) or derivative/synthetic products (e.g., THC-O) which emulate or even magnify the psychoactive effects of cannabis. Since the passage of the Farm Bill over six years ago, the hemp product market, and beverage market, in particular, has exploded – with 2024 sales for all hemp THC products projected to reach $3.5 billion and a path toward $4.4 billion by 2029. If such products continue to be successful, the widespread popularity of such products could continue to negatively impact the demand, volume and profitability of the cannabis industry. This could adversely affect the ability of our cannabis clients to secure long-term profitability and success.</w:t>
      </w:r>
    </w:p>
    <w:p>
      <w:pPr>
        <w:spacing w:after="0" w:line="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Products made with intoxicating cannabinoids from industrial hemp have several competitive advantages over similar cannabis derived products. Utilizing the legality of industrial hemp under U.S. federal law, many such products are available for sale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through unlicensed channels and are shipped in interstate commerce. Such products are increasingly available direct-to-consumer or at brick and mortar stores such as gas stations and convenience stores (often without age verification or other safeguards). While some states have attempted to prohibit or regulate such products,</w:t>
      </w:r>
    </w:p>
    <w:p>
      <w:pPr>
        <w:spacing w:after="0" w:line="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requirements are much less onerous than for cannabis-licensees, and enforcement against manufacturers of such products have been limited. Furthermore, because testing standards are less rigorous or sometimes non-existent, hemp-derived products could have negative health consequences which consumers then generalize to cannabis products.</w:t>
      </w:r>
    </w:p>
    <w:p>
      <w:pPr>
        <w:spacing w:after="0" w:line="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some hemp companies sell hemp-derived THC products with state authorization. Hemp THC beverages, for example, are now expressly legal in several states, where they can be sold in liquor stores, restaurants and grocery stores. Given the similar intoxicating effects to cannabis-derived THC, which is an illegal substance under the CSA, the ease of acquiring such products, and its substantially lower price point, patients and consumers may choose to consume hemp-derived products in lieu of cannabis-derived products. In light of the substantial investment our clients have made and continue to make in state-licensed cannabis facilities, the widespread use of hemp-derived THC or synthetic products could adversely impact our clients, which could, in turn, have a material adverse effect on our business and results of operations.</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believe that Section 230(c)(1) of the Communications Decency Act (“CDA”) provides immunity from civil and state criminal liability, but it is possible that it does not.</w:t>
      </w:r>
    </w:p>
    <w:p>
      <w:pPr>
        <w:spacing w:after="0" w:line="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titled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continue to be subject to constraints on marketing our products.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Cannabis businesses are subject to unfavorable U.S. tax treatment.</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Until and unless cannabis is rescheduled to Schedule III, Section 280E of the Code may continue to apply to cannabis and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clients decrease their marketing budgets and are operating on lower profit margins as a result of unfavorable treatment by the Code.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providers to cannabis businesses may also be subject to unfavorable U.S. tax treatment.</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Cannabis businesses may be subject to civil asset forfeiture.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may be difficulty enforcing certain of our commercial agreements and contracts.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of our directors, officers, employees and investors who are not U.S. citizens may face constraints on cross-border travel into the United States.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warns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2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Securities</w:t>
      </w:r>
    </w:p>
    <w:p>
      <w:pPr>
        <w:spacing w:after="0" w:line="11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December 31, 2024, our affiliates, executive officers, directors and their respective affiliates as a group beneficially own approximately 22.4% of our outstanding Class A Common Stock and Class V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Public statements from investors, including expressions of interest or proposals to purchase our company, may increase the volatility of, or otherwise have an adverse impact on, the market price of our Class A common stock.</w:t>
      </w:r>
    </w:p>
    <w:p>
      <w:pPr>
        <w:spacing w:after="0" w:line="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From time to time, investors or other market participants may make public statements recommending strategies for our company. In some cases, these statements are in the form of expressions of interest or proposals to purchase or acquire our company or significant portions of our stock. While we do not typically comment on or disclose investor recommendations or expressions of interest, any public disclosures made by us or others related to such expressions of interest or proposals could have a material impact on our stock price, even in the absence of any determination by our board of directors to pursue them. Any disclosures related to any offers, communications, or proposals, or the commencement of any litigation related to any such matters, or the withdrawal or modification of such offers, communications, or proposals, could have an adverse effect on the market price of our Class A Common Stock.</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a “smaller reporting company” under the U.S. federal securities laws, and the reduced reporting requirements applicable to smaller reporting companies could make our common stock less attractive to investors.</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a “smaller reporting company” under U.S. federal securities laws. For as long as we continue to be a smaller reporting company, we may take advantage of exemptions from various reporting requirements that are applicable to other public companies that are not smaller reporting companies, including reduced disclosure obligations regarding executive compensation in our periodic reports and proxy statements. Investors may not find our common stock attractive because we may rely on these exemptions. If some investors find our common stock less attractive as a result, there may be a less active trading market for our common stock and our stock price may be more volatile.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expect to declare any dividends in the foreseeable future.</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the ability of our stockholders to bring a claim in a judicial forum that such stockholder finds favorable for disputes with us and our directors, officers or other employees and may have the effect of discouraging lawsuits against our directors, officers and other employees. Furthermore, our stockholders may be subject to increased costs to</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bring these claims, and the exclusive forum provision could have the effect of discouraging claims or limiting investors’ ability to bring claims in a judicial forum that they find favorable.</w:t>
      </w:r>
    </w:p>
    <w:p>
      <w:pPr>
        <w:spacing w:after="0" w:line="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to be effective immediately prior to the closing of this offering. This may require significant additional costs associated with resolving such action in other jurisdictions and there can be no assurance that the provisions will be enforced by a court in those other jurisdictions. If a court were to find either exclusive forum provision in our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Sale of a substantial number of our shares in the public market could cause the market price of our Class A Common Stock to drop significantly, even if our business is doing well.</w:t>
      </w:r>
    </w:p>
    <w:p>
      <w:pPr>
        <w:spacing w:after="0" w:line="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To the extent the Public Warrants or other exercisable securities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 holders could increase the volatility of the market price of our Class A Common Stock or adversely affect the market price of our Class A Common Stock.</w:t>
      </w:r>
    </w:p>
    <w:p>
      <w:pPr>
        <w:spacing w:after="0" w:line="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48"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significantly dilute the equity interests of our investors;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subordinate the rights of holders of Class A Common Stock if preferred stock is issued with rights senior to those afforded our Class A Common Stock;</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adversely affect prevailing market prices for our Class A Common Stock and/or Warrants.</w:t>
      </w:r>
    </w:p>
    <w:p>
      <w:pPr>
        <w:spacing w:after="0" w:line="10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trading price of our Class A Common Stock and the Public Warrants have been, and may continue to be, volatile, and the value of our Class A Common Stock and Warrants may decline.</w:t>
      </w:r>
    </w:p>
    <w:p>
      <w:pPr>
        <w:spacing w:after="0" w:line="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market price of our Class A Common Stock and the Public Warrants have been and may continue to be subject to wide fluctuations in response to numerous factors, many of which are beyond our control, including:</w:t>
      </w:r>
    </w:p>
    <w:p>
      <w:pPr>
        <w:spacing w:after="0" w:line="48" w:lineRule="exact"/>
        <w:rPr>
          <w:sz w:val="20"/>
          <w:szCs w:val="20"/>
          <w:color w:val="auto"/>
        </w:rPr>
      </w:pPr>
    </w:p>
    <w:p>
      <w:pPr>
        <w:ind w:left="540" w:hanging="227"/>
        <w:spacing w:after="0"/>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financial condition and operating results;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projected operational and financial results;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effects and enforcement of and changes to laws and regulations, including with respect to the cannabis and hemp industries;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commencement or conclusion of legal proceedings that involve us;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growth rate relative to our competitors;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540" w:hanging="227"/>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products or services by us or our competitors;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partnerships, or joint ventures;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capital-raising activities or commitments;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new or updated research or reports by securities analysts;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by investors or analysts of third-party data regarding our business that may not reflect our financial performance;</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valuation of companies perceived by investors to be comparable to us;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securities, including short selling of our securities;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price and volume fluctuations attributable to inconsistent trading volume levels of our shares;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market conditions; and</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civil unrest, war, foreign invasions, terrorism, or public health crises, or responses to such events.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the Public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 the past we have not met, and may in the future not comply with, the listing standards of Nasdaq, and as a result our Class A Common Stock may be delisted. Delisting could adversely affect the liquidity of our Class A Common Stock and the market price of our Class A Common Stock could decrease.</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Class A Common Stock is currently listed on the Nasdaq Global Select Market, which has minimum requirements that a company must meet in order to remain listed. These requirements include maintaining a minimum closing bid price of $1.00 per share, which closing bid price cannot fall below $1.00 per share for a period of more than 30 consecutive business days. For example, on October 9, 2024, we received a letter from the Listing Qualifications Department of Nasdaq notifying us that, for the last 30 consecutive trading days, the closing bid price for our Class A Common Stock was below $1.00 per share, (the “Notice”). In accordance with Nasdaq Listing Rule 5810(c)(3)(A), we were provided a compliance period of 180 calendar days from the date of the Notice, or until April 7, 2025, to regain compliance with the minimum closing bid price requirement, which we did, and Nasdaq provided us written confirmation of compliance on December 3, 2024. We received such letters and achieved compliance twice prior to October 9, 2024, and may again in the future.</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There can be no assurance that we will remain in compliance with the minimum bid price requirement. In the event that our Class A Common Stock is delisted from Nasdaq as a result of our failure to regain compliance with the minimum closing bid price requirement through the various methods permitted under the Nasdaq rules, trading of our Class A Common Stock could be conducted in the over-the-counter market or on an electronic bulletin board established for unlisted securities such as the Pink Sheets or the OTC Bulletin Board, but there can be no assurance that our Class A Common Stock will be eligible for trading on such alternative exchange or market.</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if our Class A Common Stock is delisted from Nasdaq, the liquidity of our Class A Common Stock would be adversely affected, the market price of our Class A Common Stock could decrease, our ability to obtain sufficient additional capital to fund our operations and transactions in our Class A Common Stock could lose federal preemption of state securities laws. Furthermore, there could also be a further reduction in our coverage by securities analysts and the news media and broker-dealers may be deterred from making a market in or otherwise seeking or generating interest in our Class A Common Stock, which could cause the price of our Class A Common Stock to decline further. Moreover, delisting may also negatively affect our clients’, customers’ and employees’ confidence in us and employee morale.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impact of global, regional or local economic and market conditions may adversely affect our business, operating results and financial condition.</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performance is subject to global economic conditions and economic conditions in one or more of our key markets, which impact spending by our clients and consumers. A majority of our clients are small and medium-sized businesses that operate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one or two retail locations, and their access to capital, liquidity and other financial resources is constrained due to the regulatory restrictions applicable to cannabis businesses. As a result, these clients have been and may be further disproportionately affected by economic downturns.</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incurred increased costs and administrative burden as a result of operating as a public company, and our management will continue to devote substantial time to new compliance initiatives.</w:t>
      </w:r>
    </w:p>
    <w:p>
      <w:pPr>
        <w:spacing w:after="0" w:line="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that we did not incur as a private company.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Nasdaq.</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requirements of these rules and regulations increase our legal, accounting, and financial compliance costs, make some activities more difficult, time-consuming and costly, and place significant strain on our personnel, systems, and resources. The additional reporting and other obligations imposed by these rules and regulations have increased legal and financial compliance costs and the costs of related legal, accounting and administrative activities. These increased costs require us to divert a significant amount of money that could otherwise be used to expand the business and achieve strategic objectives. In addition, our management and other personnel devote a substantial amount of time to these compliance initiatives, and as such our management’s attention may be diverted from other business concerns, which could harm our business, results of operations, and financial condition.</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Furthermore, if any issues in complying with those requirements are identified (for example, our identification of material weaknesses in our internal controls over financial reporting and any additional material weaknesses or significant deficiency in the internal control over financial reporting that we or our independent registered public accounting firm may identify in the future), we could incur additional costs rectifying those issues, and the existence of those issues could adversely affect our reputation or investor perceptions of it. In addition, we determined to restate our unaudited condensed consolidated financial statements as of and for the three months ended March 31, 2023, six months ended June 30, 2023 and nine months ended September 30, 2023 after we identified errors in the application of our revenue recognition policies related to the cash collection of a certain subset of our customers that had been placed on a cash basis. 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it may also be more expensive to obtain director and officer liability insurance. These factors could also make it more difficult for us to attract and retain qualified members of our board of directors, particularly members who can serve on our audit committee and compensation committee, and qualified executive officers. We cannot predict or estimate the amount or timing of additional costs it may incur to respond to these requirements.</w:t>
      </w:r>
    </w:p>
    <w:p>
      <w:pPr>
        <w:spacing w:after="0" w:line="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exposed to the risk that our employees and independent contractors may engage in misconduct or other illegal activity. Misconduct by these parties could include intentional, reckless or negligent conduct or other activities that violate laws and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2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Certain securities and industry analysts may not publish, have in the past ceased publishing, or may in the future cease publishing research or reports about us, our business or our market, or may adversely change their recommendations regarding our Class A Common Stock, which could cause the price and trading volume of our Class A Common Stock to decline.</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have sufficient funds to satisfy indemnification claims of our directors and executive officers.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6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and strategy</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security team, managed by our Chief Technology Officer (“CTO”) who works with a team of security professionals to help identify, assess and manage our cybersecurity threats and risks. Our security team identifies and assesses risks from cybersecurity threats by monitoring and evaluating our threat environment and our risk profile using various methods including, for example: manual and automated tools; conducting vulnerability scans; penetration tests conducted internally and by third parties; leveraging threat intelligence feeds; reports and services that identify cybersecurity threats; and working with third parties who conduct threat assessments of our platform and APIs.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Depending on the environment, we implement and maintain various technical, physical, and organizational measures, processes, standards and policies designed to manage and mitigate material risks from cybersecurity threats to our systems and data. We use third-party service providers to assist us from time to time with the identification, assessment, and management of material cybersecurity risks. We have a vendor management program designed to manage cybersecurity risks associated with our use of these providers, as well as other third-party suppliers and business partners, which may involve different levels of assessment designed to help identify cybersecurity risks associated with a provider.</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assessment and management of material risks from cybersecurity threats are integrated into our overall risk management processes. Our CTO and our senior management evaluates material risks from cybersecurity threats against our overall business objectives and provide periodic reports to the technology and audit committees of our board of directors, which evaluate our overall enterprise risk.</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 xml:space="preserve">For a description of the risks from cybersecurity threats that may materially affect us and how they may do so, see our risk factors under Part 1. Item 1A. Risk Factors in this Annual Report on Form 10-K, including </w:t>
      </w:r>
      <w:r>
        <w:rPr>
          <w:rFonts w:ascii="Times New Roman" w:cs="Times New Roman" w:eastAsia="Times New Roman" w:hAnsi="Times New Roman"/>
          <w:sz w:val="17"/>
          <w:szCs w:val="17"/>
          <w:i w:val="1"/>
          <w:iCs w:val="1"/>
          <w:color w:val="auto"/>
        </w:rPr>
        <w:t>If our information technology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r>
        <w:rPr>
          <w:rFonts w:ascii="Times New Roman" w:cs="Times New Roman" w:eastAsia="Times New Roman" w:hAnsi="Times New Roman"/>
          <w:sz w:val="17"/>
          <w:szCs w:val="17"/>
          <w:color w:val="auto"/>
        </w:rPr>
        <w: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Governance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board of directors addresses our cybersecurity risk management as part of its general oversight function. The Audit Committee and technology committee of our board of directors are responsible for overseeing our cybersecurity risk management processes, including oversight and mitigation of risks from cybersecurity threats. Management is responsible for identifying, assessing, and managing material cybersecurity risks on an ongoing basis, establishing processes to ensure that such potential cybersecurity risk exposures are monitored, putting in place appropriate mitigation measures, maintaining cybersecurity policies and procedures, and providing regular reports to our board of directors.</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cybersecurity risk assessment and management processes are implemented and maintained by certain members of our security team, led by our CTO. Our CTO has over 14 years of experience in engineering and development, including leadership roles. Other members of our security team collectively have over 50 years of experience in information security.</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cybersecurity incident response and vulnerability management plans are designed to escalate certain cybersecurity incidents to members of leadership depending on the circumstances. In these situations, members of our leadership team work with our incident response team to help us evaluate, mitigate and remediate cybersecurity incidents of which they are notified. In addition, our incident response and vulnerability management plans include reporting to the Audit Committee (who may consult with our technology committee) for certain cybersecurity incidents.</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technology committee receives periodic reports from our security team concerning our significant cybersecurity threats and risk and the processes we have implemented to address them.</w:t>
      </w:r>
    </w:p>
    <w:p>
      <w:pPr>
        <w:spacing w:after="0" w:line="4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currently maintain our executive offices and headquarters at 41 Discovery, Irvine, California 92618, pursuant to an operating lease that expires in 2030. We also have office spaces in Los Angeles, California, Denver, Colorado and Austin, Texas.</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consider our current office space adequate to meet our ongoing needs. However, from time to time we may evaluate additional or substitute office spaces. We believe that we will be able to obtain additional facilities, as needed, on commercially reasonable terms.</w:t>
      </w:r>
    </w:p>
    <w:p>
      <w:pPr>
        <w:spacing w:after="0" w:line="4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information set forth under "Commitment and Contingencies—Litigation" in Note 6 to our consolidated financial statements included in Part II, Item 8 of this Annual Report on Form 10-K is incorporated by reference into this Item 3.</w:t>
      </w:r>
    </w:p>
    <w:p>
      <w:pPr>
        <w:spacing w:after="0" w:line="4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Class A Common Stock and Public Warrants are currently listed on Nasdaq under the symbols “MAPS” and “MAPSW”, respectively. As of March 5, 2025, there were 105,028,513 shares of Class A Common Stock issued and outstanding and 49,319,542 shares of our Class V common stock (the “Class V Common Stock”) issued and outstanding. No market exists for the Class V Common Stock.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5, 2025, there were 106 holders of record of our Class A Common Stock, 12 holders of record of our Class V Common Stock and 2 holders of record of our Public Warrants.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about our equity compensation plans in Item 12 of Part III of this Annual Report on Form 10-K is incorporated herein by reference.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 Use of Proceeds from Registered Offerings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have been no recent sales of unregistered securities for the years ended December 31, 2024 and December 31, 2023 that would be required to be disclosed pursuant to Item 701 of Regulation S-K.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21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7.</w:t>
        <w:tab/>
        <w:t>MANAGEMENT’S DISCUSSION AND ANALYSIS OF FINANCIAL CONDITION AND RESULTS OF OPERATIONS</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the financial condition and results of operations of WM Technology, Inc. should be read in conjunction with our consolidated financial statements and related notes included in this Annual Report on Form 10-K, as well as the discussion under “Item 1A. Risk Factors.”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“Item 1A. Risk Factors” and included herein.</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further discussion of our products and services, growth strategy, challenges in our end-markets and competitive strengths, see “Item 1. Business.” Unless stated otherwise, the comparisons presented in this discussion and analysis refer to the year-over-year comparison of changes in our financial condition and results of operations as of and for the years ended December 31, 2024 and December 31,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Year 2024 Financial Highlights</w:t>
      </w:r>
    </w:p>
    <w:p>
      <w:pPr>
        <w:spacing w:after="0" w:line="138" w:lineRule="exact"/>
        <w:rPr>
          <w:sz w:val="20"/>
          <w:szCs w:val="20"/>
          <w:color w:val="auto"/>
        </w:rPr>
      </w:pPr>
    </w:p>
    <w:p>
      <w:pPr>
        <w:ind w:left="620" w:hanging="307"/>
        <w:spacing w:after="0"/>
        <w:tabs>
          <w:tab w:leader="none" w:pos="620" w:val="left"/>
        </w:tabs>
        <w:numPr>
          <w:ilvl w:val="0"/>
          <w:numId w:val="32"/>
        </w:numPr>
        <w:rPr>
          <w:rFonts w:ascii="Arial" w:cs="Arial" w:eastAsia="Arial" w:hAnsi="Arial"/>
          <w:sz w:val="21"/>
          <w:szCs w:val="21"/>
          <w:b w:val="1"/>
          <w:bCs w:val="1"/>
          <w:color w:val="auto"/>
        </w:rPr>
      </w:pPr>
      <w:r>
        <w:rPr>
          <w:rFonts w:ascii="Times New Roman" w:cs="Times New Roman" w:eastAsia="Times New Roman" w:hAnsi="Times New Roman"/>
          <w:sz w:val="17"/>
          <w:szCs w:val="17"/>
          <w:color w:val="auto"/>
        </w:rPr>
        <w:t>Revenues were $184.5 million as compared to $188.0 million in the prior year.</w:t>
      </w:r>
    </w:p>
    <w:p>
      <w:pPr>
        <w:spacing w:after="0" w:line="34" w:lineRule="exact"/>
        <w:rPr>
          <w:rFonts w:ascii="Arial" w:cs="Arial" w:eastAsia="Arial" w:hAnsi="Arial"/>
          <w:sz w:val="21"/>
          <w:szCs w:val="21"/>
          <w:b w:val="1"/>
          <w:bCs w:val="1"/>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monthly paying clients was 5,077, as compared to 5,419 in the prior year.</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monthly revenues per paying client was $3,029, as compared to $2,891 in the prior year.</w:t>
      </w:r>
    </w:p>
    <w:p>
      <w:pPr>
        <w:spacing w:after="0" w:line="8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Net income was $12.2 million as compared to net loss of $15.7 million in the prior year.</w:t>
      </w:r>
    </w:p>
    <w:p>
      <w:pPr>
        <w:spacing w:after="0" w:line="3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Adjusted EBITDA was $42.9 million as compared to Adjusted EBITDA of $36.9 million in the prior year.</w:t>
      </w:r>
    </w:p>
    <w:p>
      <w:pPr>
        <w:spacing w:after="0" w:line="62" w:lineRule="exact"/>
        <w:rPr>
          <w:rFonts w:ascii="Times New Roman" w:cs="Times New Roman" w:eastAsia="Times New Roman" w:hAnsi="Times New Roman"/>
          <w:sz w:val="17"/>
          <w:szCs w:val="17"/>
          <w:b w:val="1"/>
          <w:bCs w:val="1"/>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Cash totaled $52.0 million as of December 31, 2024, with no long-term debt.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further information about how we calculate EBITDA and Adjusted EBITDA as well as limitations of its use and a reconciliation of EBITDA and Adjusted EBITDA to net income (loss), see “Net Income (Loss) to EBITDA and Adjusted EBITDA” in Non-GAAP Financial Measurements below.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business primarily consists of our commerce-driven marketplace (“Weedmaps”), and our fully integrated suite of end-to-end Software-as-a-Service (“SaaS”) solutions software offering (“Weedmaps for Business”). The Weedmaps marketplace is a premier destination for cannabis consumers to discover and browse information regarding cannabis and cannabis products with 5,077 average monthly paying clients during the year ended December 31, 2024, on the supply-side of our marketplace. These paying clients include retailers, brands and other client types (such as doctors). Further, these clients, who can choose to purchase multiple listings solutions for each business, had purchased approximately 8,700 listing pages as of December 31, 2024.</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sell our Weedmaps for Business suite in the United States and have a limited number of non-monetized listings in several other countries including Austria, Canada, Germany, the Netherlands, Spain, Switzerland, and Uruguay. We operate in the United States, Canada and other foreign jurisdictions where medical and/or adult cannabis use is legal under state or national law. As of December 31, 2024,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December 31, 2024,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Operating and Financial Metrics</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monitor the following key financial and operational metrics to evaluate our business, measure our performance, identify trends affecting our business, formulate business plans and make strategic decisions. The following table summarizes our financial performance for the year ended December 31, 2024 compared to our financial performance for the years ended December 31, 2023. For a detailed discussion of our results of operations, see “Results of Operations”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5"/>
        </w:trPr>
        <w:tc>
          <w:tcPr>
            <w:tcW w:w="7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831"/>
        </w:trPr>
        <w:tc>
          <w:tcPr>
            <w:tcW w:w="1220" w:type="dxa"/>
            <w:vAlign w:val="bottom"/>
            <w:tcBorders>
              <w:top w:val="single" w:sz="8" w:color="0000FF"/>
            </w:tcBorders>
          </w:tcPr>
          <w:p>
            <w:pPr>
              <w:spacing w:after="0"/>
              <w:rPr>
                <w:sz w:val="24"/>
                <w:szCs w:val="24"/>
                <w:color w:val="auto"/>
              </w:rPr>
            </w:pPr>
          </w:p>
        </w:tc>
        <w:tc>
          <w:tcPr>
            <w:tcW w:w="6220" w:type="dxa"/>
            <w:vAlign w:val="bottom"/>
          </w:tcPr>
          <w:p>
            <w:pPr>
              <w:spacing w:after="0"/>
              <w:rPr>
                <w:sz w:val="24"/>
                <w:szCs w:val="24"/>
                <w:color w:val="auto"/>
              </w:rPr>
            </w:pPr>
          </w:p>
        </w:tc>
        <w:tc>
          <w:tcPr>
            <w:tcW w:w="3120" w:type="dxa"/>
            <w:vAlign w:val="bottom"/>
            <w:tcBorders>
              <w:bottom w:val="single" w:sz="8" w:color="auto"/>
            </w:tcBorders>
            <w:gridSpan w:val="3"/>
          </w:tcPr>
          <w:p>
            <w:pPr>
              <w:jc w:val="center"/>
              <w:ind w:left="61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680" w:type="dxa"/>
            <w:vAlign w:val="bottom"/>
            <w:tcBorders>
              <w:bottom w:val="single" w:sz="8" w:color="auto"/>
            </w:tcBorders>
          </w:tcPr>
          <w:p>
            <w:pPr>
              <w:spacing w:after="0"/>
              <w:rPr>
                <w:sz w:val="24"/>
                <w:szCs w:val="24"/>
                <w:color w:val="auto"/>
              </w:rPr>
            </w:pPr>
          </w:p>
        </w:tc>
      </w:tr>
      <w:tr>
        <w:trPr>
          <w:trHeight w:val="212"/>
        </w:trPr>
        <w:tc>
          <w:tcPr>
            <w:tcW w:w="12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160"/>
        </w:trPr>
        <w:tc>
          <w:tcPr>
            <w:tcW w:w="12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3800" w:type="dxa"/>
            <w:vAlign w:val="bottom"/>
            <w:gridSpan w:val="4"/>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(dollars in thousands, except for revenue per</w:t>
            </w:r>
          </w:p>
        </w:tc>
      </w:tr>
      <w:tr>
        <w:trPr>
          <w:trHeight w:val="230"/>
        </w:trPr>
        <w:tc>
          <w:tcPr>
            <w:tcW w:w="12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960" w:type="dxa"/>
            <w:vAlign w:val="bottom"/>
            <w:gridSpan w:val="2"/>
          </w:tcPr>
          <w:p>
            <w:pPr>
              <w:jc w:val="center"/>
              <w:ind w:right="394"/>
              <w:spacing w:after="0"/>
              <w:rPr>
                <w:sz w:val="20"/>
                <w:szCs w:val="20"/>
                <w:color w:val="auto"/>
              </w:rPr>
            </w:pPr>
            <w:r>
              <w:rPr>
                <w:rFonts w:ascii="Times New Roman" w:cs="Times New Roman" w:eastAsia="Times New Roman" w:hAnsi="Times New Roman"/>
                <w:sz w:val="17"/>
                <w:szCs w:val="17"/>
                <w:b w:val="1"/>
                <w:bCs w:val="1"/>
                <w:color w:val="auto"/>
              </w:rPr>
              <w:t>paying client)</w:t>
            </w:r>
          </w:p>
        </w:tc>
        <w:tc>
          <w:tcPr>
            <w:tcW w:w="680" w:type="dxa"/>
            <w:vAlign w:val="bottom"/>
          </w:tcPr>
          <w:p>
            <w:pPr>
              <w:spacing w:after="0"/>
              <w:rPr>
                <w:sz w:val="19"/>
                <w:szCs w:val="19"/>
                <w:color w:val="auto"/>
              </w:rPr>
            </w:pPr>
          </w:p>
        </w:tc>
      </w:tr>
      <w:tr>
        <w:trPr>
          <w:trHeight w:val="222"/>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184,514</w:t>
            </w:r>
          </w:p>
        </w:tc>
        <w:tc>
          <w:tcPr>
            <w:tcW w:w="124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187,993</w:t>
            </w: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12,187</w:t>
            </w:r>
          </w:p>
        </w:tc>
        <w:tc>
          <w:tcPr>
            <w:tcW w:w="12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(15,727)</w:t>
            </w:r>
          </w:p>
        </w:tc>
      </w:tr>
      <w:tr>
        <w:trPr>
          <w:trHeight w:val="322"/>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22"/>
                <w:szCs w:val="22"/>
                <w:color w:val="auto"/>
                <w:vertAlign w:val="superscript"/>
              </w:rPr>
              <w:t>(1)</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25,089</w:t>
            </w:r>
          </w:p>
        </w:tc>
        <w:tc>
          <w:tcPr>
            <w:tcW w:w="124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(3,534)</w:t>
            </w:r>
          </w:p>
        </w:tc>
      </w:tr>
      <w:tr>
        <w:trPr>
          <w:trHeight w:val="322"/>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(1)</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42,919</w:t>
            </w:r>
          </w:p>
        </w:tc>
        <w:tc>
          <w:tcPr>
            <w:tcW w:w="12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36,907</w:t>
            </w:r>
          </w:p>
        </w:tc>
      </w:tr>
      <w:tr>
        <w:trPr>
          <w:trHeight w:val="322"/>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monthly revenues per paying client</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3,029</w:t>
            </w:r>
          </w:p>
        </w:tc>
        <w:tc>
          <w:tcPr>
            <w:tcW w:w="124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2,891</w:t>
            </w:r>
          </w:p>
        </w:tc>
      </w:tr>
      <w:tr>
        <w:trPr>
          <w:trHeight w:val="37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Average monthly paying clients</w:t>
            </w:r>
            <w:r>
              <w:rPr>
                <w:rFonts w:ascii="Times New Roman" w:cs="Times New Roman" w:eastAsia="Times New Roman" w:hAnsi="Times New Roman"/>
                <w:sz w:val="22"/>
                <w:szCs w:val="22"/>
                <w:color w:val="auto"/>
                <w:vertAlign w:val="superscript"/>
              </w:rPr>
              <w:t>(3)</w:t>
            </w:r>
          </w:p>
        </w:tc>
        <w:tc>
          <w:tcPr>
            <w:tcW w:w="1160" w:type="dxa"/>
            <w:vAlign w:val="bottom"/>
          </w:tcPr>
          <w:p>
            <w:pPr>
              <w:spacing w:after="0"/>
              <w:rPr>
                <w:sz w:val="24"/>
                <w:szCs w:val="24"/>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5,077</w:t>
            </w:r>
          </w:p>
        </w:tc>
        <w:tc>
          <w:tcPr>
            <w:tcW w:w="1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5,419</w:t>
            </w:r>
          </w:p>
        </w:tc>
      </w:tr>
      <w:tr>
        <w:trPr>
          <w:trHeight w:val="243"/>
        </w:trPr>
        <w:tc>
          <w:tcPr>
            <w:tcW w:w="7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___________________________</w:t>
            </w: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ind w:left="320" w:hanging="317"/>
        <w:spacing w:after="0" w:line="253" w:lineRule="auto"/>
        <w:tabs>
          <w:tab w:leader="none" w:pos="3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further information about how we calculate EBITDA and Adjusted EBITDA as well as limitations of its use and a reconciliation of EBITDA and Adjusted EBITDA to net income (loss), see “Net Income (Loss) to EBITDA and Adjusted EBITDA” in Non-GAAP Financial Measurements below.</w:t>
      </w:r>
    </w:p>
    <w:p>
      <w:pPr>
        <w:jc w:val="both"/>
        <w:ind w:left="320" w:hanging="317"/>
        <w:spacing w:after="0" w:line="258" w:lineRule="auto"/>
        <w:tabs>
          <w:tab w:leader="none" w:pos="3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Average monthly revenues per paying client is defined as the average monthly revenues for any particular period divided by the average monthly paying clients in the same respective period. Average monthly revenues per paying client is calculated in the same manner as our previously-reported “Average monthly net revenue per paying client,” and the description of the metric is being updated solely because we changed the reporting line item from “Net revenue” to “Revenue”. See “Critical Accounting Policies and Estimates—Revenue Recognition” below and “Basis of Presentation” and “Revenue Recognition” of Note 2. “Summary of Significant Accounting Policies,” of our consolidated financial statements for additional information.</w:t>
      </w:r>
    </w:p>
    <w:p>
      <w:pPr>
        <w:spacing w:after="0" w:line="1" w:lineRule="exact"/>
        <w:rPr>
          <w:rFonts w:ascii="Times New Roman" w:cs="Times New Roman" w:eastAsia="Times New Roman" w:hAnsi="Times New Roman"/>
          <w:sz w:val="15"/>
          <w:szCs w:val="15"/>
          <w:color w:val="auto"/>
        </w:rPr>
      </w:pPr>
    </w:p>
    <w:p>
      <w:pPr>
        <w:ind w:left="320" w:hanging="317"/>
        <w:spacing w:after="0"/>
        <w:tabs>
          <w:tab w:leader="none" w:pos="3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Average monthly paying clients are defined as the average of the number of paying clients billed in a month across a particular period (and for which services were provided).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Average Monthly Revenues Per Paying Client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Average monthly revenues per paying client measures how much clients, for the period of measurement, are willing to pay us for our subscription and additional offerings and the efficiency of the bid-auction process for our featured listings placements (“Featured Listings”). We calculate this metric by dividing the average monthly revenues for any particular period by the average monthly number of paying clients in the same respective period. The increase in our average monthly revenues per paying client for the year ended December 31, 2024 compared 2023 to was due to sunset of certain products in December 2023, which had lower average monthly spending clients.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Average Monthly Paying Clients</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2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Average monthly paying clients for the year ended December 31, 2024 decreased by approximately 6% to 5,077 average monthly paying clients from 5,419 average monthly paying clients in the same period in 2023. The decrease in average monthly paying clients in 2024 as compared to the same period in 2023 was primarily due to the decrease in client count related to the sunset of certain products in December 2023 as well as the removal of paying clients from our platform who have become delinquent, and client churn due to continued industry challenges, such as price deflation and ongoing consolidation.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Income (Loss) to EBITDA and Adjusted EBITDA</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financial statements, including net income (loss), are prepared in accordance with GAAP. For more information regarding the components within our net income (loss), refer to “Components of Our Results of Operations” below.</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Net income for the year ended December 31, 2024 was $12.2 million compared with a net loss of $15.7 million for the year ended December 31, 2023. The increase in net income of $27.9 million was primarily due to a decrease in total costs and expenses of $36.7 million, partially offset by a decrease in revenues of $3.5 million, change in TRA liability of $1.5 million resulting from the remeasurement of the TRA liability, change in fair value of warrant liability of $1.5 million and a decrease in other income of $2.3 million.</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To provide investors with additional information regarding our financial results, we have disclosed EBITDA and Adjusted EBITDA, both of which are non-GAAP financial measures that we calculate as net income (loss) before interest, taxes 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depreciation and amortization expense in the case of EBITDA and further adjusted to exclude stock-based compensation, change in fair value of warrant liability, transaction related bonus, legal settlements and other legal costs, discharge of holdback obligation related to prior acquisition, reduction in force, asset impairment charges, change in TRA liability and other non-cash, unusual and/or infrequent costs in the case of Adjusted EBITDA. Below we have provided a reconciliation of net income (loss) (the most directly comparable GAAP financial measure) to EBITDA; and from EBITDA to Adjusted EBITDA.</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48" w:lineRule="exact"/>
        <w:rPr>
          <w:sz w:val="20"/>
          <w:szCs w:val="20"/>
          <w:color w:val="auto"/>
        </w:rPr>
      </w:pPr>
    </w:p>
    <w:p>
      <w:pPr>
        <w:ind w:left="620" w:hanging="307"/>
        <w:spacing w:after="0" w:line="284"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and Adjusted EBITDA do not reflect changes in, or cash requirements for, our working capital needs;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and Adjusted EBITDA do not reflect tax payments that may represent a reduction in cash available to us.</w:t>
      </w:r>
    </w:p>
    <w:p>
      <w:pPr>
        <w:spacing w:after="0" w:line="1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Because of these limitations, you should consider EBITDA and Adjusted EBITDA alongside other financial performance measures, including net income (loss) and our other GAAP results.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A reconciliation of net income (loss) to non-GAAP EBITDA and Adjusted EBITDA is as follows:</w:t>
            </w: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48"/>
        </w:trPr>
        <w:tc>
          <w:tcPr>
            <w:tcW w:w="7440" w:type="dxa"/>
            <w:vAlign w:val="bottom"/>
          </w:tcPr>
          <w:p>
            <w:pPr>
              <w:spacing w:after="0"/>
              <w:rPr>
                <w:sz w:val="24"/>
                <w:szCs w:val="24"/>
                <w:color w:val="auto"/>
              </w:rPr>
            </w:pPr>
          </w:p>
        </w:tc>
        <w:tc>
          <w:tcPr>
            <w:tcW w:w="312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680" w:type="dxa"/>
            <w:vAlign w:val="bottom"/>
            <w:tcBorders>
              <w:bottom w:val="single" w:sz="8" w:color="auto"/>
            </w:tcBorders>
          </w:tcPr>
          <w:p>
            <w:pPr>
              <w:spacing w:after="0"/>
              <w:rPr>
                <w:sz w:val="24"/>
                <w:szCs w:val="24"/>
                <w:color w:val="auto"/>
              </w:rPr>
            </w:pPr>
          </w:p>
        </w:tc>
      </w:tr>
      <w:tr>
        <w:trPr>
          <w:trHeight w:val="212"/>
        </w:trPr>
        <w:tc>
          <w:tcPr>
            <w:tcW w:w="7440" w:type="dxa"/>
            <w:vAlign w:val="bottom"/>
          </w:tcPr>
          <w:p>
            <w:pPr>
              <w:spacing w:after="0"/>
              <w:rPr>
                <w:sz w:val="18"/>
                <w:szCs w:val="18"/>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12"/>
        </w:trPr>
        <w:tc>
          <w:tcPr>
            <w:tcW w:w="7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20" w:type="dxa"/>
            <w:vAlign w:val="bottom"/>
            <w:gridSpan w:val="3"/>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680" w:type="dxa"/>
            <w:vAlign w:val="bottom"/>
          </w:tcPr>
          <w:p>
            <w:pPr>
              <w:spacing w:after="0"/>
              <w:rPr>
                <w:sz w:val="18"/>
                <w:szCs w:val="18"/>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20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(15,727)</w:t>
            </w:r>
          </w:p>
        </w:tc>
      </w:tr>
      <w:tr>
        <w:trPr>
          <w:trHeight w:val="219"/>
        </w:trPr>
        <w:tc>
          <w:tcPr>
            <w:tcW w:w="7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1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expenses</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12,133</w:t>
            </w:r>
          </w:p>
        </w:tc>
      </w:tr>
      <w:tr>
        <w:trPr>
          <w:trHeight w:val="219"/>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income, net</w:t>
            </w: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25,089</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(3,534)</w:t>
            </w:r>
          </w:p>
        </w:tc>
      </w:tr>
      <w:tr>
        <w:trPr>
          <w:trHeight w:val="219"/>
        </w:trPr>
        <w:tc>
          <w:tcPr>
            <w:tcW w:w="7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9,221</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13,515</w:t>
            </w:r>
          </w:p>
        </w:tc>
      </w:tr>
      <w:tr>
        <w:trPr>
          <w:trHeight w:val="21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r>
      <w:tr>
        <w:trPr>
          <w:trHeight w:val="219"/>
        </w:trPr>
        <w:tc>
          <w:tcPr>
            <w:tcW w:w="7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 impairment charges</w:t>
            </w:r>
          </w:p>
        </w:tc>
        <w:tc>
          <w:tcPr>
            <w:tcW w:w="1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24,403</w:t>
            </w:r>
          </w:p>
        </w:tc>
      </w:tr>
      <w:tr>
        <w:trPr>
          <w:trHeight w:val="21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Transaction related bonus expense</w:t>
            </w:r>
          </w:p>
        </w:tc>
        <w:tc>
          <w:tcPr>
            <w:tcW w:w="1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w:t>
            </w:r>
          </w:p>
        </w:tc>
      </w:tr>
      <w:tr>
        <w:trPr>
          <w:trHeight w:val="219"/>
        </w:trPr>
        <w:tc>
          <w:tcPr>
            <w:tcW w:w="7440" w:type="dxa"/>
            <w:vAlign w:val="bottom"/>
          </w:tcPr>
          <w:p>
            <w:pPr>
              <w:ind w:left="180"/>
              <w:spacing w:after="0" w:line="219" w:lineRule="exact"/>
              <w:rPr>
                <w:sz w:val="20"/>
                <w:szCs w:val="20"/>
                <w:color w:val="auto"/>
              </w:rPr>
            </w:pPr>
            <w:r>
              <w:rPr>
                <w:rFonts w:ascii="Times New Roman" w:cs="Times New Roman" w:eastAsia="Times New Roman" w:hAnsi="Times New Roman"/>
                <w:sz w:val="17"/>
                <w:szCs w:val="17"/>
                <w:color w:val="auto"/>
              </w:rPr>
              <w:t xml:space="preserve">Legal settlements and other legal costs </w:t>
            </w:r>
            <w:r>
              <w:rPr>
                <w:rFonts w:ascii="Times New Roman" w:cs="Times New Roman" w:eastAsia="Times New Roman" w:hAnsi="Times New Roman"/>
                <w:sz w:val="22"/>
                <w:szCs w:val="22"/>
                <w:color w:val="auto"/>
                <w:vertAlign w:val="superscript"/>
              </w:rPr>
              <w:t>(1)</w:t>
            </w: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5,836</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3,194</w:t>
            </w:r>
          </w:p>
        </w:tc>
      </w:tr>
      <w:tr>
        <w:trPr>
          <w:trHeight w:val="21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Discharge of holdback obligation related to prior acquisition</w:t>
            </w:r>
          </w:p>
        </w:tc>
        <w:tc>
          <w:tcPr>
            <w:tcW w:w="1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w:t>
            </w:r>
          </w:p>
        </w:tc>
      </w:tr>
      <w:tr>
        <w:trPr>
          <w:trHeight w:val="219"/>
        </w:trPr>
        <w:tc>
          <w:tcPr>
            <w:tcW w:w="7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2,773</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w:t>
            </w:r>
          </w:p>
        </w:tc>
      </w:tr>
      <w:tr>
        <w:trPr>
          <w:trHeight w:val="21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Reduction in force expense</w:t>
            </w:r>
          </w:p>
        </w:tc>
        <w:tc>
          <w:tcPr>
            <w:tcW w:w="1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12"/>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200" w:type="dxa"/>
            <w:vAlign w:val="bottom"/>
            <w:tcBorders>
              <w:top w:val="single" w:sz="8" w:color="auto"/>
              <w:bottom w:val="single" w:sz="8" w:color="auto"/>
            </w:tcBorders>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42,919</w:t>
            </w:r>
          </w:p>
        </w:tc>
        <w:tc>
          <w:tcPr>
            <w:tcW w:w="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36,907</w:t>
            </w:r>
          </w:p>
        </w:tc>
      </w:tr>
      <w:tr>
        <w:trPr>
          <w:trHeight w:val="20"/>
        </w:trPr>
        <w:tc>
          <w:tcPr>
            <w:tcW w:w="7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80" w:hanging="77"/>
        <w:spacing w:after="0" w:line="222" w:lineRule="auto"/>
        <w:tabs>
          <w:tab w:leader="none" w:pos="86"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legal and advisory fees related to ongoing litigation related to shareholder derivative actions, the SEC enforcement matter and the SEC settlement for the years ended December 31, 2024 and 2023. See Note 6, “Commitments and Contingencies” to our audited consolidated financial statements included herein.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Growth of Our Two-Sided Weedmaps Marketplace</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Growth and Retention of Our Paying Clients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 the current state of war 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 and Maturation of Cannabis Markets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believe that we will have significant opportunities for greater growth as more jurisdictions legalize cannabis for medical and/or adult-use and the regulatory environment continues to develop. Currently, forty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 We intend to explore new expansion opportunities as additional jurisdictions legalize cannabis for medical or adult use and leverage our business model informed by our 16-year operating history to enter new markets.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Furthermore, we compete with cannabis-focused and general two-sided marketplaces, internet search engines, delivery companies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Brand Recognition and Reputation</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 in Growth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continue to make focused organic and inorganic investments to grow our revenue and scale operations to support that growth.</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operating expenses and capital expenditures fluctuate over time, we may accordingly experience short-term, negative impacts to our operating results and cash flows.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revenues are derived primarily from monthly subscriptions to Weedmaps for Business, featured and deal listings, other ad solutions and WM Dispatch. Our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Costs and Expenses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(Exclusive of Depreciation and Amortization)</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Cost of revenues excludes depreciation and amortization expense and primarily consists of web hosting, internet service and credit card processing costs. Cost of revenues is primarily driven by fluctuations in revenue leading to increases or decreases in 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Marketing Expenses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Development Expenses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(recovery) for credit losses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 Expenses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 Impairment Charges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Asset impairment charges primarily consist of impairment of ROU assets related to our operating leases, impairment of intangible assets, impairment of equity securities and impairment of property and equipment.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(expense), net consists primarily of gain resulting from the discharge of a holdback obligation related to a prior acquisition, change in fair value of warrant liability, TRA liability remeasurement, political contributions, interest income, interest expense, financing fees and other tax related expenses.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15, “Income Taxes,” to our consolidated financial statements included herein.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 discussion regarding our financial condition and results of operations for the year ended December 31, 2024 compared to the year ended December 31, 2023 is presented below. A discussion regarding our financial condition and results of operations for the year ended December 31, 2023 compared to the year ended December 31, 2022 can be found under Item.7 in our Annual Report on Form 10-K for the year ended December 31, 2023, filed with the SEC on May 24, 2024, as amended by Amendment No. 1, filed with the SEC on August 30, 2024, which are available free of charge on the SEC’s website at https://www.sec.gov and at our investor relations website, https://ir.weedmaps.com.</w:t>
      </w:r>
    </w:p>
    <w:p>
      <w:pPr>
        <w:spacing w:after="0" w:line="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sets forth our results of operations for the periods presented and expresses the relationship of certain line items as a percentage of revenues for those periods. The period-to-period comparison of financial results is not necessarily indicative of future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180" w:type="dxa"/>
            <w:vAlign w:val="bottom"/>
            <w:tcBorders>
              <w:bottom w:val="single" w:sz="8" w:color="auto"/>
            </w:tcBorders>
          </w:tcPr>
          <w:p>
            <w:pPr>
              <w:spacing w:after="0"/>
              <w:rPr>
                <w:sz w:val="19"/>
                <w:szCs w:val="19"/>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180" w:type="dxa"/>
            <w:vAlign w:val="bottom"/>
            <w:tcBorders>
              <w:bottom w:val="single" w:sz="8" w:color="auto"/>
            </w:tcBorders>
          </w:tcPr>
          <w:p>
            <w:pPr>
              <w:spacing w:after="0"/>
              <w:rPr>
                <w:sz w:val="18"/>
                <w:szCs w:val="18"/>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 Revenue</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1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 Revenue</w:t>
            </w:r>
          </w:p>
        </w:tc>
      </w:tr>
      <w:tr>
        <w:trPr>
          <w:trHeight w:val="212"/>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c>
          <w:tcPr>
            <w:tcW w:w="1180" w:type="dxa"/>
            <w:vAlign w:val="bottom"/>
          </w:tcPr>
          <w:p>
            <w:pPr>
              <w:spacing w:after="0"/>
              <w:rPr>
                <w:sz w:val="18"/>
                <w:szCs w:val="18"/>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45"/>
        </w:trPr>
        <w:tc>
          <w:tcPr>
            <w:tcW w:w="5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68"/>
        </w:trPr>
        <w:tc>
          <w:tcPr>
            <w:tcW w:w="5540" w:type="dxa"/>
            <w:vAlign w:val="bottom"/>
          </w:tcPr>
          <w:p>
            <w:pPr>
              <w:ind w:left="120"/>
              <w:spacing w:after="0" w:line="167" w:lineRule="exact"/>
              <w:rPr>
                <w:sz w:val="20"/>
                <w:szCs w:val="20"/>
                <w:color w:val="auto"/>
              </w:rPr>
            </w:pPr>
            <w:r>
              <w:rPr>
                <w:rFonts w:ascii="Times New Roman" w:cs="Times New Roman" w:eastAsia="Times New Roman" w:hAnsi="Times New Roman"/>
                <w:sz w:val="17"/>
                <w:szCs w:val="17"/>
                <w:color w:val="auto"/>
              </w:rPr>
              <w:t>Cost of revenues (exclusive of depreciation and amortization shown</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2"/>
        </w:trPr>
        <w:tc>
          <w:tcPr>
            <w:tcW w:w="5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separately below)</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6.7 %</w:t>
            </w:r>
          </w:p>
        </w:tc>
      </w:tr>
      <w:tr>
        <w:trPr>
          <w:trHeight w:val="219"/>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25.0 %</w:t>
            </w:r>
          </w:p>
        </w:tc>
      </w:tr>
      <w:tr>
        <w:trPr>
          <w:trHeight w:val="219"/>
        </w:trPr>
        <w:tc>
          <w:tcPr>
            <w:tcW w:w="5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Product development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19.2 %</w:t>
            </w:r>
          </w:p>
        </w:tc>
      </w:tr>
      <w:tr>
        <w:trPr>
          <w:trHeight w:val="219"/>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39.5 %</w:t>
            </w:r>
          </w:p>
        </w:tc>
      </w:tr>
      <w:tr>
        <w:trPr>
          <w:trHeight w:val="219"/>
        </w:trPr>
        <w:tc>
          <w:tcPr>
            <w:tcW w:w="5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6.5 %</w:t>
            </w:r>
          </w:p>
        </w:tc>
      </w:tr>
      <w:tr>
        <w:trPr>
          <w:trHeight w:val="219"/>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 impairment charges</w:t>
            </w:r>
          </w:p>
        </w:tc>
        <w:tc>
          <w:tcPr>
            <w:tcW w:w="2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13.0 %</w:t>
            </w:r>
          </w:p>
        </w:tc>
      </w:tr>
      <w:tr>
        <w:trPr>
          <w:trHeight w:val="212"/>
        </w:trPr>
        <w:tc>
          <w:tcPr>
            <w:tcW w:w="55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169,766</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92.0 %</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206,450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109.8 %</w:t>
            </w:r>
          </w:p>
        </w:tc>
      </w:tr>
      <w:tr>
        <w:trPr>
          <w:trHeight w:val="21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9"/>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(expenses), net</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2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r>
      <w:tr>
        <w:trPr>
          <w:trHeight w:val="219"/>
        </w:trPr>
        <w:tc>
          <w:tcPr>
            <w:tcW w:w="5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9"/>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income</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r>
      <w:tr>
        <w:trPr>
          <w:trHeight w:val="212"/>
        </w:trPr>
        <w:tc>
          <w:tcPr>
            <w:tcW w:w="5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19"/>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5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12,187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(15,727)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19"/>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2"/>
        </w:trPr>
        <w:tc>
          <w:tcPr>
            <w:tcW w:w="5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 (loss) attributable to WM Technology, Inc.</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Years Ended December 31, 2024 and 2023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disaggregated revenue information: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60" w:type="dxa"/>
            <w:vAlign w:val="bottom"/>
            <w:gridSpan w:val="4"/>
          </w:tcPr>
          <w:p>
            <w:pPr>
              <w:ind w:left="20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60" w:type="dxa"/>
            <w:vAlign w:val="bottom"/>
          </w:tcPr>
          <w:p>
            <w:pPr>
              <w:spacing w:after="0"/>
              <w:rPr>
                <w:sz w:val="19"/>
                <w:szCs w:val="19"/>
                <w:color w:val="auto"/>
              </w:rPr>
            </w:pPr>
          </w:p>
        </w:tc>
        <w:tc>
          <w:tcPr>
            <w:tcW w:w="1640" w:type="dxa"/>
            <w:vAlign w:val="bottom"/>
            <w:gridSpan w:val="3"/>
          </w:tcPr>
          <w:p>
            <w:pPr>
              <w:ind w:left="9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00" w:type="dxa"/>
            <w:vAlign w:val="bottom"/>
          </w:tcPr>
          <w:p>
            <w:pPr>
              <w:spacing w:after="0"/>
              <w:rPr>
                <w:sz w:val="19"/>
                <w:szCs w:val="19"/>
                <w:color w:val="auto"/>
              </w:rPr>
            </w:pPr>
          </w:p>
        </w:tc>
      </w:tr>
      <w:tr>
        <w:trPr>
          <w:trHeight w:val="212"/>
        </w:trPr>
        <w:tc>
          <w:tcPr>
            <w:tcW w:w="50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184,514</w:t>
            </w:r>
          </w:p>
        </w:tc>
        <w:tc>
          <w:tcPr>
            <w:tcW w:w="4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bl>
    <w:p>
      <w:pPr>
        <w:spacing w:after="0" w:line="3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Revenues decreased by $3.5 million, or 2%, for the year ended December 31, 2024 compared to the same period in 2023. The decrease was primarily due to a decrease in revenue from our Featured Listings and WM Deal products of $11.5 million driven by our clients continuing to face constrained marketing budgets, the ongoing consolidation of our industry, specifically amongst our client base and a loss in revenue from products that were sunset in December 2023, partially offset by an increase in revenues from our Weedmaps for Business of $7.4 million driven by favorable pricing changes.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the year ended December 31, 2024, Featured Listings, WM Deal products, Weedmaps for Business and other ad solutions represented approximately 63%, 29% and 8% of our total revenues, respectively.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 and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our total costs and expenses: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60" w:type="dxa"/>
            <w:vAlign w:val="bottom"/>
          </w:tcPr>
          <w:p>
            <w:pPr>
              <w:spacing w:after="0"/>
              <w:rPr>
                <w:sz w:val="19"/>
                <w:szCs w:val="19"/>
                <w:color w:val="auto"/>
              </w:rPr>
            </w:pPr>
          </w:p>
        </w:tc>
        <w:tc>
          <w:tcPr>
            <w:tcW w:w="1640" w:type="dxa"/>
            <w:vAlign w:val="bottom"/>
            <w:gridSpan w:val="3"/>
          </w:tcPr>
          <w:p>
            <w:pPr>
              <w:ind w:left="9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00" w:type="dxa"/>
            <w:vAlign w:val="bottom"/>
          </w:tcPr>
          <w:p>
            <w:pPr>
              <w:spacing w:after="0"/>
              <w:rPr>
                <w:sz w:val="19"/>
                <w:szCs w:val="19"/>
                <w:color w:val="auto"/>
              </w:rPr>
            </w:pPr>
          </w:p>
        </w:tc>
      </w:tr>
      <w:tr>
        <w:trPr>
          <w:trHeight w:val="212"/>
        </w:trPr>
        <w:tc>
          <w:tcPr>
            <w:tcW w:w="50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68"/>
        </w:trPr>
        <w:tc>
          <w:tcPr>
            <w:tcW w:w="50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Cost of revenues (exclusive of depreciation and amortization shown</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separately below)</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9,019</w:t>
            </w:r>
          </w:p>
        </w:tc>
        <w:tc>
          <w:tcPr>
            <w:tcW w:w="42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development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1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Asset impairment charges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37"/>
        </w:trPr>
        <w:tc>
          <w:tcPr>
            <w:tcW w:w="5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169,766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(36,684)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decrease in cost of revenues was primarily related to a decrease of $2.5 million in cost of revenues associated with multi-channel marketing and cloud communication platforms, primarily due to the sunset in December 2023 of certain products and a decrease of $1.0 million in server costs.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 Expenses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decrease in sales and marketing expenses was primarily related to a decrease in personnel-related costs of $5.5 million and a decrease in advertising expense of $1.1 million. The decrease in personnel-related costs of $5.5 million were primarily due to decreases in salaries and wages of $3.0 million, bonus expense of $1.4 million, stock-based compensation expense of $1.3 million and payroll tax expense of $0.2 million, partially offset by an increase in vacation expense of $0.4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Development Expenses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increase in product development expenses was primarily due to increases in outside and professional service costs of $2.3 million partially offset by decreases in personnel-related costs of $1.9 million. The decrease in personnel-related costs was primarily due to decreases in salaries and wages of $0.4 million, bonus expense of $0.5 million, stock-based compensation expense of $0.7 million and vacation expense of 0.4 million, partially offset by an increase in payroll tax expense of $0.1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decrease in general and administrative expenses was primarily due to decreases in personnel-related costs of $3.6 million, provision for credit losses of $1.9 million, rent and facilities expense of $2.1 million due to lease modification and termination, software expense of $0.7 million, partially offset by $1.5 million charge recorded in the second quarter of 2024 related to the settlement of the SEC matter and increase in outside and professional service expense of $3.1 million. See Note 6, “Commitments and Contingencies” to the consolidated financial statements for additional information related to the settlement of the SEC matter.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increase in depreciation and amortization expense was primarily due to an increase of $2.4 million in depreciation primarily from capitalized software amortization, partially offset by a decrease of $1.2 million in amortization of intangible assets.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 Impairment Charges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decrease in asset impairment charges was primarily due to $24.4 million in asset impairment charges from 2023. In 2023, we recorded $10.9 million in impairment of operating lease ROU asset, $1.3 million in impairment of leasehold improvement associated with our office space in Los Angeles, California, $8.7 million in impairment of intangible assets, capitalized software and property and equipment associated with the sunset of certain product offerings in December 2023 and $3.5 million related to the impairment of an equity investment. See Note 2, “Summary of Significant Accounting Policies” and Note 5, “Leases,” to our consolidated financial statements for further discussion.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96"/>
        </w:trPr>
        <w:tc>
          <w:tcPr>
            <w:tcW w:w="5080" w:type="dxa"/>
            <w:vAlign w:val="bottom"/>
          </w:tcPr>
          <w:p>
            <w:pPr>
              <w:spacing w:after="0"/>
              <w:rPr>
                <w:sz w:val="24"/>
                <w:szCs w:val="24"/>
                <w:color w:val="auto"/>
              </w:rPr>
            </w:pPr>
          </w:p>
        </w:tc>
        <w:tc>
          <w:tcPr>
            <w:tcW w:w="3060" w:type="dxa"/>
            <w:vAlign w:val="bottom"/>
            <w:gridSpan w:val="6"/>
          </w:tcPr>
          <w:p>
            <w:pPr>
              <w:ind w:left="50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60" w:type="dxa"/>
            <w:vAlign w:val="bottom"/>
          </w:tcPr>
          <w:p>
            <w:pPr>
              <w:spacing w:after="0"/>
              <w:rPr>
                <w:sz w:val="24"/>
                <w:szCs w:val="24"/>
                <w:color w:val="auto"/>
              </w:rPr>
            </w:pPr>
          </w:p>
        </w:tc>
        <w:tc>
          <w:tcPr>
            <w:tcW w:w="1640" w:type="dxa"/>
            <w:vAlign w:val="bottom"/>
            <w:gridSpan w:val="3"/>
          </w:tcPr>
          <w:p>
            <w:pPr>
              <w:ind w:left="9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00" w:type="dxa"/>
            <w:vAlign w:val="bottom"/>
          </w:tcPr>
          <w:p>
            <w:pPr>
              <w:spacing w:after="0"/>
              <w:rPr>
                <w:sz w:val="24"/>
                <w:szCs w:val="24"/>
                <w:color w:val="auto"/>
              </w:rPr>
            </w:pPr>
          </w:p>
        </w:tc>
      </w:tr>
      <w:tr>
        <w:trPr>
          <w:trHeight w:val="212"/>
        </w:trPr>
        <w:tc>
          <w:tcPr>
            <w:tcW w:w="50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w w:val="99"/>
              </w:rPr>
              <w:t>1,505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(1,256)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121 %</w:t>
            </w: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w w:val="99"/>
              </w:rPr>
              <w:t>2,574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12"/>
        </w:trPr>
        <w:tc>
          <w:tcPr>
            <w:tcW w:w="5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center"/>
              <w:ind w:left="514"/>
              <w:spacing w:after="0"/>
              <w:rPr>
                <w:sz w:val="20"/>
                <w:szCs w:val="20"/>
                <w:color w:val="auto"/>
              </w:rPr>
            </w:pPr>
            <w:r>
              <w:rPr>
                <w:rFonts w:ascii="Times New Roman" w:cs="Times New Roman" w:eastAsia="Times New Roman" w:hAnsi="Times New Roman"/>
                <w:sz w:val="17"/>
                <w:szCs w:val="17"/>
                <w:color w:val="auto"/>
                <w:w w:val="99"/>
              </w:rPr>
              <w:t>2,823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(5,338)</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Other income (expense), net decreased by $5.3 million for the year ended December 31, 2024 compared to the same period in 2023. The decrease was primarily due to changes in fair value of warrant liability of $1.5 million and a non-cash gain of $3.7 million in 2023 associated with the discharge of a holdback obligation related to a prior acquisition, an increase in TRA liability of $1.5 million, a decrease in property and other taxes of $1.0 million and an increase in net interest income of $0.4 million.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48"/>
        </w:trPr>
        <w:tc>
          <w:tcPr>
            <w:tcW w:w="510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00" w:type="dxa"/>
            <w:vAlign w:val="bottom"/>
            <w:tcBorders>
              <w:bottom w:val="single" w:sz="8" w:color="auto"/>
            </w:tcBorders>
          </w:tcPr>
          <w:p>
            <w:pPr>
              <w:spacing w:after="0"/>
              <w:rPr>
                <w:sz w:val="24"/>
                <w:szCs w:val="24"/>
                <w:color w:val="auto"/>
              </w:rPr>
            </w:pPr>
          </w:p>
        </w:tc>
      </w:tr>
      <w:tr>
        <w:trPr>
          <w:trHeight w:val="212"/>
        </w:trPr>
        <w:tc>
          <w:tcPr>
            <w:tcW w:w="5100" w:type="dxa"/>
            <w:vAlign w:val="bottom"/>
          </w:tcPr>
          <w:p>
            <w:pPr>
              <w:spacing w:after="0"/>
              <w:rPr>
                <w:sz w:val="18"/>
                <w:szCs w:val="18"/>
                <w:color w:val="auto"/>
              </w:rPr>
            </w:pPr>
          </w:p>
        </w:tc>
        <w:tc>
          <w:tcPr>
            <w:tcW w:w="10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bl>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the years ended December 31, 2024 and 2023, we recorded less than $0.1 million in income tax provisions due to the impact of the full valuation allowance on our net deferred assets. See Note 15, “Income Taxes,” to our consolidated financial statements included herein.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and Green Wednesday.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09"/>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tables show our cash, accounts receivable and working capital as of the dates indicated:</w:t>
            </w: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8"/>
        </w:trPr>
        <w:tc>
          <w:tcPr>
            <w:tcW w:w="74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140" w:type="dxa"/>
            <w:vAlign w:val="bottom"/>
            <w:tcBorders>
              <w:bottom w:val="single" w:sz="8" w:color="auto"/>
            </w:tcBorders>
          </w:tcPr>
          <w:p>
            <w:pPr>
              <w:spacing w:after="0"/>
              <w:rPr>
                <w:sz w:val="24"/>
                <w:szCs w:val="24"/>
                <w:color w:val="auto"/>
              </w:rPr>
            </w:pPr>
          </w:p>
        </w:tc>
      </w:tr>
      <w:tr>
        <w:trPr>
          <w:trHeight w:val="212"/>
        </w:trPr>
        <w:tc>
          <w:tcPr>
            <w:tcW w:w="74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140" w:type="dxa"/>
            <w:vAlign w:val="bottom"/>
          </w:tcPr>
          <w:p>
            <w:pPr>
              <w:spacing w:after="0"/>
              <w:rPr>
                <w:sz w:val="18"/>
                <w:szCs w:val="18"/>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51,966</w:t>
            </w:r>
          </w:p>
        </w:tc>
        <w:tc>
          <w:tcPr>
            <w:tcW w:w="78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34,350</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10,060</w:t>
            </w:r>
          </w:p>
        </w:tc>
        <w:tc>
          <w:tcPr>
            <w:tcW w:w="78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11,158</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Working capital</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39,079</w:t>
            </w:r>
          </w:p>
        </w:tc>
        <w:tc>
          <w:tcPr>
            <w:tcW w:w="78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17,771</w:t>
            </w:r>
          </w:p>
        </w:tc>
      </w:tr>
    </w:tbl>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of December 31, 2024 and December 31, 2023, we had cash of $52.0 million and $34.4 million, respectively. Our funds are being used for funding our current operations and potential strategic acquisitions in the future. We also intend to increase our capital expenditures to support the organic growth in our business and operations. We expect to fund our short-term and long-term liquidity requirements from cash and working capital on hand at December 31, 2024,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primarily finance our operations and capital expenditures through cash flows generated by operations. 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tc>
        <w:tc>
          <w:tcPr>
            <w:tcW w:w="4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48"/>
        </w:trPr>
        <w:tc>
          <w:tcPr>
            <w:tcW w:w="69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3"/>
          </w:tcPr>
          <w:p>
            <w:pPr>
              <w:jc w:val="right"/>
              <w:ind w:right="105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12"/>
        </w:trPr>
        <w:tc>
          <w:tcPr>
            <w:tcW w:w="69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7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6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400" w:type="dxa"/>
            <w:vAlign w:val="bottom"/>
          </w:tcPr>
          <w:p>
            <w:pPr>
              <w:spacing w:after="0"/>
              <w:rPr>
                <w:sz w:val="18"/>
                <w:szCs w:val="18"/>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36,676</w:t>
            </w:r>
          </w:p>
        </w:tc>
        <w:tc>
          <w:tcPr>
            <w:tcW w:w="7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22,928</w:t>
            </w: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(11,637)</w:t>
            </w:r>
          </w:p>
        </w:tc>
        <w:tc>
          <w:tcPr>
            <w:tcW w:w="74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(11,871)</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(7,423)</w:t>
            </w:r>
          </w:p>
        </w:tc>
        <w:tc>
          <w:tcPr>
            <w:tcW w:w="7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(5,290)</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Provided by Operating Activities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Cash from operating activities consists primarily of net income (loss) adjusted for certain non-cash items, including depreciation and amortization, change in fair value of warrant liability, change in TRA liability, amortization of right-of-use lease assets, stock-based compensation, asset impairment charges, gain on lease termination, provision (recovery) for credit losses and the effect of changes in working capital.</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is also impacted by the effects of changes in operating assets and liabilities such as: accounts receivable which is impacted by the timing of customer billings and related collections from our customers; accounts payable and accrued expenses due to timing of payments; accrued personnel costs which are impacted by employee performance targets and the timing of payments related to employee bonus incentives.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Net cash provided by operating activities for the year ended December 31, 2024 was $36.7 million, which resulted from net income of $12.2 million, together with net cash outflows of $4.5 million from changes in operating assets and liabilities, and non-cash items of $29.0 million, consisting of stock-based compensation expense of $9.2 million, depreciation and amortization of $13.3 million, amortization of right of use lease assets of $3.8 million, TRA remeasurement of $2.8 million, partially offset by gain on lease termination of $0.1 million. Net cash outflows from changes in operating assets and liabilities were primarily due to a decrease in operating lease liabilities of $5.6 million, an increase in prepaid expenses and other assets of $0.5 million and a decrease in deferred revenue of $0.5 million, partially offset by a decrease in accounts receivable of $1.1 million and an increase in accounts payable and accrued expenses of $1.0 million. The changes in operating assets and liabilities are mostly due to fluctuations in timing of cash receipts and payments.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Net cash used in operating activities for the year ended December 31, 2023 was $22.9 million, which resulted from net loss of $15.7 million, together with net cash outflows of $14.2 million from changes in operating assets and liabilities, and non-cash items of $52.8 million, consisting of asset impairment charges of $24.4 million, stock-based compensation expense of $13.5 million, depreciation and amortization of $12.1 million, amortization of right of use lease assets of $4.9 million, provision for credit losses of $1.8 million, TRA remeasurement of $1.3 million, partially offset by a gain from the discharge of a holdback obligation related to a prior acquisition of $3.7 million, and the change in fair value of warrant liability of $1.5 million. Net cash outflows from changes in operating assets and liabilities were primarily due to a decrease in accounts payable and accrued expenses of $15.3 million, a decrease in operating lease liabilities of $6.3 million and a decrease in deferred revenue of $0.3 million, partially offset by a decrease in accounts receivable of $4.5 million and a decrease in prepaid expenses and other assets of $3.3 million. The changes in operating assets and liabilities are mostly due to fluctuations in timing of cash receipts and payments.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Used in Investing Activities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investing activities for the year ended December 31, 2024 was $11.6 million, which resulted from $11.6 million cash paid for purchases of property and equipment, including certain capitalized software development cost.</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investing activities for the year ended December 31, 2023 was $11.9 million, which resulted from $11.9 million cash paid for purchases of property and equipment, including certain capitalized software development cost.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Provided by (Used in) Financing Activities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financing activities for the year ended December 31, 2024 was $7.4 million, which resulted from $7.7 million of distribution payments to members of WMH LLC, $0.1 million in TRA payments and $0.4 million in proceeds from collection of related party note receivable.</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from financing activities for the year ended December 31, 2023 was $5.3 million, which resulted from $4.2 million distribution payments to members of WMH LLC, $1.5 million for repayment of insurance premium financing and $0.4 million in proceeds from collection of related party note receivable.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non-cancellable contractual agreements primarily related to leases and other purchase obligations. As of December 31, 2024, future payments on our operating leases were $40.5 million. See Note 5, “Leases,” to our consolidated financial statements included herein. We also have minimum outstanding purchase obligations of $7.3 million in 2025 and $7.5 million in 2026, due under software license agreements, of which the majority relates to the remaining two years of our three-year AWS Enterprise agreement.</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December 31, 2024 and December 31, 2023, our TRA liability was $4.4 million and $1.8 million, respectively. We expect that the payments we will be required to make under the TRA will not be substantial, and therefore, in conjunction with the recording a full valuation allowance on the related TRA deferred tax assets for the year ended December 31, 2022, we have also adjusted the TRA liabilities as of December 31, 2024 and December 31, 2023.</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will continue to evaluate the realization of the TRA tax attributes, and in the future, we may conclude that the TRA liability is probable of payment, and if the TRA is reinstated, the payments would be substantial. Assuming a reinstatement of the TRA liability, there are several assumptions that would be relevant such as, no material changes in relevant tax law, that there are no future redemptions or exchanges to Class A Units and that we earn sufficient taxable income to realize all tax benefits that are subject to the TRA, the tax savings associated with acquisitions of common units in the Business Combination would aggregate to approximately $165.7 million, as of December 31, 2024, over 15 years from the Closing Date. Under this scenario, we would be required to pay to the Class A Unit holders approximately 85% of such amount, or $140.8 million, as of December 31, 2024, over the 15-year period from the Closing Date. 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Class A Unit holders’ continued ownership of us. See Note 15, “Income Taxes,” to our consolidated financial statements included herein.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believe that the assumptions and estimates associated with revenue recognition, income taxes, stock-based compensation, capitalized software development costs, provision (recovery) for credit losses,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“Summary of Significant Accounting Policies,” to our consolidated financial statements included herein.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Critical Accounting Policies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recognize revenue when the fundamental criteria for revenue recognition are met. We recognize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We exclude sales taxes and other similar taxes from the measurement of the transaction price. The Company’s contract with customers do not contain general rights of return. However, adjustments to the standard pricing may occur for selected customers on a case-by-case basis. Revenue reflects the transaction price, including any adjustments, that the Company expects to receive for such goods and services. Transaction price adjustments are primarily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related to our Together for Equity Access and Legislation, (“WM Teal”), program, through which we provide free software, advertising, educational materials and training programs to applicants or licenses under social equity licensing programs. We provide these transaction price adjustments to license holders who were awarded special status by the state based on owner qualifications. Special status is typically given in new markets to add more diversity and inclusion in the cannabis space. A license’s social equity status is validated by us on the applicable state’s website. For the years ended December 31, 2024 and 2023, total transaction price adjustments issued were $5.5 million and $4.2 million, respectively. For clients that pay in advance for listing and other services, we record deferred revenue and recognize revenue over the applicable subscription term.</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revenues are derived primarily from monthly subscriptions to Weedmaps for Business, featured and deal listings and other WM Ad solutions. Our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Revenue for service contracts that are not probable of collection is not recognized until the contract is completed and payment is received. Collectability is reassessed when there is a significant change in facts or circumstances. When a customer is identified to be a significant collection risk, we fully reserve for all outstanding accounts receivable and records a credit loss for these receivables. Revenue for any new service provided to the customer is not probable of collection until we have collected or reached a settlement on the customers old outstanding accounts receivable balances. We apply all payments received against the customers oldest invoices and we do not recognize revenue for any new services provided until we have collected or reached a settlement on all prior outstanding accounts receivable. Collectability is reassessed when there is a significant change in facts or circumstances. The assessment of collectability considers whether we may limit its exposure to credit risk through its right to stop transferring additional service in the event the customer is delinquent. For more information, refer to Note 3, “Revenue from Contracts with Customers,” of our consolidated financial statements included herein.</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For the year ended December 31, 2024, we changed our presentation of the line item previously reported as “Net revenue” to “Revenue” in our consolidated statements of operations. The change is solely to reflect that the adjustments to revenue are more appropriately considered to be adjustments to the transaction price rather than customer credits. Therefore, we concluded that the line item is more accurately characterized as “Revenue” in our consolidated statements of operations. Accordingly, for the year ended December 31, 2024, we changed the reporting line to “Revenue” which is determined in the same manner as our previously reported “Net revenue”, and the only change is the description of the line item. See Note 2. “Revenue Recognition” of our consolidated financial statements for additional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Critical Accounting Estimates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We are also subject to taxes in foreign jurisdictions. Tax laws and regulations are complex and periodically changing and the determination of our provision for income taxes, including our taxable income, deferred tax assets and TRA liability, requires us to make significant judgment, assumptions and estimates.</w:t>
      </w:r>
    </w:p>
    <w:p>
      <w:pPr>
        <w:spacing w:after="0" w:line="2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Business Combination, we entered into a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and subsequent redemptions or exchanges of WMH Units, we have established a deferred tax asset for the additional tax basis and a corresponding TRA liability of 85% of the expected benefit. The remaining 15% is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recorded within paid-in capital. Our calculation of the TRA asset and liability requires estimates of its future qualified taxable income over the term of the TRA as a basis to determine if the related tax benefits are expected to be realized. As of December 31, 2024 and December 31, 2023, TRA liability were $4.4 million and $1.8 million.</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Based on the weight of all available evidence, both positive and negative, we determined during the three months ended December 31, 2022 that a full valuation allowance was required against our net deferred tax assets. We continued the remeasurement of the valuation allowance during the year ended December 31, 2024 and determined that a full valuation allowance was required as of December 31, 2024. See Note 15, “Income Taxes,” to our consolidated financial statements included herein.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measure fair value of employee stock-based compensation awards on the date of grant and allocate the related expense over the requisite service period. The fair value of restricted stock units and performance-based restricted stock units without market conditions is equal to the market price of our Class A common stock on the date of grant. The fair value of performance-based restricted stock units with market conditions is measured using a Monte Carlo simulation. The fair value of the Class P Units is measured using the Black-Scholes-Merton valuation model. When awards include a performance condition of the Company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When awards include a performance condition of the markets, the vesting of the award is dependent upon the attainment of a target stock price. Forfeitures of stock-based awards are recognized as they occur and we record compensation cost over the derived service period. For the years ended December 31, 2024 and 2023, we recognized stock-based compensation expense of $9.2 million and $13.5 million, respectively. See Note 13, “Stock-based Compensation,” to our consolidated financial statements included herein.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Software Development Costs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capitalize certain costs related to the development and enhancement of the Weedmaps platform and SaaS solutions. In accordance with authoritative guidance, we capitalize these costs when the preliminary development project stage is completed, management has authorized further funding for the completion of the project, and it is probable that the project will be completed and performed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judgment, assumptions and estimates related to the timing and amount of recognized capitalized software development costs. For the years ended December 31, 2024 and 2023, we capitalized $11.6 million and $13.1 million of costs related to the development of software applications.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We measure credit losses on our trade accounts receivable using the current expected credit loss model under ASC 326 </w:t>
      </w:r>
      <w:r>
        <w:rPr>
          <w:rFonts w:ascii="Times New Roman" w:cs="Times New Roman" w:eastAsia="Times New Roman" w:hAnsi="Times New Roman"/>
          <w:sz w:val="17"/>
          <w:szCs w:val="17"/>
          <w:i w:val="1"/>
          <w:iCs w:val="1"/>
          <w:color w:val="auto"/>
        </w:rPr>
        <w:t>Financial Instruments – Credit Losses</w:t>
      </w:r>
      <w:r>
        <w:rPr>
          <w:rFonts w:ascii="Times New Roman" w:cs="Times New Roman" w:eastAsia="Times New Roman" w:hAnsi="Times New Roman"/>
          <w:sz w:val="17"/>
          <w:szCs w:val="17"/>
          <w:color w:val="auto"/>
        </w:rPr>
        <w:t>, which is based on the expected losses rather than incurred losses. Under the credit loss model, lifetime expected credit losses are measured and recognized at each reporting date based on historical, current and forecast information.</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calculate the expected credit losses on a pool basis for those trade receivables that have similar risk characteristics. For those trade receivables that do not share similar risk characteristics, the allowance for expected credit losses is calculated on an individual basis. Risk characteristics relevant to our accounts receivable include balance of customer account and aging status. The allowance for credit losses was $1.2 million and $8.7 million as of December 31, 2024 and December 31, 2023, respectively. See Note 2, “Summary of Significant Accounting Policies,” to our consolidated financial statements included herein.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Goodwill is not amortized and is subject to annual impairment testing, or between annual tests if an event or change in circumstance occurs that would more likely than not reduce the fair value of a reporting unit below its carrying value. Goodwill is assessed for impairment annually on December 31. For the year ended December 31, 2024, in accordance with our annual assessment policy, we opted to bypass the qualitative assessment and performed a quantitative assessment to test goodwill for impairment. As part of our impairment assessment, the fair value of the reporting unit is estimated using a discounted cash flow valuation which incorporates assumptions regarding long-term growth rates, revenue and earnings projections, estimation of cash flows, discount rates and other factors. Changes in these inputs could materially affect the results of our impairment review. In conducting our quantitative assessment, we determined that the fair value of our goodwill substantially exceeded its carrying amount by approximately 95%, and as a result, no impairment existed as of the annual assessment date of December 31, 2024. If our forecasts of cash flows or other key inputs are negatively revised in the future, the estimated fair value of the reporting unit would be adversely impacted, potentially leading to an impairment in the future that could materially affect our operating results. No goodwill impairment charges were recorded for the years ended December 31, 2024 and 2023.</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No intangible asset impairment charges have been recorded for the year ended December 31, 2024. We recorded an impairment charge of $6.1 million for the year ended December 31, 2023 related to intangible assets associated with certain product offerings that were sunset in December 2023, which is included in asset impairment charges in the consolidated statements of operations. See Note 2, “Summary of Significant Accounting Policies,” and Note 8, “Goodwill and Intangible Assets,” to these consolidated financial statements for additional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Long-Lived Assets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assess potential impairments to our long-lived assets, which includes property and equipment and operating lease assets, at least annually or whenever events or circumstances indicate that the carrying amount of an asset may not be recoverable. As of December 31, 2024 and December 31, 2023, our operating leases had a weighted average remaining lease term of 6.0 years and 6.3 years and a weighted-average discount rate of 10.0% and 9.8%, respectively. Our lease agreements do not provide an implicit rate and as a result, we used an estimated incremental borrowing rate, which was derived from third-party information available at the time we adopted Accounting Standards Codification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values of ROU assets were estimated using an income approach based on management’s forecast of future cash flows expected to be derived based on the sublease market rent. First, we test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2024, we amended our lease associated with our corporate headquarters located in Irvine, California. The amendment extended the lease term five years through February 2030 and reduced the leased square footage. The lease extension was accounted for as a lease modification, and we remeasured the lease liability and ROU asset using an incremental borrowing rate of 11.5% and recognized a non-cash lease liability of $3.0 million and the related non-cash ROU asset of $3.0 million. The lease classification remained as an operating lease. We also paid $0.1 million to terminate a lease agreement for one of our offices. In conjunction with the early lease termination, we reported a gain of $0.1 million which is recognized as a reduction to the related lease expense. We also de-recognized the remaining ROU asset of $0.2 million and a lease liability of $0.4 million on the consolidated balance sheet related to the early lease termination.</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2023, we recognized a ROU asset impairment charge of $10.9 million and impairment of related leasehold improvements of $1.3 million, driven by updated sublease assumptions for our office space in Los Angeles, California, pursuant to an operating lease that expires in 2031. The ROU impairment charges are included in asset impairment charges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We did not have any impairment charges related to property and equipment for the year ended December 31, 2024. For the year ended December 31, 2023, we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In connection with the Business Combination, we assumed 12,499,993 Public Warrants and 7,000,000 Private Placement Warrants. As of December 31, 2024, 12,499,973 of the Public Warrant and all of the Private Placement Warrants remained outstanding. The warrants are measured at fair value under ASC 820 - </w:t>
      </w:r>
      <w:r>
        <w:rPr>
          <w:rFonts w:ascii="Times New Roman" w:cs="Times New Roman" w:eastAsia="Times New Roman" w:hAnsi="Times New Roman"/>
          <w:sz w:val="17"/>
          <w:szCs w:val="17"/>
          <w:i w:val="1"/>
          <w:iCs w:val="1"/>
          <w:color w:val="auto"/>
        </w:rPr>
        <w:t>Fair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Value Measurements</w:t>
      </w:r>
      <w:r>
        <w:rPr>
          <w:rFonts w:ascii="Times New Roman" w:cs="Times New Roman" w:eastAsia="Times New Roman" w:hAnsi="Times New Roman"/>
          <w:sz w:val="17"/>
          <w:szCs w:val="17"/>
          <w:color w:val="auto"/>
        </w:rPr>
        <w:t>. The fair value of the Public Warrants is classified as Level 1 financial instruments and is based on the publicly listed trading price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2024 and December 31, 2023, warrant liability was $0.6 million. See Note 7, “Fair Value Measurements,” to our consolidated financial statements included herein.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reviewed all recently issued standards and have determined that, other than as disclosed in Note 2, “Summary of Significant Accounting Policies,” such standards will not have a material impact on our consolidated financial statements or do not otherwise apply to our current operations.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smaller reporting company, we are not required to provide the information required by Item 305 of Regulation S-K.</w:t>
      </w:r>
    </w:p>
    <w:p>
      <w:pPr>
        <w:spacing w:after="0" w:line="1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8 is contained in our Consolidated Financial Statements and the Notes to Consolidated Financial Statements on pages F-1 through F-30 of this Annual Report and is incorporated herein by reference.</w:t>
      </w:r>
    </w:p>
    <w:p>
      <w:pPr>
        <w:spacing w:after="0" w:line="4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9.</w:t>
        <w:tab/>
        <w:t>CHANGES IN AND DISAGREEMENTS WITH ACCOUNTANTS ON ACCOUNTING AND FINANCIAL DISCLOSURE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chief executive officer and chief financial officer, as appropriate to allow timely decisions regarding required disclosure. 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With the foregoing in mind, our chief executive officer and chief financial officer (“Certifying Officers”) evaluated the effectiveness of our disclosure controls and procedures as of December 31, 2024, pursuant to Rule 13a-15(b) under the Exchange Act. Based on the evaluation, our chief executive officer and chief financial officer have concluded that as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December 31, 2024, our disclosure controls and procedures were not effective due to the ongoing material weaknesses in internal control over financial reporting described below.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While we continue to implement design enhancements to our internal control procedures, we believe that, other than the changes described below regarding the ongoing remediation efforts,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Under the supervision of and with the participation of our management, we assessed the effectiveness of our internal control over financial reporting as of December 31, 2024, using the criteria set forth by the Committee of Sponsoring Organizations of the Treadway Commission (COSO) in Internal Control — Integrated Framework (2013). Based on the evaluation, our chief executive officer and chief financial officer have concluded that as of December 31, 2024, our internal control over financial reporting was not effective due to the ongoing material weaknesses in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2024, we have an ongoing entity-level material weakness that was identified in the years ended December 31, 2023 and 2022, and for which remediation efforts continued in the year ended December 31, 2024 as further described below.</w:t>
      </w:r>
    </w:p>
    <w:p>
      <w:pPr>
        <w:spacing w:after="0" w:line="48" w:lineRule="exact"/>
        <w:rPr>
          <w:sz w:val="20"/>
          <w:szCs w:val="20"/>
          <w:color w:val="auto"/>
        </w:rPr>
      </w:pPr>
    </w:p>
    <w:p>
      <w:pPr>
        <w:jc w:val="both"/>
        <w:ind w:left="620" w:hanging="307"/>
        <w:spacing w:after="0" w:line="261"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entity-level material weakness contributed to material weaknesses within our system of internal control over financial reporting as follows: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Unremediated material weaknesses identified in the years ended December 31, 2024, 2023 and </w:t>
      </w:r>
      <w:r>
        <w:rPr>
          <w:rFonts w:ascii="Times New Roman" w:cs="Times New Roman" w:eastAsia="Times New Roman" w:hAnsi="Times New Roman"/>
          <w:sz w:val="17"/>
          <w:szCs w:val="17"/>
          <w:color w:val="auto"/>
        </w:rPr>
        <w:t>2022</w:t>
      </w:r>
    </w:p>
    <w:p>
      <w:pPr>
        <w:spacing w:after="0" w:line="118" w:lineRule="exact"/>
        <w:rPr>
          <w:sz w:val="20"/>
          <w:szCs w:val="20"/>
          <w:color w:val="auto"/>
        </w:rPr>
      </w:pPr>
    </w:p>
    <w:p>
      <w:pPr>
        <w:jc w:val="both"/>
        <w:ind w:left="620" w:hanging="307"/>
        <w:spacing w:after="0" w:line="257"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information technology (IT) general controls for certain information systems supporting our key financial reporting processes, including for our enterprise resource planning (ERP) system and for certain in-scope on-premise and vendor-supported applications.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620" w:right="20" w:hanging="307"/>
        <w:spacing w:after="0" w:line="245" w:lineRule="auto"/>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As of December 31, 2024, we also concluded that this material weakness applied to the payroll cycle and income taxes. This material weakness could result in a misstatement of any account balances or disclosures that would result in a material misstatement to the annual or interim consolidated financial statements that would not be prevented or detected.</w:t>
      </w:r>
    </w:p>
    <w:p>
      <w:pPr>
        <w:spacing w:after="0" w:line="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independent registered public accounting firm, Moss Adams, LLP, has issued an audit report on the our internal control over financial reporting, which appears in Part IV, Item 15 of this Annual Report Form 10-K.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Remediation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With the oversight of management and the audit committee of our board of directors, we continue to actively take the appropriate steps toward the remediation of the underlying causes of the material weaknesses described above. We are committed to maintaining a strong internal control environment and implementing measures designed to ensure that the material weaknesses are remediated as soon as possible. We believe progress has been made toward remediation and we continue to implement our remediation plan. Until the remediation plan is fully implemented, tested, and deemed effective we cannot assure that our actions will adequately remediate the material weaknesses or that additional material weaknesses in our internal controls will not be identified in the future. If we are unable to remediate the material weakness, our ability to record, process and report financial information accurately, and to prepare financial statements within the time periods specified by the rules and forms of the SEC, could be adversely affected and could reduce the market’s confidence in our financial statements and harm our stock price.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Remediation Efforts to Address Ongoing Material Weaknesses</w:t>
      </w:r>
    </w:p>
    <w:p>
      <w:pPr>
        <w:spacing w:after="0" w:line="2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7"/>
          <w:szCs w:val="17"/>
          <w:color w:val="auto"/>
        </w:rPr>
        <w:t>Our remediation efforts for material weaknesses identified in both the current and prior years are still ongoing. To date, we have taken the following actions to remediate certain aspects of the material weakness described above that, as of December 31, 2024, had not yet been fully implemented or had not been in place for a sufficient period of time to demonstrate that they were having their desired effect:</w:t>
      </w:r>
    </w:p>
    <w:p>
      <w:pPr>
        <w:spacing w:after="0" w:line="37" w:lineRule="exact"/>
        <w:rPr>
          <w:sz w:val="20"/>
          <w:szCs w:val="20"/>
          <w:color w:val="auto"/>
        </w:rPr>
      </w:pPr>
    </w:p>
    <w:p>
      <w:pPr>
        <w:ind w:left="620" w:hanging="307"/>
        <w:spacing w:after="0" w:line="284"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Improving the design and operation of controls related to revenue recognition including the identification of performance obligations and establishment of policies over the order-to-cash cycle, including policies over our treatment of cash basis customers.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Segregating access in our ERP system and certain on-premise applications.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Filling certain key positions in our finance and technology organizations with individuals possessing public company knowledge and experience.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Commencing configuration of our new ERP system, which will replace our legacy ERP system in year ended December 31, 2025.</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Removing developers’ administrative access from production systems.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Removing the ability for certain users, including developers, to access other users’ accounts.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audit trails to log and monitor system configuration and data changes made by users to detect erroneous or unauthorized changes.</w:t>
      </w:r>
    </w:p>
    <w:p>
      <w:pPr>
        <w:spacing w:after="0" w:line="21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Arrangements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Rule 10b5-1 Trading Arrangements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portion of the compensation of our directors (as defined in Rule 16a-1(f) under the Exchange Act) is in the form of equity awards and, from time to time, directors engage in open-market transactions with respect to the securities acquired pursuant to such equity awards or other of our securities, including to satisfy tax withholding obligations when equity awards vest, and for diversification or other personal reasons.</w:t>
      </w:r>
    </w:p>
    <w:p>
      <w:pPr>
        <w:spacing w:after="0" w:line="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Transactions in our securities by directors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to prearrange transactions in our securities in a manner that avoids concerns about initiating transactions while in possession of material nonpublic information. During the quarter ended December 31, 2024, each of the following directors adopted a “Rule 10b5-1 trading arrangement”, as each term is defined in Item 408(a) of Regulation S-K. All trading plans were entered into during an open insider trading window and are intended to satisfy the affirmative defense of Rule 10b5-1(c) under the Securities Exchange Act of 1934, as amended, and our policies regarding transactions in our securities.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table below shows the contracts, instructions or written plans adopted or terminated during the quarters ended September 30, 2024 and December 31, 2024 providing for the purchase and/or sale of our securities by our directors and officers (as defined in Rule 16a-1(f) under the Exchange Act).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vMerge w:val="restart"/>
          </w:tcPr>
          <w:p>
            <w:pPr>
              <w:spacing w:after="0"/>
              <w:rPr>
                <w:sz w:val="17"/>
                <w:szCs w:val="17"/>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w w:val="99"/>
              </w:rPr>
              <w:t>Name and Title</w:t>
            </w:r>
          </w:p>
        </w:tc>
        <w:tc>
          <w:tcPr>
            <w:tcW w:w="2040" w:type="dxa"/>
            <w:vAlign w:val="bottom"/>
            <w:vMerge w:val="restart"/>
          </w:tcPr>
          <w:p>
            <w:pPr>
              <w:spacing w:after="0"/>
              <w:rPr>
                <w:sz w:val="17"/>
                <w:szCs w:val="17"/>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w w:val="99"/>
              </w:rPr>
              <w:t>Adoption Date</w:t>
            </w:r>
          </w:p>
        </w:tc>
        <w:tc>
          <w:tcPr>
            <w:tcW w:w="160" w:type="dxa"/>
            <w:vAlign w:val="bottom"/>
            <w:vMerge w:val="restart"/>
          </w:tcPr>
          <w:p>
            <w:pPr>
              <w:spacing w:after="0"/>
              <w:rPr>
                <w:sz w:val="17"/>
                <w:szCs w:val="17"/>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Action</w:t>
            </w: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Start Date</w:t>
            </w: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End Date</w:t>
            </w:r>
            <w:r>
              <w:rPr>
                <w:rFonts w:ascii="Times New Roman" w:cs="Times New Roman" w:eastAsia="Times New Roman" w:hAnsi="Times New Roman"/>
                <w:sz w:val="22"/>
                <w:szCs w:val="22"/>
                <w:b w:val="1"/>
                <w:bCs w:val="1"/>
                <w:u w:val="single" w:color="auto"/>
                <w:color w:val="auto"/>
                <w:vertAlign w:val="superscript"/>
              </w:rPr>
              <w:t>2</w:t>
            </w:r>
          </w:p>
        </w:tc>
        <w:tc>
          <w:tcPr>
            <w:tcW w:w="25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Class A Common Stock to</w:t>
            </w: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340" w:type="dxa"/>
            <w:vAlign w:val="bottom"/>
            <w:tcBorders>
              <w:top w:val="single" w:sz="8" w:color="auto"/>
            </w:tcBorders>
            <w:gridSpan w:val="2"/>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be Sold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31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7"/>
                <w:szCs w:val="17"/>
                <w:color w:val="auto"/>
              </w:rPr>
              <w:t>Anthony Bay, Director</w:t>
            </w:r>
            <w:r>
              <w:rPr>
                <w:rFonts w:ascii="Times New Roman" w:cs="Times New Roman" w:eastAsia="Times New Roman" w:hAnsi="Times New Roman"/>
                <w:sz w:val="22"/>
                <w:szCs w:val="22"/>
                <w:color w:val="auto"/>
                <w:vertAlign w:val="superscript"/>
              </w:rPr>
              <w:t>1</w:t>
            </w: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9/13/2024</w:t>
            </w:r>
          </w:p>
        </w:tc>
        <w:tc>
          <w:tcPr>
            <w:tcW w:w="16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Adoption</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3/7/2025</w:t>
            </w:r>
          </w:p>
        </w:tc>
        <w:tc>
          <w:tcPr>
            <w:tcW w:w="5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7/30/2025</w:t>
            </w:r>
          </w:p>
        </w:tc>
        <w:tc>
          <w:tcPr>
            <w:tcW w:w="2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54,451</w:t>
            </w:r>
          </w:p>
        </w:tc>
        <w:tc>
          <w:tcPr>
            <w:tcW w:w="0" w:type="dxa"/>
            <w:vAlign w:val="bottom"/>
          </w:tcPr>
          <w:p>
            <w:pPr>
              <w:spacing w:after="0"/>
              <w:rPr>
                <w:sz w:val="1"/>
                <w:szCs w:val="1"/>
                <w:color w:val="auto"/>
              </w:rPr>
            </w:pPr>
          </w:p>
        </w:tc>
      </w:tr>
      <w:tr>
        <w:trPr>
          <w:trHeight w:val="219"/>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Glen Ibbott, Director</w:t>
            </w: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11/18/2024</w:t>
            </w:r>
          </w:p>
        </w:tc>
        <w:tc>
          <w:tcPr>
            <w:tcW w:w="16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Adoption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6/1/2025</w:t>
            </w:r>
          </w:p>
        </w:tc>
        <w:tc>
          <w:tcPr>
            <w:tcW w:w="54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7/30/2025</w:t>
            </w:r>
          </w:p>
        </w:tc>
        <w:tc>
          <w:tcPr>
            <w:tcW w:w="25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50,505</w:t>
            </w:r>
          </w:p>
        </w:tc>
        <w:tc>
          <w:tcPr>
            <w:tcW w:w="0" w:type="dxa"/>
            <w:vAlign w:val="bottom"/>
          </w:tcPr>
          <w:p>
            <w:pPr>
              <w:spacing w:after="0"/>
              <w:rPr>
                <w:sz w:val="1"/>
                <w:szCs w:val="1"/>
                <w:color w:val="auto"/>
              </w:rPr>
            </w:pPr>
          </w:p>
        </w:tc>
      </w:tr>
      <w:tr>
        <w:trPr>
          <w:trHeight w:val="219"/>
        </w:trPr>
        <w:tc>
          <w:tcPr>
            <w:tcW w:w="3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Olga Gonzalez, Director</w:t>
            </w: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9/4/2024</w:t>
            </w:r>
          </w:p>
        </w:tc>
        <w:tc>
          <w:tcPr>
            <w:tcW w:w="16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Adoption</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6/21/2025</w:t>
            </w:r>
          </w:p>
        </w:tc>
        <w:tc>
          <w:tcPr>
            <w:tcW w:w="5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7/30/2026</w:t>
            </w:r>
          </w:p>
        </w:tc>
        <w:tc>
          <w:tcPr>
            <w:tcW w:w="2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125,000</w:t>
            </w:r>
          </w:p>
        </w:tc>
        <w:tc>
          <w:tcPr>
            <w:tcW w:w="0" w:type="dxa"/>
            <w:vAlign w:val="bottom"/>
          </w:tcPr>
          <w:p>
            <w:pPr>
              <w:spacing w:after="0"/>
              <w:rPr>
                <w:sz w:val="1"/>
                <w:szCs w:val="1"/>
                <w:color w:val="auto"/>
              </w:rPr>
            </w:pPr>
          </w:p>
        </w:tc>
      </w:tr>
      <w:tr>
        <w:trPr>
          <w:trHeight w:val="219"/>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Brenda Freeman, Director</w:t>
            </w: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9/4/2024</w:t>
            </w:r>
          </w:p>
        </w:tc>
        <w:tc>
          <w:tcPr>
            <w:tcW w:w="16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Adoption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6/21/2025</w:t>
            </w:r>
          </w:p>
        </w:tc>
        <w:tc>
          <w:tcPr>
            <w:tcW w:w="54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7/30/2026</w:t>
            </w:r>
          </w:p>
        </w:tc>
        <w:tc>
          <w:tcPr>
            <w:tcW w:w="25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125,000</w:t>
            </w:r>
          </w:p>
        </w:tc>
        <w:tc>
          <w:tcPr>
            <w:tcW w:w="0" w:type="dxa"/>
            <w:vAlign w:val="bottom"/>
          </w:tcPr>
          <w:p>
            <w:pPr>
              <w:spacing w:after="0"/>
              <w:rPr>
                <w:sz w:val="1"/>
                <w:szCs w:val="1"/>
                <w:color w:val="auto"/>
              </w:rPr>
            </w:pPr>
          </w:p>
        </w:tc>
      </w:tr>
      <w:tr>
        <w:trPr>
          <w:trHeight w:val="219"/>
        </w:trPr>
        <w:tc>
          <w:tcPr>
            <w:tcW w:w="3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Scott Gordon, Director</w:t>
            </w: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9/10/2024</w:t>
            </w:r>
          </w:p>
        </w:tc>
        <w:tc>
          <w:tcPr>
            <w:tcW w:w="16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Adoption</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6/21/2025</w:t>
            </w:r>
          </w:p>
        </w:tc>
        <w:tc>
          <w:tcPr>
            <w:tcW w:w="5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7/30/2027</w:t>
            </w:r>
          </w:p>
        </w:tc>
        <w:tc>
          <w:tcPr>
            <w:tcW w:w="2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283,018</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80" w:right="160" w:hanging="77"/>
        <w:spacing w:after="0" w:line="225" w:lineRule="auto"/>
        <w:tabs>
          <w:tab w:leader="none" w:pos="84"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On September 13, 2024, Anthony Bay, entered into a pre-arranged stock trading plan pursuant to Rule 10b5-1, which superseded and terminated Mr. Bay’s previous stock trading plan that was originally adopted on June 13, 2023 (“Prior Bay Plan”). The Prior Bay Plan provided for sale of up to 95,395 shares of our Class A Common Stock upon vesting of RSU awards to satisfy tax withholding obligations.</w:t>
      </w:r>
    </w:p>
    <w:p>
      <w:pPr>
        <w:spacing w:after="0" w:line="84" w:lineRule="exact"/>
        <w:rPr>
          <w:sz w:val="20"/>
          <w:szCs w:val="20"/>
          <w:color w:val="auto"/>
        </w:rPr>
      </w:pPr>
    </w:p>
    <w:p>
      <w:pPr>
        <w:ind w:left="80" w:right="20" w:hanging="77"/>
        <w:spacing w:after="0" w:line="214" w:lineRule="auto"/>
        <w:tabs>
          <w:tab w:leader="none" w:pos="97"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Each plan terminates on the earlier of: (i) the expiration date listed in the table above; (ii) the first date on which all trades set forth in the plan have been executed; or (iii) such date the plan is otherwise terminated according to its terms.</w:t>
      </w:r>
    </w:p>
    <w:p>
      <w:pPr>
        <w:spacing w:after="0" w:line="179" w:lineRule="exact"/>
        <w:rPr>
          <w:sz w:val="20"/>
          <w:szCs w:val="20"/>
          <w:color w:val="auto"/>
        </w:rPr>
      </w:pPr>
    </w:p>
    <w:p>
      <w:pPr>
        <w:ind w:right="3260"/>
        <w:spacing w:after="0" w:line="418" w:lineRule="auto"/>
        <w:rPr>
          <w:sz w:val="20"/>
          <w:szCs w:val="20"/>
          <w:color w:val="auto"/>
        </w:rPr>
      </w:pPr>
      <w:r>
        <w:rPr>
          <w:rFonts w:ascii="Times New Roman" w:cs="Times New Roman" w:eastAsia="Times New Roman" w:hAnsi="Times New Roman"/>
          <w:sz w:val="17"/>
          <w:szCs w:val="17"/>
          <w:b w:val="1"/>
          <w:bCs w:val="1"/>
          <w:color w:val="auto"/>
        </w:rPr>
        <w:t xml:space="preserve">ITEM 9C. DISCLOSURE REGARDING FOREIGN JURISDICTIONS THAT PREVENT INSPECTIONS </w:t>
      </w: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10 is incorporated by reference to the information as set forth under the captions “Proposal No. 1 Election of Directors,” “Information Regarding the Board of Directors and Corporate Governance,” and “Executive Officers” in our definitive Proxy Statement for the 2025 Annual Meeting of Stockholders to be filed with the SEC within 120 days of December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Code of Conduct</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adopted a Code of Conduct (the “Code of Conduct”), applicable to all of our employees, executive officers and directors. The Code of Conduct is available on our website at ir.weedmaps.com.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Insider Trading Policy</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adopted an Insider Trading Policy governing the purchase, sale and/or other dispositions of our securities by our directors, officers and employees. A copy of the Insider Trading Policy is filed as an exhibit to this Report. In addition, it is our practice to comply with the applicable laws and regulations relating to insider trading.</w:t>
      </w:r>
    </w:p>
    <w:p>
      <w:pPr>
        <w:spacing w:after="0" w:line="5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11 is incorporated by reference to the information as set forth under the captions “Executive Compensation” and “Information Regarding the Board of Directors and Corporate Governance” in our definitive Proxy Statement for the 2025 Annual Meeting of Stockholders to be filed with the SEC within 120 days of December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Clawback Policy</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2023, we adopted our Incentive Compensation Recoupment Policy in compliance with requirements under the Dodd Frank Wall Street Reform and Consumer Protection Act and related Nasdaq listing rules, which was amended and restated on November 7, 2024.</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connection with the filing of our Annual Report on Form 10-K for fiscal year 2023 (“2023 10-K”), we restated our financial statements for each of the first three quarters of fiscal year 2023 in the 2023 10-K (“Restatement”).</w:t>
      </w:r>
    </w:p>
    <w:p>
      <w:pPr>
        <w:spacing w:after="0" w:line="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determined that the Restatement would not result in the recoupment of any compensation because the variable incentive compensation for our executive officers is calculated and paid based on year-end financial results, including year-end revenue and year-end Adjusted EBITDA targets, which are not finalized until our year-end financial close processes and audit have been completed. For the year ended December 31, 2023, we based our determination of variable incentive compensation for our executive officers based on our 2023 year-end financial results for revenue and Adjusted EBITDA. The variable component of our executive compensation program consists of cash-based bonus opportunities and long-term incentive compensation, including in the form of performance-based restricted stock units (“PRSUs”). Cash-based bonus opportunities for 2023 were delivered through a short-term incentive plan (“STIP”) and achievement of bonus amounts under the STIP were based on our 2023 year-end revenue and 2023 year-end Adjusted EBITDA. PRSUs that were outstanding during the year ended December 31, 2023 had performance goals based on 2023 year-end revenue and 2023 year-end Adjusted EBITDA. Accordingly, our determination of whether any performance goals were achieved with respect to the STIP or outstanding PRSUs took place at the end of the year ended December 31, 2023, after taking into account any adjustments to the first three quarters of 2023 that resulted from the Restatement.</w:t>
      </w:r>
    </w:p>
    <w:p>
      <w:pPr>
        <w:spacing w:after="0" w:line="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Accordingly, the Restatement did not impact our executive compensation payments because the variable portion of our executive compensation payments was calculated and finalized based on financial results provided in our year-end financial statements. As a result, our Compensation Committee determined that there were no payments required to be pursued under our Incentive Compensation Recoupment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STOCKHOLDER MATTERS</w:t>
      </w:r>
    </w:p>
    <w:p>
      <w:pPr>
        <w:spacing w:after="0" w:line="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12 is incorporated by reference to the information as set forth under the caption “Security Ownership of Certain Beneficial Owners and Management” in our definitive Proxy Statement for the 2025 Annual Meeting of Stockholders to be filed with the SEC within 120 days of December 31, 2024.</w:t>
      </w:r>
    </w:p>
    <w:p>
      <w:pPr>
        <w:spacing w:after="0" w:line="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13 is incorporated by reference to the information as set forth under the caption “Certain Relationships and Related Person Transactions” in our definitive Proxy Statement for the 2025 Annual Meeting of Stockholders to be filed with the SEC within 120 days of December 31, 2024.</w:t>
      </w:r>
    </w:p>
    <w:p>
      <w:pPr>
        <w:spacing w:after="0" w:line="14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14.</w:t>
        <w:tab/>
        <w:t>PRINCIPAL ACCOUNTING FEES AND SERVICES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14 is incorporated by reference to the information as set forth under the caption “Principal Accountant Fees and Services” in our definitive Proxy Statement for the 2025 Annual Meeting of Stockholders to be filed with the SEC within 120 days of December 31, 2024.</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15.</w:t>
        <w:tab/>
        <w:t>EXHIBITS AND FINANCIAL STATEMENT SCHEDULES</w:t>
      </w:r>
    </w:p>
    <w:p>
      <w:pPr>
        <w:spacing w:after="0" w:line="221" w:lineRule="exact"/>
        <w:rPr>
          <w:sz w:val="20"/>
          <w:szCs w:val="20"/>
          <w:color w:val="auto"/>
        </w:rPr>
      </w:pPr>
    </w:p>
    <w:p>
      <w:pPr>
        <w:ind w:right="6540" w:firstLine="3"/>
        <w:spacing w:after="0" w:line="432" w:lineRule="auto"/>
        <w:tabs>
          <w:tab w:leader="none" w:pos="23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documents are filed as part of this Annual Report: 1. Financial Statements.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25"/>
        </w:trPr>
        <w:tc>
          <w:tcPr>
            <w:tcW w:w="2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73"/>
        </w:trPr>
        <w:tc>
          <w:tcPr>
            <w:tcW w:w="10360" w:type="dxa"/>
            <w:vAlign w:val="bottom"/>
            <w:gridSpan w:val="6"/>
          </w:tcPr>
          <w:p>
            <w:pPr>
              <w:spacing w:after="0" w:line="173" w:lineRule="exact"/>
              <w:rPr>
                <w:sz w:val="20"/>
                <w:szCs w:val="20"/>
                <w:color w:val="auto"/>
              </w:rPr>
            </w:pPr>
            <w:r>
              <w:rPr>
                <w:rFonts w:ascii="Times New Roman" w:cs="Times New Roman" w:eastAsia="Times New Roman" w:hAnsi="Times New Roman"/>
                <w:sz w:val="17"/>
                <w:szCs w:val="17"/>
                <w:color w:val="0000FF"/>
              </w:rPr>
              <w:t>Consolidated Balance Sheets</w:t>
            </w:r>
          </w:p>
        </w:tc>
        <w:tc>
          <w:tcPr>
            <w:tcW w:w="320" w:type="dxa"/>
            <w:vAlign w:val="bottom"/>
          </w:tcPr>
          <w:p>
            <w:pPr>
              <w:spacing w:after="0"/>
              <w:rPr>
                <w:sz w:val="15"/>
                <w:szCs w:val="15"/>
                <w:color w:val="auto"/>
              </w:rPr>
            </w:pPr>
          </w:p>
        </w:tc>
        <w:tc>
          <w:tcPr>
            <w:tcW w:w="240" w:type="dxa"/>
            <w:vAlign w:val="bottom"/>
            <w:tcBorders>
              <w:bottom w:val="single" w:sz="8" w:color="0000EE"/>
            </w:tcBorders>
          </w:tcPr>
          <w:p>
            <w:pPr>
              <w:jc w:val="center"/>
              <w:spacing w:after="0" w:line="161" w:lineRule="exact"/>
              <w:rPr>
                <w:sz w:val="20"/>
                <w:szCs w:val="20"/>
                <w:color w:val="auto"/>
              </w:rPr>
            </w:pPr>
            <w:r>
              <w:rPr>
                <w:rFonts w:ascii="Times New Roman" w:cs="Times New Roman" w:eastAsia="Times New Roman" w:hAnsi="Times New Roman"/>
                <w:sz w:val="17"/>
                <w:szCs w:val="17"/>
                <w:color w:val="0000EE"/>
              </w:rPr>
              <w:t>F-1</w:t>
            </w:r>
          </w:p>
        </w:tc>
        <w:tc>
          <w:tcPr>
            <w:tcW w:w="300" w:type="dxa"/>
            <w:vAlign w:val="bottom"/>
          </w:tcPr>
          <w:p>
            <w:pPr>
              <w:spacing w:after="0"/>
              <w:rPr>
                <w:sz w:val="15"/>
                <w:szCs w:val="15"/>
                <w:color w:val="auto"/>
              </w:rPr>
            </w:pPr>
          </w:p>
        </w:tc>
      </w:tr>
      <w:tr>
        <w:trPr>
          <w:trHeight w:val="20"/>
        </w:trPr>
        <w:tc>
          <w:tcPr>
            <w:tcW w:w="200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5"/>
        </w:trPr>
        <w:tc>
          <w:tcPr>
            <w:tcW w:w="2740" w:type="dxa"/>
            <w:vAlign w:val="bottom"/>
            <w:tcBorders>
              <w:bottom w:val="single" w:sz="8" w:color="0000FF"/>
            </w:tcBorders>
            <w:gridSpan w:val="4"/>
          </w:tcPr>
          <w:p>
            <w:pPr>
              <w:spacing w:after="0" w:line="185" w:lineRule="exact"/>
              <w:rPr>
                <w:sz w:val="20"/>
                <w:szCs w:val="20"/>
                <w:color w:val="auto"/>
              </w:rPr>
            </w:pPr>
            <w:r>
              <w:rPr>
                <w:rFonts w:ascii="Times New Roman" w:cs="Times New Roman" w:eastAsia="Times New Roman" w:hAnsi="Times New Roman"/>
                <w:sz w:val="17"/>
                <w:szCs w:val="17"/>
                <w:color w:val="0000FF"/>
              </w:rPr>
              <w:t>Consolidated Statements of Operations</w:t>
            </w:r>
          </w:p>
        </w:tc>
        <w:tc>
          <w:tcPr>
            <w:tcW w:w="762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0000EE"/>
            </w:tcBorders>
          </w:tcPr>
          <w:p>
            <w:pPr>
              <w:jc w:val="center"/>
              <w:spacing w:after="0" w:line="185" w:lineRule="exact"/>
              <w:rPr>
                <w:sz w:val="20"/>
                <w:szCs w:val="20"/>
                <w:color w:val="auto"/>
              </w:rPr>
            </w:pPr>
            <w:r>
              <w:rPr>
                <w:rFonts w:ascii="Times New Roman" w:cs="Times New Roman" w:eastAsia="Times New Roman" w:hAnsi="Times New Roman"/>
                <w:sz w:val="17"/>
                <w:szCs w:val="17"/>
                <w:color w:val="0000EE"/>
              </w:rPr>
              <w:t>F-2</w:t>
            </w:r>
          </w:p>
        </w:tc>
        <w:tc>
          <w:tcPr>
            <w:tcW w:w="300" w:type="dxa"/>
            <w:vAlign w:val="bottom"/>
          </w:tcPr>
          <w:p>
            <w:pPr>
              <w:spacing w:after="0"/>
              <w:rPr>
                <w:sz w:val="16"/>
                <w:szCs w:val="16"/>
                <w:color w:val="auto"/>
              </w:rPr>
            </w:pPr>
          </w:p>
        </w:tc>
      </w:tr>
      <w:tr>
        <w:trPr>
          <w:trHeight w:val="225"/>
        </w:trPr>
        <w:tc>
          <w:tcPr>
            <w:tcW w:w="2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Consolidated Statements of Equity</w:t>
            </w:r>
          </w:p>
        </w:tc>
        <w:tc>
          <w:tcPr>
            <w:tcW w:w="76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rPr>
              <w:t>F-3</w:t>
            </w:r>
          </w:p>
        </w:tc>
        <w:tc>
          <w:tcPr>
            <w:tcW w:w="300" w:type="dxa"/>
            <w:vAlign w:val="bottom"/>
          </w:tcPr>
          <w:p>
            <w:pPr>
              <w:spacing w:after="0"/>
              <w:rPr>
                <w:sz w:val="19"/>
                <w:szCs w:val="19"/>
                <w:color w:val="auto"/>
              </w:rPr>
            </w:pPr>
          </w:p>
        </w:tc>
      </w:tr>
      <w:tr>
        <w:trPr>
          <w:trHeight w:val="225"/>
        </w:trPr>
        <w:tc>
          <w:tcPr>
            <w:tcW w:w="2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Consolidated Statements of Cash Flows</w:t>
            </w:r>
          </w:p>
        </w:tc>
        <w:tc>
          <w:tcPr>
            <w:tcW w:w="76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rPr>
              <w:t>F-4</w:t>
            </w:r>
          </w:p>
        </w:tc>
        <w:tc>
          <w:tcPr>
            <w:tcW w:w="300" w:type="dxa"/>
            <w:vAlign w:val="bottom"/>
          </w:tcPr>
          <w:p>
            <w:pPr>
              <w:spacing w:after="0"/>
              <w:rPr>
                <w:sz w:val="19"/>
                <w:szCs w:val="19"/>
                <w:color w:val="auto"/>
              </w:rPr>
            </w:pPr>
          </w:p>
        </w:tc>
      </w:tr>
      <w:tr>
        <w:trPr>
          <w:trHeight w:val="225"/>
        </w:trPr>
        <w:tc>
          <w:tcPr>
            <w:tcW w:w="1036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320" w:type="dxa"/>
            <w:vAlign w:val="bottom"/>
          </w:tcPr>
          <w:p>
            <w:pPr>
              <w:spacing w:after="0"/>
              <w:rPr>
                <w:sz w:val="19"/>
                <w:szCs w:val="19"/>
                <w:color w:val="auto"/>
              </w:rPr>
            </w:pPr>
          </w:p>
        </w:tc>
        <w:tc>
          <w:tcPr>
            <w:tcW w:w="5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0000EE"/>
              </w:rPr>
              <w:t>F-6</w:t>
            </w:r>
          </w:p>
        </w:tc>
      </w:tr>
      <w:tr>
        <w:trPr>
          <w:trHeight w:val="20"/>
        </w:trPr>
        <w:tc>
          <w:tcPr>
            <w:tcW w:w="2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2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All schedules have been omitted because they are not required, not applicable, not present in amounts sufficient to require submission of the schedule, or the required information is otherwise included in our consolidated financial statements and related notes.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Exhibits.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Annual Report: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8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1440" w:type="dxa"/>
            <w:vAlign w:val="bottom"/>
          </w:tcPr>
          <w:p>
            <w:pPr>
              <w:spacing w:after="0"/>
              <w:rPr>
                <w:sz w:val="19"/>
                <w:szCs w:val="19"/>
                <w:color w:val="auto"/>
              </w:rPr>
            </w:pPr>
          </w:p>
        </w:tc>
      </w:tr>
      <w:tr>
        <w:trPr>
          <w:trHeight w:val="227"/>
        </w:trPr>
        <w:tc>
          <w:tcPr>
            <w:tcW w:w="1220" w:type="dxa"/>
            <w:vAlign w:val="bottom"/>
            <w:gridSpan w:val="8"/>
          </w:tcPr>
          <w:p>
            <w:pPr>
              <w:ind w:left="12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5160" w:type="dxa"/>
            <w:vAlign w:val="bottom"/>
            <w:gridSpan w:val="25"/>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File no.</w:t>
            </w:r>
          </w:p>
        </w:tc>
        <w:tc>
          <w:tcPr>
            <w:tcW w:w="116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Filing Date</w:t>
            </w:r>
          </w:p>
        </w:tc>
      </w:tr>
      <w:tr>
        <w:trPr>
          <w:trHeight w:val="180"/>
        </w:trPr>
        <w:tc>
          <w:tcPr>
            <w:tcW w:w="440" w:type="dxa"/>
            <w:vAlign w:val="bottom"/>
            <w:tcBorders>
              <w:right w:val="single" w:sz="8" w:color="CCEEFF"/>
            </w:tcBorders>
            <w:gridSpan w:val="3"/>
            <w:shd w:val="clear" w:color="auto" w:fill="CCEEFF"/>
          </w:tcPr>
          <w:p>
            <w:pPr>
              <w:spacing w:after="0"/>
              <w:rPr>
                <w:sz w:val="15"/>
                <w:szCs w:val="15"/>
                <w:color w:val="auto"/>
              </w:rPr>
            </w:pPr>
          </w:p>
        </w:tc>
        <w:tc>
          <w:tcPr>
            <w:tcW w:w="300" w:type="dxa"/>
            <w:vAlign w:val="bottom"/>
            <w:gridSpan w:val="2"/>
            <w:shd w:val="clear" w:color="auto" w:fill="CCEEFF"/>
          </w:tcPr>
          <w:p>
            <w:pPr>
              <w:jc w:val="center"/>
              <w:ind w:right="40"/>
              <w:spacing w:after="0" w:line="181" w:lineRule="exact"/>
              <w:rPr>
                <w:rFonts w:ascii="Times New Roman" w:cs="Times New Roman" w:eastAsia="Times New Roman" w:hAnsi="Times New Roman"/>
                <w:sz w:val="17"/>
                <w:szCs w:val="17"/>
                <w:color w:val="0000FF"/>
                <w:w w:val="84"/>
              </w:rPr>
            </w:pPr>
            <w:hyperlink r:id="rId84">
              <w:r>
                <w:rPr>
                  <w:rFonts w:ascii="Times New Roman" w:cs="Times New Roman" w:eastAsia="Times New Roman" w:hAnsi="Times New Roman"/>
                  <w:sz w:val="17"/>
                  <w:szCs w:val="17"/>
                  <w:color w:val="0000FF"/>
                  <w:w w:val="84"/>
                </w:rPr>
                <w:t>2.</w:t>
              </w:r>
              <w:r>
                <w:rPr>
                  <w:rFonts w:ascii="Times New Roman" w:cs="Times New Roman" w:eastAsia="Times New Roman" w:hAnsi="Times New Roman"/>
                  <w:sz w:val="17"/>
                  <w:szCs w:val="17"/>
                  <w:u w:val="single" w:color="auto"/>
                  <w:color w:val="0000FF"/>
                  <w:w w:val="84"/>
                </w:rPr>
                <w:t>1+</w:t>
              </w:r>
            </w:hyperlink>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5160" w:type="dxa"/>
            <w:vAlign w:val="bottom"/>
            <w:gridSpan w:val="25"/>
            <w:shd w:val="clear" w:color="auto" w:fill="CCEEFF"/>
          </w:tcPr>
          <w:p>
            <w:pPr>
              <w:spacing w:after="0" w:line="181"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Agreement and Plan of Merger, dated December 10, 2020, by and</w:t>
              </w:r>
            </w:hyperlink>
          </w:p>
        </w:tc>
        <w:tc>
          <w:tcPr>
            <w:tcW w:w="9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1160" w:type="dxa"/>
            <w:vAlign w:val="bottom"/>
            <w:shd w:val="clear" w:color="auto" w:fill="CCEEFF"/>
          </w:tcPr>
          <w:p>
            <w:pPr>
              <w:jc w:val="center"/>
              <w:ind w:right="14"/>
              <w:spacing w:after="0" w:line="181" w:lineRule="exact"/>
              <w:rPr>
                <w:sz w:val="20"/>
                <w:szCs w:val="20"/>
                <w:color w:val="auto"/>
              </w:rPr>
            </w:pPr>
            <w:r>
              <w:rPr>
                <w:rFonts w:ascii="Times New Roman" w:cs="Times New Roman" w:eastAsia="Times New Roman" w:hAnsi="Times New Roman"/>
                <w:sz w:val="17"/>
                <w:szCs w:val="17"/>
                <w:color w:val="auto"/>
              </w:rPr>
              <w:t>2.1</w:t>
            </w:r>
          </w:p>
        </w:tc>
        <w:tc>
          <w:tcPr>
            <w:tcW w:w="14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December 10, 2020</w:t>
            </w:r>
          </w:p>
        </w:tc>
      </w:tr>
      <w:tr>
        <w:trPr>
          <w:trHeight w:val="20"/>
        </w:trPr>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tcBorders>
              <w:right w:val="single" w:sz="8" w:color="0000FF"/>
            </w:tcBorders>
            <w:shd w:val="clear" w:color="auto" w:fill="CCEE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r>
      <w:tr>
        <w:trPr>
          <w:trHeight w:val="173"/>
        </w:trPr>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5160" w:type="dxa"/>
            <w:vAlign w:val="bottom"/>
            <w:gridSpan w:val="25"/>
            <w:shd w:val="clear" w:color="auto" w:fill="CCEEFF"/>
          </w:tcPr>
          <w:p>
            <w:pPr>
              <w:spacing w:after="0" w:line="173"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among Silver Spike, Merger Sub, WMH, and the Holder Representative</w:t>
              </w:r>
            </w:hyperlink>
          </w:p>
        </w:tc>
        <w:tc>
          <w:tcPr>
            <w:tcW w:w="9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73"/>
        </w:trPr>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right w:val="single" w:sz="8" w:color="CCEEFF"/>
            </w:tcBorders>
            <w:shd w:val="clear" w:color="auto" w:fill="CCEEFF"/>
          </w:tcPr>
          <w:p>
            <w:pPr>
              <w:spacing w:after="0"/>
              <w:rPr>
                <w:sz w:val="15"/>
                <w:szCs w:val="15"/>
                <w:color w:val="auto"/>
              </w:rPr>
            </w:pPr>
          </w:p>
        </w:tc>
        <w:tc>
          <w:tcPr>
            <w:tcW w:w="4920" w:type="dxa"/>
            <w:vAlign w:val="bottom"/>
            <w:tcBorders>
              <w:top w:val="single" w:sz="8" w:color="0000FF"/>
            </w:tcBorders>
            <w:gridSpan w:val="24"/>
            <w:shd w:val="clear" w:color="auto" w:fill="CCEEFF"/>
          </w:tcPr>
          <w:p>
            <w:pPr>
              <w:spacing w:after="0" w:line="173"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named therein</w:t>
              </w:r>
            </w:hyperlink>
          </w:p>
        </w:tc>
        <w:tc>
          <w:tcPr>
            <w:tcW w:w="2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shd w:val="clear" w:color="auto" w:fill="CCEEFF"/>
          </w:tcPr>
          <w:p>
            <w:pPr>
              <w:spacing w:after="0"/>
              <w:rPr>
                <w:sz w:val="15"/>
                <w:szCs w:val="15"/>
                <w:color w:val="auto"/>
              </w:rPr>
            </w:pPr>
          </w:p>
        </w:tc>
      </w:tr>
      <w:tr>
        <w:trPr>
          <w:trHeight w:val="44"/>
        </w:trPr>
        <w:tc>
          <w:tcPr>
            <w:tcW w:w="2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right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left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right w:val="single" w:sz="8" w:color="CCEE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13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440" w:type="dxa"/>
            <w:vAlign w:val="bottom"/>
            <w:tcBorders>
              <w:top w:val="single" w:sz="8" w:color="CCEEFF"/>
            </w:tcBorders>
            <w:shd w:val="clear" w:color="auto" w:fill="CCEEFF"/>
          </w:tcPr>
          <w:p>
            <w:pPr>
              <w:spacing w:after="0"/>
              <w:rPr>
                <w:sz w:val="3"/>
                <w:szCs w:val="3"/>
                <w:color w:val="auto"/>
              </w:rPr>
            </w:pPr>
          </w:p>
        </w:tc>
      </w:tr>
      <w:tr>
        <w:trPr>
          <w:trHeight w:val="180"/>
        </w:trPr>
        <w:tc>
          <w:tcPr>
            <w:tcW w:w="660" w:type="dxa"/>
            <w:vAlign w:val="bottom"/>
            <w:gridSpan w:val="4"/>
          </w:tcPr>
          <w:p>
            <w:pPr>
              <w:jc w:val="center"/>
              <w:ind w:left="354"/>
              <w:spacing w:after="0" w:line="181"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60" w:type="dxa"/>
            <w:vAlign w:val="bottom"/>
            <w:gridSpan w:val="25"/>
          </w:tcPr>
          <w:p>
            <w:pPr>
              <w:spacing w:after="0" w:line="181"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Certificate of Incorporation of the Company</w:t>
              </w:r>
            </w:hyperlink>
          </w:p>
        </w:tc>
        <w:tc>
          <w:tcPr>
            <w:tcW w:w="9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1160" w:type="dxa"/>
            <w:vAlign w:val="bottom"/>
          </w:tcPr>
          <w:p>
            <w:pPr>
              <w:jc w:val="center"/>
              <w:ind w:right="14"/>
              <w:spacing w:after="0" w:line="181" w:lineRule="exact"/>
              <w:rPr>
                <w:sz w:val="20"/>
                <w:szCs w:val="20"/>
                <w:color w:val="auto"/>
              </w:rPr>
            </w:pPr>
            <w:r>
              <w:rPr>
                <w:rFonts w:ascii="Times New Roman" w:cs="Times New Roman" w:eastAsia="Times New Roman" w:hAnsi="Times New Roman"/>
                <w:sz w:val="17"/>
                <w:szCs w:val="17"/>
                <w:color w:val="auto"/>
              </w:rPr>
              <w:t>3.1</w:t>
            </w:r>
          </w:p>
        </w:tc>
        <w:tc>
          <w:tcPr>
            <w:tcW w:w="14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44"/>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80"/>
        </w:trPr>
        <w:tc>
          <w:tcPr>
            <w:tcW w:w="660" w:type="dxa"/>
            <w:vAlign w:val="bottom"/>
            <w:gridSpan w:val="4"/>
            <w:shd w:val="clear" w:color="auto" w:fill="CCEEFF"/>
          </w:tcPr>
          <w:p>
            <w:pPr>
              <w:jc w:val="center"/>
              <w:ind w:left="354"/>
              <w:spacing w:after="0" w:line="181"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5160" w:type="dxa"/>
            <w:vAlign w:val="bottom"/>
            <w:gridSpan w:val="25"/>
            <w:shd w:val="clear" w:color="auto" w:fill="CCEEFF"/>
          </w:tcPr>
          <w:p>
            <w:pPr>
              <w:spacing w:after="0" w:line="181"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Amended and Restated Bylaws of the Company</w:t>
              </w:r>
            </w:hyperlink>
          </w:p>
        </w:tc>
        <w:tc>
          <w:tcPr>
            <w:tcW w:w="9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1160" w:type="dxa"/>
            <w:vAlign w:val="bottom"/>
            <w:shd w:val="clear" w:color="auto" w:fill="CCEEFF"/>
          </w:tcPr>
          <w:p>
            <w:pPr>
              <w:jc w:val="center"/>
              <w:ind w:right="14"/>
              <w:spacing w:after="0" w:line="181" w:lineRule="exact"/>
              <w:rPr>
                <w:sz w:val="20"/>
                <w:szCs w:val="20"/>
                <w:color w:val="auto"/>
              </w:rPr>
            </w:pPr>
            <w:r>
              <w:rPr>
                <w:rFonts w:ascii="Times New Roman" w:cs="Times New Roman" w:eastAsia="Times New Roman" w:hAnsi="Times New Roman"/>
                <w:sz w:val="17"/>
                <w:szCs w:val="17"/>
                <w:color w:val="auto"/>
              </w:rPr>
              <w:t>3.2</w:t>
            </w:r>
          </w:p>
        </w:tc>
        <w:tc>
          <w:tcPr>
            <w:tcW w:w="14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44"/>
        </w:trPr>
        <w:tc>
          <w:tcPr>
            <w:tcW w:w="2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right w:val="single" w:sz="8" w:color="CCEE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left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right w:val="single" w:sz="8" w:color="CCEE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13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440" w:type="dxa"/>
            <w:vAlign w:val="bottom"/>
            <w:tcBorders>
              <w:top w:val="single" w:sz="8" w:color="CCEEFF"/>
            </w:tcBorders>
            <w:shd w:val="clear" w:color="auto" w:fill="CCEEFF"/>
          </w:tcPr>
          <w:p>
            <w:pPr>
              <w:spacing w:after="0"/>
              <w:rPr>
                <w:sz w:val="3"/>
                <w:szCs w:val="3"/>
                <w:color w:val="auto"/>
              </w:rPr>
            </w:pPr>
          </w:p>
        </w:tc>
      </w:tr>
      <w:tr>
        <w:trPr>
          <w:trHeight w:val="180"/>
        </w:trPr>
        <w:tc>
          <w:tcPr>
            <w:tcW w:w="660" w:type="dxa"/>
            <w:vAlign w:val="bottom"/>
            <w:gridSpan w:val="4"/>
          </w:tcPr>
          <w:p>
            <w:pPr>
              <w:jc w:val="center"/>
              <w:ind w:left="354"/>
              <w:spacing w:after="0" w:line="181"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60" w:type="dxa"/>
            <w:vAlign w:val="bottom"/>
            <w:gridSpan w:val="25"/>
          </w:tcPr>
          <w:p>
            <w:pPr>
              <w:spacing w:after="0" w:line="181"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Form of Common Stock Certificate of the Company</w:t>
              </w:r>
            </w:hyperlink>
          </w:p>
        </w:tc>
        <w:tc>
          <w:tcPr>
            <w:tcW w:w="9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1160" w:type="dxa"/>
            <w:vAlign w:val="bottom"/>
          </w:tcPr>
          <w:p>
            <w:pPr>
              <w:jc w:val="center"/>
              <w:ind w:right="14"/>
              <w:spacing w:after="0" w:line="181" w:lineRule="exact"/>
              <w:rPr>
                <w:sz w:val="20"/>
                <w:szCs w:val="20"/>
                <w:color w:val="auto"/>
              </w:rPr>
            </w:pPr>
            <w:r>
              <w:rPr>
                <w:rFonts w:ascii="Times New Roman" w:cs="Times New Roman" w:eastAsia="Times New Roman" w:hAnsi="Times New Roman"/>
                <w:sz w:val="17"/>
                <w:szCs w:val="17"/>
                <w:color w:val="auto"/>
              </w:rPr>
              <w:t>4.1</w:t>
            </w:r>
          </w:p>
        </w:tc>
        <w:tc>
          <w:tcPr>
            <w:tcW w:w="14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44"/>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80"/>
        </w:trPr>
        <w:tc>
          <w:tcPr>
            <w:tcW w:w="660" w:type="dxa"/>
            <w:vAlign w:val="bottom"/>
            <w:gridSpan w:val="4"/>
            <w:shd w:val="clear" w:color="auto" w:fill="CCEEFF"/>
          </w:tcPr>
          <w:p>
            <w:pPr>
              <w:jc w:val="center"/>
              <w:ind w:left="354"/>
              <w:spacing w:after="0" w:line="181"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2</w:t>
              </w:r>
            </w:hyperlink>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5160" w:type="dxa"/>
            <w:vAlign w:val="bottom"/>
            <w:gridSpan w:val="25"/>
            <w:shd w:val="clear" w:color="auto" w:fill="CCEEFF"/>
          </w:tcPr>
          <w:p>
            <w:pPr>
              <w:spacing w:after="0" w:line="181"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Form of Warrant Certificate of the Company</w:t>
              </w:r>
            </w:hyperlink>
          </w:p>
        </w:tc>
        <w:tc>
          <w:tcPr>
            <w:tcW w:w="9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1160" w:type="dxa"/>
            <w:vAlign w:val="bottom"/>
            <w:shd w:val="clear" w:color="auto" w:fill="CCEEFF"/>
          </w:tcPr>
          <w:p>
            <w:pPr>
              <w:jc w:val="center"/>
              <w:ind w:right="14"/>
              <w:spacing w:after="0" w:line="181" w:lineRule="exact"/>
              <w:rPr>
                <w:sz w:val="20"/>
                <w:szCs w:val="20"/>
                <w:color w:val="auto"/>
              </w:rPr>
            </w:pPr>
            <w:r>
              <w:rPr>
                <w:rFonts w:ascii="Times New Roman" w:cs="Times New Roman" w:eastAsia="Times New Roman" w:hAnsi="Times New Roman"/>
                <w:sz w:val="17"/>
                <w:szCs w:val="17"/>
                <w:color w:val="auto"/>
              </w:rPr>
              <w:t>4.2</w:t>
            </w:r>
          </w:p>
        </w:tc>
        <w:tc>
          <w:tcPr>
            <w:tcW w:w="14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44"/>
        </w:trPr>
        <w:tc>
          <w:tcPr>
            <w:tcW w:w="2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right w:val="single" w:sz="8" w:color="CCEE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left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right w:val="single" w:sz="8" w:color="CCEE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13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440" w:type="dxa"/>
            <w:vAlign w:val="bottom"/>
            <w:tcBorders>
              <w:top w:val="single" w:sz="8" w:color="CCEEFF"/>
            </w:tcBorders>
            <w:shd w:val="clear" w:color="auto" w:fill="CCEEFF"/>
          </w:tcPr>
          <w:p>
            <w:pPr>
              <w:spacing w:after="0"/>
              <w:rPr>
                <w:sz w:val="3"/>
                <w:szCs w:val="3"/>
                <w:color w:val="auto"/>
              </w:rPr>
            </w:pPr>
          </w:p>
        </w:tc>
      </w:tr>
      <w:tr>
        <w:trPr>
          <w:trHeight w:val="180"/>
        </w:trPr>
        <w:tc>
          <w:tcPr>
            <w:tcW w:w="660" w:type="dxa"/>
            <w:vAlign w:val="bottom"/>
            <w:gridSpan w:val="4"/>
          </w:tcPr>
          <w:p>
            <w:pPr>
              <w:jc w:val="center"/>
              <w:ind w:left="354"/>
              <w:spacing w:after="0" w:line="181"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3</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60" w:type="dxa"/>
            <w:vAlign w:val="bottom"/>
            <w:gridSpan w:val="25"/>
          </w:tcPr>
          <w:p>
            <w:pPr>
              <w:spacing w:after="0" w:line="181"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Warrant Agreement, dated as of August 7, 2019, by and between the</w:t>
              </w:r>
            </w:hyperlink>
          </w:p>
        </w:tc>
        <w:tc>
          <w:tcPr>
            <w:tcW w:w="9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1160" w:type="dxa"/>
            <w:vAlign w:val="bottom"/>
          </w:tcPr>
          <w:p>
            <w:pPr>
              <w:jc w:val="center"/>
              <w:ind w:right="14"/>
              <w:spacing w:after="0" w:line="181" w:lineRule="exact"/>
              <w:rPr>
                <w:sz w:val="20"/>
                <w:szCs w:val="20"/>
                <w:color w:val="auto"/>
              </w:rPr>
            </w:pPr>
            <w:r>
              <w:rPr>
                <w:rFonts w:ascii="Times New Roman" w:cs="Times New Roman" w:eastAsia="Times New Roman" w:hAnsi="Times New Roman"/>
                <w:sz w:val="17"/>
                <w:szCs w:val="17"/>
                <w:color w:val="auto"/>
              </w:rPr>
              <w:t>4.1</w:t>
            </w:r>
          </w:p>
        </w:tc>
        <w:tc>
          <w:tcPr>
            <w:tcW w:w="14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August 12, 2019</w:t>
            </w:r>
          </w:p>
        </w:tc>
      </w:tr>
      <w:tr>
        <w:trPr>
          <w:trHeight w:val="20"/>
        </w:trPr>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73"/>
        </w:trPr>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60" w:type="dxa"/>
            <w:vAlign w:val="bottom"/>
            <w:gridSpan w:val="25"/>
          </w:tcPr>
          <w:p>
            <w:pPr>
              <w:spacing w:after="0" w:line="173"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Company and Continental Stock Transfer &amp; Trust Company, as warrant</w:t>
              </w:r>
            </w:hyperlink>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00" w:type="dxa"/>
            <w:vAlign w:val="bottom"/>
            <w:tcBorders>
              <w:top w:val="single" w:sz="8" w:color="0000FF"/>
            </w:tcBorders>
            <w:gridSpan w:val="23"/>
          </w:tcPr>
          <w:p>
            <w:pPr>
              <w:spacing w:after="0" w:line="173"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agent</w:t>
              </w:r>
            </w:hyperlink>
          </w:p>
        </w:tc>
        <w:tc>
          <w:tcPr>
            <w:tcW w:w="26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44"/>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80"/>
        </w:trPr>
        <w:tc>
          <w:tcPr>
            <w:tcW w:w="660" w:type="dxa"/>
            <w:vAlign w:val="bottom"/>
            <w:gridSpan w:val="4"/>
            <w:shd w:val="clear" w:color="auto" w:fill="CCEEFF"/>
          </w:tcPr>
          <w:p>
            <w:pPr>
              <w:jc w:val="center"/>
              <w:ind w:left="354"/>
              <w:spacing w:after="0" w:line="181"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5</w:t>
              </w:r>
            </w:hyperlink>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5160" w:type="dxa"/>
            <w:vAlign w:val="bottom"/>
            <w:gridSpan w:val="25"/>
            <w:shd w:val="clear" w:color="auto" w:fill="CCEEFF"/>
          </w:tcPr>
          <w:p>
            <w:pPr>
              <w:spacing w:after="0" w:line="181"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Description of Securities</w:t>
              </w:r>
            </w:hyperlink>
          </w:p>
        </w:tc>
        <w:tc>
          <w:tcPr>
            <w:tcW w:w="940" w:type="dxa"/>
            <w:vAlign w:val="bottom"/>
            <w:shd w:val="clear" w:color="auto" w:fill="CCEEFF"/>
          </w:tcPr>
          <w:p>
            <w:pPr>
              <w:jc w:val="center"/>
              <w:ind w:right="14"/>
              <w:spacing w:after="0" w:line="181" w:lineRule="exact"/>
              <w:rPr>
                <w:sz w:val="20"/>
                <w:szCs w:val="20"/>
                <w:color w:val="auto"/>
              </w:rPr>
            </w:pPr>
            <w:r>
              <w:rPr>
                <w:rFonts w:ascii="Times New Roman" w:cs="Times New Roman" w:eastAsia="Times New Roman" w:hAnsi="Times New Roman"/>
                <w:sz w:val="17"/>
                <w:szCs w:val="17"/>
                <w:color w:val="auto"/>
              </w:rPr>
              <w:t>10-K</w:t>
            </w:r>
          </w:p>
        </w:tc>
        <w:tc>
          <w:tcPr>
            <w:tcW w:w="13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1160" w:type="dxa"/>
            <w:vAlign w:val="bottom"/>
            <w:shd w:val="clear" w:color="auto" w:fill="CCEEFF"/>
          </w:tcPr>
          <w:p>
            <w:pPr>
              <w:jc w:val="center"/>
              <w:ind w:right="14"/>
              <w:spacing w:after="0" w:line="181" w:lineRule="exact"/>
              <w:rPr>
                <w:sz w:val="20"/>
                <w:szCs w:val="20"/>
                <w:color w:val="auto"/>
              </w:rPr>
            </w:pPr>
            <w:r>
              <w:rPr>
                <w:rFonts w:ascii="Times New Roman" w:cs="Times New Roman" w:eastAsia="Times New Roman" w:hAnsi="Times New Roman"/>
                <w:sz w:val="17"/>
                <w:szCs w:val="17"/>
                <w:color w:val="auto"/>
              </w:rPr>
              <w:t>4.5</w:t>
            </w:r>
          </w:p>
        </w:tc>
        <w:tc>
          <w:tcPr>
            <w:tcW w:w="14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February 25, 2022</w:t>
            </w:r>
          </w:p>
        </w:tc>
      </w:tr>
      <w:tr>
        <w:trPr>
          <w:trHeight w:val="44"/>
        </w:trPr>
        <w:tc>
          <w:tcPr>
            <w:tcW w:w="2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right w:val="single" w:sz="8" w:color="CCEE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left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right w:val="single" w:sz="8" w:color="CCEE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13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440" w:type="dxa"/>
            <w:vAlign w:val="bottom"/>
            <w:tcBorders>
              <w:top w:val="single" w:sz="8" w:color="CCEEFF"/>
            </w:tcBorders>
            <w:shd w:val="clear" w:color="auto" w:fill="CCEEFF"/>
          </w:tcPr>
          <w:p>
            <w:pPr>
              <w:spacing w:after="0"/>
              <w:rPr>
                <w:sz w:val="3"/>
                <w:szCs w:val="3"/>
                <w:color w:val="auto"/>
              </w:rPr>
            </w:pPr>
          </w:p>
        </w:tc>
      </w:tr>
      <w:tr>
        <w:trPr>
          <w:trHeight w:val="180"/>
        </w:trPr>
        <w:tc>
          <w:tcPr>
            <w:tcW w:w="660" w:type="dxa"/>
            <w:vAlign w:val="bottom"/>
            <w:gridSpan w:val="4"/>
          </w:tcPr>
          <w:p>
            <w:pPr>
              <w:jc w:val="center"/>
              <w:ind w:left="274"/>
              <w:spacing w:after="0" w:line="181"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60" w:type="dxa"/>
            <w:vAlign w:val="bottom"/>
            <w:gridSpan w:val="25"/>
          </w:tcPr>
          <w:p>
            <w:pPr>
              <w:spacing w:after="0" w:line="181"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Exchange Agreement, dated as of June 16, 2021, by and among the</w:t>
              </w:r>
            </w:hyperlink>
          </w:p>
        </w:tc>
        <w:tc>
          <w:tcPr>
            <w:tcW w:w="9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1160" w:type="dxa"/>
            <w:vAlign w:val="bottom"/>
          </w:tcPr>
          <w:p>
            <w:pPr>
              <w:jc w:val="center"/>
              <w:ind w:right="14"/>
              <w:spacing w:after="0" w:line="181" w:lineRule="exact"/>
              <w:rPr>
                <w:sz w:val="20"/>
                <w:szCs w:val="20"/>
                <w:color w:val="auto"/>
              </w:rPr>
            </w:pPr>
            <w:r>
              <w:rPr>
                <w:rFonts w:ascii="Times New Roman" w:cs="Times New Roman" w:eastAsia="Times New Roman" w:hAnsi="Times New Roman"/>
                <w:sz w:val="17"/>
                <w:szCs w:val="17"/>
                <w:color w:val="auto"/>
              </w:rPr>
              <w:t>10.1</w:t>
            </w:r>
          </w:p>
        </w:tc>
        <w:tc>
          <w:tcPr>
            <w:tcW w:w="14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173"/>
        </w:trPr>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0" w:type="dxa"/>
            <w:vAlign w:val="bottom"/>
            <w:tcBorders>
              <w:top w:val="single" w:sz="8" w:color="0000FF"/>
            </w:tcBorders>
            <w:gridSpan w:val="18"/>
          </w:tcPr>
          <w:p>
            <w:pPr>
              <w:spacing w:after="0" w:line="173"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Company, Silver Spike Sponsor and the other parties thereto</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44"/>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80"/>
        </w:trPr>
        <w:tc>
          <w:tcPr>
            <w:tcW w:w="660" w:type="dxa"/>
            <w:vAlign w:val="bottom"/>
            <w:gridSpan w:val="4"/>
            <w:shd w:val="clear" w:color="auto" w:fill="CCEEFF"/>
          </w:tcPr>
          <w:p>
            <w:pPr>
              <w:jc w:val="center"/>
              <w:ind w:left="274"/>
              <w:spacing w:after="0" w:line="181"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hyperlink>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5160" w:type="dxa"/>
            <w:vAlign w:val="bottom"/>
            <w:gridSpan w:val="25"/>
            <w:shd w:val="clear" w:color="auto" w:fill="CCEEFF"/>
          </w:tcPr>
          <w:p>
            <w:pPr>
              <w:spacing w:after="0" w:line="181"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Tax Receivable Agreement, dated as of June 16, 2021, by and among</w:t>
              </w:r>
            </w:hyperlink>
          </w:p>
        </w:tc>
        <w:tc>
          <w:tcPr>
            <w:tcW w:w="9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1160" w:type="dxa"/>
            <w:vAlign w:val="bottom"/>
            <w:shd w:val="clear" w:color="auto" w:fill="CCEEFF"/>
          </w:tcPr>
          <w:p>
            <w:pPr>
              <w:jc w:val="center"/>
              <w:ind w:right="14"/>
              <w:spacing w:after="0" w:line="181" w:lineRule="exact"/>
              <w:rPr>
                <w:sz w:val="20"/>
                <w:szCs w:val="20"/>
                <w:color w:val="auto"/>
              </w:rPr>
            </w:pPr>
            <w:r>
              <w:rPr>
                <w:rFonts w:ascii="Times New Roman" w:cs="Times New Roman" w:eastAsia="Times New Roman" w:hAnsi="Times New Roman"/>
                <w:sz w:val="17"/>
                <w:szCs w:val="17"/>
                <w:color w:val="auto"/>
              </w:rPr>
              <w:t>10.2</w:t>
            </w:r>
          </w:p>
        </w:tc>
        <w:tc>
          <w:tcPr>
            <w:tcW w:w="14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218"/>
        </w:trPr>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860" w:type="dxa"/>
            <w:vAlign w:val="bottom"/>
            <w:tcBorders>
              <w:top w:val="single" w:sz="8" w:color="0000FF"/>
              <w:bottom w:val="single" w:sz="8" w:color="0000FF"/>
            </w:tcBorders>
            <w:gridSpan w:val="9"/>
            <w:shd w:val="clear" w:color="auto" w:fill="CCEEFF"/>
          </w:tcPr>
          <w:p>
            <w:pPr>
              <w:spacing w:after="0" w:line="173" w:lineRule="exact"/>
              <w:rPr>
                <w:rFonts w:ascii="Times New Roman" w:cs="Times New Roman" w:eastAsia="Times New Roman" w:hAnsi="Times New Roman"/>
                <w:sz w:val="17"/>
                <w:szCs w:val="17"/>
                <w:color w:val="0000FF"/>
                <w:w w:val="99"/>
              </w:rPr>
            </w:pPr>
            <w:hyperlink r:id="rId92">
              <w:r>
                <w:rPr>
                  <w:rFonts w:ascii="Times New Roman" w:cs="Times New Roman" w:eastAsia="Times New Roman" w:hAnsi="Times New Roman"/>
                  <w:sz w:val="17"/>
                  <w:szCs w:val="17"/>
                  <w:color w:val="0000FF"/>
                  <w:w w:val="99"/>
                </w:rPr>
                <w:t>the Company and the other parties thereto</w:t>
              </w:r>
            </w:hyperlink>
          </w:p>
        </w:tc>
        <w:tc>
          <w:tcPr>
            <w:tcW w:w="1880" w:type="dxa"/>
            <w:vAlign w:val="bottom"/>
            <w:tcBorders>
              <w:top w:val="single" w:sz="8" w:color="0000FF"/>
              <w:bottom w:val="single" w:sz="8" w:color="CCEEFF"/>
            </w:tcBorders>
            <w:gridSpan w:val="11"/>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660" w:type="dxa"/>
            <w:vAlign w:val="bottom"/>
            <w:gridSpan w:val="4"/>
          </w:tcPr>
          <w:p>
            <w:pPr>
              <w:jc w:val="center"/>
              <w:ind w:left="274"/>
              <w:spacing w:after="0" w:line="181"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60" w:type="dxa"/>
            <w:vAlign w:val="bottom"/>
            <w:gridSpan w:val="25"/>
          </w:tcPr>
          <w:p>
            <w:pPr>
              <w:spacing w:after="0" w:line="181"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Fourth Amended and Restated Operating Agreement of WMH LLC</w:t>
              </w:r>
            </w:hyperlink>
          </w:p>
        </w:tc>
        <w:tc>
          <w:tcPr>
            <w:tcW w:w="9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1160" w:type="dxa"/>
            <w:vAlign w:val="bottom"/>
          </w:tcPr>
          <w:p>
            <w:pPr>
              <w:jc w:val="center"/>
              <w:ind w:right="14"/>
              <w:spacing w:after="0" w:line="181" w:lineRule="exact"/>
              <w:rPr>
                <w:sz w:val="20"/>
                <w:szCs w:val="20"/>
                <w:color w:val="auto"/>
              </w:rPr>
            </w:pPr>
            <w:r>
              <w:rPr>
                <w:rFonts w:ascii="Times New Roman" w:cs="Times New Roman" w:eastAsia="Times New Roman" w:hAnsi="Times New Roman"/>
                <w:sz w:val="17"/>
                <w:szCs w:val="17"/>
                <w:color w:val="auto"/>
              </w:rPr>
              <w:t>10.3</w:t>
            </w:r>
          </w:p>
        </w:tc>
        <w:tc>
          <w:tcPr>
            <w:tcW w:w="14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44"/>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80"/>
        </w:trPr>
        <w:tc>
          <w:tcPr>
            <w:tcW w:w="660" w:type="dxa"/>
            <w:vAlign w:val="bottom"/>
            <w:gridSpan w:val="4"/>
            <w:shd w:val="clear" w:color="auto" w:fill="CCEEFF"/>
          </w:tcPr>
          <w:p>
            <w:pPr>
              <w:jc w:val="center"/>
              <w:ind w:left="274"/>
              <w:spacing w:after="0" w:line="181"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4</w:t>
              </w:r>
            </w:hyperlink>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5160" w:type="dxa"/>
            <w:vAlign w:val="bottom"/>
            <w:gridSpan w:val="25"/>
            <w:shd w:val="clear" w:color="auto" w:fill="CCEEFF"/>
          </w:tcPr>
          <w:p>
            <w:pPr>
              <w:spacing w:after="0" w:line="181"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Form of Subscription Agreement</w:t>
              </w:r>
            </w:hyperlink>
          </w:p>
        </w:tc>
        <w:tc>
          <w:tcPr>
            <w:tcW w:w="9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1160" w:type="dxa"/>
            <w:vAlign w:val="bottom"/>
            <w:shd w:val="clear" w:color="auto" w:fill="CCEEFF"/>
          </w:tcPr>
          <w:p>
            <w:pPr>
              <w:jc w:val="center"/>
              <w:ind w:right="14"/>
              <w:spacing w:after="0" w:line="181" w:lineRule="exact"/>
              <w:rPr>
                <w:sz w:val="20"/>
                <w:szCs w:val="20"/>
                <w:color w:val="auto"/>
              </w:rPr>
            </w:pPr>
            <w:r>
              <w:rPr>
                <w:rFonts w:ascii="Times New Roman" w:cs="Times New Roman" w:eastAsia="Times New Roman" w:hAnsi="Times New Roman"/>
                <w:sz w:val="17"/>
                <w:szCs w:val="17"/>
                <w:color w:val="auto"/>
              </w:rPr>
              <w:t>10.4</w:t>
            </w:r>
          </w:p>
        </w:tc>
        <w:tc>
          <w:tcPr>
            <w:tcW w:w="14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44"/>
        </w:trPr>
        <w:tc>
          <w:tcPr>
            <w:tcW w:w="2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right w:val="single" w:sz="8" w:color="CCEE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left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right w:val="single" w:sz="8" w:color="CCEE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13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440" w:type="dxa"/>
            <w:vAlign w:val="bottom"/>
            <w:tcBorders>
              <w:top w:val="single" w:sz="8" w:color="CCEEFF"/>
            </w:tcBorders>
            <w:shd w:val="clear" w:color="auto" w:fill="CCEEFF"/>
          </w:tcPr>
          <w:p>
            <w:pPr>
              <w:spacing w:after="0"/>
              <w:rPr>
                <w:sz w:val="3"/>
                <w:szCs w:val="3"/>
                <w:color w:val="auto"/>
              </w:rPr>
            </w:pPr>
          </w:p>
        </w:tc>
      </w:tr>
      <w:tr>
        <w:trPr>
          <w:trHeight w:val="180"/>
        </w:trPr>
        <w:tc>
          <w:tcPr>
            <w:tcW w:w="660" w:type="dxa"/>
            <w:vAlign w:val="bottom"/>
            <w:gridSpan w:val="4"/>
          </w:tcPr>
          <w:p>
            <w:pPr>
              <w:jc w:val="center"/>
              <w:ind w:left="274"/>
              <w:spacing w:after="0" w:line="181"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5</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60" w:type="dxa"/>
            <w:vAlign w:val="bottom"/>
            <w:gridSpan w:val="25"/>
          </w:tcPr>
          <w:p>
            <w:pPr>
              <w:spacing w:after="0" w:line="181"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Amended and Restated Registration Rights Agreement, dated as of</w:t>
              </w:r>
            </w:hyperlink>
          </w:p>
        </w:tc>
        <w:tc>
          <w:tcPr>
            <w:tcW w:w="9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1160" w:type="dxa"/>
            <w:vAlign w:val="bottom"/>
          </w:tcPr>
          <w:p>
            <w:pPr>
              <w:jc w:val="center"/>
              <w:ind w:right="14"/>
              <w:spacing w:after="0" w:line="181" w:lineRule="exact"/>
              <w:rPr>
                <w:sz w:val="20"/>
                <w:szCs w:val="20"/>
                <w:color w:val="auto"/>
              </w:rPr>
            </w:pPr>
            <w:r>
              <w:rPr>
                <w:rFonts w:ascii="Times New Roman" w:cs="Times New Roman" w:eastAsia="Times New Roman" w:hAnsi="Times New Roman"/>
                <w:sz w:val="17"/>
                <w:szCs w:val="17"/>
                <w:color w:val="auto"/>
              </w:rPr>
              <w:t>10.5</w:t>
            </w:r>
          </w:p>
        </w:tc>
        <w:tc>
          <w:tcPr>
            <w:tcW w:w="14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173"/>
        </w:trPr>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580" w:type="dxa"/>
            <w:vAlign w:val="bottom"/>
            <w:tcBorders>
              <w:top w:val="single" w:sz="8" w:color="0000FF"/>
            </w:tcBorders>
            <w:gridSpan w:val="17"/>
          </w:tcPr>
          <w:p>
            <w:pPr>
              <w:spacing w:after="0" w:line="173"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June 16, 2021, by and among the Company, Silver Spike Sponsor</w:t>
              </w:r>
            </w:hyperlink>
          </w:p>
        </w:tc>
        <w:tc>
          <w:tcPr>
            <w:tcW w:w="580" w:type="dxa"/>
            <w:vAlign w:val="bottom"/>
            <w:gridSpan w:val="8"/>
          </w:tcPr>
          <w:p>
            <w:pPr>
              <w:spacing w:after="0" w:line="173"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and</w:t>
              </w:r>
            </w:hyperlink>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780" w:type="dxa"/>
            <w:vAlign w:val="bottom"/>
            <w:tcBorders>
              <w:top w:val="single" w:sz="8" w:color="0000FF"/>
            </w:tcBorders>
            <w:gridSpan w:val="21"/>
          </w:tcPr>
          <w:p>
            <w:pPr>
              <w:spacing w:after="0" w:line="173"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the other parties thereto</w:t>
              </w:r>
            </w:hyperlink>
          </w:p>
        </w:tc>
        <w:tc>
          <w:tcPr>
            <w:tcW w:w="8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44"/>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80"/>
        </w:trPr>
        <w:tc>
          <w:tcPr>
            <w:tcW w:w="840" w:type="dxa"/>
            <w:vAlign w:val="bottom"/>
            <w:gridSpan w:val="6"/>
            <w:shd w:val="clear" w:color="auto" w:fill="CCEEFF"/>
          </w:tcPr>
          <w:p>
            <w:pPr>
              <w:jc w:val="center"/>
              <w:ind w:left="174"/>
              <w:spacing w:after="0" w:line="181" w:lineRule="exact"/>
              <w:rPr>
                <w:rFonts w:ascii="Times New Roman" w:cs="Times New Roman" w:eastAsia="Times New Roman" w:hAnsi="Times New Roman"/>
                <w:sz w:val="17"/>
                <w:szCs w:val="17"/>
                <w:color w:val="0000FF"/>
                <w:w w:val="99"/>
              </w:rPr>
            </w:pPr>
            <w:hyperlink r:id="rId96">
              <w:r>
                <w:rPr>
                  <w:rFonts w:ascii="Times New Roman" w:cs="Times New Roman" w:eastAsia="Times New Roman" w:hAnsi="Times New Roman"/>
                  <w:sz w:val="17"/>
                  <w:szCs w:val="17"/>
                  <w:color w:val="0000FF"/>
                  <w:w w:val="99"/>
                </w:rPr>
                <w:t>10.</w:t>
              </w:r>
              <w:r>
                <w:rPr>
                  <w:rFonts w:ascii="Times New Roman" w:cs="Times New Roman" w:eastAsia="Times New Roman" w:hAnsi="Times New Roman"/>
                  <w:sz w:val="17"/>
                  <w:szCs w:val="17"/>
                  <w:u w:val="single" w:color="auto"/>
                  <w:color w:val="0000FF"/>
                  <w:w w:val="99"/>
                </w:rPr>
                <w:t>6#</w:t>
              </w:r>
            </w:hyperlink>
          </w:p>
        </w:tc>
        <w:tc>
          <w:tcPr>
            <w:tcW w:w="6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5160" w:type="dxa"/>
            <w:vAlign w:val="bottom"/>
            <w:gridSpan w:val="25"/>
            <w:shd w:val="clear" w:color="auto" w:fill="CCEEFF"/>
          </w:tcPr>
          <w:p>
            <w:pPr>
              <w:spacing w:after="0" w:line="181"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Form of Indemnification Agreement by and between the Company and</w:t>
              </w:r>
            </w:hyperlink>
          </w:p>
        </w:tc>
        <w:tc>
          <w:tcPr>
            <w:tcW w:w="9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1160" w:type="dxa"/>
            <w:vAlign w:val="bottom"/>
            <w:shd w:val="clear" w:color="auto" w:fill="CCEEFF"/>
          </w:tcPr>
          <w:p>
            <w:pPr>
              <w:jc w:val="center"/>
              <w:ind w:right="14"/>
              <w:spacing w:after="0" w:line="181" w:lineRule="exact"/>
              <w:rPr>
                <w:sz w:val="20"/>
                <w:szCs w:val="20"/>
                <w:color w:val="auto"/>
              </w:rPr>
            </w:pPr>
            <w:r>
              <w:rPr>
                <w:rFonts w:ascii="Times New Roman" w:cs="Times New Roman" w:eastAsia="Times New Roman" w:hAnsi="Times New Roman"/>
                <w:sz w:val="17"/>
                <w:szCs w:val="17"/>
                <w:color w:val="auto"/>
              </w:rPr>
              <w:t>10.6</w:t>
            </w:r>
          </w:p>
        </w:tc>
        <w:tc>
          <w:tcPr>
            <w:tcW w:w="14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218"/>
        </w:trPr>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left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640" w:type="dxa"/>
            <w:vAlign w:val="bottom"/>
            <w:tcBorders>
              <w:top w:val="single" w:sz="8" w:color="0000FF"/>
              <w:bottom w:val="single" w:sz="8" w:color="0000FF"/>
            </w:tcBorders>
            <w:gridSpan w:val="4"/>
            <w:shd w:val="clear" w:color="auto" w:fill="CCEEFF"/>
          </w:tcPr>
          <w:p>
            <w:pPr>
              <w:spacing w:after="0" w:line="173" w:lineRule="exact"/>
              <w:rPr>
                <w:rFonts w:ascii="Times New Roman" w:cs="Times New Roman" w:eastAsia="Times New Roman" w:hAnsi="Times New Roman"/>
                <w:sz w:val="17"/>
                <w:szCs w:val="17"/>
                <w:color w:val="0000FF"/>
                <w:w w:val="98"/>
              </w:rPr>
            </w:pPr>
            <w:hyperlink r:id="rId96">
              <w:r>
                <w:rPr>
                  <w:rFonts w:ascii="Times New Roman" w:cs="Times New Roman" w:eastAsia="Times New Roman" w:hAnsi="Times New Roman"/>
                  <w:sz w:val="17"/>
                  <w:szCs w:val="17"/>
                  <w:color w:val="0000FF"/>
                  <w:w w:val="98"/>
                </w:rPr>
                <w:t>its directors and officers</w:t>
              </w:r>
            </w:hyperlink>
          </w:p>
        </w:tc>
        <w:tc>
          <w:tcPr>
            <w:tcW w:w="3220" w:type="dxa"/>
            <w:vAlign w:val="bottom"/>
            <w:tcBorders>
              <w:top w:val="single" w:sz="8" w:color="0000FF"/>
              <w:bottom w:val="single" w:sz="8" w:color="CCEEFF"/>
            </w:tcBorders>
            <w:gridSpan w:val="18"/>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840" w:type="dxa"/>
            <w:vAlign w:val="bottom"/>
            <w:gridSpan w:val="6"/>
          </w:tcPr>
          <w:p>
            <w:pPr>
              <w:jc w:val="center"/>
              <w:ind w:left="174"/>
              <w:spacing w:after="0" w:line="181" w:lineRule="exact"/>
              <w:rPr>
                <w:rFonts w:ascii="Times New Roman" w:cs="Times New Roman" w:eastAsia="Times New Roman" w:hAnsi="Times New Roman"/>
                <w:sz w:val="17"/>
                <w:szCs w:val="17"/>
                <w:color w:val="0000FF"/>
                <w:w w:val="99"/>
              </w:rPr>
            </w:pPr>
            <w:hyperlink r:id="rId97">
              <w:r>
                <w:rPr>
                  <w:rFonts w:ascii="Times New Roman" w:cs="Times New Roman" w:eastAsia="Times New Roman" w:hAnsi="Times New Roman"/>
                  <w:sz w:val="17"/>
                  <w:szCs w:val="17"/>
                  <w:color w:val="0000FF"/>
                  <w:w w:val="99"/>
                </w:rPr>
                <w:t>10.</w:t>
              </w:r>
              <w:r>
                <w:rPr>
                  <w:rFonts w:ascii="Times New Roman" w:cs="Times New Roman" w:eastAsia="Times New Roman" w:hAnsi="Times New Roman"/>
                  <w:sz w:val="17"/>
                  <w:szCs w:val="17"/>
                  <w:u w:val="single" w:color="auto"/>
                  <w:color w:val="0000FF"/>
                  <w:w w:val="99"/>
                </w:rPr>
                <w:t>7#</w:t>
              </w:r>
            </w:hyperlink>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60" w:type="dxa"/>
            <w:vAlign w:val="bottom"/>
            <w:gridSpan w:val="25"/>
          </w:tcPr>
          <w:p>
            <w:pPr>
              <w:spacing w:after="0" w:line="181"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WM Technology, Inc. 2021 Equity Incentive Plan</w:t>
              </w:r>
            </w:hyperlink>
          </w:p>
        </w:tc>
        <w:tc>
          <w:tcPr>
            <w:tcW w:w="9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1160" w:type="dxa"/>
            <w:vAlign w:val="bottom"/>
          </w:tcPr>
          <w:p>
            <w:pPr>
              <w:jc w:val="center"/>
              <w:ind w:right="14"/>
              <w:spacing w:after="0" w:line="181" w:lineRule="exact"/>
              <w:rPr>
                <w:sz w:val="20"/>
                <w:szCs w:val="20"/>
                <w:color w:val="auto"/>
              </w:rPr>
            </w:pPr>
            <w:r>
              <w:rPr>
                <w:rFonts w:ascii="Times New Roman" w:cs="Times New Roman" w:eastAsia="Times New Roman" w:hAnsi="Times New Roman"/>
                <w:sz w:val="17"/>
                <w:szCs w:val="17"/>
                <w:color w:val="auto"/>
              </w:rPr>
              <w:t>10.7</w:t>
            </w:r>
          </w:p>
        </w:tc>
        <w:tc>
          <w:tcPr>
            <w:tcW w:w="14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44"/>
        </w:trPr>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80"/>
        </w:trPr>
        <w:tc>
          <w:tcPr>
            <w:tcW w:w="200" w:type="dxa"/>
            <w:vAlign w:val="bottom"/>
            <w:shd w:val="clear" w:color="auto" w:fill="CCEEFF"/>
          </w:tcPr>
          <w:p>
            <w:pPr>
              <w:spacing w:after="0"/>
              <w:rPr>
                <w:sz w:val="15"/>
                <w:szCs w:val="15"/>
                <w:color w:val="auto"/>
              </w:rPr>
            </w:pPr>
          </w:p>
        </w:tc>
        <w:tc>
          <w:tcPr>
            <w:tcW w:w="700" w:type="dxa"/>
            <w:vAlign w:val="bottom"/>
            <w:gridSpan w:val="6"/>
            <w:shd w:val="clear" w:color="auto" w:fill="CCEEFF"/>
          </w:tcPr>
          <w:p>
            <w:pPr>
              <w:jc w:val="center"/>
              <w:spacing w:after="0" w:line="181"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7(a)(#)</w:t>
              </w:r>
            </w:hyperlink>
          </w:p>
        </w:tc>
        <w:tc>
          <w:tcPr>
            <w:tcW w:w="320" w:type="dxa"/>
            <w:vAlign w:val="bottom"/>
            <w:tcBorders>
              <w:right w:val="single" w:sz="8" w:color="CCEEFF"/>
            </w:tcBorders>
            <w:shd w:val="clear" w:color="auto" w:fill="CCEEFF"/>
          </w:tcPr>
          <w:p>
            <w:pPr>
              <w:spacing w:after="0"/>
              <w:rPr>
                <w:sz w:val="15"/>
                <w:szCs w:val="15"/>
                <w:color w:val="auto"/>
              </w:rPr>
            </w:pPr>
          </w:p>
        </w:tc>
        <w:tc>
          <w:tcPr>
            <w:tcW w:w="5160" w:type="dxa"/>
            <w:vAlign w:val="bottom"/>
            <w:gridSpan w:val="25"/>
            <w:shd w:val="clear" w:color="auto" w:fill="CCEEFF"/>
          </w:tcPr>
          <w:p>
            <w:pPr>
              <w:spacing w:after="0" w:line="181"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Form of Stock Option Grant Notice</w:t>
              </w:r>
            </w:hyperlink>
          </w:p>
        </w:tc>
        <w:tc>
          <w:tcPr>
            <w:tcW w:w="9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116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10.7(a)</w:t>
            </w:r>
          </w:p>
        </w:tc>
        <w:tc>
          <w:tcPr>
            <w:tcW w:w="14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44"/>
        </w:trPr>
        <w:tc>
          <w:tcPr>
            <w:tcW w:w="2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right w:val="single" w:sz="8" w:color="CCEE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left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CCEEFF"/>
              <w:right w:val="single" w:sz="8" w:color="CCEE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132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440" w:type="dxa"/>
            <w:vAlign w:val="bottom"/>
            <w:tcBorders>
              <w:top w:val="single" w:sz="8" w:color="CCEEFF"/>
            </w:tcBorders>
            <w:shd w:val="clear" w:color="auto" w:fill="CCEEFF"/>
          </w:tcPr>
          <w:p>
            <w:pPr>
              <w:spacing w:after="0"/>
              <w:rPr>
                <w:sz w:val="3"/>
                <w:szCs w:val="3"/>
                <w:color w:val="auto"/>
              </w:rPr>
            </w:pPr>
          </w:p>
        </w:tc>
      </w:tr>
      <w:tr>
        <w:trPr>
          <w:trHeight w:val="180"/>
        </w:trPr>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4"/>
          </w:tcPr>
          <w:p>
            <w:pPr>
              <w:jc w:val="center"/>
              <w:spacing w:after="0" w:line="181" w:lineRule="exact"/>
              <w:rPr>
                <w:rFonts w:ascii="Times New Roman" w:cs="Times New Roman" w:eastAsia="Times New Roman" w:hAnsi="Times New Roman"/>
                <w:sz w:val="17"/>
                <w:szCs w:val="17"/>
                <w:color w:val="0000FF"/>
                <w:w w:val="99"/>
              </w:rPr>
            </w:pPr>
            <w:hyperlink r:id="rId99">
              <w:r>
                <w:rPr>
                  <w:rFonts w:ascii="Times New Roman" w:cs="Times New Roman" w:eastAsia="Times New Roman" w:hAnsi="Times New Roman"/>
                  <w:sz w:val="17"/>
                  <w:szCs w:val="17"/>
                  <w:color w:val="0000FF"/>
                  <w:w w:val="99"/>
                </w:rPr>
                <w:t>10.</w:t>
              </w:r>
              <w:r>
                <w:rPr>
                  <w:rFonts w:ascii="Times New Roman" w:cs="Times New Roman" w:eastAsia="Times New Roman" w:hAnsi="Times New Roman"/>
                  <w:sz w:val="17"/>
                  <w:szCs w:val="17"/>
                  <w:u w:val="single" w:color="auto"/>
                  <w:color w:val="0000FF"/>
                  <w:w w:val="99"/>
                </w:rPr>
                <w:t>7(b)#</w:t>
              </w:r>
            </w:hyperlink>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60" w:type="dxa"/>
            <w:vAlign w:val="bottom"/>
            <w:gridSpan w:val="25"/>
          </w:tcPr>
          <w:p>
            <w:pPr>
              <w:spacing w:after="0" w:line="181"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Form of RSU Award Grant Notice</w:t>
              </w:r>
            </w:hyperlink>
          </w:p>
        </w:tc>
        <w:tc>
          <w:tcPr>
            <w:tcW w:w="9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1160" w:type="dxa"/>
            <w:vAlign w:val="bottom"/>
          </w:tcPr>
          <w:p>
            <w:pPr>
              <w:jc w:val="center"/>
              <w:ind w:right="14"/>
              <w:spacing w:after="0" w:line="181" w:lineRule="exact"/>
              <w:rPr>
                <w:sz w:val="20"/>
                <w:szCs w:val="20"/>
                <w:color w:val="auto"/>
              </w:rPr>
            </w:pPr>
            <w:r>
              <w:rPr>
                <w:rFonts w:ascii="Times New Roman" w:cs="Times New Roman" w:eastAsia="Times New Roman" w:hAnsi="Times New Roman"/>
                <w:sz w:val="17"/>
                <w:szCs w:val="17"/>
                <w:color w:val="auto"/>
              </w:rPr>
              <w:t>10.7(b)</w:t>
            </w:r>
          </w:p>
        </w:tc>
        <w:tc>
          <w:tcPr>
            <w:tcW w:w="14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896"/>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Borders>
              <w:top w:val="single" w:sz="8" w:color="0000FF"/>
            </w:tcBorders>
            <w:gridSpan w:val="7"/>
          </w:tcPr>
          <w:p>
            <w:pPr>
              <w:spacing w:after="0"/>
              <w:rPr>
                <w:sz w:val="24"/>
                <w:szCs w:val="24"/>
                <w:color w:val="auto"/>
              </w:rPr>
            </w:pPr>
          </w:p>
        </w:tc>
        <w:tc>
          <w:tcPr>
            <w:tcW w:w="2160" w:type="dxa"/>
            <w:vAlign w:val="bottom"/>
            <w:gridSpan w:val="9"/>
          </w:tcPr>
          <w:p>
            <w:pPr>
              <w:jc w:val="right"/>
              <w:ind w:right="20"/>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8"/>
        </w:trPr>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80" w:type="dxa"/>
            <w:vAlign w:val="bottom"/>
            <w:tcBorders>
              <w:bottom w:val="single" w:sz="8" w:color="CCEEFF"/>
              <w:right w:val="single" w:sz="8" w:color="CCEEFF"/>
            </w:tcBorders>
            <w:gridSpan w:val="2"/>
            <w:shd w:val="clear" w:color="auto" w:fill="CCEEFF"/>
          </w:tcPr>
          <w:p>
            <w:pPr>
              <w:spacing w:after="0"/>
              <w:rPr>
                <w:sz w:val="20"/>
                <w:szCs w:val="20"/>
                <w:color w:val="auto"/>
              </w:rPr>
            </w:pPr>
          </w:p>
        </w:tc>
        <w:tc>
          <w:tcPr>
            <w:tcW w:w="300" w:type="dxa"/>
            <w:vAlign w:val="bottom"/>
            <w:tcBorders>
              <w:bottom w:val="single" w:sz="8" w:color="0000FF"/>
            </w:tcBorders>
            <w:shd w:val="clear" w:color="auto" w:fill="CCEEFF"/>
          </w:tcPr>
          <w:p>
            <w:pPr>
              <w:jc w:val="center"/>
              <w:spacing w:after="0"/>
              <w:rPr>
                <w:rFonts w:ascii="Times New Roman" w:cs="Times New Roman" w:eastAsia="Times New Roman" w:hAnsi="Times New Roman"/>
                <w:sz w:val="17"/>
                <w:szCs w:val="17"/>
                <w:color w:val="0000FF"/>
                <w:w w:val="93"/>
              </w:rPr>
            </w:pPr>
            <w:hyperlink r:id="rId102">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8#</w:t>
              </w:r>
            </w:hyperlink>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08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WM Technology, Inc. 2021 Employee Stock Purchase Plan</w:t>
              </w:r>
            </w:hyperlink>
          </w:p>
        </w:tc>
        <w:tc>
          <w:tcPr>
            <w:tcW w:w="1140" w:type="dxa"/>
            <w:vAlign w:val="bottom"/>
            <w:tcBorders>
              <w:bottom w:val="single" w:sz="8" w:color="CCEEFF"/>
            </w:tcBorders>
            <w:gridSpan w:val="23"/>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8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001-39021</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1640" w:type="dxa"/>
            <w:vAlign w:val="bottom"/>
            <w:tcBorders>
              <w:bottom w:val="single" w:sz="8" w:color="CCEEFF"/>
            </w:tcBorders>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June 22, 2021</w:t>
            </w:r>
          </w:p>
        </w:tc>
      </w:tr>
      <w:tr>
        <w:trPr>
          <w:trHeight w:val="180"/>
        </w:trPr>
        <w:tc>
          <w:tcPr>
            <w:tcW w:w="680" w:type="dxa"/>
            <w:vAlign w:val="bottom"/>
            <w:gridSpan w:val="3"/>
          </w:tcPr>
          <w:p>
            <w:pPr>
              <w:jc w:val="center"/>
              <w:ind w:left="294"/>
              <w:spacing w:after="0" w:line="181"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9</w:t>
              </w:r>
            </w:hyperlink>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20" w:type="dxa"/>
            <w:vAlign w:val="bottom"/>
            <w:gridSpan w:val="37"/>
          </w:tcPr>
          <w:p>
            <w:pPr>
              <w:spacing w:after="0" w:line="181"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Lease, dated as of November 11, 2013, by and between the Irvine</w:t>
              </w:r>
            </w:hyperlink>
          </w:p>
        </w:tc>
        <w:tc>
          <w:tcPr>
            <w:tcW w:w="9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80" w:type="dxa"/>
            <w:vAlign w:val="bottom"/>
          </w:tcPr>
          <w:p>
            <w:pPr>
              <w:jc w:val="right"/>
              <w:ind w:right="234"/>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9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10.12</w:t>
            </w:r>
          </w:p>
        </w:tc>
        <w:tc>
          <w:tcPr>
            <w:tcW w:w="1640" w:type="dxa"/>
            <w:vAlign w:val="bottom"/>
          </w:tcPr>
          <w:p>
            <w:pPr>
              <w:jc w:val="center"/>
              <w:ind w:left="114"/>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148"/>
        </w:trPr>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500" w:type="dxa"/>
            <w:vAlign w:val="bottom"/>
            <w:tcBorders>
              <w:top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Company LLC and Ghost Media Group, LLC, as amended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32"/>
        </w:trPr>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80"/>
        </w:trPr>
        <w:tc>
          <w:tcPr>
            <w:tcW w:w="780" w:type="dxa"/>
            <w:vAlign w:val="bottom"/>
            <w:gridSpan w:val="4"/>
            <w:shd w:val="clear" w:color="auto" w:fill="CCEEFF"/>
          </w:tcPr>
          <w:p>
            <w:pPr>
              <w:jc w:val="center"/>
              <w:ind w:left="214"/>
              <w:spacing w:after="0" w:line="181"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10</w:t>
              </w:r>
            </w:hyperlink>
          </w:p>
        </w:tc>
        <w:tc>
          <w:tcPr>
            <w:tcW w:w="400" w:type="dxa"/>
            <w:vAlign w:val="bottom"/>
            <w:shd w:val="clear" w:color="auto" w:fill="CCEEFF"/>
          </w:tcPr>
          <w:p>
            <w:pPr>
              <w:spacing w:after="0"/>
              <w:rPr>
                <w:sz w:val="15"/>
                <w:szCs w:val="15"/>
                <w:color w:val="auto"/>
              </w:rPr>
            </w:pPr>
          </w:p>
        </w:tc>
        <w:tc>
          <w:tcPr>
            <w:tcW w:w="5220" w:type="dxa"/>
            <w:vAlign w:val="bottom"/>
            <w:gridSpan w:val="37"/>
            <w:shd w:val="clear" w:color="auto" w:fill="CCEEFF"/>
          </w:tcPr>
          <w:p>
            <w:pPr>
              <w:spacing w:after="0" w:line="181"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First Amendment to Lease and Consent to Assignment, dated as of</w:t>
              </w:r>
            </w:hyperlink>
          </w:p>
        </w:tc>
        <w:tc>
          <w:tcPr>
            <w:tcW w:w="9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80" w:type="dxa"/>
            <w:vAlign w:val="bottom"/>
            <w:shd w:val="clear" w:color="auto" w:fill="CCEEFF"/>
          </w:tcPr>
          <w:p>
            <w:pPr>
              <w:jc w:val="right"/>
              <w:ind w:right="234"/>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9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10.13</w:t>
            </w:r>
          </w:p>
        </w:tc>
        <w:tc>
          <w:tcPr>
            <w:tcW w:w="1640" w:type="dxa"/>
            <w:vAlign w:val="bottom"/>
            <w:shd w:val="clear" w:color="auto" w:fill="CCEEFF"/>
          </w:tcPr>
          <w:p>
            <w:pPr>
              <w:jc w:val="center"/>
              <w:ind w:left="114"/>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148"/>
        </w:trPr>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30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4620" w:type="dxa"/>
            <w:vAlign w:val="bottom"/>
            <w:tcBorders>
              <w:top w:val="single" w:sz="8" w:color="0000FF"/>
            </w:tcBorders>
            <w:gridSpan w:val="23"/>
            <w:shd w:val="clear" w:color="auto" w:fill="CCEEFF"/>
          </w:tcPr>
          <w:p>
            <w:pPr>
              <w:spacing w:after="0" w:line="148" w:lineRule="exact"/>
              <w:rPr>
                <w:rFonts w:ascii="Times New Roman" w:cs="Times New Roman" w:eastAsia="Times New Roman" w:hAnsi="Times New Roman"/>
                <w:sz w:val="17"/>
                <w:szCs w:val="17"/>
                <w:color w:val="0000FF"/>
                <w:w w:val="99"/>
              </w:rPr>
            </w:pPr>
            <w:hyperlink r:id="rId104">
              <w:r>
                <w:rPr>
                  <w:rFonts w:ascii="Times New Roman" w:cs="Times New Roman" w:eastAsia="Times New Roman" w:hAnsi="Times New Roman"/>
                  <w:sz w:val="17"/>
                  <w:szCs w:val="17"/>
                  <w:color w:val="0000FF"/>
                  <w:w w:val="99"/>
                </w:rPr>
                <w:t>January 27, 2016, by and between Discovery Business Center LLC,</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gridSpan w:val="10"/>
            <w:shd w:val="clear" w:color="auto" w:fill="CCEEFF"/>
          </w:tcPr>
          <w:p>
            <w:pPr>
              <w:jc w:val="center"/>
              <w:ind w:right="380"/>
              <w:spacing w:after="0" w:line="148" w:lineRule="exact"/>
              <w:rPr>
                <w:rFonts w:ascii="Times New Roman" w:cs="Times New Roman" w:eastAsia="Times New Roman" w:hAnsi="Times New Roman"/>
                <w:sz w:val="17"/>
                <w:szCs w:val="17"/>
                <w:color w:val="0000FF"/>
                <w:w w:val="98"/>
              </w:rPr>
            </w:pPr>
            <w:hyperlink r:id="rId104">
              <w:r>
                <w:rPr>
                  <w:rFonts w:ascii="Times New Roman" w:cs="Times New Roman" w:eastAsia="Times New Roman" w:hAnsi="Times New Roman"/>
                  <w:sz w:val="17"/>
                  <w:szCs w:val="17"/>
                  <w:color w:val="0000FF"/>
                  <w:w w:val="98"/>
                </w:rPr>
                <w:t>as</w:t>
              </w:r>
            </w:hyperlink>
          </w:p>
        </w:tc>
        <w:tc>
          <w:tcPr>
            <w:tcW w:w="9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r>
      <w:tr>
        <w:trPr>
          <w:trHeight w:val="160"/>
        </w:trPr>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860" w:type="dxa"/>
            <w:vAlign w:val="bottom"/>
            <w:tcBorders>
              <w:top w:val="single" w:sz="8" w:color="0000FF"/>
            </w:tcBorders>
            <w:gridSpan w:val="32"/>
            <w:shd w:val="clear" w:color="auto" w:fill="CCEEFF"/>
          </w:tcPr>
          <w:p>
            <w:pPr>
              <w:spacing w:after="0" w:line="161"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successor-in-interest to the Irvine Company LLC, and Ghost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shd w:val="clear" w:color="auto" w:fill="CCEEFF"/>
          </w:tcPr>
          <w:p>
            <w:pPr>
              <w:spacing w:after="0"/>
              <w:rPr>
                <w:sz w:val="13"/>
                <w:szCs w:val="13"/>
                <w:color w:val="auto"/>
              </w:rPr>
            </w:pPr>
          </w:p>
        </w:tc>
      </w:tr>
      <w:tr>
        <w:trPr>
          <w:trHeight w:val="148"/>
        </w:trPr>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4160" w:type="dxa"/>
            <w:vAlign w:val="bottom"/>
            <w:tcBorders>
              <w:top w:val="single" w:sz="8" w:color="0000FF"/>
            </w:tcBorders>
            <w:gridSpan w:val="15"/>
            <w:shd w:val="clear" w:color="auto" w:fill="CCEEFF"/>
          </w:tcPr>
          <w:p>
            <w:pPr>
              <w:spacing w:after="0" w:line="148"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Management Group, LLC, as successor-in-interest to Ghost</w:t>
              </w:r>
            </w:hyperlink>
          </w:p>
        </w:tc>
        <w:tc>
          <w:tcPr>
            <w:tcW w:w="1060" w:type="dxa"/>
            <w:vAlign w:val="bottom"/>
            <w:tcBorders>
              <w:top w:val="single" w:sz="8" w:color="CCEEFF"/>
            </w:tcBorders>
            <w:gridSpan w:val="22"/>
            <w:shd w:val="clear" w:color="auto" w:fill="CCEEFF"/>
          </w:tcPr>
          <w:p>
            <w:pPr>
              <w:spacing w:after="0" w:line="148"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Media</w:t>
              </w:r>
            </w:hyperlink>
          </w:p>
        </w:tc>
        <w:tc>
          <w:tcPr>
            <w:tcW w:w="9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r>
      <w:tr>
        <w:trPr>
          <w:trHeight w:val="148"/>
        </w:trPr>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4580" w:type="dxa"/>
            <w:vAlign w:val="bottom"/>
            <w:tcBorders>
              <w:top w:val="single" w:sz="8" w:color="0000FF"/>
            </w:tcBorders>
            <w:gridSpan w:val="21"/>
            <w:shd w:val="clear" w:color="auto" w:fill="CCEEFF"/>
          </w:tcPr>
          <w:p>
            <w:pPr>
              <w:spacing w:after="0" w:line="148"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Group, LLC</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r>
      <w:tr>
        <w:trPr>
          <w:trHeight w:val="32"/>
        </w:trPr>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r>
      <w:tr>
        <w:trPr>
          <w:trHeight w:val="180"/>
        </w:trPr>
        <w:tc>
          <w:tcPr>
            <w:tcW w:w="680" w:type="dxa"/>
            <w:vAlign w:val="bottom"/>
            <w:gridSpan w:val="3"/>
          </w:tcPr>
          <w:p>
            <w:pPr>
              <w:jc w:val="center"/>
              <w:ind w:left="214"/>
              <w:spacing w:after="0" w:line="181" w:lineRule="exact"/>
              <w:rPr>
                <w:rFonts w:ascii="Times New Roman" w:cs="Times New Roman" w:eastAsia="Times New Roman" w:hAnsi="Times New Roman"/>
                <w:sz w:val="17"/>
                <w:szCs w:val="17"/>
                <w:color w:val="0000FF"/>
                <w:w w:val="99"/>
              </w:rPr>
            </w:pPr>
            <w:hyperlink r:id="rId105">
              <w:r>
                <w:rPr>
                  <w:rFonts w:ascii="Times New Roman" w:cs="Times New Roman" w:eastAsia="Times New Roman" w:hAnsi="Times New Roman"/>
                  <w:sz w:val="17"/>
                  <w:szCs w:val="17"/>
                  <w:color w:val="0000FF"/>
                  <w:w w:val="99"/>
                </w:rPr>
                <w:t>10.</w:t>
              </w:r>
              <w:r>
                <w:rPr>
                  <w:rFonts w:ascii="Times New Roman" w:cs="Times New Roman" w:eastAsia="Times New Roman" w:hAnsi="Times New Roman"/>
                  <w:sz w:val="17"/>
                  <w:szCs w:val="17"/>
                  <w:u w:val="single" w:color="auto"/>
                  <w:color w:val="0000FF"/>
                  <w:w w:val="99"/>
                </w:rPr>
                <w:t>11</w:t>
              </w:r>
            </w:hyperlink>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20" w:type="dxa"/>
            <w:vAlign w:val="bottom"/>
            <w:gridSpan w:val="37"/>
          </w:tcPr>
          <w:p>
            <w:pPr>
              <w:spacing w:after="0" w:line="181"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Second Amendment to Lease, dated as of April 7, 2017, by and between</w:t>
              </w:r>
            </w:hyperlink>
          </w:p>
        </w:tc>
        <w:tc>
          <w:tcPr>
            <w:tcW w:w="9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80" w:type="dxa"/>
            <w:vAlign w:val="bottom"/>
          </w:tcPr>
          <w:p>
            <w:pPr>
              <w:jc w:val="right"/>
              <w:ind w:right="234"/>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9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10.14</w:t>
            </w:r>
          </w:p>
        </w:tc>
        <w:tc>
          <w:tcPr>
            <w:tcW w:w="1640" w:type="dxa"/>
            <w:vAlign w:val="bottom"/>
          </w:tcPr>
          <w:p>
            <w:pPr>
              <w:jc w:val="center"/>
              <w:ind w:left="114"/>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148"/>
        </w:trPr>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980" w:type="dxa"/>
            <w:vAlign w:val="bottom"/>
            <w:tcBorders>
              <w:top w:val="single" w:sz="8" w:color="0000FF"/>
            </w:tcBorders>
            <w:gridSpan w:val="36"/>
          </w:tcPr>
          <w:p>
            <w:pPr>
              <w:spacing w:after="0" w:line="148"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Discovery Business Center LLC and Ghost Management Group, LLC</w:t>
              </w:r>
            </w:hyperlink>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32"/>
        </w:trPr>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80"/>
        </w:trPr>
        <w:tc>
          <w:tcPr>
            <w:tcW w:w="380" w:type="dxa"/>
            <w:vAlign w:val="bottom"/>
            <w:tcBorders>
              <w:bottom w:val="single" w:sz="8" w:color="CCEEFF"/>
              <w:right w:val="single" w:sz="8" w:color="CCEEFF"/>
            </w:tcBorders>
            <w:gridSpan w:val="2"/>
            <w:shd w:val="clear" w:color="auto" w:fill="CCEEFF"/>
          </w:tcPr>
          <w:p>
            <w:pPr>
              <w:spacing w:after="0"/>
              <w:rPr>
                <w:sz w:val="15"/>
                <w:szCs w:val="15"/>
                <w:color w:val="auto"/>
              </w:rPr>
            </w:pPr>
          </w:p>
        </w:tc>
        <w:tc>
          <w:tcPr>
            <w:tcW w:w="300" w:type="dxa"/>
            <w:vAlign w:val="bottom"/>
            <w:tcBorders>
              <w:bottom w:val="single" w:sz="8" w:color="0000FF"/>
            </w:tcBorders>
            <w:shd w:val="clear" w:color="auto" w:fill="CCEEFF"/>
          </w:tcPr>
          <w:p>
            <w:pPr>
              <w:jc w:val="center"/>
              <w:spacing w:after="0" w:line="181" w:lineRule="exact"/>
              <w:rPr>
                <w:rFonts w:ascii="Times New Roman" w:cs="Times New Roman" w:eastAsia="Times New Roman" w:hAnsi="Times New Roman"/>
                <w:sz w:val="17"/>
                <w:szCs w:val="17"/>
                <w:color w:val="0000FF"/>
                <w:w w:val="93"/>
              </w:rPr>
            </w:pPr>
            <w:hyperlink r:id="rId106">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12</w:t>
              </w:r>
            </w:hyperlink>
          </w:p>
        </w:tc>
        <w:tc>
          <w:tcPr>
            <w:tcW w:w="100" w:type="dxa"/>
            <w:vAlign w:val="bottom"/>
            <w:tcBorders>
              <w:left w:val="single" w:sz="8" w:color="CCEEFF"/>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4700" w:type="dxa"/>
            <w:vAlign w:val="bottom"/>
            <w:tcBorders>
              <w:bottom w:val="single" w:sz="8" w:color="0000FF"/>
            </w:tcBorders>
            <w:gridSpan w:val="27"/>
            <w:shd w:val="clear" w:color="auto" w:fill="CCEEFF"/>
          </w:tcPr>
          <w:p>
            <w:pPr>
              <w:spacing w:after="0" w:line="181"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Third Amendment to Lease, dated as of December 29, 2017, by and</w:t>
              </w:r>
            </w:hyperlink>
          </w:p>
        </w:tc>
        <w:tc>
          <w:tcPr>
            <w:tcW w:w="520" w:type="dxa"/>
            <w:vAlign w:val="bottom"/>
            <w:tcBorders>
              <w:bottom w:val="single" w:sz="8" w:color="CCEEFF"/>
            </w:tcBorders>
            <w:gridSpan w:val="10"/>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80" w:type="dxa"/>
            <w:vAlign w:val="bottom"/>
            <w:tcBorders>
              <w:bottom w:val="single" w:sz="8" w:color="CCEEFF"/>
            </w:tcBorders>
            <w:shd w:val="clear" w:color="auto" w:fill="CCEEFF"/>
          </w:tcPr>
          <w:p>
            <w:pPr>
              <w:jc w:val="right"/>
              <w:ind w:right="234"/>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92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10.15</w:t>
            </w:r>
          </w:p>
        </w:tc>
        <w:tc>
          <w:tcPr>
            <w:tcW w:w="1640" w:type="dxa"/>
            <w:vAlign w:val="bottom"/>
            <w:tcBorders>
              <w:bottom w:val="single" w:sz="8" w:color="CCEEFF"/>
            </w:tcBorders>
            <w:shd w:val="clear" w:color="auto" w:fill="CCEEFF"/>
          </w:tcPr>
          <w:p>
            <w:pPr>
              <w:jc w:val="center"/>
              <w:ind w:left="114"/>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148"/>
        </w:trPr>
        <w:tc>
          <w:tcPr>
            <w:tcW w:w="3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760" w:type="dxa"/>
            <w:vAlign w:val="bottom"/>
            <w:gridSpan w:val="9"/>
            <w:shd w:val="clear" w:color="auto" w:fill="CCEEFF"/>
          </w:tcPr>
          <w:p>
            <w:pPr>
              <w:spacing w:after="0" w:line="148" w:lineRule="exact"/>
              <w:rPr>
                <w:rFonts w:ascii="Times New Roman" w:cs="Times New Roman" w:eastAsia="Times New Roman" w:hAnsi="Times New Roman"/>
                <w:sz w:val="17"/>
                <w:szCs w:val="17"/>
                <w:color w:val="0000FF"/>
                <w:w w:val="97"/>
              </w:rPr>
            </w:pPr>
            <w:hyperlink r:id="rId106">
              <w:r>
                <w:rPr>
                  <w:rFonts w:ascii="Times New Roman" w:cs="Times New Roman" w:eastAsia="Times New Roman" w:hAnsi="Times New Roman"/>
                  <w:sz w:val="17"/>
                  <w:szCs w:val="17"/>
                  <w:color w:val="0000FF"/>
                  <w:w w:val="97"/>
                </w:rPr>
                <w:t>between Discovery Business Center LLC</w:t>
              </w:r>
            </w:hyperlink>
          </w:p>
        </w:tc>
        <w:tc>
          <w:tcPr>
            <w:tcW w:w="2460" w:type="dxa"/>
            <w:vAlign w:val="bottom"/>
            <w:gridSpan w:val="28"/>
            <w:shd w:val="clear" w:color="auto" w:fill="CCEEFF"/>
          </w:tcPr>
          <w:p>
            <w:pPr>
              <w:jc w:val="right"/>
              <w:ind w:right="700"/>
              <w:spacing w:after="0" w:line="148"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and Ghost Management</w:t>
              </w:r>
            </w:hyperlink>
          </w:p>
        </w:tc>
        <w:tc>
          <w:tcPr>
            <w:tcW w:w="9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r>
      <w:tr>
        <w:trPr>
          <w:trHeight w:val="160"/>
        </w:trPr>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540" w:type="dxa"/>
            <w:vAlign w:val="bottom"/>
            <w:tcBorders>
              <w:top w:val="single" w:sz="8" w:color="0000FF"/>
            </w:tcBorders>
            <w:gridSpan w:val="19"/>
            <w:shd w:val="clear" w:color="auto" w:fill="CCEEFF"/>
          </w:tcPr>
          <w:p>
            <w:pPr>
              <w:spacing w:after="0" w:line="161"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Group, LLC</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shd w:val="clear" w:color="auto" w:fill="CCEEFF"/>
          </w:tcPr>
          <w:p>
            <w:pPr>
              <w:spacing w:after="0"/>
              <w:rPr>
                <w:sz w:val="13"/>
                <w:szCs w:val="13"/>
                <w:color w:val="auto"/>
              </w:rPr>
            </w:pPr>
          </w:p>
        </w:tc>
      </w:tr>
      <w:tr>
        <w:trPr>
          <w:trHeight w:val="39"/>
        </w:trPr>
        <w:tc>
          <w:tcPr>
            <w:tcW w:w="3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r>
      <w:tr>
        <w:trPr>
          <w:trHeight w:val="180"/>
        </w:trPr>
        <w:tc>
          <w:tcPr>
            <w:tcW w:w="780" w:type="dxa"/>
            <w:vAlign w:val="bottom"/>
            <w:gridSpan w:val="4"/>
          </w:tcPr>
          <w:p>
            <w:pPr>
              <w:jc w:val="center"/>
              <w:ind w:left="214"/>
              <w:spacing w:after="0" w:line="181"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13</w:t>
              </w:r>
            </w:hyperlink>
          </w:p>
        </w:tc>
        <w:tc>
          <w:tcPr>
            <w:tcW w:w="400" w:type="dxa"/>
            <w:vAlign w:val="bottom"/>
          </w:tcPr>
          <w:p>
            <w:pPr>
              <w:spacing w:after="0"/>
              <w:rPr>
                <w:sz w:val="15"/>
                <w:szCs w:val="15"/>
                <w:color w:val="auto"/>
              </w:rPr>
            </w:pPr>
          </w:p>
        </w:tc>
        <w:tc>
          <w:tcPr>
            <w:tcW w:w="5220" w:type="dxa"/>
            <w:vAlign w:val="bottom"/>
            <w:gridSpan w:val="37"/>
          </w:tcPr>
          <w:p>
            <w:pPr>
              <w:spacing w:after="0" w:line="181"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Fourth Amendment to Lease, dated May 3, 2018, by and between</w:t>
              </w:r>
            </w:hyperlink>
          </w:p>
        </w:tc>
        <w:tc>
          <w:tcPr>
            <w:tcW w:w="9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80" w:type="dxa"/>
            <w:vAlign w:val="bottom"/>
          </w:tcPr>
          <w:p>
            <w:pPr>
              <w:jc w:val="right"/>
              <w:ind w:right="234"/>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9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10.16</w:t>
            </w:r>
          </w:p>
        </w:tc>
        <w:tc>
          <w:tcPr>
            <w:tcW w:w="1640" w:type="dxa"/>
            <w:vAlign w:val="bottom"/>
          </w:tcPr>
          <w:p>
            <w:pPr>
              <w:jc w:val="center"/>
              <w:ind w:left="114"/>
              <w:spacing w:after="0" w:line="181" w:lineRule="exact"/>
              <w:rPr>
                <w:sz w:val="20"/>
                <w:szCs w:val="20"/>
                <w:color w:val="auto"/>
              </w:rPr>
            </w:pPr>
            <w:r>
              <w:rPr>
                <w:rFonts w:ascii="Times New Roman" w:cs="Times New Roman" w:eastAsia="Times New Roman" w:hAnsi="Times New Roman"/>
                <w:sz w:val="17"/>
                <w:szCs w:val="17"/>
                <w:color w:val="auto"/>
              </w:rPr>
              <w:t>June 22, 2021</w:t>
            </w:r>
          </w:p>
        </w:tc>
      </w:tr>
      <w:tr>
        <w:trPr>
          <w:trHeight w:val="148"/>
        </w:trPr>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520" w:type="dxa"/>
            <w:vAlign w:val="bottom"/>
            <w:tcBorders>
              <w:top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Discovery Business Center LLC and Ghost Management Group,</w:t>
              </w:r>
            </w:hyperlink>
          </w:p>
        </w:tc>
        <w:tc>
          <w:tcPr>
            <w:tcW w:w="700" w:type="dxa"/>
            <w:vAlign w:val="bottom"/>
            <w:gridSpan w:val="19"/>
          </w:tcPr>
          <w:p>
            <w:pPr>
              <w:spacing w:after="0" w:line="148"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LLC</w:t>
              </w:r>
            </w:hyperlink>
          </w:p>
        </w:tc>
        <w:tc>
          <w:tcPr>
            <w:tcW w:w="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32"/>
        </w:trPr>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80"/>
        </w:trPr>
        <w:tc>
          <w:tcPr>
            <w:tcW w:w="780" w:type="dxa"/>
            <w:vAlign w:val="bottom"/>
            <w:gridSpan w:val="4"/>
            <w:shd w:val="clear" w:color="auto" w:fill="CCEEFF"/>
          </w:tcPr>
          <w:p>
            <w:pPr>
              <w:jc w:val="center"/>
              <w:ind w:left="214"/>
              <w:spacing w:after="0" w:line="181"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10.</w:t>
              </w:r>
            </w:hyperlink>
            <w:r>
              <w:rPr>
                <w:rFonts w:ascii="Times New Roman" w:cs="Times New Roman" w:eastAsia="Times New Roman" w:hAnsi="Times New Roman"/>
                <w:sz w:val="17"/>
                <w:szCs w:val="17"/>
                <w:u w:val="single" w:color="auto"/>
                <w:color w:val="0000FF"/>
              </w:rPr>
              <w:t>14</w:t>
            </w:r>
          </w:p>
        </w:tc>
        <w:tc>
          <w:tcPr>
            <w:tcW w:w="400" w:type="dxa"/>
            <w:vAlign w:val="bottom"/>
            <w:shd w:val="clear" w:color="auto" w:fill="CCEEFF"/>
          </w:tcPr>
          <w:p>
            <w:pPr>
              <w:spacing w:after="0"/>
              <w:rPr>
                <w:sz w:val="15"/>
                <w:szCs w:val="15"/>
                <w:color w:val="auto"/>
              </w:rPr>
            </w:pPr>
          </w:p>
        </w:tc>
        <w:tc>
          <w:tcPr>
            <w:tcW w:w="5220" w:type="dxa"/>
            <w:vAlign w:val="bottom"/>
            <w:gridSpan w:val="37"/>
            <w:shd w:val="clear" w:color="auto" w:fill="CCEEFF"/>
          </w:tcPr>
          <w:p>
            <w:pPr>
              <w:spacing w:after="0" w:line="181"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Fifth Amendment to Lease, dated as of September 30, 2024, by and</w:t>
              </w:r>
            </w:hyperlink>
          </w:p>
        </w:tc>
        <w:tc>
          <w:tcPr>
            <w:tcW w:w="9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7"/>
              </w:rPr>
              <w:t>10-Q</w:t>
            </w:r>
          </w:p>
        </w:tc>
        <w:tc>
          <w:tcPr>
            <w:tcW w:w="1380" w:type="dxa"/>
            <w:vAlign w:val="bottom"/>
            <w:shd w:val="clear" w:color="auto" w:fill="CCEEFF"/>
          </w:tcPr>
          <w:p>
            <w:pPr>
              <w:jc w:val="right"/>
              <w:ind w:right="234"/>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9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10.2</w:t>
            </w:r>
          </w:p>
        </w:tc>
        <w:tc>
          <w:tcPr>
            <w:tcW w:w="1640" w:type="dxa"/>
            <w:vAlign w:val="bottom"/>
            <w:shd w:val="clear" w:color="auto" w:fill="CCEEFF"/>
          </w:tcPr>
          <w:p>
            <w:pPr>
              <w:jc w:val="center"/>
              <w:ind w:left="134"/>
              <w:spacing w:after="0" w:line="181" w:lineRule="exact"/>
              <w:rPr>
                <w:sz w:val="20"/>
                <w:szCs w:val="20"/>
                <w:color w:val="auto"/>
              </w:rPr>
            </w:pPr>
            <w:r>
              <w:rPr>
                <w:rFonts w:ascii="Times New Roman" w:cs="Times New Roman" w:eastAsia="Times New Roman" w:hAnsi="Times New Roman"/>
                <w:sz w:val="17"/>
                <w:szCs w:val="17"/>
                <w:color w:val="auto"/>
              </w:rPr>
              <w:t>November 12, 2024</w:t>
            </w:r>
          </w:p>
        </w:tc>
      </w:tr>
      <w:tr>
        <w:trPr>
          <w:trHeight w:val="148"/>
        </w:trPr>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30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4680" w:type="dxa"/>
            <w:vAlign w:val="bottom"/>
            <w:tcBorders>
              <w:top w:val="single" w:sz="8" w:color="0000FF"/>
            </w:tcBorders>
            <w:gridSpan w:val="26"/>
            <w:shd w:val="clear" w:color="auto" w:fill="CCEEFF"/>
          </w:tcPr>
          <w:p>
            <w:pPr>
              <w:spacing w:after="0" w:line="148"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between Discovery Business Center LLC and Ghost Management</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gridSpan w:val="2"/>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r>
      <w:tr>
        <w:trPr>
          <w:trHeight w:val="160"/>
        </w:trPr>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540" w:type="dxa"/>
            <w:vAlign w:val="bottom"/>
            <w:tcBorders>
              <w:top w:val="single" w:sz="8" w:color="0000FF"/>
            </w:tcBorders>
            <w:gridSpan w:val="19"/>
            <w:shd w:val="clear" w:color="auto" w:fill="CCEEFF"/>
          </w:tcPr>
          <w:p>
            <w:pPr>
              <w:spacing w:after="0" w:line="161"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Group, LLC</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shd w:val="clear" w:color="auto" w:fill="CCEEFF"/>
          </w:tcPr>
          <w:p>
            <w:pPr>
              <w:spacing w:after="0"/>
              <w:rPr>
                <w:sz w:val="13"/>
                <w:szCs w:val="13"/>
                <w:color w:val="auto"/>
              </w:rPr>
            </w:pPr>
          </w:p>
        </w:tc>
      </w:tr>
      <w:tr>
        <w:trPr>
          <w:trHeight w:val="39"/>
        </w:trPr>
        <w:tc>
          <w:tcPr>
            <w:tcW w:w="3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r>
      <w:tr>
        <w:trPr>
          <w:trHeight w:val="200"/>
        </w:trPr>
        <w:tc>
          <w:tcPr>
            <w:tcW w:w="1180" w:type="dxa"/>
            <w:vAlign w:val="bottom"/>
            <w:gridSpan w:val="5"/>
          </w:tcPr>
          <w:p>
            <w:pPr>
              <w:jc w:val="center"/>
              <w:ind w:right="100"/>
              <w:spacing w:after="0" w:line="181"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15#</w:t>
              </w:r>
            </w:hyperlink>
          </w:p>
        </w:tc>
        <w:tc>
          <w:tcPr>
            <w:tcW w:w="5220" w:type="dxa"/>
            <w:vAlign w:val="bottom"/>
            <w:gridSpan w:val="37"/>
          </w:tcPr>
          <w:p>
            <w:pPr>
              <w:spacing w:after="0" w:line="181"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Amended and Restated WM Technology, Inc. Non-Employee Director</w:t>
              </w:r>
            </w:hyperlink>
          </w:p>
        </w:tc>
        <w:tc>
          <w:tcPr>
            <w:tcW w:w="9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8-K</w:t>
            </w:r>
          </w:p>
        </w:tc>
        <w:tc>
          <w:tcPr>
            <w:tcW w:w="1380" w:type="dxa"/>
            <w:vAlign w:val="bottom"/>
          </w:tcPr>
          <w:p>
            <w:pPr>
              <w:jc w:val="right"/>
              <w:ind w:right="234"/>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9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10.2</w:t>
            </w:r>
          </w:p>
        </w:tc>
        <w:tc>
          <w:tcPr>
            <w:tcW w:w="1640" w:type="dxa"/>
            <w:vAlign w:val="bottom"/>
          </w:tcPr>
          <w:p>
            <w:pPr>
              <w:jc w:val="center"/>
              <w:ind w:left="134"/>
              <w:spacing w:after="0" w:line="181" w:lineRule="exact"/>
              <w:rPr>
                <w:sz w:val="20"/>
                <w:szCs w:val="20"/>
                <w:color w:val="auto"/>
              </w:rPr>
            </w:pPr>
            <w:r>
              <w:rPr>
                <w:rFonts w:ascii="Times New Roman" w:cs="Times New Roman" w:eastAsia="Times New Roman" w:hAnsi="Times New Roman"/>
                <w:sz w:val="17"/>
                <w:szCs w:val="17"/>
                <w:color w:val="auto"/>
                <w:w w:val="99"/>
              </w:rPr>
              <w:t>October 06, 2023</w:t>
            </w:r>
          </w:p>
        </w:tc>
      </w:tr>
      <w:tr>
        <w:trPr>
          <w:trHeight w:val="128"/>
        </w:trPr>
        <w:tc>
          <w:tcPr>
            <w:tcW w:w="3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0" w:type="dxa"/>
            <w:vAlign w:val="bottom"/>
          </w:tcPr>
          <w:p>
            <w:pPr>
              <w:spacing w:after="0"/>
              <w:rPr>
                <w:sz w:val="11"/>
                <w:szCs w:val="11"/>
                <w:color w:val="auto"/>
              </w:rPr>
            </w:pPr>
          </w:p>
        </w:tc>
        <w:tc>
          <w:tcPr>
            <w:tcW w:w="4880" w:type="dxa"/>
            <w:vAlign w:val="bottom"/>
            <w:tcBorders>
              <w:top w:val="single" w:sz="8" w:color="0000FF"/>
            </w:tcBorders>
            <w:gridSpan w:val="33"/>
          </w:tcPr>
          <w:p>
            <w:pPr>
              <w:spacing w:after="0" w:line="128" w:lineRule="exact"/>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Compensation Policy</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32"/>
        </w:trPr>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0"/>
        </w:trPr>
        <w:tc>
          <w:tcPr>
            <w:tcW w:w="1180" w:type="dxa"/>
            <w:vAlign w:val="bottom"/>
            <w:gridSpan w:val="5"/>
            <w:shd w:val="clear" w:color="auto" w:fill="CCEEFF"/>
          </w:tcPr>
          <w:p>
            <w:pPr>
              <w:jc w:val="center"/>
              <w:ind w:right="100"/>
              <w:spacing w:after="0" w:line="181"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16#</w:t>
              </w:r>
            </w:hyperlink>
          </w:p>
        </w:tc>
        <w:tc>
          <w:tcPr>
            <w:tcW w:w="5220" w:type="dxa"/>
            <w:vAlign w:val="bottom"/>
            <w:gridSpan w:val="37"/>
            <w:shd w:val="clear" w:color="auto" w:fill="CCEEFF"/>
          </w:tcPr>
          <w:p>
            <w:pPr>
              <w:spacing w:after="0" w:line="181"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Separation and Release Agreement, by and between Duncan Grazier</w:t>
              </w:r>
            </w:hyperlink>
          </w:p>
        </w:tc>
        <w:tc>
          <w:tcPr>
            <w:tcW w:w="9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7"/>
              </w:rPr>
              <w:t>10-Q</w:t>
            </w:r>
          </w:p>
        </w:tc>
        <w:tc>
          <w:tcPr>
            <w:tcW w:w="1380" w:type="dxa"/>
            <w:vAlign w:val="bottom"/>
            <w:shd w:val="clear" w:color="auto" w:fill="CCEEFF"/>
          </w:tcPr>
          <w:p>
            <w:pPr>
              <w:jc w:val="right"/>
              <w:ind w:right="234"/>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9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10.1</w:t>
            </w:r>
          </w:p>
        </w:tc>
        <w:tc>
          <w:tcPr>
            <w:tcW w:w="1640" w:type="dxa"/>
            <w:vAlign w:val="bottom"/>
            <w:shd w:val="clear" w:color="auto" w:fill="CCEEFF"/>
          </w:tcPr>
          <w:p>
            <w:pPr>
              <w:jc w:val="center"/>
              <w:ind w:left="134"/>
              <w:spacing w:after="0" w:line="181" w:lineRule="exact"/>
              <w:rPr>
                <w:sz w:val="20"/>
                <w:szCs w:val="20"/>
                <w:color w:val="auto"/>
              </w:rPr>
            </w:pPr>
            <w:r>
              <w:rPr>
                <w:rFonts w:ascii="Times New Roman" w:cs="Times New Roman" w:eastAsia="Times New Roman" w:hAnsi="Times New Roman"/>
                <w:sz w:val="17"/>
                <w:szCs w:val="17"/>
                <w:color w:val="auto"/>
              </w:rPr>
              <w:t>November 12, 2024</w:t>
            </w:r>
          </w:p>
        </w:tc>
      </w:tr>
      <w:tr>
        <w:trPr>
          <w:trHeight w:val="159"/>
        </w:trPr>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0000FF"/>
              <w:bottom w:val="single" w:sz="8" w:color="CCEEFF"/>
              <w:right w:val="single" w:sz="8" w:color="CCEEFF"/>
            </w:tcBorders>
            <w:shd w:val="clear" w:color="auto" w:fill="CCEEFF"/>
          </w:tcPr>
          <w:p>
            <w:pPr>
              <w:spacing w:after="0"/>
              <w:rPr>
                <w:sz w:val="13"/>
                <w:szCs w:val="13"/>
                <w:color w:val="auto"/>
              </w:rPr>
            </w:pPr>
          </w:p>
        </w:tc>
        <w:tc>
          <w:tcPr>
            <w:tcW w:w="300" w:type="dxa"/>
            <w:vAlign w:val="bottom"/>
            <w:tcBorders>
              <w:top w:val="single" w:sz="8" w:color="0000FF"/>
              <w:bottom w:val="single" w:sz="8" w:color="CCEEFF"/>
            </w:tcBorders>
            <w:shd w:val="clear" w:color="auto" w:fill="CCEEFF"/>
          </w:tcPr>
          <w:p>
            <w:pPr>
              <w:spacing w:after="0"/>
              <w:rPr>
                <w:sz w:val="13"/>
                <w:szCs w:val="13"/>
                <w:color w:val="auto"/>
              </w:rPr>
            </w:pPr>
          </w:p>
        </w:tc>
        <w:tc>
          <w:tcPr>
            <w:tcW w:w="100" w:type="dxa"/>
            <w:vAlign w:val="bottom"/>
            <w:tcBorders>
              <w:top w:val="single" w:sz="8" w:color="0000FF"/>
              <w:left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CCEEFF"/>
              <w:bottom w:val="single" w:sz="8" w:color="CCEEFF"/>
            </w:tcBorders>
            <w:shd w:val="clear" w:color="auto" w:fill="CCEEFF"/>
          </w:tcPr>
          <w:p>
            <w:pPr>
              <w:spacing w:after="0"/>
              <w:rPr>
                <w:sz w:val="13"/>
                <w:szCs w:val="13"/>
                <w:color w:val="auto"/>
              </w:rPr>
            </w:pPr>
          </w:p>
        </w:tc>
        <w:tc>
          <w:tcPr>
            <w:tcW w:w="3400" w:type="dxa"/>
            <w:vAlign w:val="bottom"/>
            <w:tcBorders>
              <w:top w:val="single" w:sz="8" w:color="0000FF"/>
              <w:bottom w:val="single" w:sz="8" w:color="0000FF"/>
            </w:tcBorders>
            <w:gridSpan w:val="11"/>
            <w:shd w:val="clear" w:color="auto" w:fill="CCEEFF"/>
          </w:tcPr>
          <w:p>
            <w:pPr>
              <w:spacing w:after="0" w:line="128"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and WM Technology, Inc, dated August 07, 2024</w:t>
              </w:r>
            </w:hyperlink>
          </w:p>
        </w:tc>
        <w:tc>
          <w:tcPr>
            <w:tcW w:w="1300" w:type="dxa"/>
            <w:vAlign w:val="bottom"/>
            <w:tcBorders>
              <w:top w:val="single" w:sz="8" w:color="0000FF"/>
              <w:bottom w:val="single" w:sz="8" w:color="CCEEFF"/>
            </w:tcBorders>
            <w:gridSpan w:val="16"/>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6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0"/>
        </w:trPr>
        <w:tc>
          <w:tcPr>
            <w:tcW w:w="1180" w:type="dxa"/>
            <w:vAlign w:val="bottom"/>
            <w:gridSpan w:val="5"/>
          </w:tcPr>
          <w:p>
            <w:pPr>
              <w:jc w:val="center"/>
              <w:ind w:right="100"/>
              <w:spacing w:after="0" w:line="181"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10.</w:t>
              </w:r>
            </w:hyperlink>
            <w:r>
              <w:rPr>
                <w:rFonts w:ascii="Times New Roman" w:cs="Times New Roman" w:eastAsia="Times New Roman" w:hAnsi="Times New Roman"/>
                <w:sz w:val="17"/>
                <w:szCs w:val="17"/>
                <w:u w:val="single" w:color="auto"/>
                <w:color w:val="0000FF"/>
              </w:rPr>
              <w:t>17#</w:t>
            </w:r>
          </w:p>
        </w:tc>
        <w:tc>
          <w:tcPr>
            <w:tcW w:w="5220" w:type="dxa"/>
            <w:vAlign w:val="bottom"/>
            <w:gridSpan w:val="37"/>
          </w:tcPr>
          <w:p>
            <w:pPr>
              <w:spacing w:after="0" w:line="181"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Employment Agreement, dated August 23, 2019, by and between Ghost</w:t>
              </w:r>
            </w:hyperlink>
          </w:p>
        </w:tc>
        <w:tc>
          <w:tcPr>
            <w:tcW w:w="9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10K</w:t>
            </w:r>
          </w:p>
        </w:tc>
        <w:tc>
          <w:tcPr>
            <w:tcW w:w="1380" w:type="dxa"/>
            <w:vAlign w:val="bottom"/>
          </w:tcPr>
          <w:p>
            <w:pPr>
              <w:jc w:val="right"/>
              <w:ind w:right="234"/>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9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10.19</w:t>
            </w:r>
          </w:p>
        </w:tc>
        <w:tc>
          <w:tcPr>
            <w:tcW w:w="1640" w:type="dxa"/>
            <w:vAlign w:val="bottom"/>
          </w:tcPr>
          <w:p>
            <w:pPr>
              <w:jc w:val="center"/>
              <w:ind w:left="134"/>
              <w:spacing w:after="0" w:line="181" w:lineRule="exact"/>
              <w:rPr>
                <w:sz w:val="20"/>
                <w:szCs w:val="20"/>
                <w:color w:val="auto"/>
              </w:rPr>
            </w:pPr>
            <w:r>
              <w:rPr>
                <w:rFonts w:ascii="Times New Roman" w:cs="Times New Roman" w:eastAsia="Times New Roman" w:hAnsi="Times New Roman"/>
                <w:sz w:val="17"/>
                <w:szCs w:val="17"/>
                <w:color w:val="auto"/>
              </w:rPr>
              <w:t>March 16, 2023</w:t>
            </w:r>
          </w:p>
        </w:tc>
      </w:tr>
      <w:tr>
        <w:trPr>
          <w:trHeight w:val="148"/>
        </w:trPr>
        <w:tc>
          <w:tcPr>
            <w:tcW w:w="30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4960" w:type="dxa"/>
            <w:vAlign w:val="bottom"/>
            <w:tcBorders>
              <w:top w:val="single" w:sz="8" w:color="0000FF"/>
            </w:tcBorders>
            <w:gridSpan w:val="35"/>
          </w:tcPr>
          <w:p>
            <w:pPr>
              <w:spacing w:after="0" w:line="148"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Management Group, LLC and Duncan Grazier</w:t>
              </w:r>
            </w:hyperlink>
          </w:p>
        </w:tc>
        <w:tc>
          <w:tcPr>
            <w:tcW w:w="26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32"/>
        </w:trPr>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80"/>
        </w:trPr>
        <w:tc>
          <w:tcPr>
            <w:tcW w:w="1180" w:type="dxa"/>
            <w:vAlign w:val="bottom"/>
            <w:gridSpan w:val="5"/>
            <w:shd w:val="clear" w:color="auto" w:fill="CCEEFF"/>
          </w:tcPr>
          <w:p>
            <w:pPr>
              <w:jc w:val="center"/>
              <w:ind w:right="100"/>
              <w:spacing w:after="0" w:line="181"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10.</w:t>
              </w:r>
            </w:hyperlink>
            <w:r>
              <w:rPr>
                <w:rFonts w:ascii="Times New Roman" w:cs="Times New Roman" w:eastAsia="Times New Roman" w:hAnsi="Times New Roman"/>
                <w:sz w:val="17"/>
                <w:szCs w:val="17"/>
                <w:u w:val="single" w:color="auto"/>
                <w:color w:val="0000FF"/>
              </w:rPr>
              <w:t>18#</w:t>
            </w:r>
          </w:p>
        </w:tc>
        <w:tc>
          <w:tcPr>
            <w:tcW w:w="5220" w:type="dxa"/>
            <w:vAlign w:val="bottom"/>
            <w:gridSpan w:val="37"/>
            <w:shd w:val="clear" w:color="auto" w:fill="CCEEFF"/>
          </w:tcPr>
          <w:p>
            <w:pPr>
              <w:spacing w:after="0" w:line="181"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Employment Agreement, dated November 7, 2024, by and between</w:t>
              </w:r>
            </w:hyperlink>
          </w:p>
        </w:tc>
        <w:tc>
          <w:tcPr>
            <w:tcW w:w="9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7"/>
              </w:rPr>
              <w:t>10-Q</w:t>
            </w:r>
          </w:p>
        </w:tc>
        <w:tc>
          <w:tcPr>
            <w:tcW w:w="1380" w:type="dxa"/>
            <w:vAlign w:val="bottom"/>
            <w:shd w:val="clear" w:color="auto" w:fill="CCEEFF"/>
          </w:tcPr>
          <w:p>
            <w:pPr>
              <w:jc w:val="right"/>
              <w:ind w:right="234"/>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9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10.3</w:t>
            </w:r>
          </w:p>
        </w:tc>
        <w:tc>
          <w:tcPr>
            <w:tcW w:w="1640" w:type="dxa"/>
            <w:vAlign w:val="bottom"/>
            <w:shd w:val="clear" w:color="auto" w:fill="CCEEFF"/>
          </w:tcPr>
          <w:p>
            <w:pPr>
              <w:jc w:val="center"/>
              <w:ind w:left="134"/>
              <w:spacing w:after="0" w:line="181" w:lineRule="exact"/>
              <w:rPr>
                <w:sz w:val="20"/>
                <w:szCs w:val="20"/>
                <w:color w:val="auto"/>
              </w:rPr>
            </w:pPr>
            <w:r>
              <w:rPr>
                <w:rFonts w:ascii="Times New Roman" w:cs="Times New Roman" w:eastAsia="Times New Roman" w:hAnsi="Times New Roman"/>
                <w:sz w:val="17"/>
                <w:szCs w:val="17"/>
                <w:color w:val="auto"/>
              </w:rPr>
              <w:t>November 12, 2024</w:t>
            </w:r>
          </w:p>
        </w:tc>
      </w:tr>
      <w:tr>
        <w:trPr>
          <w:trHeight w:val="148"/>
        </w:trPr>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0000FF"/>
              <w:right w:val="single" w:sz="8" w:color="CCEEFF"/>
            </w:tcBorders>
            <w:shd w:val="clear" w:color="auto" w:fill="CCEEFF"/>
          </w:tcPr>
          <w:p>
            <w:pPr>
              <w:spacing w:after="0"/>
              <w:rPr>
                <w:sz w:val="12"/>
                <w:szCs w:val="12"/>
                <w:color w:val="auto"/>
              </w:rPr>
            </w:pPr>
          </w:p>
        </w:tc>
        <w:tc>
          <w:tcPr>
            <w:tcW w:w="30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left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4660" w:type="dxa"/>
            <w:vAlign w:val="bottom"/>
            <w:tcBorders>
              <w:top w:val="single" w:sz="8" w:color="0000FF"/>
            </w:tcBorders>
            <w:gridSpan w:val="25"/>
            <w:shd w:val="clear" w:color="auto" w:fill="CCEEFF"/>
          </w:tcPr>
          <w:p>
            <w:pPr>
              <w:spacing w:after="0" w:line="148"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Ghost Management Group, LLC, a subsidiary of WM Technology,</w:t>
              </w:r>
            </w:hyperlink>
          </w:p>
        </w:tc>
        <w:tc>
          <w:tcPr>
            <w:tcW w:w="560" w:type="dxa"/>
            <w:vAlign w:val="bottom"/>
            <w:tcBorders>
              <w:top w:val="single" w:sz="8" w:color="CCEEFF"/>
            </w:tcBorders>
            <w:gridSpan w:val="12"/>
            <w:shd w:val="clear" w:color="auto" w:fill="CCEEFF"/>
          </w:tcPr>
          <w:p>
            <w:pPr>
              <w:jc w:val="center"/>
              <w:ind w:right="340"/>
              <w:spacing w:after="0" w:line="148" w:lineRule="exact"/>
              <w:rPr>
                <w:rFonts w:ascii="Times New Roman" w:cs="Times New Roman" w:eastAsia="Times New Roman" w:hAnsi="Times New Roman"/>
                <w:sz w:val="17"/>
                <w:szCs w:val="17"/>
                <w:color w:val="0000FF"/>
                <w:w w:val="84"/>
              </w:rPr>
            </w:pPr>
            <w:hyperlink r:id="rId112">
              <w:r>
                <w:rPr>
                  <w:rFonts w:ascii="Times New Roman" w:cs="Times New Roman" w:eastAsia="Times New Roman" w:hAnsi="Times New Roman"/>
                  <w:sz w:val="17"/>
                  <w:szCs w:val="17"/>
                  <w:color w:val="0000FF"/>
                  <w:w w:val="84"/>
                </w:rPr>
                <w:t>Inc.</w:t>
              </w:r>
            </w:hyperlink>
          </w:p>
        </w:tc>
        <w:tc>
          <w:tcPr>
            <w:tcW w:w="9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r>
      <w:tr>
        <w:trPr>
          <w:trHeight w:val="179"/>
        </w:trPr>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420" w:type="dxa"/>
            <w:vAlign w:val="bottom"/>
            <w:tcBorders>
              <w:top w:val="single" w:sz="8" w:color="0000FF"/>
              <w:bottom w:val="single" w:sz="8" w:color="0000FF"/>
            </w:tcBorders>
            <w:gridSpan w:val="4"/>
            <w:shd w:val="clear" w:color="auto" w:fill="CCEEFF"/>
          </w:tcPr>
          <w:p>
            <w:pPr>
              <w:spacing w:after="0" w:line="161"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and Douglas Francis</w:t>
              </w:r>
            </w:hyperlink>
          </w:p>
        </w:tc>
        <w:tc>
          <w:tcPr>
            <w:tcW w:w="3480" w:type="dxa"/>
            <w:vAlign w:val="bottom"/>
            <w:tcBorders>
              <w:top w:val="single" w:sz="8" w:color="0000FF"/>
              <w:bottom w:val="single" w:sz="8" w:color="CCEEFF"/>
            </w:tcBorders>
            <w:gridSpan w:val="30"/>
            <w:shd w:val="clear" w:color="auto" w:fill="CCEEFF"/>
          </w:tcPr>
          <w:p>
            <w:pPr>
              <w:spacing w:after="0"/>
              <w:rPr>
                <w:sz w:val="15"/>
                <w:szCs w:val="15"/>
                <w:color w:val="auto"/>
              </w:rPr>
            </w:pPr>
          </w:p>
        </w:tc>
        <w:tc>
          <w:tcPr>
            <w:tcW w:w="3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90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0"/>
        </w:trPr>
        <w:tc>
          <w:tcPr>
            <w:tcW w:w="1180" w:type="dxa"/>
            <w:vAlign w:val="bottom"/>
            <w:gridSpan w:val="5"/>
          </w:tcPr>
          <w:p>
            <w:pPr>
              <w:jc w:val="center"/>
              <w:ind w:right="100"/>
              <w:spacing w:after="0" w:line="181" w:lineRule="exact"/>
              <w:rPr>
                <w:sz w:val="20"/>
                <w:szCs w:val="20"/>
                <w:color w:val="auto"/>
              </w:rPr>
            </w:pPr>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19#</w:t>
            </w:r>
          </w:p>
        </w:tc>
        <w:tc>
          <w:tcPr>
            <w:tcW w:w="5220" w:type="dxa"/>
            <w:vAlign w:val="bottom"/>
            <w:gridSpan w:val="37"/>
          </w:tcPr>
          <w:p>
            <w:pPr>
              <w:spacing w:after="0" w:line="181" w:lineRule="exact"/>
              <w:rPr>
                <w:sz w:val="20"/>
                <w:szCs w:val="20"/>
                <w:color w:val="auto"/>
              </w:rPr>
            </w:pPr>
            <w:r>
              <w:rPr>
                <w:rFonts w:ascii="Times New Roman" w:cs="Times New Roman" w:eastAsia="Times New Roman" w:hAnsi="Times New Roman"/>
                <w:sz w:val="17"/>
                <w:szCs w:val="17"/>
                <w:color w:val="0000FF"/>
              </w:rPr>
              <w:t>Employment Agreement, dated December 2, 2024, by and between</w:t>
            </w: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48"/>
        </w:trPr>
        <w:tc>
          <w:tcPr>
            <w:tcW w:w="30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4640" w:type="dxa"/>
            <w:vAlign w:val="bottom"/>
            <w:tcBorders>
              <w:top w:val="single" w:sz="8" w:color="0000FF"/>
            </w:tcBorders>
            <w:gridSpan w:val="24"/>
          </w:tcPr>
          <w:p>
            <w:pPr>
              <w:spacing w:after="0" w:line="148" w:lineRule="exact"/>
              <w:rPr>
                <w:sz w:val="20"/>
                <w:szCs w:val="20"/>
                <w:color w:val="auto"/>
              </w:rPr>
            </w:pPr>
            <w:r>
              <w:rPr>
                <w:rFonts w:ascii="Times New Roman" w:cs="Times New Roman" w:eastAsia="Times New Roman" w:hAnsi="Times New Roman"/>
                <w:sz w:val="17"/>
                <w:szCs w:val="17"/>
                <w:color w:val="0000FF"/>
              </w:rPr>
              <w:t>Ghost Management Group, LLC, a subsidiary of WM Technology,</w:t>
            </w:r>
          </w:p>
        </w:tc>
        <w:tc>
          <w:tcPr>
            <w:tcW w:w="580" w:type="dxa"/>
            <w:vAlign w:val="bottom"/>
            <w:gridSpan w:val="13"/>
          </w:tcPr>
          <w:p>
            <w:pPr>
              <w:jc w:val="center"/>
              <w:ind w:right="340"/>
              <w:spacing w:after="0" w:line="148" w:lineRule="exact"/>
              <w:rPr>
                <w:sz w:val="20"/>
                <w:szCs w:val="20"/>
                <w:color w:val="auto"/>
              </w:rPr>
            </w:pPr>
            <w:r>
              <w:rPr>
                <w:rFonts w:ascii="Times New Roman" w:cs="Times New Roman" w:eastAsia="Times New Roman" w:hAnsi="Times New Roman"/>
                <w:sz w:val="17"/>
                <w:szCs w:val="17"/>
                <w:color w:val="0000FF"/>
                <w:w w:val="92"/>
              </w:rPr>
              <w:t>Inc.</w:t>
            </w:r>
          </w:p>
        </w:tc>
        <w:tc>
          <w:tcPr>
            <w:tcW w:w="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60"/>
        </w:trPr>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900" w:type="dxa"/>
            <w:vAlign w:val="bottom"/>
            <w:tcBorders>
              <w:top w:val="single" w:sz="8" w:color="0000FF"/>
            </w:tcBorders>
            <w:gridSpan w:val="34"/>
          </w:tcPr>
          <w:p>
            <w:pPr>
              <w:spacing w:after="0" w:line="161" w:lineRule="exact"/>
              <w:rPr>
                <w:sz w:val="20"/>
                <w:szCs w:val="20"/>
                <w:color w:val="auto"/>
              </w:rPr>
            </w:pPr>
            <w:r>
              <w:rPr>
                <w:rFonts w:ascii="Times New Roman" w:cs="Times New Roman" w:eastAsia="Times New Roman" w:hAnsi="Times New Roman"/>
                <w:sz w:val="17"/>
                <w:szCs w:val="17"/>
                <w:color w:val="0000FF"/>
              </w:rPr>
              <w:t>and Sarah Griffis</w:t>
            </w:r>
          </w:p>
        </w:tc>
        <w:tc>
          <w:tcPr>
            <w:tcW w:w="32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9"/>
        </w:trPr>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90"/>
        </w:trPr>
        <w:tc>
          <w:tcPr>
            <w:tcW w:w="1180" w:type="dxa"/>
            <w:vAlign w:val="bottom"/>
            <w:gridSpan w:val="5"/>
            <w:shd w:val="clear" w:color="auto" w:fill="CCEEFF"/>
          </w:tcPr>
          <w:p>
            <w:pPr>
              <w:jc w:val="center"/>
              <w:ind w:right="100"/>
              <w:spacing w:after="0" w:line="190"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20#</w:t>
              </w:r>
            </w:hyperlink>
          </w:p>
        </w:tc>
        <w:tc>
          <w:tcPr>
            <w:tcW w:w="5220" w:type="dxa"/>
            <w:vAlign w:val="bottom"/>
            <w:gridSpan w:val="37"/>
            <w:shd w:val="clear" w:color="auto" w:fill="CCEEFF"/>
          </w:tcPr>
          <w:p>
            <w:pPr>
              <w:spacing w:after="0" w:line="190"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Employment Agreement, dated April 4, 2019, by and between the</w:t>
              </w:r>
            </w:hyperlink>
          </w:p>
        </w:tc>
        <w:tc>
          <w:tcPr>
            <w:tcW w:w="9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10K</w:t>
            </w:r>
          </w:p>
        </w:tc>
        <w:tc>
          <w:tcPr>
            <w:tcW w:w="1380" w:type="dxa"/>
            <w:vAlign w:val="bottom"/>
            <w:shd w:val="clear" w:color="auto" w:fill="CCEEFF"/>
          </w:tcPr>
          <w:p>
            <w:pPr>
              <w:jc w:val="right"/>
              <w:ind w:right="234"/>
              <w:spacing w:after="0" w:line="190" w:lineRule="exact"/>
              <w:rPr>
                <w:sz w:val="20"/>
                <w:szCs w:val="20"/>
                <w:color w:val="auto"/>
              </w:rPr>
            </w:pPr>
            <w:r>
              <w:rPr>
                <w:rFonts w:ascii="Times New Roman" w:cs="Times New Roman" w:eastAsia="Times New Roman" w:hAnsi="Times New Roman"/>
                <w:sz w:val="17"/>
                <w:szCs w:val="17"/>
                <w:color w:val="auto"/>
              </w:rPr>
              <w:t>001-39021</w:t>
            </w:r>
          </w:p>
        </w:tc>
        <w:tc>
          <w:tcPr>
            <w:tcW w:w="9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10.2</w:t>
            </w:r>
          </w:p>
        </w:tc>
        <w:tc>
          <w:tcPr>
            <w:tcW w:w="1640" w:type="dxa"/>
            <w:vAlign w:val="bottom"/>
            <w:shd w:val="clear" w:color="auto" w:fill="CCEEFF"/>
          </w:tcPr>
          <w:p>
            <w:pPr>
              <w:jc w:val="center"/>
              <w:ind w:left="114"/>
              <w:spacing w:after="0" w:line="190" w:lineRule="exact"/>
              <w:rPr>
                <w:sz w:val="20"/>
                <w:szCs w:val="20"/>
                <w:color w:val="auto"/>
              </w:rPr>
            </w:pPr>
            <w:r>
              <w:rPr>
                <w:rFonts w:ascii="Times New Roman" w:cs="Times New Roman" w:eastAsia="Times New Roman" w:hAnsi="Times New Roman"/>
                <w:sz w:val="17"/>
                <w:szCs w:val="17"/>
                <w:color w:val="auto"/>
              </w:rPr>
              <w:t>May 24, 2024</w:t>
            </w:r>
          </w:p>
        </w:tc>
      </w:tr>
      <w:tr>
        <w:trPr>
          <w:trHeight w:val="179"/>
        </w:trPr>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right w:val="single" w:sz="8" w:color="CCEEFF"/>
            </w:tcBorders>
            <w:shd w:val="clear" w:color="auto" w:fill="CCEEFF"/>
          </w:tcPr>
          <w:p>
            <w:pPr>
              <w:spacing w:after="0"/>
              <w:rPr>
                <w:sz w:val="15"/>
                <w:szCs w:val="15"/>
                <w:color w:val="auto"/>
              </w:rPr>
            </w:pPr>
          </w:p>
        </w:tc>
        <w:tc>
          <w:tcPr>
            <w:tcW w:w="30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left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940" w:type="dxa"/>
            <w:vAlign w:val="bottom"/>
            <w:tcBorders>
              <w:top w:val="single" w:sz="8" w:color="0000FF"/>
              <w:bottom w:val="single" w:sz="8" w:color="0000FF"/>
            </w:tcBorders>
            <w:gridSpan w:val="6"/>
            <w:shd w:val="clear" w:color="auto" w:fill="CCEEFF"/>
          </w:tcPr>
          <w:p>
            <w:pPr>
              <w:spacing w:after="0" w:line="148"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Company and Brian Camire</w:t>
              </w:r>
            </w:hyperlink>
          </w:p>
        </w:tc>
        <w:tc>
          <w:tcPr>
            <w:tcW w:w="2620" w:type="dxa"/>
            <w:vAlign w:val="bottom"/>
            <w:tcBorders>
              <w:top w:val="single" w:sz="8" w:color="0000FF"/>
              <w:bottom w:val="single" w:sz="8" w:color="CCEEFF"/>
            </w:tcBorders>
            <w:gridSpan w:val="14"/>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80" w:type="dxa"/>
            <w:vAlign w:val="bottom"/>
            <w:tcBorders>
              <w:top w:val="single" w:sz="8" w:color="CCEEFF"/>
              <w:bottom w:val="single" w:sz="8" w:color="CCEEFF"/>
            </w:tcBorders>
            <w:gridSpan w:val="6"/>
            <w:shd w:val="clear" w:color="auto" w:fill="CCEEFF"/>
          </w:tcPr>
          <w:p>
            <w:pPr>
              <w:spacing w:after="0"/>
              <w:rPr>
                <w:sz w:val="15"/>
                <w:szCs w:val="15"/>
                <w:color w:val="auto"/>
              </w:rPr>
            </w:pPr>
          </w:p>
        </w:tc>
        <w:tc>
          <w:tcPr>
            <w:tcW w:w="90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0"/>
        </w:trPr>
        <w:tc>
          <w:tcPr>
            <w:tcW w:w="1180" w:type="dxa"/>
            <w:vAlign w:val="bottom"/>
            <w:gridSpan w:val="5"/>
          </w:tcPr>
          <w:p>
            <w:pPr>
              <w:jc w:val="center"/>
              <w:ind w:right="100"/>
              <w:spacing w:after="0" w:line="181"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20#</w:t>
              </w:r>
            </w:hyperlink>
          </w:p>
        </w:tc>
        <w:tc>
          <w:tcPr>
            <w:tcW w:w="5220" w:type="dxa"/>
            <w:vAlign w:val="bottom"/>
            <w:gridSpan w:val="37"/>
          </w:tcPr>
          <w:p>
            <w:pPr>
              <w:spacing w:after="0" w:line="181"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Executive Services Agreement, dated July 16, 2023, by and between</w:t>
              </w:r>
            </w:hyperlink>
          </w:p>
        </w:tc>
        <w:tc>
          <w:tcPr>
            <w:tcW w:w="9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7"/>
              </w:rPr>
              <w:t>10-Q</w:t>
            </w:r>
          </w:p>
        </w:tc>
        <w:tc>
          <w:tcPr>
            <w:tcW w:w="1380" w:type="dxa"/>
            <w:vAlign w:val="bottom"/>
          </w:tcPr>
          <w:p>
            <w:pPr>
              <w:jc w:val="right"/>
              <w:ind w:right="234"/>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9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10.1</w:t>
            </w:r>
          </w:p>
        </w:tc>
        <w:tc>
          <w:tcPr>
            <w:tcW w:w="1640" w:type="dxa"/>
            <w:vAlign w:val="bottom"/>
          </w:tcPr>
          <w:p>
            <w:pPr>
              <w:jc w:val="center"/>
              <w:ind w:left="134"/>
              <w:spacing w:after="0" w:line="181" w:lineRule="exact"/>
              <w:rPr>
                <w:sz w:val="20"/>
                <w:szCs w:val="20"/>
                <w:color w:val="auto"/>
              </w:rPr>
            </w:pPr>
            <w:r>
              <w:rPr>
                <w:rFonts w:ascii="Times New Roman" w:cs="Times New Roman" w:eastAsia="Times New Roman" w:hAnsi="Times New Roman"/>
                <w:sz w:val="17"/>
                <w:szCs w:val="17"/>
                <w:color w:val="auto"/>
              </w:rPr>
              <w:t>August 09, 2023</w:t>
            </w:r>
          </w:p>
        </w:tc>
      </w:tr>
      <w:tr>
        <w:trPr>
          <w:trHeight w:val="148"/>
        </w:trPr>
        <w:tc>
          <w:tcPr>
            <w:tcW w:w="30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4720" w:type="dxa"/>
            <w:vAlign w:val="bottom"/>
            <w:tcBorders>
              <w:top w:val="single" w:sz="8" w:color="0000FF"/>
            </w:tcBorders>
            <w:gridSpan w:val="28"/>
          </w:tcPr>
          <w:p>
            <w:pPr>
              <w:spacing w:after="0" w:line="148"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SeatonHillPartners, L.P. and WM Technology Inc.</w:t>
              </w:r>
            </w:hyperlink>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380" w:type="dxa"/>
            <w:vAlign w:val="bottom"/>
            <w:gridSpan w:val="6"/>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32"/>
        </w:trPr>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80"/>
        </w:trPr>
        <w:tc>
          <w:tcPr>
            <w:tcW w:w="3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0000FF"/>
            </w:tcBorders>
            <w:gridSpan w:val="3"/>
            <w:shd w:val="clear" w:color="auto" w:fill="CCEEFF"/>
          </w:tcPr>
          <w:p>
            <w:pPr>
              <w:jc w:val="center"/>
              <w:spacing w:after="0" w:line="181"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10.</w:t>
              </w:r>
            </w:hyperlink>
            <w:r>
              <w:rPr>
                <w:rFonts w:ascii="Times New Roman" w:cs="Times New Roman" w:eastAsia="Times New Roman" w:hAnsi="Times New Roman"/>
                <w:sz w:val="17"/>
                <w:szCs w:val="17"/>
                <w:u w:val="single" w:color="auto"/>
                <w:color w:val="0000FF"/>
              </w:rPr>
              <w:t>21#</w:t>
            </w:r>
          </w:p>
        </w:tc>
        <w:tc>
          <w:tcPr>
            <w:tcW w:w="400" w:type="dxa"/>
            <w:vAlign w:val="bottom"/>
            <w:tcBorders>
              <w:bottom w:val="single" w:sz="8" w:color="CCEEFF"/>
            </w:tcBorders>
            <w:shd w:val="clear" w:color="auto" w:fill="CCEEFF"/>
          </w:tcPr>
          <w:p>
            <w:pPr>
              <w:spacing w:after="0"/>
              <w:rPr>
                <w:sz w:val="15"/>
                <w:szCs w:val="15"/>
                <w:color w:val="auto"/>
              </w:rPr>
            </w:pPr>
          </w:p>
        </w:tc>
        <w:tc>
          <w:tcPr>
            <w:tcW w:w="4360" w:type="dxa"/>
            <w:vAlign w:val="bottom"/>
            <w:tcBorders>
              <w:bottom w:val="single" w:sz="8" w:color="0000FF"/>
            </w:tcBorders>
            <w:gridSpan w:val="16"/>
            <w:shd w:val="clear" w:color="auto" w:fill="CCEEFF"/>
          </w:tcPr>
          <w:p>
            <w:pPr>
              <w:spacing w:after="0" w:line="181"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Amendment to Executive Services Agreement, by and between</w:t>
              </w:r>
            </w:hyperlink>
          </w:p>
        </w:tc>
        <w:tc>
          <w:tcPr>
            <w:tcW w:w="860" w:type="dxa"/>
            <w:vAlign w:val="bottom"/>
            <w:tcBorders>
              <w:bottom w:val="single" w:sz="8" w:color="CCEEFF"/>
            </w:tcBorders>
            <w:gridSpan w:val="21"/>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7"/>
              </w:rPr>
              <w:t>10-K</w:t>
            </w:r>
          </w:p>
        </w:tc>
        <w:tc>
          <w:tcPr>
            <w:tcW w:w="1380" w:type="dxa"/>
            <w:vAlign w:val="bottom"/>
            <w:tcBorders>
              <w:bottom w:val="single" w:sz="8" w:color="CCEEFF"/>
            </w:tcBorders>
            <w:shd w:val="clear" w:color="auto" w:fill="CCEEFF"/>
          </w:tcPr>
          <w:p>
            <w:pPr>
              <w:jc w:val="right"/>
              <w:ind w:right="234"/>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92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10.23</w:t>
            </w:r>
          </w:p>
        </w:tc>
        <w:tc>
          <w:tcPr>
            <w:tcW w:w="1640" w:type="dxa"/>
            <w:vAlign w:val="bottom"/>
            <w:tcBorders>
              <w:bottom w:val="single" w:sz="8" w:color="CCEEFF"/>
            </w:tcBorders>
            <w:shd w:val="clear" w:color="auto" w:fill="CCEEFF"/>
          </w:tcPr>
          <w:p>
            <w:pPr>
              <w:jc w:val="center"/>
              <w:ind w:left="114"/>
              <w:spacing w:after="0" w:line="181" w:lineRule="exact"/>
              <w:rPr>
                <w:sz w:val="20"/>
                <w:szCs w:val="20"/>
                <w:color w:val="auto"/>
              </w:rPr>
            </w:pPr>
            <w:r>
              <w:rPr>
                <w:rFonts w:ascii="Times New Roman" w:cs="Times New Roman" w:eastAsia="Times New Roman" w:hAnsi="Times New Roman"/>
                <w:sz w:val="17"/>
                <w:szCs w:val="17"/>
                <w:color w:val="auto"/>
              </w:rPr>
              <w:t>May 24, 2024</w:t>
            </w:r>
          </w:p>
        </w:tc>
      </w:tr>
      <w:tr>
        <w:trPr>
          <w:trHeight w:val="148"/>
        </w:trPr>
        <w:tc>
          <w:tcPr>
            <w:tcW w:w="3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20" w:type="dxa"/>
            <w:vAlign w:val="bottom"/>
            <w:gridSpan w:val="37"/>
            <w:shd w:val="clear" w:color="auto" w:fill="CCEEFF"/>
          </w:tcPr>
          <w:p>
            <w:pPr>
              <w:spacing w:after="0" w:line="148"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SeatonHillPartners, L.P. and WM Technology Inc., dated February 26,</w:t>
              </w:r>
            </w:hyperlink>
          </w:p>
        </w:tc>
        <w:tc>
          <w:tcPr>
            <w:tcW w:w="9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r>
      <w:tr>
        <w:trPr>
          <w:trHeight w:val="160"/>
        </w:trPr>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0000FF"/>
            </w:tcBorders>
            <w:gridSpan w:val="2"/>
            <w:shd w:val="clear" w:color="auto" w:fill="CCEEFF"/>
          </w:tcPr>
          <w:p>
            <w:pPr>
              <w:spacing w:after="0" w:line="161"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2024</w:t>
              </w:r>
            </w:hyperlink>
          </w:p>
        </w:tc>
        <w:tc>
          <w:tcPr>
            <w:tcW w:w="34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right w:val="single" w:sz="8" w:color="CCEE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58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shd w:val="clear" w:color="auto" w:fill="CCEEFF"/>
          </w:tcPr>
          <w:p>
            <w:pPr>
              <w:spacing w:after="0"/>
              <w:rPr>
                <w:sz w:val="13"/>
                <w:szCs w:val="13"/>
                <w:color w:val="auto"/>
              </w:rPr>
            </w:pPr>
          </w:p>
        </w:tc>
      </w:tr>
      <w:tr>
        <w:trPr>
          <w:trHeight w:val="39"/>
        </w:trPr>
        <w:tc>
          <w:tcPr>
            <w:tcW w:w="3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r>
      <w:tr>
        <w:trPr>
          <w:trHeight w:val="180"/>
        </w:trPr>
        <w:tc>
          <w:tcPr>
            <w:tcW w:w="380" w:type="dxa"/>
            <w:vAlign w:val="bottom"/>
            <w:gridSpan w:val="2"/>
          </w:tcPr>
          <w:p>
            <w:pPr>
              <w:spacing w:after="0"/>
              <w:rPr>
                <w:sz w:val="15"/>
                <w:szCs w:val="15"/>
                <w:color w:val="auto"/>
              </w:rPr>
            </w:pPr>
          </w:p>
        </w:tc>
        <w:tc>
          <w:tcPr>
            <w:tcW w:w="3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0000FF"/>
              </w:rPr>
              <w:t>19.</w:t>
            </w:r>
            <w:r>
              <w:rPr>
                <w:rFonts w:ascii="Times New Roman" w:cs="Times New Roman" w:eastAsia="Times New Roman" w:hAnsi="Times New Roman"/>
                <w:sz w:val="17"/>
                <w:szCs w:val="17"/>
                <w:u w:val="single" w:color="auto"/>
                <w:color w:val="0000FF"/>
              </w:rPr>
              <w:t>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20" w:type="dxa"/>
            <w:vAlign w:val="bottom"/>
            <w:gridSpan w:val="37"/>
          </w:tcPr>
          <w:p>
            <w:pPr>
              <w:spacing w:after="0" w:line="181" w:lineRule="exact"/>
              <w:rPr>
                <w:sz w:val="20"/>
                <w:szCs w:val="20"/>
                <w:color w:val="auto"/>
              </w:rPr>
            </w:pPr>
            <w:r>
              <w:rPr>
                <w:rFonts w:ascii="Times New Roman" w:cs="Times New Roman" w:eastAsia="Times New Roman" w:hAnsi="Times New Roman"/>
                <w:sz w:val="17"/>
                <w:szCs w:val="17"/>
                <w:color w:val="0000FF"/>
              </w:rPr>
              <w:t>Insider Trading Policy</w:t>
            </w: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9"/>
        </w:trPr>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90"/>
        </w:trPr>
        <w:tc>
          <w:tcPr>
            <w:tcW w:w="380" w:type="dxa"/>
            <w:vAlign w:val="bottom"/>
            <w:tcBorders>
              <w:right w:val="single" w:sz="8" w:color="CCEEFF"/>
            </w:tcBorders>
            <w:gridSpan w:val="2"/>
            <w:shd w:val="clear" w:color="auto" w:fill="CCEEFF"/>
          </w:tcPr>
          <w:p>
            <w:pPr>
              <w:spacing w:after="0"/>
              <w:rPr>
                <w:sz w:val="16"/>
                <w:szCs w:val="16"/>
                <w:color w:val="auto"/>
              </w:rPr>
            </w:pPr>
          </w:p>
        </w:tc>
        <w:tc>
          <w:tcPr>
            <w:tcW w:w="3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0000FF"/>
              </w:rPr>
              <w:t>21.</w:t>
            </w:r>
            <w:r>
              <w:rPr>
                <w:rFonts w:ascii="Times New Roman" w:cs="Times New Roman" w:eastAsia="Times New Roman" w:hAnsi="Times New Roman"/>
                <w:sz w:val="17"/>
                <w:szCs w:val="17"/>
                <w:u w:val="single" w:color="auto"/>
                <w:color w:val="0000FF"/>
              </w:rPr>
              <w:t>1</w:t>
            </w:r>
          </w:p>
        </w:tc>
        <w:tc>
          <w:tcPr>
            <w:tcW w:w="100" w:type="dxa"/>
            <w:vAlign w:val="bottom"/>
            <w:tcBorders>
              <w:lef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20" w:type="dxa"/>
            <w:vAlign w:val="bottom"/>
            <w:gridSpan w:val="3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List of Subsidiaries of the Registrant</w:t>
            </w:r>
          </w:p>
        </w:tc>
        <w:tc>
          <w:tcPr>
            <w:tcW w:w="9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39"/>
        </w:trPr>
        <w:tc>
          <w:tcPr>
            <w:tcW w:w="3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r>
      <w:tr>
        <w:trPr>
          <w:trHeight w:val="180"/>
        </w:trPr>
        <w:tc>
          <w:tcPr>
            <w:tcW w:w="380" w:type="dxa"/>
            <w:vAlign w:val="bottom"/>
            <w:gridSpan w:val="2"/>
          </w:tcPr>
          <w:p>
            <w:pPr>
              <w:spacing w:after="0"/>
              <w:rPr>
                <w:sz w:val="15"/>
                <w:szCs w:val="15"/>
                <w:color w:val="auto"/>
              </w:rPr>
            </w:pPr>
          </w:p>
        </w:tc>
        <w:tc>
          <w:tcPr>
            <w:tcW w:w="3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0000FF"/>
              </w:rPr>
              <w:t>23.</w:t>
            </w:r>
            <w:r>
              <w:rPr>
                <w:rFonts w:ascii="Times New Roman" w:cs="Times New Roman" w:eastAsia="Times New Roman" w:hAnsi="Times New Roman"/>
                <w:sz w:val="17"/>
                <w:szCs w:val="17"/>
                <w:u w:val="single" w:color="auto"/>
                <w:color w:val="0000FF"/>
              </w:rPr>
              <w:t>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20" w:type="dxa"/>
            <w:vAlign w:val="bottom"/>
            <w:gridSpan w:val="37"/>
          </w:tcPr>
          <w:p>
            <w:pPr>
              <w:spacing w:after="0" w:line="181" w:lineRule="exact"/>
              <w:rPr>
                <w:sz w:val="20"/>
                <w:szCs w:val="20"/>
                <w:color w:val="auto"/>
              </w:rPr>
            </w:pPr>
            <w:r>
              <w:rPr>
                <w:rFonts w:ascii="Times New Roman" w:cs="Times New Roman" w:eastAsia="Times New Roman" w:hAnsi="Times New Roman"/>
                <w:sz w:val="17"/>
                <w:szCs w:val="17"/>
                <w:color w:val="0000FF"/>
              </w:rPr>
              <w:t>Consent of Moss Adams, LLP</w:t>
            </w: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9"/>
        </w:trPr>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8"/>
        </w:trPr>
        <w:tc>
          <w:tcPr>
            <w:tcW w:w="380" w:type="dxa"/>
            <w:vAlign w:val="bottom"/>
            <w:tcBorders>
              <w:right w:val="single" w:sz="8" w:color="CCEEFF"/>
            </w:tcBorders>
            <w:gridSpan w:val="2"/>
            <w:shd w:val="clear" w:color="auto" w:fill="CCEEFF"/>
          </w:tcPr>
          <w:p>
            <w:pPr>
              <w:spacing w:after="0"/>
              <w:rPr>
                <w:sz w:val="19"/>
                <w:szCs w:val="19"/>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Borders>
              <w:lef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2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7"/>
                <w:szCs w:val="17"/>
                <w:color w:val="auto"/>
              </w:rPr>
              <w:t>Power of Attorney (included on signature page)</w:t>
            </w:r>
          </w:p>
        </w:tc>
        <w:tc>
          <w:tcPr>
            <w:tcW w:w="9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180"/>
        </w:trPr>
        <w:tc>
          <w:tcPr>
            <w:tcW w:w="680" w:type="dxa"/>
            <w:vAlign w:val="bottom"/>
            <w:gridSpan w:val="3"/>
          </w:tcPr>
          <w:p>
            <w:pPr>
              <w:jc w:val="center"/>
              <w:ind w:left="294"/>
              <w:spacing w:after="0" w:line="181" w:lineRule="exact"/>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20" w:type="dxa"/>
            <w:vAlign w:val="bottom"/>
            <w:gridSpan w:val="37"/>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Principal Executive Officer pursuant to Rules 13a-</w:t>
            </w: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40" w:type="dxa"/>
            <w:vAlign w:val="bottom"/>
            <w:tcBorders>
              <w:top w:val="single" w:sz="8" w:color="0000FF"/>
            </w:tcBorders>
            <w:gridSpan w:val="31"/>
          </w:tcPr>
          <w:p>
            <w:pPr>
              <w:spacing w:after="0" w:line="173" w:lineRule="exact"/>
              <w:rPr>
                <w:sz w:val="20"/>
                <w:szCs w:val="20"/>
                <w:color w:val="auto"/>
              </w:rPr>
            </w:pPr>
            <w:r>
              <w:rPr>
                <w:rFonts w:ascii="Times New Roman" w:cs="Times New Roman" w:eastAsia="Times New Roman" w:hAnsi="Times New Roman"/>
                <w:sz w:val="17"/>
                <w:szCs w:val="17"/>
                <w:color w:val="0000FF"/>
              </w:rPr>
              <w:t>14(a) and 15d-14(a) under the Securities Exchange Act of 1934, as</w:t>
            </w:r>
          </w:p>
        </w:tc>
        <w:tc>
          <w:tcPr>
            <w:tcW w:w="380" w:type="dxa"/>
            <w:vAlign w:val="bottom"/>
            <w:gridSpan w:val="6"/>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0" w:type="dxa"/>
            <w:vAlign w:val="bottom"/>
            <w:tcBorders>
              <w:top w:val="single" w:sz="8" w:color="0000FF"/>
            </w:tcBorders>
            <w:gridSpan w:val="22"/>
          </w:tcPr>
          <w:p>
            <w:pPr>
              <w:spacing w:after="0" w:line="173" w:lineRule="exact"/>
              <w:rPr>
                <w:sz w:val="20"/>
                <w:szCs w:val="20"/>
                <w:color w:val="auto"/>
              </w:rPr>
            </w:pPr>
            <w:r>
              <w:rPr>
                <w:rFonts w:ascii="Times New Roman" w:cs="Times New Roman" w:eastAsia="Times New Roman" w:hAnsi="Times New Roman"/>
                <w:sz w:val="17"/>
                <w:szCs w:val="17"/>
                <w:color w:val="0000FF"/>
                <w:w w:val="99"/>
              </w:rPr>
              <w:t>adopted pursuant to Section 302 of the Sarbanes-Oxley Act of 2002</w:t>
            </w:r>
          </w:p>
        </w:tc>
        <w:tc>
          <w:tcPr>
            <w:tcW w:w="80" w:type="dxa"/>
            <w:vAlign w:val="bottom"/>
            <w:gridSpan w:val="4"/>
          </w:tcPr>
          <w:p>
            <w:pPr>
              <w:spacing w:after="0"/>
              <w:rPr>
                <w:sz w:val="15"/>
                <w:szCs w:val="15"/>
                <w:color w:val="auto"/>
              </w:rPr>
            </w:pPr>
          </w:p>
        </w:tc>
        <w:tc>
          <w:tcPr>
            <w:tcW w:w="100" w:type="dxa"/>
            <w:vAlign w:val="bottom"/>
            <w:gridSpan w:val="3"/>
          </w:tcPr>
          <w:p>
            <w:pPr>
              <w:spacing w:after="0"/>
              <w:rPr>
                <w:sz w:val="15"/>
                <w:szCs w:val="15"/>
                <w:color w:val="auto"/>
              </w:rPr>
            </w:pPr>
          </w:p>
        </w:tc>
        <w:tc>
          <w:tcPr>
            <w:tcW w:w="440" w:type="dxa"/>
            <w:vAlign w:val="bottom"/>
            <w:gridSpan w:val="8"/>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44"/>
        </w:trPr>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180"/>
        </w:trPr>
        <w:tc>
          <w:tcPr>
            <w:tcW w:w="680" w:type="dxa"/>
            <w:vAlign w:val="bottom"/>
            <w:gridSpan w:val="3"/>
            <w:shd w:val="clear" w:color="auto" w:fill="CCEEFF"/>
          </w:tcPr>
          <w:p>
            <w:pPr>
              <w:jc w:val="center"/>
              <w:ind w:left="294"/>
              <w:spacing w:after="0" w:line="181" w:lineRule="exact"/>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100" w:type="dxa"/>
            <w:vAlign w:val="bottom"/>
            <w:tcBorders>
              <w:lef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20" w:type="dxa"/>
            <w:vAlign w:val="bottom"/>
            <w:gridSpan w:val="37"/>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Principal Financial Officer pursuant to Rules 13a-</w:t>
            </w:r>
          </w:p>
        </w:tc>
        <w:tc>
          <w:tcPr>
            <w:tcW w:w="9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73"/>
        </w:trPr>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780" w:type="dxa"/>
            <w:vAlign w:val="bottom"/>
            <w:tcBorders>
              <w:top w:val="single" w:sz="8" w:color="0000FF"/>
            </w:tcBorders>
            <w:gridSpan w:val="29"/>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FF"/>
              </w:rPr>
              <w:t>14(a) and 15d-14(a) under the Securities Exchange Act of 1934, as</w:t>
            </w:r>
          </w:p>
        </w:tc>
        <w:tc>
          <w:tcPr>
            <w:tcW w:w="440" w:type="dxa"/>
            <w:vAlign w:val="bottom"/>
            <w:tcBorders>
              <w:top w:val="single" w:sz="8" w:color="CCEEFF"/>
            </w:tcBorders>
            <w:gridSpan w:val="8"/>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CCEEFF"/>
            </w:tcBorders>
            <w:shd w:val="clear" w:color="auto" w:fill="CCEEFF"/>
          </w:tcPr>
          <w:p>
            <w:pPr>
              <w:spacing w:after="0"/>
              <w:rPr>
                <w:sz w:val="15"/>
                <w:szCs w:val="15"/>
                <w:color w:val="auto"/>
              </w:rPr>
            </w:pPr>
          </w:p>
        </w:tc>
      </w:tr>
      <w:tr>
        <w:trPr>
          <w:trHeight w:val="218"/>
        </w:trPr>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0000FF"/>
            </w:tcBorders>
            <w:gridSpan w:val="22"/>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FF"/>
                <w:w w:val="99"/>
              </w:rPr>
              <w:t>adopted pursuant to Section 302 of the Sarbanes-Oxley Act of 2002</w:t>
            </w:r>
          </w:p>
        </w:tc>
        <w:tc>
          <w:tcPr>
            <w:tcW w:w="620" w:type="dxa"/>
            <w:vAlign w:val="bottom"/>
            <w:tcBorders>
              <w:top w:val="single" w:sz="8" w:color="CCEEFF"/>
            </w:tcBorders>
            <w:gridSpan w:val="15"/>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r>
      <w:tr>
        <w:trPr>
          <w:trHeight w:val="864"/>
        </w:trPr>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560" w:type="dxa"/>
            <w:vAlign w:val="bottom"/>
            <w:tcBorders>
              <w:top w:val="single" w:sz="8" w:color="0000FF"/>
            </w:tcBorders>
            <w:gridSpan w:val="20"/>
          </w:tcPr>
          <w:p>
            <w:pPr>
              <w:jc w:val="right"/>
              <w:ind w:right="40"/>
              <w:spacing w:after="0"/>
              <w:rPr>
                <w:sz w:val="20"/>
                <w:szCs w:val="20"/>
                <w:color w:val="auto"/>
              </w:rPr>
            </w:pPr>
            <w:r>
              <w:rPr>
                <w:rFonts w:ascii="Times New Roman" w:cs="Times New Roman" w:eastAsia="Times New Roman" w:hAnsi="Times New Roman"/>
                <w:sz w:val="17"/>
                <w:szCs w:val="17"/>
                <w:color w:val="auto"/>
              </w:rPr>
              <w:t>73</w:t>
            </w: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640" w:type="dxa"/>
            <w:vAlign w:val="bottom"/>
            <w:tcBorders>
              <w:top w:val="single" w:sz="8" w:color="CCEEFF"/>
            </w:tcBorders>
          </w:tcPr>
          <w:p>
            <w:pPr>
              <w:spacing w:after="0"/>
              <w:rPr>
                <w:sz w:val="24"/>
                <w:szCs w:val="24"/>
                <w:color w:val="auto"/>
              </w:rPr>
            </w:pPr>
          </w:p>
        </w:tc>
      </w:tr>
      <w:tr>
        <w:trPr>
          <w:trHeight w:val="108"/>
        </w:trPr>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gridSpan w:val="5"/>
          </w:tcPr>
          <w:p>
            <w:pPr>
              <w:jc w:val="center"/>
              <w:ind w:right="280"/>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p>
        </w:tc>
        <w:tc>
          <w:tcPr>
            <w:tcW w:w="53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Certifications of the Principal Executive Officer and Principal Financial</w:t>
            </w: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53"/>
        </w:trPr>
        <w:tc>
          <w:tcPr>
            <w:tcW w:w="3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940" w:type="dxa"/>
            <w:vAlign w:val="bottom"/>
            <w:tcBorders>
              <w:top w:val="single" w:sz="8" w:color="0000FF"/>
            </w:tcBorders>
            <w:gridSpan w:val="4"/>
          </w:tcPr>
          <w:p>
            <w:pPr>
              <w:spacing w:after="0" w:line="154" w:lineRule="exact"/>
              <w:rPr>
                <w:sz w:val="20"/>
                <w:szCs w:val="20"/>
                <w:color w:val="auto"/>
              </w:rPr>
            </w:pPr>
            <w:r>
              <w:rPr>
                <w:rFonts w:ascii="Times New Roman" w:cs="Times New Roman" w:eastAsia="Times New Roman" w:hAnsi="Times New Roman"/>
                <w:sz w:val="17"/>
                <w:szCs w:val="17"/>
                <w:color w:val="0000FF"/>
              </w:rPr>
              <w:t>Officer pursuant to 18 U.S.C. Section 1350, as adopted pursuant to</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73"/>
        </w:trPr>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0" w:type="dxa"/>
            <w:vAlign w:val="bottom"/>
            <w:tcBorders>
              <w:top w:val="single" w:sz="8" w:color="0000FF"/>
            </w:tcBorders>
            <w:gridSpan w:val="3"/>
          </w:tcPr>
          <w:p>
            <w:pPr>
              <w:spacing w:after="0" w:line="173" w:lineRule="exact"/>
              <w:rPr>
                <w:sz w:val="20"/>
                <w:szCs w:val="20"/>
                <w:color w:val="auto"/>
              </w:rPr>
            </w:pPr>
            <w:r>
              <w:rPr>
                <w:rFonts w:ascii="Times New Roman" w:cs="Times New Roman" w:eastAsia="Times New Roman" w:hAnsi="Times New Roman"/>
                <w:sz w:val="17"/>
                <w:szCs w:val="17"/>
                <w:color w:val="0000FF"/>
              </w:rPr>
              <w:t>Section 906 of the Sarbanes-Oxley Act of 2002</w:t>
            </w:r>
          </w:p>
        </w:tc>
        <w:tc>
          <w:tcPr>
            <w:tcW w:w="60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44"/>
        </w:trPr>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60" w:type="dxa"/>
            <w:vAlign w:val="bottom"/>
            <w:tcBorders>
              <w:top w:val="single" w:sz="8" w:color="0000FF"/>
            </w:tcBorders>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180"/>
        </w:trPr>
        <w:tc>
          <w:tcPr>
            <w:tcW w:w="740" w:type="dxa"/>
            <w:vAlign w:val="bottom"/>
            <w:gridSpan w:val="4"/>
            <w:shd w:val="clear" w:color="auto" w:fill="CCEEFF"/>
          </w:tcPr>
          <w:p>
            <w:pPr>
              <w:jc w:val="center"/>
              <w:ind w:right="20"/>
              <w:spacing w:after="0" w:line="181"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97.</w:t>
              </w:r>
              <w:r>
                <w:rPr>
                  <w:rFonts w:ascii="Times New Roman" w:cs="Times New Roman" w:eastAsia="Times New Roman" w:hAnsi="Times New Roman"/>
                  <w:sz w:val="17"/>
                  <w:szCs w:val="17"/>
                  <w:u w:val="single" w:color="auto"/>
                  <w:color w:val="0000FF"/>
                </w:rPr>
                <w:t>1</w:t>
              </w:r>
            </w:hyperlink>
          </w:p>
        </w:tc>
        <w:tc>
          <w:tcPr>
            <w:tcW w:w="300" w:type="dxa"/>
            <w:vAlign w:val="bottom"/>
            <w:shd w:val="clear" w:color="auto" w:fill="CCEEFF"/>
          </w:tcPr>
          <w:p>
            <w:pPr>
              <w:spacing w:after="0"/>
              <w:rPr>
                <w:sz w:val="15"/>
                <w:szCs w:val="15"/>
                <w:color w:val="auto"/>
              </w:rPr>
            </w:pPr>
          </w:p>
        </w:tc>
        <w:tc>
          <w:tcPr>
            <w:tcW w:w="5360" w:type="dxa"/>
            <w:vAlign w:val="bottom"/>
            <w:gridSpan w:val="6"/>
            <w:shd w:val="clear" w:color="auto" w:fill="CCEEFF"/>
          </w:tcPr>
          <w:p>
            <w:pPr>
              <w:ind w:left="160"/>
              <w:spacing w:after="0" w:line="181"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Incentive Compensation Recoupment (Clawback) Policy</w:t>
              </w:r>
            </w:hyperlink>
          </w:p>
        </w:tc>
        <w:tc>
          <w:tcPr>
            <w:tcW w:w="90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7"/>
                <w:szCs w:val="17"/>
                <w:color w:val="auto"/>
              </w:rPr>
              <w:t>10-K</w:t>
            </w:r>
          </w:p>
        </w:tc>
        <w:tc>
          <w:tcPr>
            <w:tcW w:w="1420" w:type="dxa"/>
            <w:vAlign w:val="bottom"/>
            <w:shd w:val="clear" w:color="auto" w:fill="CCEEFF"/>
          </w:tcPr>
          <w:p>
            <w:pPr>
              <w:jc w:val="right"/>
              <w:ind w:right="274"/>
              <w:spacing w:after="0" w:line="181" w:lineRule="exact"/>
              <w:rPr>
                <w:sz w:val="20"/>
                <w:szCs w:val="20"/>
                <w:color w:val="auto"/>
              </w:rPr>
            </w:pPr>
            <w:r>
              <w:rPr>
                <w:rFonts w:ascii="Times New Roman" w:cs="Times New Roman" w:eastAsia="Times New Roman" w:hAnsi="Times New Roman"/>
                <w:sz w:val="17"/>
                <w:szCs w:val="17"/>
                <w:color w:val="auto"/>
              </w:rPr>
              <w:t>001-39021</w:t>
            </w:r>
          </w:p>
        </w:tc>
        <w:tc>
          <w:tcPr>
            <w:tcW w:w="940" w:type="dxa"/>
            <w:vAlign w:val="bottom"/>
            <w:shd w:val="clear" w:color="auto" w:fill="CCEEFF"/>
          </w:tcPr>
          <w:p>
            <w:pPr>
              <w:jc w:val="right"/>
              <w:ind w:right="314"/>
              <w:spacing w:after="0" w:line="181" w:lineRule="exact"/>
              <w:rPr>
                <w:sz w:val="20"/>
                <w:szCs w:val="20"/>
                <w:color w:val="auto"/>
              </w:rPr>
            </w:pPr>
            <w:r>
              <w:rPr>
                <w:rFonts w:ascii="Times New Roman" w:cs="Times New Roman" w:eastAsia="Times New Roman" w:hAnsi="Times New Roman"/>
                <w:sz w:val="17"/>
                <w:szCs w:val="17"/>
                <w:color w:val="auto"/>
              </w:rPr>
              <w:t>97</w:t>
            </w:r>
          </w:p>
        </w:tc>
        <w:tc>
          <w:tcPr>
            <w:tcW w:w="1580" w:type="dxa"/>
            <w:vAlign w:val="bottom"/>
            <w:shd w:val="clear" w:color="auto" w:fill="CCEEFF"/>
          </w:tcPr>
          <w:p>
            <w:pPr>
              <w:ind w:left="380"/>
              <w:spacing w:after="0" w:line="181" w:lineRule="exact"/>
              <w:rPr>
                <w:sz w:val="20"/>
                <w:szCs w:val="20"/>
                <w:color w:val="auto"/>
              </w:rPr>
            </w:pPr>
            <w:r>
              <w:rPr>
                <w:rFonts w:ascii="Times New Roman" w:cs="Times New Roman" w:eastAsia="Times New Roman" w:hAnsi="Times New Roman"/>
                <w:sz w:val="17"/>
                <w:szCs w:val="17"/>
                <w:color w:val="auto"/>
              </w:rPr>
              <w:t>May 24, 2024</w:t>
            </w:r>
          </w:p>
        </w:tc>
      </w:tr>
      <w:tr>
        <w:trPr>
          <w:trHeight w:val="44"/>
        </w:trPr>
        <w:tc>
          <w:tcPr>
            <w:tcW w:w="3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26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1580" w:type="dxa"/>
            <w:vAlign w:val="bottom"/>
            <w:tcBorders>
              <w:top w:val="single" w:sz="8" w:color="CCEEFF"/>
            </w:tcBorders>
            <w:shd w:val="clear" w:color="auto" w:fill="CCEEFF"/>
          </w:tcPr>
          <w:p>
            <w:pPr>
              <w:spacing w:after="0"/>
              <w:rPr>
                <w:sz w:val="3"/>
                <w:szCs w:val="3"/>
                <w:color w:val="auto"/>
              </w:rPr>
            </w:pPr>
          </w:p>
        </w:tc>
      </w:tr>
      <w:tr>
        <w:trPr>
          <w:trHeight w:val="168"/>
        </w:trPr>
        <w:tc>
          <w:tcPr>
            <w:tcW w:w="1040" w:type="dxa"/>
            <w:vAlign w:val="bottom"/>
            <w:gridSpan w:val="5"/>
          </w:tcPr>
          <w:p>
            <w:pPr>
              <w:jc w:val="center"/>
              <w:spacing w:after="0" w:line="167" w:lineRule="exact"/>
              <w:rPr>
                <w:sz w:val="20"/>
                <w:szCs w:val="20"/>
                <w:color w:val="auto"/>
              </w:rPr>
            </w:pPr>
            <w:r>
              <w:rPr>
                <w:rFonts w:ascii="Times New Roman" w:cs="Times New Roman" w:eastAsia="Times New Roman" w:hAnsi="Times New Roman"/>
                <w:sz w:val="17"/>
                <w:szCs w:val="17"/>
                <w:color w:val="auto"/>
              </w:rPr>
              <w:t>101.INS</w:t>
            </w:r>
          </w:p>
        </w:tc>
        <w:tc>
          <w:tcPr>
            <w:tcW w:w="5360" w:type="dxa"/>
            <w:vAlign w:val="bottom"/>
            <w:gridSpan w:val="6"/>
          </w:tcPr>
          <w:p>
            <w:pPr>
              <w:ind w:left="160"/>
              <w:spacing w:after="0" w:line="167" w:lineRule="exact"/>
              <w:rPr>
                <w:sz w:val="20"/>
                <w:szCs w:val="20"/>
                <w:color w:val="auto"/>
              </w:rPr>
            </w:pPr>
            <w:r>
              <w:rPr>
                <w:rFonts w:ascii="Times New Roman" w:cs="Times New Roman" w:eastAsia="Times New Roman" w:hAnsi="Times New Roman"/>
                <w:sz w:val="17"/>
                <w:szCs w:val="17"/>
                <w:color w:val="auto"/>
              </w:rPr>
              <w:t>Inline XBRL Instance Document (the instance document does not</w:t>
            </w: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7"/>
        </w:trPr>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360" w:type="dxa"/>
            <w:vAlign w:val="bottom"/>
            <w:gridSpan w:val="6"/>
          </w:tcPr>
          <w:p>
            <w:pPr>
              <w:ind w:left="160"/>
              <w:spacing w:after="0" w:line="177" w:lineRule="exact"/>
              <w:rPr>
                <w:sz w:val="20"/>
                <w:szCs w:val="20"/>
                <w:color w:val="auto"/>
              </w:rPr>
            </w:pPr>
            <w:r>
              <w:rPr>
                <w:rFonts w:ascii="Times New Roman" w:cs="Times New Roman" w:eastAsia="Times New Roman" w:hAnsi="Times New Roman"/>
                <w:sz w:val="17"/>
                <w:szCs w:val="17"/>
                <w:color w:val="auto"/>
              </w:rPr>
              <w:t>appear in the Interactive Data File because its XBRL tags are embedded</w:t>
            </w:r>
          </w:p>
        </w:tc>
        <w:tc>
          <w:tcPr>
            <w:tcW w:w="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23"/>
        </w:trPr>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within the Inline XBRL document)</w:t>
            </w:r>
          </w:p>
        </w:tc>
        <w:tc>
          <w:tcPr>
            <w:tcW w:w="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9"/>
        </w:trPr>
        <w:tc>
          <w:tcPr>
            <w:tcW w:w="104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101.SCH</w:t>
            </w:r>
          </w:p>
        </w:tc>
        <w:tc>
          <w:tcPr>
            <w:tcW w:w="53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9"/>
        </w:trPr>
        <w:tc>
          <w:tcPr>
            <w:tcW w:w="10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101.CAL</w:t>
            </w:r>
          </w:p>
        </w:tc>
        <w:tc>
          <w:tcPr>
            <w:tcW w:w="53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9"/>
        </w:trPr>
        <w:tc>
          <w:tcPr>
            <w:tcW w:w="104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101.DEF</w:t>
            </w:r>
          </w:p>
        </w:tc>
        <w:tc>
          <w:tcPr>
            <w:tcW w:w="53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9"/>
        </w:trPr>
        <w:tc>
          <w:tcPr>
            <w:tcW w:w="10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101.LAB</w:t>
            </w:r>
          </w:p>
        </w:tc>
        <w:tc>
          <w:tcPr>
            <w:tcW w:w="53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9"/>
        </w:trPr>
        <w:tc>
          <w:tcPr>
            <w:tcW w:w="104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101.PRE</w:t>
            </w:r>
          </w:p>
        </w:tc>
        <w:tc>
          <w:tcPr>
            <w:tcW w:w="53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bl>
    <w:p>
      <w:pPr>
        <w:ind w:left="1200" w:right="5600" w:hanging="784"/>
        <w:spacing w:after="0" w:line="237" w:lineRule="auto"/>
        <w:tabs>
          <w:tab w:leader="none" w:pos="12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36" w:lineRule="exact"/>
        <w:rPr>
          <w:sz w:val="20"/>
          <w:szCs w:val="20"/>
          <w:color w:val="auto"/>
        </w:rPr>
      </w:pPr>
    </w:p>
    <w:p>
      <w:pPr>
        <w:ind w:left="480" w:right="20" w:hanging="345"/>
        <w:spacing w:after="0" w:line="269" w:lineRule="auto"/>
        <w:tabs>
          <w:tab w:leader="none" w:pos="4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schedules and exhibits to this agreement have been omitted pursuant to Item 601(a)(5) of Regulation S-K. A copy of any omitted schedule and/or exhibit will be furnished to the SEC upon request.</w:t>
      </w:r>
    </w:p>
    <w:p>
      <w:pPr>
        <w:ind w:left="480" w:hanging="339"/>
        <w:spacing w:after="0"/>
        <w:tabs>
          <w:tab w:leader="none" w:pos="4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 contract or agreement.</w:t>
      </w:r>
    </w:p>
    <w:p>
      <w:pPr>
        <w:spacing w:after="0" w:line="49" w:lineRule="exact"/>
        <w:rPr>
          <w:sz w:val="20"/>
          <w:szCs w:val="20"/>
          <w:color w:val="auto"/>
        </w:rPr>
      </w:pPr>
    </w:p>
    <w:p>
      <w:pPr>
        <w:jc w:val="both"/>
        <w:ind w:left="480" w:right="20" w:hanging="339"/>
        <w:spacing w:after="0" w:line="254" w:lineRule="auto"/>
        <w:tabs>
          <w:tab w:leader="none" w:pos="4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32.1 that accompany this Annual Report on Form 10-K are deemed furnished and not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p>
      <w:pPr>
        <w:spacing w:after="0" w:line="29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w:t>
        <w:tab/>
        <w:t>FORM 10-K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Securities Exchange Act of 1934, the registrant has duly caused this report to be signed on its behalf by the undersigned, thereunto duly authorized.</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820" w:type="dxa"/>
            <w:vAlign w:val="bottom"/>
          </w:tcPr>
          <w:p>
            <w:pPr>
              <w:spacing w:after="0"/>
              <w:rPr>
                <w:sz w:val="19"/>
                <w:szCs w:val="19"/>
                <w:color w:val="auto"/>
              </w:rPr>
            </w:pPr>
          </w:p>
        </w:tc>
        <w:tc>
          <w:tcPr>
            <w:tcW w:w="7400" w:type="dxa"/>
            <w:vAlign w:val="bottom"/>
            <w:gridSpan w:val="3"/>
          </w:tcPr>
          <w:p>
            <w:pPr>
              <w:ind w:left="2140"/>
              <w:spacing w:after="0"/>
              <w:rPr>
                <w:sz w:val="20"/>
                <w:szCs w:val="20"/>
                <w:color w:val="auto"/>
              </w:rPr>
            </w:pPr>
            <w:r>
              <w:rPr>
                <w:rFonts w:ascii="Times New Roman" w:cs="Times New Roman" w:eastAsia="Times New Roman" w:hAnsi="Times New Roman"/>
                <w:sz w:val="17"/>
                <w:szCs w:val="17"/>
                <w:b w:val="1"/>
                <w:bCs w:val="1"/>
                <w:color w:val="auto"/>
              </w:rPr>
              <w:t>WM TECHNOLOGY, INC.</w:t>
            </w:r>
          </w:p>
        </w:tc>
      </w:tr>
      <w:tr>
        <w:trPr>
          <w:trHeight w:val="709"/>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Date:   March 13, 2025</w:t>
            </w:r>
          </w:p>
        </w:tc>
        <w:tc>
          <w:tcPr>
            <w:tcW w:w="7400" w:type="dxa"/>
            <w:vAlign w:val="bottom"/>
            <w:gridSpan w:val="3"/>
          </w:tcPr>
          <w:p>
            <w:pPr>
              <w:ind w:left="2140"/>
              <w:spacing w:after="0"/>
              <w:rPr>
                <w:sz w:val="20"/>
                <w:szCs w:val="20"/>
                <w:color w:val="auto"/>
              </w:rPr>
            </w:pPr>
            <w:r>
              <w:rPr>
                <w:rFonts w:ascii="Times New Roman" w:cs="Times New Roman" w:eastAsia="Times New Roman" w:hAnsi="Times New Roman"/>
                <w:sz w:val="17"/>
                <w:szCs w:val="17"/>
                <w:color w:val="auto"/>
              </w:rPr>
              <w:t>By:  /s/ Douglas Francis</w:t>
            </w:r>
          </w:p>
        </w:tc>
      </w:tr>
      <w:tr>
        <w:trPr>
          <w:trHeight w:val="209"/>
        </w:trPr>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Name:</w:t>
            </w:r>
          </w:p>
        </w:tc>
        <w:tc>
          <w:tcPr>
            <w:tcW w:w="42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Douglas Francis</w:t>
            </w:r>
          </w:p>
        </w:tc>
      </w:tr>
      <w:tr>
        <w:trPr>
          <w:trHeight w:val="215"/>
        </w:trPr>
        <w:tc>
          <w:tcPr>
            <w:tcW w:w="3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7"/>
        </w:trPr>
        <w:tc>
          <w:tcPr>
            <w:tcW w:w="38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32"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Douglas Francis and Susan Echard, and each of them, his or her true and lawful attorneys-in-fact and agents, each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76" w:lineRule="exact"/>
        <w:rPr>
          <w:sz w:val="20"/>
          <w:szCs w:val="20"/>
          <w:color w:val="auto"/>
        </w:rPr>
      </w:pPr>
    </w:p>
    <w:p>
      <w:pPr>
        <w:ind w:right="120" w:firstLine="464"/>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80" w:type="dxa"/>
            <w:vAlign w:val="bottom"/>
          </w:tcPr>
          <w:p>
            <w:pPr>
              <w:ind w:left="124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5120" w:type="dxa"/>
            <w:vAlign w:val="bottom"/>
          </w:tcPr>
          <w:p>
            <w:pPr>
              <w:ind w:left="274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000" w:type="dxa"/>
            <w:vAlign w:val="bottom"/>
          </w:tcPr>
          <w:p>
            <w:pPr>
              <w:ind w:left="1660"/>
              <w:spacing w:after="0"/>
              <w:rPr>
                <w:sz w:val="20"/>
                <w:szCs w:val="20"/>
                <w:color w:val="auto"/>
              </w:rPr>
            </w:pPr>
            <w:r>
              <w:rPr>
                <w:rFonts w:ascii="Times New Roman" w:cs="Times New Roman" w:eastAsia="Times New Roman" w:hAnsi="Times New Roman"/>
                <w:sz w:val="17"/>
                <w:szCs w:val="17"/>
                <w:b w:val="1"/>
                <w:bCs w:val="1"/>
                <w:color w:val="auto"/>
                <w:w w:val="94"/>
              </w:rPr>
              <w:t>Date</w:t>
            </w:r>
          </w:p>
        </w:tc>
      </w:tr>
      <w:tr>
        <w:trPr>
          <w:trHeight w:val="438"/>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Douglas Francis</w:t>
            </w:r>
          </w:p>
        </w:tc>
        <w:tc>
          <w:tcPr>
            <w:tcW w:w="5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Chief Executive Officer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Douglas Francis</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Susan Echard</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Chief Financial Officer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Susan Echard</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Tony Aquila</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Tony Aquila</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Anthony Bay</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Anthony Bay</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Brenda Freeman</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Brenda Freeman</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Olga Gonzalez</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Olga Gonzalez</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Scott Gordon</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Scott Gordon</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Glen Ibbott</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Glen Ibbott</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80" w:type="dxa"/>
            <w:vAlign w:val="bottom"/>
            <w:gridSpan w:val="5"/>
          </w:tcPr>
          <w:p>
            <w:pPr>
              <w:ind w:left="36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0"/>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68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 (Moss Adams LLP, Irvine, California, Auditor ID: (PCAOB ID</w:t>
            </w: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2"/>
        </w:trPr>
        <w:tc>
          <w:tcPr>
            <w:tcW w:w="20" w:type="dxa"/>
            <w:vAlign w:val="bottom"/>
          </w:tcPr>
          <w:p>
            <w:pPr>
              <w:spacing w:after="0"/>
              <w:rPr>
                <w:sz w:val="24"/>
                <w:szCs w:val="24"/>
                <w:color w:val="auto"/>
              </w:rPr>
            </w:pPr>
          </w:p>
        </w:tc>
        <w:tc>
          <w:tcPr>
            <w:tcW w:w="8680" w:type="dxa"/>
            <w:vAlign w:val="bottom"/>
            <w:gridSpan w:val="10"/>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EE"/>
              </w:rPr>
              <w:t>659))</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EE"/>
              </w:rPr>
              <w:t>F-1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86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1140" w:type="dxa"/>
            <w:vAlign w:val="bottom"/>
          </w:tcPr>
          <w:p>
            <w:pPr>
              <w:spacing w:after="0"/>
              <w:rPr>
                <w:sz w:val="24"/>
                <w:szCs w:val="24"/>
                <w:color w:val="auto"/>
              </w:rPr>
            </w:pPr>
          </w:p>
        </w:tc>
        <w:tc>
          <w:tcPr>
            <w:tcW w:w="240" w:type="dxa"/>
            <w:vAlign w:val="bottom"/>
            <w:tcBorders>
              <w:bottom w:val="single" w:sz="8" w:color="0000EE"/>
            </w:tcBorders>
            <w:vMerge w:val="continue"/>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8680" w:type="dxa"/>
            <w:vAlign w:val="bottom"/>
            <w:gridSpan w:val="10"/>
          </w:tcPr>
          <w:p>
            <w:pPr>
              <w:spacing w:after="0" w:line="185" w:lineRule="exact"/>
              <w:rPr>
                <w:sz w:val="20"/>
                <w:szCs w:val="20"/>
                <w:color w:val="auto"/>
              </w:rPr>
            </w:pPr>
            <w:r>
              <w:rPr>
                <w:rFonts w:ascii="Times New Roman" w:cs="Times New Roman" w:eastAsia="Times New Roman" w:hAnsi="Times New Roman"/>
                <w:sz w:val="17"/>
                <w:szCs w:val="17"/>
                <w:color w:val="0000FF"/>
              </w:rPr>
              <w:t>Consolidated Statements of Operations</w:t>
            </w:r>
          </w:p>
        </w:tc>
        <w:tc>
          <w:tcPr>
            <w:tcW w:w="1140" w:type="dxa"/>
            <w:vAlign w:val="bottom"/>
          </w:tcPr>
          <w:p>
            <w:pPr>
              <w:spacing w:after="0"/>
              <w:rPr>
                <w:sz w:val="16"/>
                <w:szCs w:val="16"/>
                <w:color w:val="auto"/>
              </w:rPr>
            </w:pPr>
          </w:p>
        </w:tc>
        <w:tc>
          <w:tcPr>
            <w:tcW w:w="1400" w:type="dxa"/>
            <w:vAlign w:val="bottom"/>
            <w:gridSpan w:val="2"/>
          </w:tcPr>
          <w:p>
            <w:pPr>
              <w:jc w:val="center"/>
              <w:ind w:right="1160"/>
              <w:spacing w:after="0" w:line="185" w:lineRule="exact"/>
              <w:rPr>
                <w:sz w:val="20"/>
                <w:szCs w:val="20"/>
                <w:color w:val="auto"/>
              </w:rPr>
            </w:pPr>
            <w:r>
              <w:rPr>
                <w:rFonts w:ascii="Times New Roman" w:cs="Times New Roman" w:eastAsia="Times New Roman" w:hAnsi="Times New Roman"/>
                <w:sz w:val="17"/>
                <w:szCs w:val="17"/>
                <w:color w:val="0000EE"/>
              </w:rPr>
              <w:t>F-2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Consolidated Statements of Equity</w:t>
            </w:r>
          </w:p>
        </w:tc>
        <w:tc>
          <w:tcPr>
            <w:tcW w:w="60" w:type="dxa"/>
            <w:vAlign w:val="bottom"/>
          </w:tcPr>
          <w:p>
            <w:pPr>
              <w:spacing w:after="0"/>
              <w:rPr>
                <w:sz w:val="19"/>
                <w:szCs w:val="19"/>
                <w:color w:val="auto"/>
              </w:rPr>
            </w:pPr>
          </w:p>
        </w:tc>
        <w:tc>
          <w:tcPr>
            <w:tcW w:w="5940" w:type="dxa"/>
            <w:vAlign w:val="bottom"/>
            <w:gridSpan w:val="6"/>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gridSpan w:val="2"/>
          </w:tcPr>
          <w:p>
            <w:pPr>
              <w:jc w:val="center"/>
              <w:ind w:right="1160"/>
              <w:spacing w:after="0"/>
              <w:rPr>
                <w:sz w:val="20"/>
                <w:szCs w:val="20"/>
                <w:color w:val="auto"/>
              </w:rPr>
            </w:pPr>
            <w:r>
              <w:rPr>
                <w:rFonts w:ascii="Times New Roman" w:cs="Times New Roman" w:eastAsia="Times New Roman" w:hAnsi="Times New Roman"/>
                <w:sz w:val="17"/>
                <w:szCs w:val="17"/>
                <w:color w:val="0000EE"/>
              </w:rPr>
              <w:t>F-3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Consolidated Statements of Cash Flows</w:t>
            </w:r>
          </w:p>
        </w:tc>
        <w:tc>
          <w:tcPr>
            <w:tcW w:w="5940" w:type="dxa"/>
            <w:vAlign w:val="bottom"/>
            <w:gridSpan w:val="6"/>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gridSpan w:val="2"/>
          </w:tcPr>
          <w:p>
            <w:pPr>
              <w:jc w:val="center"/>
              <w:ind w:right="1160"/>
              <w:spacing w:after="0"/>
              <w:rPr>
                <w:sz w:val="20"/>
                <w:szCs w:val="20"/>
                <w:color w:val="auto"/>
              </w:rPr>
            </w:pPr>
            <w:r>
              <w:rPr>
                <w:rFonts w:ascii="Times New Roman" w:cs="Times New Roman" w:eastAsia="Times New Roman" w:hAnsi="Times New Roman"/>
                <w:sz w:val="17"/>
                <w:szCs w:val="17"/>
                <w:color w:val="0000EE"/>
              </w:rPr>
              <w:t>F-4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68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1140" w:type="dxa"/>
            <w:vAlign w:val="bottom"/>
          </w:tcPr>
          <w:p>
            <w:pPr>
              <w:spacing w:after="0"/>
              <w:rPr>
                <w:sz w:val="19"/>
                <w:szCs w:val="19"/>
                <w:color w:val="auto"/>
              </w:rPr>
            </w:pPr>
          </w:p>
        </w:tc>
        <w:tc>
          <w:tcPr>
            <w:tcW w:w="1400" w:type="dxa"/>
            <w:vAlign w:val="bottom"/>
            <w:gridSpan w:val="2"/>
          </w:tcPr>
          <w:p>
            <w:pPr>
              <w:jc w:val="center"/>
              <w:ind w:right="1160"/>
              <w:spacing w:after="0"/>
              <w:rPr>
                <w:sz w:val="20"/>
                <w:szCs w:val="20"/>
                <w:color w:val="auto"/>
              </w:rPr>
            </w:pPr>
            <w:r>
              <w:rPr>
                <w:rFonts w:ascii="Times New Roman" w:cs="Times New Roman" w:eastAsia="Times New Roman" w:hAnsi="Times New Roman"/>
                <w:sz w:val="17"/>
                <w:szCs w:val="17"/>
                <w:color w:val="0000EE"/>
              </w:rPr>
              <w:t>F-6</w:t>
            </w:r>
          </w:p>
        </w:tc>
        <w:tc>
          <w:tcPr>
            <w:tcW w:w="0" w:type="dxa"/>
            <w:vAlign w:val="bottom"/>
          </w:tcPr>
          <w:p>
            <w:pPr>
              <w:spacing w:after="0"/>
              <w:rPr>
                <w:sz w:val="1"/>
                <w:szCs w:val="1"/>
                <w:color w:val="auto"/>
              </w:rPr>
            </w:pPr>
          </w:p>
        </w:tc>
      </w:tr>
      <w:tr>
        <w:trPr>
          <w:trHeight w:val="1352"/>
        </w:trPr>
        <w:tc>
          <w:tcPr>
            <w:tcW w:w="20" w:type="dxa"/>
            <w:vAlign w:val="bottom"/>
            <w:tcBorders>
              <w:bottom w:val="single" w:sz="8" w:color="9A9A9A"/>
            </w:tcBorders>
          </w:tcPr>
          <w:p>
            <w:pPr>
              <w:spacing w:after="0"/>
              <w:rPr>
                <w:sz w:val="24"/>
                <w:szCs w:val="24"/>
                <w:color w:val="auto"/>
              </w:rPr>
            </w:pPr>
          </w:p>
        </w:tc>
        <w:tc>
          <w:tcPr>
            <w:tcW w:w="200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4"/>
          <w:szCs w:val="24"/>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WM Technology, Inc.</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Opinions on the Financial Statements and Internal Control over Financial Reporting</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WM Technology, Inc. (the “Company”) as of December 31, 2024 and 2023, the related consolidated statements operations, equity and cash flows for the years then ended, and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Control - Integrated Framework (2013) </w:t>
      </w:r>
      <w:r>
        <w:rPr>
          <w:rFonts w:ascii="Times New Roman" w:cs="Times New Roman" w:eastAsia="Times New Roman" w:hAnsi="Times New Roman"/>
          <w:sz w:val="17"/>
          <w:szCs w:val="17"/>
          <w:color w:val="auto"/>
        </w:rPr>
        <w:t>issued by the Committee of Sponsoring Organizations of the Treadway Commission (COSO).</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referred to above present fairly, in all material respects, the consolidated financial position of the Company as of December 31, 2024 and 2023, and the consolidated results of its operations and its cash flows for the years then ended, in conformity with accounting principles generally accepted in the United States of America. Also in our opinion, because of the effect of the material weaknesses identified below on the achievement of the objectives of the control criteria, the Company has not maintained effective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Opinions</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included in Item 9A.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in Item 9A:</w:t>
      </w:r>
    </w:p>
    <w:p>
      <w:pPr>
        <w:spacing w:after="0" w:line="62" w:lineRule="exact"/>
        <w:rPr>
          <w:sz w:val="20"/>
          <w:szCs w:val="20"/>
          <w:color w:val="auto"/>
        </w:rPr>
      </w:pPr>
    </w:p>
    <w:p>
      <w:pPr>
        <w:jc w:val="both"/>
        <w:ind w:left="620" w:hanging="307"/>
        <w:spacing w:after="0" w:line="261" w:lineRule="auto"/>
        <w:tabs>
          <w:tab w:leader="none" w:pos="6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600075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entity level material weaknesses contributed to other material weaknesses within the Company’s system of internal control over financial reporting:</w:t>
      </w:r>
    </w:p>
    <w:p>
      <w:pPr>
        <w:spacing w:after="0" w:line="114" w:lineRule="exact"/>
        <w:rPr>
          <w:sz w:val="20"/>
          <w:szCs w:val="20"/>
          <w:color w:val="auto"/>
        </w:rPr>
      </w:pPr>
    </w:p>
    <w:p>
      <w:pPr>
        <w:jc w:val="both"/>
        <w:ind w:left="620" w:hanging="307"/>
        <w:spacing w:after="0" w:line="257"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design and maintain effective information technology (IT) general controls for certain information systems supporting its key financial reporting processes, including for its enterprise resource planning (ERP) system and certain in-scope on-premise and vendor-supported applications. Specifically, the Company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the Company’s financial statement account balances and disclosures.</w:t>
      </w:r>
    </w:p>
    <w:p>
      <w:pPr>
        <w:spacing w:after="0" w:line="75"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payroll cycle, income taxes, capitalized software, and long-term assets.</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considered the material weaknesses in determining the nature, timing, and extent of audit tests applied in our audit of the Company’s consolidated financial statements as of and for the year ended December 31, 2024, and our opinion on such consolidated financial statements was not affected.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described in Note 2 to the consolidated financial statements, the Company’s revenues are derived primarily from monthly subscriptions to Weedmaps for Business, featured and deal listings and other WM Ad solutions.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the Company’s marketplace as well as other advertising products on and off the Weedmaps marketplace. The price is generally determined through a competitive auction process that reflects local market demand. Revenues for these arrangements are recognized over-time, generally during a month-to-month subscription period as the services are provided. The Company’s total revenues were $184.5 million for the year ended December 31, 2024.</w:t>
      </w:r>
    </w:p>
    <w:p>
      <w:pPr>
        <w:spacing w:after="0" w:line="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principal consideration for our determination that performing procedures related to revenue recognition is a critical audit matter was the significant auditor judgment required to evaluate the accuracy and occurrence of revenue transactions due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584835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degree of subjectivity in applying audit procedures, the nature and extent of audit effort, and the nature of the audit evidence obtained.</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evaluating the design of internal controls related to the Company’s process-level controls relating to the recognition of revenue. As described in the “Basis for Opinions” section, a material weakness was identified related to this matter. Our audit procedures related to the accuracy and occurrence of revenue transactions included the following, among others:</w:t>
      </w:r>
    </w:p>
    <w:p>
      <w:pPr>
        <w:spacing w:after="0" w:line="64" w:lineRule="exact"/>
        <w:rPr>
          <w:sz w:val="20"/>
          <w:szCs w:val="20"/>
          <w:color w:val="auto"/>
        </w:rPr>
      </w:pPr>
    </w:p>
    <w:p>
      <w:pPr>
        <w:ind w:left="620" w:hanging="307"/>
        <w:spacing w:after="0" w:line="292" w:lineRule="auto"/>
        <w:tabs>
          <w:tab w:leader="none" w:pos="61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Obtaining an understanding and evaluating the Company’s revenue recognition policy to recognize revenue in accordance with ASC Topic 606,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from Contracts with Customers.</w:t>
      </w:r>
    </w:p>
    <w:p>
      <w:pPr>
        <w:spacing w:after="0" w:line="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a selection of subscription fee and SaaS solution offering transactions by -</w:t>
      </w:r>
    </w:p>
    <w:p>
      <w:pPr>
        <w:spacing w:after="0" w:line="113" w:lineRule="exact"/>
        <w:rPr>
          <w:rFonts w:ascii="Times New Roman" w:cs="Times New Roman" w:eastAsia="Times New Roman" w:hAnsi="Times New Roman"/>
          <w:sz w:val="17"/>
          <w:szCs w:val="17"/>
          <w:color w:val="auto"/>
        </w:rPr>
      </w:pPr>
    </w:p>
    <w:p>
      <w:pPr>
        <w:ind w:left="1240" w:hanging="309"/>
        <w:spacing w:after="0" w:line="287" w:lineRule="auto"/>
        <w:tabs>
          <w:tab w:leader="none" w:pos="124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inspecting source documents, such as contracts, terms of conditions, and payment receipts in order to evaluate the criteria to recognize revenue were met.</w:t>
      </w:r>
    </w:p>
    <w:p>
      <w:pPr>
        <w:spacing w:after="0" w:line="48" w:lineRule="exact"/>
        <w:rPr>
          <w:rFonts w:ascii="Times New Roman" w:cs="Times New Roman" w:eastAsia="Times New Roman" w:hAnsi="Times New Roman"/>
          <w:sz w:val="17"/>
          <w:szCs w:val="17"/>
          <w:color w:val="auto"/>
        </w:rPr>
      </w:pPr>
    </w:p>
    <w:p>
      <w:pPr>
        <w:ind w:left="1240" w:hanging="309"/>
        <w:spacing w:after="0" w:line="287" w:lineRule="auto"/>
        <w:tabs>
          <w:tab w:leader="none" w:pos="124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observing the delivery of these services on the marketplace during the year and tracing the transactions to the information obtained using source documents.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sufficiency of audit evidence obtained and testing the completeness and accuracy of the reports used as part of our testing.</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Moss Adams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Irvine,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847725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5"/>
        </w:trPr>
        <w:tc>
          <w:tcPr>
            <w:tcW w:w="7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875"/>
        </w:trPr>
        <w:tc>
          <w:tcPr>
            <w:tcW w:w="1220" w:type="dxa"/>
            <w:vAlign w:val="bottom"/>
            <w:tcBorders>
              <w:top w:val="single" w:sz="8" w:color="0000FF"/>
            </w:tcBorders>
          </w:tcPr>
          <w:p>
            <w:pPr>
              <w:spacing w:after="0"/>
              <w:rPr>
                <w:sz w:val="24"/>
                <w:szCs w:val="24"/>
                <w:color w:val="auto"/>
              </w:rPr>
            </w:pPr>
          </w:p>
        </w:tc>
        <w:tc>
          <w:tcPr>
            <w:tcW w:w="7380" w:type="dxa"/>
            <w:vAlign w:val="bottom"/>
            <w:gridSpan w:val="2"/>
          </w:tcPr>
          <w:p>
            <w:pPr>
              <w:jc w:val="center"/>
              <w:ind w:left="133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6220" w:type="dxa"/>
            <w:vAlign w:val="bottom"/>
          </w:tcPr>
          <w:p>
            <w:pPr>
              <w:jc w:val="center"/>
              <w:ind w:left="2514"/>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6220" w:type="dxa"/>
            <w:vAlign w:val="bottom"/>
          </w:tcPr>
          <w:p>
            <w:pPr>
              <w:jc w:val="center"/>
              <w:ind w:left="2494"/>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48"/>
        </w:trPr>
        <w:tc>
          <w:tcPr>
            <w:tcW w:w="12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40" w:type="dxa"/>
            <w:vAlign w:val="bottom"/>
            <w:tcBorders>
              <w:bottom w:val="single" w:sz="8" w:color="auto"/>
            </w:tcBorders>
          </w:tcPr>
          <w:p>
            <w:pPr>
              <w:spacing w:after="0"/>
              <w:rPr>
                <w:sz w:val="24"/>
                <w:szCs w:val="24"/>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6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51,966</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34,350</w:t>
            </w: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11,158</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7,486</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5,978</w:t>
            </w:r>
          </w:p>
        </w:tc>
      </w:tr>
      <w:tr>
        <w:trPr>
          <w:trHeight w:val="212"/>
        </w:trPr>
        <w:tc>
          <w:tcPr>
            <w:tcW w:w="74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69,512</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51,486</w:t>
            </w: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24,255</w:t>
            </w: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68,368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68,368</w:t>
            </w: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1,952</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w:t>
            </w: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14,695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15,629</w:t>
            </w: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3,264</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4,776</w:t>
            </w:r>
          </w:p>
        </w:tc>
      </w:tr>
      <w:tr>
        <w:trPr>
          <w:trHeight w:val="212"/>
        </w:trPr>
        <w:tc>
          <w:tcPr>
            <w:tcW w:w="74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181,866</w:t>
            </w:r>
          </w:p>
        </w:tc>
        <w:tc>
          <w:tcPr>
            <w:tcW w:w="80" w:type="dxa"/>
            <w:vAlign w:val="bottom"/>
          </w:tcPr>
          <w:p>
            <w:pPr>
              <w:spacing w:after="0"/>
              <w:rPr>
                <w:sz w:val="18"/>
                <w:szCs w:val="18"/>
                <w:color w:val="auto"/>
              </w:rPr>
            </w:pPr>
          </w:p>
        </w:tc>
        <w:tc>
          <w:tcPr>
            <w:tcW w:w="6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167,021</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5"/>
        </w:trPr>
        <w:tc>
          <w:tcPr>
            <w:tcW w:w="74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20,102</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21,182</w:t>
            </w: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5,918</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3,492</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6,493</w:t>
            </w:r>
          </w:p>
        </w:tc>
      </w:tr>
      <w:tr>
        <w:trPr>
          <w:trHeight w:val="219"/>
        </w:trPr>
        <w:tc>
          <w:tcPr>
            <w:tcW w:w="7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Tax receivable agreement liability, current</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12"/>
        </w:trPr>
        <w:tc>
          <w:tcPr>
            <w:tcW w:w="7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30,433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33,715</w:t>
            </w: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26,550</w:t>
            </w: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receivable agreement liability, non-current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3,006</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w:t>
            </w: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w:t>
            </w: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r>
      <w:tr>
        <w:trPr>
          <w:trHeight w:val="212"/>
        </w:trPr>
        <w:tc>
          <w:tcPr>
            <w:tcW w:w="74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61,799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63,870</w:t>
            </w: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68"/>
        </w:trPr>
        <w:tc>
          <w:tcPr>
            <w:tcW w:w="7440" w:type="dxa"/>
            <w:vAlign w:val="bottom"/>
            <w:gridSpan w:val="2"/>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Preferred Stock - $0.0001 par value; 75,000,000 shares authorized; no shares issued and outstanding at</w:t>
            </w:r>
          </w:p>
        </w:tc>
        <w:tc>
          <w:tcPr>
            <w:tcW w:w="1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2"/>
        </w:trPr>
        <w:tc>
          <w:tcPr>
            <w:tcW w:w="7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December 31, 2024 and December 31, 2023</w:t>
            </w:r>
          </w:p>
        </w:tc>
        <w:tc>
          <w:tcPr>
            <w:tcW w:w="1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7440" w:type="dxa"/>
            <w:vAlign w:val="bottom"/>
            <w:gridSpan w:val="2"/>
          </w:tcPr>
          <w:p>
            <w:pPr>
              <w:ind w:left="180"/>
              <w:spacing w:after="0" w:line="167" w:lineRule="exact"/>
              <w:rPr>
                <w:sz w:val="20"/>
                <w:szCs w:val="20"/>
                <w:color w:val="auto"/>
              </w:rPr>
            </w:pPr>
            <w:r>
              <w:rPr>
                <w:rFonts w:ascii="Times New Roman" w:cs="Times New Roman" w:eastAsia="Times New Roman" w:hAnsi="Times New Roman"/>
                <w:sz w:val="17"/>
                <w:szCs w:val="17"/>
                <w:color w:val="auto"/>
              </w:rPr>
              <w:t>Class A Common Stock - $0.0001 par value; 1,500,000,000 shares authorized; 99,033,110 shares issued</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7"/>
        </w:trPr>
        <w:tc>
          <w:tcPr>
            <w:tcW w:w="7440" w:type="dxa"/>
            <w:vAlign w:val="bottom"/>
            <w:gridSpan w:val="2"/>
          </w:tcPr>
          <w:p>
            <w:pPr>
              <w:ind w:left="320"/>
              <w:spacing w:after="0" w:line="177" w:lineRule="exact"/>
              <w:rPr>
                <w:sz w:val="20"/>
                <w:szCs w:val="20"/>
                <w:color w:val="auto"/>
              </w:rPr>
            </w:pPr>
            <w:r>
              <w:rPr>
                <w:rFonts w:ascii="Times New Roman" w:cs="Times New Roman" w:eastAsia="Times New Roman" w:hAnsi="Times New Roman"/>
                <w:sz w:val="17"/>
                <w:szCs w:val="17"/>
                <w:color w:val="auto"/>
              </w:rPr>
              <w:t>and outstanding at December 31, 2024 and 94,383,053 shares issued and outstanding at</w:t>
            </w: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23"/>
        </w:trPr>
        <w:tc>
          <w:tcPr>
            <w:tcW w:w="74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December 31, 2023</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168"/>
        </w:trPr>
        <w:tc>
          <w:tcPr>
            <w:tcW w:w="7440" w:type="dxa"/>
            <w:vAlign w:val="bottom"/>
            <w:gridSpan w:val="2"/>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Class V Common Stock - $0.0001 par value; 500,000,000 shares authorized, 54,319,542 shares issued</w:t>
            </w:r>
          </w:p>
        </w:tc>
        <w:tc>
          <w:tcPr>
            <w:tcW w:w="1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77"/>
        </w:trPr>
        <w:tc>
          <w:tcPr>
            <w:tcW w:w="7440" w:type="dxa"/>
            <w:vAlign w:val="bottom"/>
            <w:gridSpan w:val="2"/>
            <w:shd w:val="clear" w:color="auto" w:fill="CCEEFF"/>
          </w:tcPr>
          <w:p>
            <w:pPr>
              <w:ind w:left="320"/>
              <w:spacing w:after="0" w:line="177" w:lineRule="exact"/>
              <w:rPr>
                <w:sz w:val="20"/>
                <w:szCs w:val="20"/>
                <w:color w:val="auto"/>
              </w:rPr>
            </w:pPr>
            <w:r>
              <w:rPr>
                <w:rFonts w:ascii="Times New Roman" w:cs="Times New Roman" w:eastAsia="Times New Roman" w:hAnsi="Times New Roman"/>
                <w:sz w:val="17"/>
                <w:szCs w:val="17"/>
                <w:color w:val="auto"/>
              </w:rPr>
              <w:t>and outstanding at December 31, 2024 and 55,486,361 shares issued and outstanding at</w:t>
            </w:r>
          </w:p>
        </w:tc>
        <w:tc>
          <w:tcPr>
            <w:tcW w:w="1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23"/>
        </w:trPr>
        <w:tc>
          <w:tcPr>
            <w:tcW w:w="7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December 31, 2023</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92,941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80,884</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(56,879)</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(64,518)</w:t>
            </w:r>
          </w:p>
        </w:tc>
      </w:tr>
      <w:tr>
        <w:trPr>
          <w:trHeight w:val="212"/>
        </w:trPr>
        <w:tc>
          <w:tcPr>
            <w:tcW w:w="74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WM Technology, Inc. stockholders’ equity</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36,077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16,380</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83,990</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86,771</w:t>
            </w:r>
          </w:p>
        </w:tc>
      </w:tr>
      <w:tr>
        <w:trPr>
          <w:trHeight w:val="212"/>
        </w:trPr>
        <w:tc>
          <w:tcPr>
            <w:tcW w:w="74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120,067</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103,151</w:t>
            </w:r>
          </w:p>
        </w:tc>
      </w:tr>
      <w:tr>
        <w:trPr>
          <w:trHeight w:val="237"/>
        </w:trPr>
        <w:tc>
          <w:tcPr>
            <w:tcW w:w="74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181,866</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167,021</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5"/>
        </w:trPr>
        <w:tc>
          <w:tcPr>
            <w:tcW w:w="7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772"/>
        </w:trPr>
        <w:tc>
          <w:tcPr>
            <w:tcW w:w="1220" w:type="dxa"/>
            <w:vAlign w:val="bottom"/>
            <w:tcBorders>
              <w:top w:val="single" w:sz="8" w:color="0000FF"/>
            </w:tcBorders>
          </w:tcPr>
          <w:p>
            <w:pPr>
              <w:spacing w:after="0"/>
              <w:rPr>
                <w:sz w:val="24"/>
                <w:szCs w:val="24"/>
                <w:color w:val="auto"/>
              </w:rPr>
            </w:pPr>
          </w:p>
        </w:tc>
        <w:tc>
          <w:tcPr>
            <w:tcW w:w="6700" w:type="dxa"/>
            <w:vAlign w:val="bottom"/>
            <w:gridSpan w:val="2"/>
          </w:tcPr>
          <w:p>
            <w:pPr>
              <w:jc w:val="center"/>
              <w:ind w:left="201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6700" w:type="dxa"/>
            <w:vAlign w:val="bottom"/>
            <w:gridSpan w:val="2"/>
          </w:tcPr>
          <w:p>
            <w:pPr>
              <w:jc w:val="center"/>
              <w:ind w:left="2034"/>
              <w:spacing w:after="0"/>
              <w:rPr>
                <w:sz w:val="20"/>
                <w:szCs w:val="20"/>
                <w:color w:val="auto"/>
              </w:rPr>
            </w:pPr>
            <w:r>
              <w:rPr>
                <w:rFonts w:ascii="Times New Roman" w:cs="Times New Roman" w:eastAsia="Times New Roman" w:hAnsi="Times New Roman"/>
                <w:sz w:val="17"/>
                <w:szCs w:val="17"/>
                <w:b w:val="1"/>
                <w:bCs w:val="1"/>
                <w:color w:val="auto"/>
                <w:w w:val="99"/>
              </w:rPr>
              <w:t>CONSOLIDATED STATEMENTS OF OPERATIONS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6220" w:type="dxa"/>
            <w:vAlign w:val="bottom"/>
          </w:tcPr>
          <w:p>
            <w:pPr>
              <w:jc w:val="center"/>
              <w:ind w:left="2494"/>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48"/>
        </w:trPr>
        <w:tc>
          <w:tcPr>
            <w:tcW w:w="12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12"/>
        </w:trPr>
        <w:tc>
          <w:tcPr>
            <w:tcW w:w="1220" w:type="dxa"/>
            <w:vAlign w:val="bottom"/>
            <w:tcBorders>
              <w:bottom w:val="single" w:sz="8" w:color="CCEEFF"/>
            </w:tcBorders>
          </w:tcPr>
          <w:p>
            <w:pPr>
              <w:spacing w:after="0"/>
              <w:rPr>
                <w:sz w:val="18"/>
                <w:szCs w:val="18"/>
                <w:color w:val="auto"/>
              </w:rPr>
            </w:pPr>
          </w:p>
        </w:tc>
        <w:tc>
          <w:tcPr>
            <w:tcW w:w="6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184,514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187,993</w:t>
            </w:r>
          </w:p>
        </w:tc>
      </w:tr>
      <w:tr>
        <w:trPr>
          <w:trHeight w:val="245"/>
        </w:trPr>
        <w:tc>
          <w:tcPr>
            <w:tcW w:w="744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Cost of revenues (exclusive of depreciation and amortization shown separately below)</w:t>
            </w: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12,527</w:t>
            </w:r>
          </w:p>
        </w:tc>
      </w:tr>
      <w:tr>
        <w:trPr>
          <w:trHeight w:val="219"/>
        </w:trPr>
        <w:tc>
          <w:tcPr>
            <w:tcW w:w="7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40,424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47,073</w:t>
            </w:r>
          </w:p>
        </w:tc>
      </w:tr>
      <w:tr>
        <w:trPr>
          <w:trHeight w:val="219"/>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Product development</w:t>
            </w: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36,426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36,001</w:t>
            </w:r>
          </w:p>
        </w:tc>
      </w:tr>
      <w:tr>
        <w:trPr>
          <w:trHeight w:val="219"/>
        </w:trPr>
        <w:tc>
          <w:tcPr>
            <w:tcW w:w="7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70,619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74,313</w:t>
            </w:r>
          </w:p>
        </w:tc>
      </w:tr>
      <w:tr>
        <w:trPr>
          <w:trHeight w:val="219"/>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12,133</w:t>
            </w:r>
          </w:p>
        </w:tc>
      </w:tr>
      <w:tr>
        <w:trPr>
          <w:trHeight w:val="219"/>
        </w:trPr>
        <w:tc>
          <w:tcPr>
            <w:tcW w:w="7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 impairment charges</w:t>
            </w:r>
          </w:p>
        </w:tc>
        <w:tc>
          <w:tcPr>
            <w:tcW w:w="4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24,403</w:t>
            </w:r>
          </w:p>
        </w:tc>
      </w:tr>
      <w:tr>
        <w:trPr>
          <w:trHeight w:val="212"/>
        </w:trPr>
        <w:tc>
          <w:tcPr>
            <w:tcW w:w="74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4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169,766</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206,450</w:t>
            </w:r>
          </w:p>
        </w:tc>
      </w:tr>
      <w:tr>
        <w:trPr>
          <w:trHeight w:val="212"/>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(18,457)</w:t>
            </w: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income (expenses), net</w:t>
            </w: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7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4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r>
      <w:tr>
        <w:trPr>
          <w:trHeight w:val="219"/>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w:t>
            </w:r>
          </w:p>
        </w:tc>
      </w:tr>
      <w:tr>
        <w:trPr>
          <w:trHeight w:val="219"/>
        </w:trPr>
        <w:tc>
          <w:tcPr>
            <w:tcW w:w="7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income</w:t>
            </w:r>
          </w:p>
        </w:tc>
        <w:tc>
          <w:tcPr>
            <w:tcW w:w="4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2,574</w:t>
            </w:r>
          </w:p>
        </w:tc>
      </w:tr>
      <w:tr>
        <w:trPr>
          <w:trHeight w:val="212"/>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(15,634)</w:t>
            </w:r>
          </w:p>
        </w:tc>
      </w:tr>
      <w:tr>
        <w:trPr>
          <w:trHeight w:val="219"/>
        </w:trPr>
        <w:tc>
          <w:tcPr>
            <w:tcW w:w="7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4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12"/>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12,187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(15,727)</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4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(5,829)</w:t>
            </w:r>
          </w:p>
        </w:tc>
      </w:tr>
      <w:tr>
        <w:trPr>
          <w:trHeight w:val="212"/>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 income (loss) attributable to WM Technology, Inc.</w:t>
            </w: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7,639</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(9,898)</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1"/>
        </w:trPr>
        <w:tc>
          <w:tcPr>
            <w:tcW w:w="122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7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 income (loss) per share</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r>
      <w:tr>
        <w:trPr>
          <w:trHeight w:val="219"/>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Diluted income (loss) per share</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8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w:t>
            </w:r>
          </w:p>
        </w:tc>
      </w:tr>
      <w:tr>
        <w:trPr>
          <w:trHeight w:val="245"/>
        </w:trPr>
        <w:tc>
          <w:tcPr>
            <w:tcW w:w="7440" w:type="dxa"/>
            <w:vAlign w:val="bottom"/>
            <w:gridSpan w:val="2"/>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7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 average basic shares outstanding</w:t>
            </w: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96,254,679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93,244,911</w:t>
            </w:r>
          </w:p>
        </w:tc>
      </w:tr>
      <w:tr>
        <w:trPr>
          <w:trHeight w:val="223"/>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97,103,304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93,244,911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-4013200</wp:posOffset>
            </wp:positionV>
            <wp:extent cx="571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33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jc w:val="center"/>
              <w:ind w:right="160"/>
              <w:spacing w:after="0" w:line="168" w:lineRule="exact"/>
              <w:rPr>
                <w:sz w:val="20"/>
                <w:szCs w:val="20"/>
                <w:color w:val="auto"/>
              </w:rPr>
            </w:pPr>
            <w:r>
              <w:rPr>
                <w:rFonts w:ascii="Times New Roman" w:cs="Times New Roman" w:eastAsia="Times New Roman" w:hAnsi="Times New Roman"/>
                <w:sz w:val="15"/>
                <w:szCs w:val="15"/>
                <w:b w:val="1"/>
                <w:bCs w:val="1"/>
                <w:color w:val="auto"/>
              </w:rPr>
              <w:t>Total WM</w:t>
            </w: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5"/>
                <w:szCs w:val="15"/>
                <w:b w:val="1"/>
                <w:bCs w:val="1"/>
                <w:color w:val="auto"/>
              </w:rPr>
              <w:t>Technology,</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36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restart"/>
          </w:tcPr>
          <w:p>
            <w:pPr>
              <w:ind w:left="40"/>
              <w:spacing w:after="0" w:line="155"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20" w:type="dxa"/>
            <w:vAlign w:val="bottom"/>
          </w:tcPr>
          <w:p>
            <w:pPr>
              <w:spacing w:after="0"/>
              <w:rPr>
                <w:sz w:val="7"/>
                <w:szCs w:val="7"/>
                <w:color w:val="auto"/>
              </w:rPr>
            </w:pPr>
          </w:p>
        </w:tc>
        <w:tc>
          <w:tcPr>
            <w:tcW w:w="920" w:type="dxa"/>
            <w:vAlign w:val="bottom"/>
            <w:gridSpan w:val="2"/>
            <w:vMerge w:val="restart"/>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Deficit)</w:t>
            </w:r>
          </w:p>
        </w:tc>
        <w:tc>
          <w:tcPr>
            <w:tcW w:w="80" w:type="dxa"/>
            <w:vAlign w:val="bottom"/>
          </w:tcPr>
          <w:p>
            <w:pPr>
              <w:spacing w:after="0"/>
              <w:rPr>
                <w:sz w:val="7"/>
                <w:szCs w:val="7"/>
                <w:color w:val="auto"/>
              </w:rPr>
            </w:pPr>
          </w:p>
        </w:tc>
        <w:tc>
          <w:tcPr>
            <w:tcW w:w="960" w:type="dxa"/>
            <w:vAlign w:val="bottom"/>
            <w:gridSpan w:val="2"/>
            <w:vMerge w:val="restart"/>
          </w:tcPr>
          <w:p>
            <w:pPr>
              <w:jc w:val="center"/>
              <w:ind w:right="180"/>
              <w:spacing w:after="0" w:line="155" w:lineRule="exact"/>
              <w:rPr>
                <w:sz w:val="20"/>
                <w:szCs w:val="20"/>
                <w:color w:val="auto"/>
              </w:rPr>
            </w:pPr>
            <w:r>
              <w:rPr>
                <w:rFonts w:ascii="Times New Roman" w:cs="Times New Roman" w:eastAsia="Times New Roman" w:hAnsi="Times New Roman"/>
                <w:sz w:val="15"/>
                <w:szCs w:val="15"/>
                <w:b w:val="1"/>
                <w:bCs w:val="1"/>
                <w:color w:val="auto"/>
              </w:rPr>
              <w:t>Inc.</w:t>
            </w:r>
          </w:p>
        </w:tc>
        <w:tc>
          <w:tcPr>
            <w:tcW w:w="100" w:type="dxa"/>
            <w:vAlign w:val="bottom"/>
          </w:tcPr>
          <w:p>
            <w:pPr>
              <w:spacing w:after="0"/>
              <w:rPr>
                <w:sz w:val="7"/>
                <w:szCs w:val="7"/>
                <w:color w:val="auto"/>
              </w:rPr>
            </w:pPr>
          </w:p>
        </w:tc>
        <w:tc>
          <w:tcPr>
            <w:tcW w:w="760" w:type="dxa"/>
            <w:vAlign w:val="bottom"/>
            <w:gridSpan w:val="2"/>
            <w:vMerge w:val="restart"/>
          </w:tcPr>
          <w:p>
            <w:pPr>
              <w:jc w:val="center"/>
              <w:ind w:right="200"/>
              <w:spacing w:after="0" w:line="155" w:lineRule="exact"/>
              <w:rPr>
                <w:sz w:val="20"/>
                <w:szCs w:val="20"/>
                <w:color w:val="auto"/>
              </w:rPr>
            </w:pPr>
            <w:r>
              <w:rPr>
                <w:rFonts w:ascii="Times New Roman" w:cs="Times New Roman" w:eastAsia="Times New Roman" w:hAnsi="Times New Roman"/>
                <w:sz w:val="15"/>
                <w:szCs w:val="15"/>
                <w:b w:val="1"/>
                <w:bCs w:val="1"/>
                <w:color w:val="auto"/>
              </w:rPr>
              <w:t>Non-</w:t>
            </w: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3360" w:type="dxa"/>
            <w:vAlign w:val="bottom"/>
          </w:tcPr>
          <w:p>
            <w:pPr>
              <w:spacing w:after="0"/>
              <w:rPr>
                <w:sz w:val="5"/>
                <w:szCs w:val="5"/>
                <w:color w:val="auto"/>
              </w:rPr>
            </w:pPr>
          </w:p>
        </w:tc>
        <w:tc>
          <w:tcPr>
            <w:tcW w:w="1280" w:type="dxa"/>
            <w:vAlign w:val="bottom"/>
            <w:gridSpan w:val="2"/>
            <w:vMerge w:val="restart"/>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restart"/>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Class V</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28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0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8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140" w:type="dxa"/>
            <w:vAlign w:val="bottom"/>
          </w:tcPr>
          <w:p>
            <w:pPr>
              <w:spacing w:after="0"/>
              <w:rPr>
                <w:sz w:val="12"/>
                <w:szCs w:val="12"/>
                <w:color w:val="auto"/>
              </w:rPr>
            </w:pPr>
          </w:p>
        </w:tc>
        <w:tc>
          <w:tcPr>
            <w:tcW w:w="700" w:type="dxa"/>
            <w:vAlign w:val="bottom"/>
          </w:tcPr>
          <w:p>
            <w:pPr>
              <w:jc w:val="right"/>
              <w:ind w:right="183"/>
              <w:spacing w:after="0" w:line="135"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8"/>
        </w:trPr>
        <w:tc>
          <w:tcPr>
            <w:tcW w:w="3360" w:type="dxa"/>
            <w:vAlign w:val="bottom"/>
          </w:tcPr>
          <w:p>
            <w:pPr>
              <w:spacing w:after="0"/>
              <w:rPr>
                <w:sz w:val="17"/>
                <w:szCs w:val="17"/>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76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8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10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140" w:type="dxa"/>
            <w:vAlign w:val="bottom"/>
          </w:tcPr>
          <w:p>
            <w:pPr>
              <w:spacing w:after="0"/>
              <w:rPr>
                <w:sz w:val="17"/>
                <w:szCs w:val="17"/>
                <w:color w:val="auto"/>
              </w:rPr>
            </w:pPr>
          </w:p>
        </w:tc>
        <w:tc>
          <w:tcPr>
            <w:tcW w:w="70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00"/>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2022</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92,062,468</w:t>
            </w:r>
          </w:p>
        </w:tc>
        <w:tc>
          <w:tcPr>
            <w:tcW w:w="540" w:type="dxa"/>
            <w:vAlign w:val="bottom"/>
            <w:tcBorders>
              <w:top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55,486,361</w:t>
            </w:r>
          </w:p>
        </w:tc>
        <w:tc>
          <w:tcPr>
            <w:tcW w:w="520" w:type="dxa"/>
            <w:vAlign w:val="bottom"/>
            <w:tcBorders>
              <w:top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67,986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(54,620)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13,380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101,397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114,777</w:t>
            </w:r>
          </w:p>
        </w:tc>
        <w:tc>
          <w:tcPr>
            <w:tcW w:w="0" w:type="dxa"/>
            <w:vAlign w:val="bottom"/>
          </w:tcPr>
          <w:p>
            <w:pPr>
              <w:spacing w:after="0"/>
              <w:rPr>
                <w:sz w:val="1"/>
                <w:szCs w:val="1"/>
                <w:color w:val="auto"/>
              </w:rPr>
            </w:pPr>
          </w:p>
        </w:tc>
      </w:tr>
      <w:tr>
        <w:trPr>
          <w:trHeight w:val="203"/>
        </w:trPr>
        <w:tc>
          <w:tcPr>
            <w:tcW w:w="3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14,385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14,901</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Distributions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(7,187)</w:t>
            </w:r>
          </w:p>
        </w:tc>
        <w:tc>
          <w:tcPr>
            <w:tcW w:w="0" w:type="dxa"/>
            <w:vAlign w:val="bottom"/>
          </w:tcPr>
          <w:p>
            <w:pPr>
              <w:spacing w:after="0"/>
              <w:rPr>
                <w:sz w:val="1"/>
                <w:szCs w:val="1"/>
                <w:color w:val="auto"/>
              </w:rPr>
            </w:pPr>
          </w:p>
        </w:tc>
      </w:tr>
      <w:tr>
        <w:trPr>
          <w:trHeight w:val="156"/>
        </w:trPr>
        <w:tc>
          <w:tcPr>
            <w:tcW w:w="3360" w:type="dxa"/>
            <w:vAlign w:val="bottom"/>
          </w:tcPr>
          <w:p>
            <w:pPr>
              <w:ind w:left="120"/>
              <w:spacing w:after="0" w:line="156" w:lineRule="exact"/>
              <w:rPr>
                <w:sz w:val="20"/>
                <w:szCs w:val="20"/>
                <w:color w:val="auto"/>
              </w:rPr>
            </w:pPr>
            <w:r>
              <w:rPr>
                <w:rFonts w:ascii="Times New Roman" w:cs="Times New Roman" w:eastAsia="Times New Roman" w:hAnsi="Times New Roman"/>
                <w:sz w:val="15"/>
                <w:szCs w:val="15"/>
                <w:color w:val="auto"/>
              </w:rPr>
              <w:t>Issuance of common stock - vesting of restricted</w:t>
            </w: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6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stock units, net of shares withheld for employee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2,242,930</w:t>
            </w:r>
          </w:p>
        </w:tc>
        <w:tc>
          <w:tcPr>
            <w:tcW w:w="540" w:type="dxa"/>
            <w:vAlign w:val="bottom"/>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3"/>
                <w:szCs w:val="13"/>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3"/>
        </w:trPr>
        <w:tc>
          <w:tcPr>
            <w:tcW w:w="3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taxes</w:t>
            </w:r>
          </w:p>
        </w:tc>
        <w:tc>
          <w:tcPr>
            <w:tcW w:w="7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36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5"/>
                <w:szCs w:val="15"/>
                <w:color w:val="auto"/>
              </w:rPr>
              <w:t>Discharge of holdback obligation related to a prior</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(3,607)</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acquisition</w:t>
            </w:r>
          </w:p>
        </w:tc>
        <w:tc>
          <w:tcPr>
            <w:tcW w:w="74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360" w:type="dxa"/>
            <w:vAlign w:val="bottom"/>
          </w:tcPr>
          <w:p>
            <w:pPr>
              <w:ind w:left="120"/>
              <w:spacing w:after="0" w:line="156" w:lineRule="exact"/>
              <w:rPr>
                <w:sz w:val="20"/>
                <w:szCs w:val="20"/>
                <w:color w:val="auto"/>
              </w:rPr>
            </w:pPr>
            <w:r>
              <w:rPr>
                <w:rFonts w:ascii="Times New Roman" w:cs="Times New Roman" w:eastAsia="Times New Roman" w:hAnsi="Times New Roman"/>
                <w:sz w:val="15"/>
                <w:szCs w:val="15"/>
                <w:color w:val="auto"/>
              </w:rPr>
              <w:t>Class A Common shares issued - Class P Unit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77,655</w:t>
            </w:r>
          </w:p>
        </w:tc>
        <w:tc>
          <w:tcPr>
            <w:tcW w:w="540" w:type="dxa"/>
            <w:vAlign w:val="bottom"/>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3"/>
                <w:szCs w:val="13"/>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131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exchange</w:t>
            </w:r>
          </w:p>
        </w:tc>
        <w:tc>
          <w:tcPr>
            <w:tcW w:w="7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income (loss)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(15,727)</w:t>
            </w:r>
          </w:p>
        </w:tc>
        <w:tc>
          <w:tcPr>
            <w:tcW w:w="0" w:type="dxa"/>
            <w:vAlign w:val="bottom"/>
          </w:tcPr>
          <w:p>
            <w:pPr>
              <w:spacing w:after="0"/>
              <w:rPr>
                <w:sz w:val="1"/>
                <w:szCs w:val="1"/>
                <w:color w:val="auto"/>
              </w:rPr>
            </w:pPr>
          </w:p>
        </w:tc>
      </w:tr>
      <w:tr>
        <w:trPr>
          <w:trHeight w:val="198"/>
        </w:trPr>
        <w:tc>
          <w:tcPr>
            <w:tcW w:w="3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94,383,053</w:t>
            </w:r>
          </w:p>
        </w:tc>
        <w:tc>
          <w:tcPr>
            <w:tcW w:w="54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w:t>
            </w:r>
          </w:p>
        </w:tc>
        <w:tc>
          <w:tcPr>
            <w:tcW w:w="8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55,486,361</w:t>
            </w:r>
          </w:p>
        </w:tc>
        <w:tc>
          <w:tcPr>
            <w:tcW w:w="52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w:t>
            </w:r>
          </w:p>
        </w:tc>
        <w:tc>
          <w:tcPr>
            <w:tcW w:w="8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80,884</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(64,518)</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16,380</w:t>
            </w:r>
          </w:p>
        </w:tc>
        <w:tc>
          <w:tcPr>
            <w:tcW w:w="80" w:type="dxa"/>
            <w:vAlign w:val="bottom"/>
          </w:tcPr>
          <w:p>
            <w:pPr>
              <w:spacing w:after="0"/>
              <w:rPr>
                <w:sz w:val="17"/>
                <w:szCs w:val="17"/>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86,771</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103,151</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Stock-based compensation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10,073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10,287</w:t>
            </w:r>
          </w:p>
        </w:tc>
        <w:tc>
          <w:tcPr>
            <w:tcW w:w="0" w:type="dxa"/>
            <w:vAlign w:val="bottom"/>
          </w:tcPr>
          <w:p>
            <w:pPr>
              <w:spacing w:after="0"/>
              <w:rPr>
                <w:sz w:val="1"/>
                <w:szCs w:val="1"/>
                <w:color w:val="auto"/>
              </w:rPr>
            </w:pPr>
          </w:p>
        </w:tc>
      </w:tr>
      <w:tr>
        <w:trPr>
          <w:trHeight w:val="203"/>
        </w:trPr>
        <w:tc>
          <w:tcPr>
            <w:tcW w:w="3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Distributions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(5,555)</w:t>
            </w:r>
          </w:p>
        </w:tc>
        <w:tc>
          <w:tcPr>
            <w:tcW w:w="0" w:type="dxa"/>
            <w:vAlign w:val="bottom"/>
          </w:tcPr>
          <w:p>
            <w:pPr>
              <w:spacing w:after="0"/>
              <w:rPr>
                <w:sz w:val="1"/>
                <w:szCs w:val="1"/>
                <w:color w:val="auto"/>
              </w:rPr>
            </w:pPr>
          </w:p>
        </w:tc>
      </w:tr>
      <w:tr>
        <w:trPr>
          <w:trHeight w:val="158"/>
        </w:trPr>
        <w:tc>
          <w:tcPr>
            <w:tcW w:w="336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5"/>
                <w:szCs w:val="15"/>
                <w:color w:val="auto"/>
              </w:rPr>
              <w:t>Issuance of common stock - vesting of restricted</w:t>
            </w:r>
          </w:p>
        </w:tc>
        <w:tc>
          <w:tcPr>
            <w:tcW w:w="7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6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5"/>
                <w:szCs w:val="15"/>
                <w:color w:val="auto"/>
              </w:rPr>
              <w:t>stock units, net of shares withheld for employee</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3,307,383</w:t>
            </w:r>
          </w:p>
        </w:tc>
        <w:tc>
          <w:tcPr>
            <w:tcW w:w="54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taxes</w:t>
            </w:r>
          </w:p>
        </w:tc>
        <w:tc>
          <w:tcPr>
            <w:tcW w:w="74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360" w:type="dxa"/>
            <w:vAlign w:val="bottom"/>
          </w:tcPr>
          <w:p>
            <w:pPr>
              <w:ind w:left="120"/>
              <w:spacing w:after="0" w:line="156" w:lineRule="exact"/>
              <w:rPr>
                <w:sz w:val="20"/>
                <w:szCs w:val="20"/>
                <w:color w:val="auto"/>
              </w:rPr>
            </w:pPr>
            <w:r>
              <w:rPr>
                <w:rFonts w:ascii="Times New Roman" w:cs="Times New Roman" w:eastAsia="Times New Roman" w:hAnsi="Times New Roman"/>
                <w:sz w:val="15"/>
                <w:szCs w:val="15"/>
                <w:color w:val="auto"/>
              </w:rPr>
              <w:t>Class A Common shares issued - Class A Unit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1,166,819</w:t>
            </w:r>
          </w:p>
        </w:tc>
        <w:tc>
          <w:tcPr>
            <w:tcW w:w="540" w:type="dxa"/>
            <w:vAlign w:val="bottom"/>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(1,166,819)</w:t>
            </w:r>
          </w:p>
        </w:tc>
        <w:tc>
          <w:tcPr>
            <w:tcW w:w="520" w:type="dxa"/>
            <w:vAlign w:val="bottom"/>
          </w:tcPr>
          <w:p>
            <w:pPr>
              <w:spacing w:after="0"/>
              <w:rPr>
                <w:sz w:val="13"/>
                <w:szCs w:val="13"/>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1,727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(1,727)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exchange from Class V Unit</w:t>
            </w:r>
          </w:p>
        </w:tc>
        <w:tc>
          <w:tcPr>
            <w:tcW w:w="7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36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5"/>
                <w:szCs w:val="15"/>
                <w:color w:val="auto"/>
              </w:rPr>
              <w:t>Class A Common shares issued - Class P Unit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175,855</w:t>
            </w:r>
          </w:p>
        </w:tc>
        <w:tc>
          <w:tcPr>
            <w:tcW w:w="54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exchange</w:t>
            </w:r>
          </w:p>
        </w:tc>
        <w:tc>
          <w:tcPr>
            <w:tcW w:w="74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7,639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4,548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12,187</w:t>
            </w:r>
          </w:p>
        </w:tc>
        <w:tc>
          <w:tcPr>
            <w:tcW w:w="0" w:type="dxa"/>
            <w:vAlign w:val="bottom"/>
          </w:tcPr>
          <w:p>
            <w:pPr>
              <w:spacing w:after="0"/>
              <w:rPr>
                <w:sz w:val="1"/>
                <w:szCs w:val="1"/>
                <w:color w:val="auto"/>
              </w:rPr>
            </w:pPr>
          </w:p>
        </w:tc>
      </w:tr>
      <w:tr>
        <w:trPr>
          <w:trHeight w:val="227"/>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99,033,110</w:t>
            </w:r>
          </w:p>
        </w:tc>
        <w:tc>
          <w:tcPr>
            <w:tcW w:w="540" w:type="dxa"/>
            <w:vAlign w:val="bottom"/>
            <w:tcBorders>
              <w:top w:val="single" w:sz="8" w:color="auto"/>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54,319,542</w:t>
            </w:r>
          </w:p>
        </w:tc>
        <w:tc>
          <w:tcPr>
            <w:tcW w:w="520" w:type="dxa"/>
            <w:vAlign w:val="bottom"/>
            <w:tcBorders>
              <w:top w:val="single" w:sz="8" w:color="auto"/>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92,941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(56,879)</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36,077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83,990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120,067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95"/>
        </w:trPr>
        <w:tc>
          <w:tcPr>
            <w:tcW w:w="7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772"/>
        </w:trPr>
        <w:tc>
          <w:tcPr>
            <w:tcW w:w="1220" w:type="dxa"/>
            <w:vAlign w:val="bottom"/>
            <w:tcBorders>
              <w:top w:val="single" w:sz="8" w:color="0000FF"/>
            </w:tcBorders>
          </w:tcPr>
          <w:p>
            <w:pPr>
              <w:spacing w:after="0"/>
              <w:rPr>
                <w:sz w:val="24"/>
                <w:szCs w:val="24"/>
                <w:color w:val="auto"/>
              </w:rPr>
            </w:pPr>
          </w:p>
        </w:tc>
        <w:tc>
          <w:tcPr>
            <w:tcW w:w="7400" w:type="dxa"/>
            <w:vAlign w:val="bottom"/>
            <w:gridSpan w:val="2"/>
          </w:tcPr>
          <w:p>
            <w:pPr>
              <w:jc w:val="center"/>
              <w:ind w:left="131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400" w:type="dxa"/>
            <w:vAlign w:val="bottom"/>
            <w:gridSpan w:val="2"/>
          </w:tcPr>
          <w:p>
            <w:pPr>
              <w:jc w:val="center"/>
              <w:ind w:left="1314"/>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6220" w:type="dxa"/>
            <w:vAlign w:val="bottom"/>
          </w:tcPr>
          <w:p>
            <w:pPr>
              <w:jc w:val="center"/>
              <w:ind w:left="251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48"/>
        </w:trPr>
        <w:tc>
          <w:tcPr>
            <w:tcW w:w="12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12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680" w:type="dxa"/>
            <w:vAlign w:val="bottom"/>
            <w:tcBorders>
              <w:bottom w:val="single" w:sz="8" w:color="auto"/>
            </w:tcBorders>
          </w:tcPr>
          <w:p>
            <w:pPr>
              <w:spacing w:after="0"/>
              <w:rPr>
                <w:sz w:val="24"/>
                <w:szCs w:val="24"/>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62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19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18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12,187</w:t>
            </w:r>
          </w:p>
        </w:tc>
        <w:tc>
          <w:tcPr>
            <w:tcW w:w="80" w:type="dxa"/>
            <w:vAlign w:val="bottom"/>
          </w:tcPr>
          <w:p>
            <w:pPr>
              <w:spacing w:after="0"/>
              <w:rPr>
                <w:sz w:val="19"/>
                <w:szCs w:val="19"/>
                <w:color w:val="auto"/>
              </w:rPr>
            </w:pPr>
          </w:p>
        </w:tc>
        <w:tc>
          <w:tcPr>
            <w:tcW w:w="118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(15,727)</w:t>
            </w: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(loss) to net cash (used in) provided by operating activities: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13,278</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12,133</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2,773</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right-of -use lease assets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4,930</w:t>
            </w: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Asset impairment charges</w:t>
            </w:r>
          </w:p>
        </w:tc>
        <w:tc>
          <w:tcPr>
            <w:tcW w:w="1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24,403</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13,515</w:t>
            </w: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Discharge of holdback obligation related to prior acquisition</w:t>
            </w:r>
          </w:p>
        </w:tc>
        <w:tc>
          <w:tcPr>
            <w:tcW w:w="1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(3,705)</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lease termination</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1,792</w:t>
            </w: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4,488</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3,335</w:t>
            </w: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(15,275)</w:t>
            </w: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(5,568)</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(6,334)</w:t>
            </w:r>
          </w:p>
        </w:tc>
      </w:tr>
      <w:tr>
        <w:trPr>
          <w:trHeight w:val="212"/>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36,676</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22,928</w:t>
            </w:r>
          </w:p>
        </w:tc>
      </w:tr>
      <w:tr>
        <w:trPr>
          <w:trHeight w:val="225"/>
        </w:trPr>
        <w:tc>
          <w:tcPr>
            <w:tcW w:w="122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Capitalized software and expenditures</w:t>
            </w: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(11,637)</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(11,871)</w:t>
            </w:r>
          </w:p>
        </w:tc>
      </w:tr>
      <w:tr>
        <w:trPr>
          <w:trHeight w:val="212"/>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(11,637)</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(11,871)</w:t>
            </w:r>
          </w:p>
        </w:tc>
      </w:tr>
      <w:tr>
        <w:trPr>
          <w:trHeight w:val="225"/>
        </w:trPr>
        <w:tc>
          <w:tcPr>
            <w:tcW w:w="122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Distributions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(4,218)</w:t>
            </w: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Repayment of insurance premium financing</w:t>
            </w:r>
          </w:p>
        </w:tc>
        <w:tc>
          <w:tcPr>
            <w:tcW w:w="1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Proceeds from collection of related party note receivable</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Tax receivable agreement payment</w:t>
            </w: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(7,423)</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(5,290)</w:t>
            </w:r>
          </w:p>
        </w:tc>
      </w:tr>
      <w:tr>
        <w:trPr>
          <w:trHeight w:val="225"/>
        </w:trPr>
        <w:tc>
          <w:tcPr>
            <w:tcW w:w="122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increase in cash</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17,616</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5,767</w:t>
            </w: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 beginning of year</w:t>
            </w: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34,350</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28,583</w:t>
            </w:r>
          </w:p>
        </w:tc>
      </w:tr>
      <w:tr>
        <w:trPr>
          <w:trHeight w:val="212"/>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 end of year</w:t>
            </w:r>
          </w:p>
        </w:tc>
        <w:tc>
          <w:tcPr>
            <w:tcW w:w="118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51,966</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34,350</w:t>
            </w:r>
          </w:p>
        </w:tc>
      </w:tr>
      <w:tr>
        <w:trPr>
          <w:trHeight w:val="20"/>
        </w:trPr>
        <w:tc>
          <w:tcPr>
            <w:tcW w:w="12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-5123815</wp:posOffset>
            </wp:positionV>
            <wp:extent cx="571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95"/>
        </w:trPr>
        <w:tc>
          <w:tcPr>
            <w:tcW w:w="7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875"/>
        </w:trPr>
        <w:tc>
          <w:tcPr>
            <w:tcW w:w="1220" w:type="dxa"/>
            <w:vAlign w:val="bottom"/>
            <w:tcBorders>
              <w:top w:val="single" w:sz="8" w:color="0000FF"/>
            </w:tcBorders>
          </w:tcPr>
          <w:p>
            <w:pPr>
              <w:spacing w:after="0"/>
              <w:rPr>
                <w:sz w:val="24"/>
                <w:szCs w:val="24"/>
                <w:color w:val="auto"/>
              </w:rPr>
            </w:pPr>
          </w:p>
        </w:tc>
        <w:tc>
          <w:tcPr>
            <w:tcW w:w="6700" w:type="dxa"/>
            <w:vAlign w:val="bottom"/>
            <w:gridSpan w:val="2"/>
          </w:tcPr>
          <w:p>
            <w:pPr>
              <w:jc w:val="center"/>
              <w:ind w:left="201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6700" w:type="dxa"/>
            <w:vAlign w:val="bottom"/>
            <w:gridSpan w:val="2"/>
          </w:tcPr>
          <w:p>
            <w:pPr>
              <w:jc w:val="center"/>
              <w:ind w:left="2014"/>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6220" w:type="dxa"/>
            <w:vAlign w:val="bottom"/>
          </w:tcPr>
          <w:p>
            <w:pPr>
              <w:jc w:val="center"/>
              <w:ind w:left="251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6220" w:type="dxa"/>
            <w:vAlign w:val="bottom"/>
          </w:tcPr>
          <w:p>
            <w:pPr>
              <w:jc w:val="center"/>
              <w:ind w:left="2494"/>
              <w:spacing w:after="0"/>
              <w:rPr>
                <w:sz w:val="20"/>
                <w:szCs w:val="20"/>
                <w:color w:val="auto"/>
              </w:rPr>
            </w:pPr>
            <w:r>
              <w:rPr>
                <w:rFonts w:ascii="Times New Roman" w:cs="Times New Roman" w:eastAsia="Times New Roman" w:hAnsi="Times New Roman"/>
                <w:sz w:val="17"/>
                <w:szCs w:val="17"/>
                <w:b w:val="1"/>
                <w:bCs w:val="1"/>
                <w:color w:val="auto"/>
              </w:rPr>
              <w:t>(Continued)</w:t>
            </w: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48"/>
        </w:trPr>
        <w:tc>
          <w:tcPr>
            <w:tcW w:w="12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12"/>
        </w:trPr>
        <w:tc>
          <w:tcPr>
            <w:tcW w:w="1220" w:type="dxa"/>
            <w:vAlign w:val="bottom"/>
            <w:tcBorders>
              <w:bottom w:val="single" w:sz="8" w:color="CCEEFF"/>
            </w:tcBorders>
          </w:tcPr>
          <w:p>
            <w:pPr>
              <w:spacing w:after="0"/>
              <w:rPr>
                <w:sz w:val="18"/>
                <w:szCs w:val="18"/>
                <w:color w:val="auto"/>
              </w:rPr>
            </w:pPr>
          </w:p>
        </w:tc>
        <w:tc>
          <w:tcPr>
            <w:tcW w:w="6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4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45"/>
        </w:trPr>
        <w:tc>
          <w:tcPr>
            <w:tcW w:w="744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9"/>
        </w:trPr>
        <w:tc>
          <w:tcPr>
            <w:tcW w:w="7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(refunded from) paid for income taxes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45"/>
        </w:trPr>
        <w:tc>
          <w:tcPr>
            <w:tcW w:w="744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investing and financing activities</w:t>
            </w: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Stock-based compensation capitalized for software development</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8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1,386</w:t>
            </w:r>
          </w:p>
        </w:tc>
      </w:tr>
      <w:tr>
        <w:trPr>
          <w:trHeight w:val="219"/>
        </w:trPr>
        <w:tc>
          <w:tcPr>
            <w:tcW w:w="7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Capitalized assets included in accounts payable and accrued expenses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w:t>
            </w:r>
          </w:p>
        </w:tc>
      </w:tr>
      <w:tr>
        <w:trPr>
          <w:trHeight w:val="223"/>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Remeasurement of the lease liabilities and right-of-use assets due to lease modification</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3,015</w:t>
            </w:r>
          </w:p>
        </w:tc>
        <w:tc>
          <w:tcPr>
            <w:tcW w:w="8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-1148080</wp:posOffset>
            </wp:positionV>
            <wp:extent cx="571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Business and Organization</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base makes the Weedmaps marketplace highly valuable to its clients.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On the Closing Date, and in connection with the closing of the Business Combination (the “Closing”), Silver Spike was domesticated and continues as a Delaware corporation, changing its name to WM Technology, Inc.</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accompanying consolidated financial statements of the Company have been prepared in accordance with GAAP and the rules and regulations of the Securities and Exchange Commission (“SEC”). The consolidated financial statements reflect all adjustments considered necessary for a fair presentation of the consolidated results of operations and financial position for the fiscal years presented. All such adjustments are of a normal recurring nature. Certain prior year amounts have been reclassified to conform to the current year presentation.</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the year ended December 31, 2024, the Company changed its presentation of the line item previously reported as “Net revenue” to “Revenue” in the consolidated statements of operations. The change is solely to reflect that the adjustments to revenue are more appropriately considered to be adjustments to the transaction price rather than customer credits. Therefore, the Company concluded that the line item is more accurately characterized as “Revenue” in the consolidated statements of</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operations. Accordingly, for the year ended December 31, 2024, the Company changed the reporting line to “Revenue” which is determined in the same manner as the Company’s previously reported “Net revenue”, and the only change is the description of the line item.</w:t>
      </w:r>
      <w:r>
        <w:rPr>
          <w:rFonts w:ascii="Times New Roman" w:cs="Times New Roman" w:eastAsia="Times New Roman" w:hAnsi="Times New Roman"/>
          <w:sz w:val="17"/>
          <w:szCs w:val="17"/>
          <w:b w:val="1"/>
          <w:bCs w:val="1"/>
          <w:i w:val="1"/>
          <w:iCs w:val="1"/>
          <w:color w:val="auto"/>
        </w:rPr>
        <w:t>Principles of Consolidation</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2024 and 2023.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Significant estimates made by management include, among others,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and Uncertainties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operates in a relatively new industry where laws and regulations vary significantly by jurisdiction. Currently, forty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geographic concentration of the Company’s clients makes the Company vulnerable to a downturn in the local markets. Historically, the Company’s business operations have been located primarily in the State of California. See Note 3, “Revenue from Contracts with Customers,” to these consolidated financial statements for additional information.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Net</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A receivable is recorded when an unconditional right to invoice and receive payment exists. Accounts receivable represents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7"/>
          <w:szCs w:val="17"/>
          <w:i w:val="1"/>
          <w:iCs w:val="1"/>
          <w:color w:val="auto"/>
        </w:rPr>
        <w:t>Financial Instruments – Credit Losses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Account balances are written off against the allowance when it is determined that it is probable that the receivable will not be recovered. The Company had allowance for credit losses of $1.2 million as of December 31, 2024 and $8.7 million as of December 31, 2023, respectively.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and December 31, 2023, no customer accounted for more than 10% of the total gross accounts receivable outstanding.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changes in the allowance for credit losses:</w:t>
            </w: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48"/>
        </w:trPr>
        <w:tc>
          <w:tcPr>
            <w:tcW w:w="7440" w:type="dxa"/>
            <w:vAlign w:val="bottom"/>
          </w:tcPr>
          <w:p>
            <w:pPr>
              <w:spacing w:after="0"/>
              <w:rPr>
                <w:sz w:val="24"/>
                <w:szCs w:val="24"/>
                <w:color w:val="auto"/>
              </w:rPr>
            </w:pPr>
          </w:p>
        </w:tc>
        <w:tc>
          <w:tcPr>
            <w:tcW w:w="316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640" w:type="dxa"/>
            <w:vAlign w:val="bottom"/>
            <w:tcBorders>
              <w:bottom w:val="single" w:sz="8" w:color="auto"/>
            </w:tcBorders>
          </w:tcPr>
          <w:p>
            <w:pPr>
              <w:spacing w:after="0"/>
              <w:rPr>
                <w:sz w:val="24"/>
                <w:szCs w:val="24"/>
                <w:color w:val="auto"/>
              </w:rPr>
            </w:pPr>
          </w:p>
        </w:tc>
      </w:tr>
      <w:tr>
        <w:trPr>
          <w:trHeight w:val="212"/>
        </w:trPr>
        <w:tc>
          <w:tcPr>
            <w:tcW w:w="74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beginning of year</w:t>
            </w:r>
          </w:p>
        </w:tc>
        <w:tc>
          <w:tcPr>
            <w:tcW w:w="122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8,748</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12,232</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1,792</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 net of recoveries</w:t>
            </w: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(7,543)</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(5,276)</w:t>
            </w:r>
          </w:p>
        </w:tc>
      </w:tr>
      <w:tr>
        <w:trPr>
          <w:trHeight w:val="212"/>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end of year</w:t>
            </w:r>
          </w:p>
        </w:tc>
        <w:tc>
          <w:tcPr>
            <w:tcW w:w="122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80" w:type="dxa"/>
            <w:vAlign w:val="bottom"/>
          </w:tcPr>
          <w:p>
            <w:pPr>
              <w:spacing w:after="0"/>
              <w:rPr>
                <w:sz w:val="18"/>
                <w:szCs w:val="18"/>
                <w:color w:val="auto"/>
              </w:rPr>
            </w:pPr>
          </w:p>
        </w:tc>
        <w:tc>
          <w:tcPr>
            <w:tcW w:w="122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8,748</w:t>
            </w:r>
          </w:p>
        </w:tc>
      </w:tr>
      <w:tr>
        <w:trPr>
          <w:trHeight w:val="20"/>
        </w:trPr>
        <w:tc>
          <w:tcPr>
            <w:tcW w:w="7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 in Equity Securities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7"/>
          <w:szCs w:val="17"/>
          <w:i w:val="1"/>
          <w:iCs w:val="1"/>
          <w:color w:val="auto"/>
        </w:rPr>
        <w:t>Investments – Equity Securities</w:t>
      </w:r>
      <w:r>
        <w:rPr>
          <w:rFonts w:ascii="Times New Roman" w:cs="Times New Roman" w:eastAsia="Times New Roman" w:hAnsi="Times New Roman"/>
          <w:sz w:val="17"/>
          <w:szCs w:val="17"/>
          <w:color w:val="auto"/>
        </w:rPr>
        <w:t xml:space="preserve"> are accounted for at cost, less any impairment, plus or minus changes resulting from observable price changes in orderly transactions for an identical or similar investment of the same issuer. As of December 31, 2024 and December 31, 2023, the carrying value of the Company’s investments in equity securities without a readily determinable fair value were $0.0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The Company did not have any impairment charges related to investments in equity securities for the year ended December 31, 2024. For the year ended December 31, 2023, the Company recorded $3.5 million in impairment charges related to investments in equity securities. These impairment charges are included in asset impairment charges in the accompanying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Property and equipment are carried at cost, less accumulated depreciation, amortization and asset impairment charges, and consist of internally developed software, computer equipment, motor vehicle, furniture and fixtures and leasehold improvements. Depreciation is computed using the straight-line method over the estimated useful lives of the assets and generally over three years for computer equipment,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and amortization are removed from the accounts and any resulting gain or loss is reflected in the Company’s results of operations.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The Company did not have any impairment charges related to property and equipment for the year ended December 31, 2024. For the year ended December 31, 2023, the Company recorded impairment charges of $3.9 million of which $2.7 million was related to property and equipment associated with certain product offerings that were sunset in December 2023 and $1.3 million was related to leasehold improvements associated with the impairment of a ROU asset both of which are included in asset impairment charges in the consolidated statements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Software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Capitalized website and internal-use software development costs are included in property and equipment in the accompanying consolidated balance sheets. The Company capitalizes certain costs related to the development and enhancement of the Weedmaps platform and SaaS solutions when (i) the preliminary development project stage is completed, (ii) 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years ended December 31, 2024 and 2023, the Company amortized $11.7 million and $7.7 million, respectively, of internal-use software development costs to subscription and support cost of revenues. For the years ended December 31, 2024 and 2023, the Company capitalized $11.6 million and $13.1 million, respectively, of costs related to the development of software applications. At December 31, 2024 and 2023, the accumulated amortization of capitalized internal-use software development costs was $24.5 million and $12.9 million,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 For the year ended December 31, 2024, in accordance with the Company’s annual assessment policy, the Company performed a quantitative assessment to test goodwill for impairment. As part of the impairment assessment, the fair value of the reporting unit is estimated using a discounted cash flow valuation which incorporates assumptions regarding long-term growth rates, revenue and earnings projections, estimation of cash flows, discount rates and other factors. Changes in these inputs could materially affect the results of the impairment review. In conducting the quantitative assessment, the Company determined that the fair value of the goodwill substantially exceeded its carrying amount by approximately 95%, and as a result, no impairment existed as of the annual assessment date of December 31, 2024. If the forecasts of cash flows or other key inputs are negatively revised in the future, the estimated fair value of the reporting unit would be adversely impacted, potentially leading to an impairment in the future that could materially affect the operating results. No goodwill impairment charges were recorded for the years ended December 31, 2024 and 2023.</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did not have any impairment charges related to intangible assets for the year ended December 31, 2024.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See Note 8, “Goodwill and Intangible Assets,” to these consolidated financial statements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operating leases consist of office space located primarily in the United States. The Company does not have any leases classified as financing leases. The Company classifies arrangements meeting the definition of a lease as operating or financing leases, and leases are recorded on the consolidated balance sheets as both a right-of-use asset (“ROU”) and lease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calculating the right-of-use asset and lease liability, the Company elects to combine lease and non-lease components for all classes of assets. The Company excludes short-term leases having initial terms of 12 months or less as an accounting policy election, and instead recognizes rent expense on a straight-line basis over the lease term.</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 The impairment charges of ROU assets are included in asset impairment charges in the consolidated statements of operations. See Note 5, “Leases,” to these consolidated financial statements for additional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Liability</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December 31, 2024,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The Company evaluated the Warrants under ASC 815-40 </w:t>
      </w:r>
      <w:r>
        <w:rPr>
          <w:rFonts w:ascii="Times New Roman" w:cs="Times New Roman" w:eastAsia="Times New Roman" w:hAnsi="Times New Roman"/>
          <w:sz w:val="17"/>
          <w:szCs w:val="17"/>
          <w:i w:val="1"/>
          <w:iCs w:val="1"/>
          <w:color w:val="auto"/>
        </w:rPr>
        <w:t>- Derivatives and Hedging - Contracts in Entity’s Own Equity</w:t>
      </w:r>
      <w:r>
        <w:rPr>
          <w:rFonts w:ascii="Times New Roman" w:cs="Times New Roman" w:eastAsia="Times New Roman" w:hAnsi="Times New Roman"/>
          <w:sz w:val="17"/>
          <w:szCs w:val="17"/>
          <w:color w:val="auto"/>
        </w:rPr>
        <w:t>, and concluded they do not meet the criteria to be classified in stockholders’ equity. Specifically, the exercise of the Warrants may be settled in cash upon the occurrence of a tender offer or exchange that involves 50% or more of the Company’s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 See Note 11, “Warrant Liability,” to these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Business Combination, the Company entered into a tax receivable agreement (the “TRA”) with continuing members that provides for a payment to the continuing Class A Unit holders of 85% of the amount of tax benefits, if any, that the Company realizes, or is deemed to realize, as a result of redemptions or exchanges of Units (as defined below). In connection with such potential future tax benefits resulting from the Business Combination, and such subsequent redemptions and exchanges, the Company has established a deferred tax asset for the additional tax basis and a corresponding TRA liability of 85% of the expected benefit. The remaining 15% is recorded to additional paid-in capital.</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(expense), net on the consolidated statements of operations. See Note 15, “Income Taxes,” to these consolidated financial statements for additional information.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The Company recognizes revenue when the fundamental criteria for revenue recognition are met. In accordance with ASC Topic 606, </w:t>
      </w:r>
      <w:r>
        <w:rPr>
          <w:rFonts w:ascii="Times New Roman" w:cs="Times New Roman" w:eastAsia="Times New Roman" w:hAnsi="Times New Roman"/>
          <w:sz w:val="17"/>
          <w:szCs w:val="17"/>
          <w:i w:val="1"/>
          <w:iCs w:val="1"/>
          <w:color w:val="auto"/>
        </w:rPr>
        <w:t>“Revenue from Contracts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with Customers,</w:t>
      </w:r>
      <w:r>
        <w:rPr>
          <w:rFonts w:ascii="Times New Roman" w:cs="Times New Roman" w:eastAsia="Times New Roman" w:hAnsi="Times New Roman"/>
          <w:sz w:val="17"/>
          <w:szCs w:val="17"/>
          <w:color w:val="auto"/>
        </w:rPr>
        <w:t>” the Company recognizes revenue by applying the following five steps: the contract with the customer is identified; the performance obligations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Company’s contract with customers do not contain general rights of return. However, adjustments to the standard pricing may occur for selected customers on a case-by-case basis. Revenue reflects the transaction price, including any adjustments, that the Company expects to receive for such goods and services. Transaction price adjustments are primarily related to the Company’s Together for Equity Access and Legislation program, through which the Company provides free software, advertising, educational materials and training programs to applicants or licenses under social equity licensing programs. The Company provides these transaction price adjustments to license holders who were awarded special status by the state based on owner qualifications. Special status is typically given in new markets to add more diversity and inclusion in the cannabis space. A license’s social equity status is validated by the Company on the applicable state’s website. For the years ended December 31, 2024 and 2023, total transaction price adjustments issued was $5.5 million and $4.2 million, respectively. For clients that pay in advance for listing and other services, the Company records deferred revenue and recognizes revenue over the applicable subscription term.</w:t>
      </w:r>
    </w:p>
    <w:p>
      <w:pPr>
        <w:spacing w:after="0" w:line="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Company’s revenues are derived primarily from monthly subscriptions to Weedmaps for Business, featured and deal listings and other WM Ad solutions. The Company’s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(Exclusive of Depreciation and Amortization)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cost of revenue primarily consists of web hosting, internet service costs, credit card processing costs and other third party services.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Advertising</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expenses the cost of advertising in the period incurred. Advertising expense totaled $10.7 million and $11.8 million for the years ended December 31, 2024 and 2023, respectively, and is included in sales and marketing expense in the accompanying consolidated statements of operations.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measures fair value of employee stock-based compensation awards on the date of grant and allocates the related expense over the requisite service period. The fair value of restricted stock units and performance-based restricted stock units without market conditions is equal to the market price of the Company’s Class A common stock on the date of grant. The fair value of performance-based restricted stock units with market conditions is measured using a Monte Carlo simulation.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of the Company that impacts the vesting of the award, the Company records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When awards include a performance condition of the markets, the vesting of the award is dependent upon the attainment of a target stock price. Forfeitures of such stock-based awards are recognized as they occur and the Company records compensation cost over the derived service period. See Note 13, “Stock-based Compensation,” to these consolidated financial statements for additional information.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 Plan</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years ended December 31, 2024 and 2023, the Company recognized $1.7 million and $2.3 million, respectively, of expenses related to employer contributions for the Company’s 401(k) plan.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(expense), net consists primarily of gain resulting from the discharge of a holdback obligation related to a prior acquisition, change in fair value of warrant liability, TRA liability remeasurement, political contributions, interest income, interest expense, financing fees and other tax related expenses.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the Company determines it is more-likely-than-not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 See Note 15, “Income Taxes,” to these consolidated financial statements for additional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Earnings (Loss) Per Share</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Basic income (loss) per share is computed by dividing net income (loss) attributable to WM Technology, Inc. by the weighted-average number of shares of Class A Common Stock outstanding during the period.</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calculation of diluted EPS in the event they are antidilutive or subject to performance conditions for which the necessary conditions have not been satisfied by the end of the reporting period. See Note 14, “Earnings Per Share,” for additional information on dilutive securities.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December 31, 2024 and December 31, 2023, the Company had cash balances that exceeded the deposit insurance limit with five financial institutions. The Company believes that the risk of loss is not significant and has not experienced any losses in such accounts.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November 2023, the Financial Accounting Standards Board issued Accounting Standards Update (“ASU”) 2023-07, “Segment Reporting (Topic 280): Improvements to Reportable Segment Disclosure”,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Segment Reporting, including the significant segment expense disclosures. This ASU is effective for fiscal years beginning after December 15, 2024. The Company adopted this ASU as of December 31, 2024. See Note 4, “Segment Reporting,” for additional reportable segment disclosure.</w:t>
      </w:r>
    </w:p>
    <w:p>
      <w:pPr>
        <w:spacing w:after="0" w:line="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also reviewed other accounting pronouncements that became effective for the year ended December 31, 2024 and determined that either they were not applicable, or they did not have a material impact on the consolidated financial statements.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issued Accounting Standards Update (“ASU”) 2023-09, </w:t>
      </w:r>
      <w:r>
        <w:rPr>
          <w:rFonts w:ascii="Times New Roman" w:cs="Times New Roman" w:eastAsia="Times New Roman" w:hAnsi="Times New Roman"/>
          <w:sz w:val="17"/>
          <w:szCs w:val="17"/>
          <w:i w:val="1"/>
          <w:iCs w:val="1"/>
          <w:color w:val="auto"/>
        </w:rPr>
        <w:t>“Income Taxes - Improvements to Income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Tax Disclosures” </w:t>
      </w:r>
      <w:r>
        <w:rPr>
          <w:rFonts w:ascii="Times New Roman" w:cs="Times New Roman" w:eastAsia="Times New Roman" w:hAnsi="Times New Roman"/>
          <w:sz w:val="17"/>
          <w:szCs w:val="17"/>
          <w:color w:val="auto"/>
        </w:rPr>
        <w:t>requiring enhancements and further transparency to certain income tax disclosures, most notably the tax rate reconciliation and income taxes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paid. This ASU is effective for fiscal years beginning after December 15, 2024 on a prospective basis and retrospective application is permitted. The Company is currently evaluating the impact of the adoption of this standard.</w:t>
      </w:r>
    </w:p>
    <w:p>
      <w:pPr>
        <w:spacing w:after="0" w:line="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also reviewed other recently issued accounting pronouncements to be adopted in future periods and determined that they are not expected to have a material impact on the consolidated financial statements.</w:t>
      </w:r>
    </w:p>
    <w:p>
      <w:pPr>
        <w:spacing w:after="0" w:line="4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Revenue from Contracts with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sells a monthly subscription offering to retailer and brand clients as well as upsell and add-on offerings to licensed clients. The Company’s current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Weedmaps for Business monthly subscription package includes:</w:t>
      </w:r>
    </w:p>
    <w:p>
      <w:pPr>
        <w:spacing w:after="0" w:line="97" w:lineRule="exact"/>
        <w:rPr>
          <w:sz w:val="20"/>
          <w:szCs w:val="20"/>
          <w:color w:val="auto"/>
        </w:rPr>
      </w:pPr>
    </w:p>
    <w:p>
      <w:pPr>
        <w:jc w:val="both"/>
        <w:ind w:left="620" w:hanging="307"/>
        <w:spacing w:after="0" w:line="270" w:lineRule="auto"/>
        <w:tabs>
          <w:tab w:leader="none" w:pos="6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1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improves the accuracy and timeliness of information across Weedmaps, creating a more positive experience for consumers and businesses.</w:t>
      </w:r>
    </w:p>
    <w:p>
      <w:pPr>
        <w:spacing w:after="0" w:line="62" w:lineRule="exact"/>
        <w:rPr>
          <w:sz w:val="20"/>
          <w:szCs w:val="20"/>
          <w:color w:val="auto"/>
        </w:rPr>
      </w:pPr>
    </w:p>
    <w:p>
      <w:pPr>
        <w:jc w:val="both"/>
        <w:ind w:left="620" w:hanging="307"/>
        <w:spacing w:after="0" w:line="270" w:lineRule="auto"/>
        <w:tabs>
          <w:tab w:leader="none" w:pos="6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also offers other add-on products for additional fees, including:</w:t>
      </w:r>
    </w:p>
    <w:p>
      <w:pPr>
        <w:spacing w:after="0" w:line="114" w:lineRule="exact"/>
        <w:rPr>
          <w:sz w:val="20"/>
          <w:szCs w:val="20"/>
          <w:color w:val="auto"/>
        </w:rPr>
      </w:pPr>
    </w:p>
    <w:p>
      <w:pPr>
        <w:ind w:left="620" w:hanging="307"/>
        <w:spacing w:after="0" w:line="287"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Ads: Ad solutions on the Weedmaps marketplace designed for clients to amplify their businesses and reach more highly engaged cannabis consumers throughout their buying journey including:</w:t>
      </w:r>
    </w:p>
    <w:p>
      <w:pPr>
        <w:spacing w:after="0" w:line="48" w:lineRule="exact"/>
        <w:rPr>
          <w:rFonts w:ascii="Times New Roman" w:cs="Times New Roman" w:eastAsia="Times New Roman" w:hAnsi="Times New Roman"/>
          <w:sz w:val="17"/>
          <w:szCs w:val="17"/>
          <w:color w:val="auto"/>
        </w:rPr>
      </w:pPr>
    </w:p>
    <w:p>
      <w:pPr>
        <w:ind w:left="1240" w:hanging="309"/>
        <w:spacing w:after="0" w:line="284" w:lineRule="auto"/>
        <w:tabs>
          <w:tab w:leader="none" w:pos="1236"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Featured Listings: Premium placement ad solutions on high visibility locations on the Weedmaps marketplace (desktop and mobile) to amplify our clients’ businesses and maximize clients’ listings and deal presence.</w:t>
      </w:r>
    </w:p>
    <w:p>
      <w:pPr>
        <w:spacing w:after="0" w:line="1" w:lineRule="exact"/>
        <w:rPr>
          <w:rFonts w:ascii="Times New Roman" w:cs="Times New Roman" w:eastAsia="Times New Roman" w:hAnsi="Times New Roman"/>
          <w:sz w:val="17"/>
          <w:szCs w:val="17"/>
          <w:color w:val="auto"/>
        </w:rPr>
      </w:pPr>
    </w:p>
    <w:p>
      <w:pPr>
        <w:ind w:left="1240" w:hanging="309"/>
        <w:spacing w:after="0" w:line="284" w:lineRule="auto"/>
        <w:tabs>
          <w:tab w:leader="none" w:pos="1236"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1" w:lineRule="exact"/>
        <w:rPr>
          <w:rFonts w:ascii="Times New Roman" w:cs="Times New Roman" w:eastAsia="Times New Roman" w:hAnsi="Times New Roman"/>
          <w:sz w:val="17"/>
          <w:szCs w:val="17"/>
          <w:color w:val="auto"/>
        </w:rPr>
      </w:pPr>
    </w:p>
    <w:p>
      <w:pPr>
        <w:ind w:left="1240" w:hanging="309"/>
        <w:spacing w:after="0" w:line="284" w:lineRule="auto"/>
        <w:tabs>
          <w:tab w:leader="none" w:pos="1249"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1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December 2023, the Company completed the sunset of WM AdSuite, WM CRM and WM Screens product offerings as it continues to focus our efforts on other Weedmaps for Business products that support the Weedmaps marketplace and improve the eCommerce experience for the Company’s clients and users.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61"/>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Company’s disaggregated revenue information (in thousands):</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5"/>
        </w:trPr>
        <w:tc>
          <w:tcPr>
            <w:tcW w:w="7440" w:type="dxa"/>
            <w:vAlign w:val="bottom"/>
          </w:tcPr>
          <w:p>
            <w:pPr>
              <w:spacing w:after="0"/>
              <w:rPr>
                <w:sz w:val="21"/>
                <w:szCs w:val="21"/>
                <w:color w:val="auto"/>
              </w:rPr>
            </w:pPr>
          </w:p>
        </w:tc>
        <w:tc>
          <w:tcPr>
            <w:tcW w:w="312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680" w:type="dxa"/>
            <w:vAlign w:val="bottom"/>
            <w:tcBorders>
              <w:bottom w:val="single" w:sz="8" w:color="auto"/>
            </w:tcBorders>
          </w:tcPr>
          <w:p>
            <w:pPr>
              <w:spacing w:after="0"/>
              <w:rPr>
                <w:sz w:val="21"/>
                <w:szCs w:val="21"/>
                <w:color w:val="auto"/>
              </w:rPr>
            </w:pPr>
          </w:p>
        </w:tc>
      </w:tr>
      <w:tr>
        <w:trPr>
          <w:trHeight w:val="212"/>
        </w:trPr>
        <w:tc>
          <w:tcPr>
            <w:tcW w:w="74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25"/>
        </w:trPr>
        <w:tc>
          <w:tcPr>
            <w:tcW w:w="7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Featured and deal listings</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115,022</w:t>
            </w:r>
          </w:p>
        </w:tc>
        <w:tc>
          <w:tcPr>
            <w:tcW w:w="80" w:type="dxa"/>
            <w:vAlign w:val="bottom"/>
          </w:tcPr>
          <w:p>
            <w:pPr>
              <w:spacing w:after="0"/>
              <w:rPr>
                <w:sz w:val="19"/>
                <w:szCs w:val="19"/>
                <w:color w:val="auto"/>
              </w:rPr>
            </w:pPr>
          </w:p>
        </w:tc>
        <w:tc>
          <w:tcPr>
            <w:tcW w:w="118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126,546</w:t>
            </w:r>
          </w:p>
        </w:tc>
      </w:tr>
      <w:tr>
        <w:trPr>
          <w:trHeight w:val="219"/>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Weedmaps for Business</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54,170</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46,730</w:t>
            </w:r>
          </w:p>
        </w:tc>
      </w:tr>
      <w:tr>
        <w:trPr>
          <w:trHeight w:val="212"/>
        </w:trPr>
        <w:tc>
          <w:tcPr>
            <w:tcW w:w="7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Subtotal</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169,192</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173,276</w:t>
            </w:r>
          </w:p>
        </w:tc>
      </w:tr>
      <w:tr>
        <w:trPr>
          <w:trHeight w:val="219"/>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ad solutions</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15,322</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14,717</w:t>
            </w:r>
          </w:p>
        </w:tc>
      </w:tr>
      <w:tr>
        <w:trPr>
          <w:trHeight w:val="212"/>
        </w:trPr>
        <w:tc>
          <w:tcPr>
            <w:tcW w:w="7440" w:type="dxa"/>
            <w:vAlign w:val="bottom"/>
          </w:tcPr>
          <w:p>
            <w:pPr>
              <w:ind w:left="220"/>
              <w:spacing w:after="0" w:line="212" w:lineRule="exact"/>
              <w:rPr>
                <w:sz w:val="20"/>
                <w:szCs w:val="20"/>
                <w:color w:val="auto"/>
              </w:rPr>
            </w:pPr>
            <w:r>
              <w:rPr>
                <w:rFonts w:ascii="Times New Roman" w:cs="Times New Roman" w:eastAsia="Times New Roman" w:hAnsi="Times New Roman"/>
                <w:sz w:val="17"/>
                <w:szCs w:val="17"/>
                <w:color w:val="auto"/>
              </w:rPr>
              <w:t>Total revenues</w:t>
            </w:r>
            <w:r>
              <w:rPr>
                <w:rFonts w:ascii="Times New Roman" w:cs="Times New Roman" w:eastAsia="Times New Roman" w:hAnsi="Times New Roman"/>
                <w:sz w:val="22"/>
                <w:szCs w:val="22"/>
                <w:color w:val="auto"/>
                <w:vertAlign w:val="superscript"/>
              </w:rPr>
              <w:t>1</w:t>
            </w: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184,514</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187,993</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114" w:lineRule="exact"/>
        <w:rPr>
          <w:sz w:val="20"/>
          <w:szCs w:val="20"/>
          <w:color w:val="auto"/>
        </w:rPr>
      </w:pPr>
    </w:p>
    <w:p>
      <w:pPr>
        <w:ind w:firstLine="3"/>
        <w:spacing w:after="0" w:line="229" w:lineRule="auto"/>
        <w:tabs>
          <w:tab w:leader="none" w:pos="84" w:val="left"/>
        </w:tabs>
        <w:numPr>
          <w:ilvl w:val="0"/>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Revenues include transaction price adjustments of $5.5 million in 2024 and $4.2 million in 2023. See “Revenue Recognition” of Note 2, “Summary of Significant Accounting Policies” to the consolidated financial statements for further discussion.</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Deferred revenue primarily consists of billings or payments received in advance of revenue recognition from subscription offerings, as described above, and is recognized as the revenue recognition criteria are met. The deferred revenue balance as of December 31, 2024 was $5.4 million and is expected to be fully recognized within the next twelve months. The deferred revenue balance as of December 31, 2023 was $5.9 million and was fully recognized in the first quarter of the following fiscal year. The Company generally invoices customers and receives payment on an upfront basis and payments do not include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financing components or variable consideration and there are generally no rights of return or refunds after the subscription period has passed.</w:t>
      </w:r>
    </w:p>
    <w:p>
      <w:pPr>
        <w:spacing w:after="0" w:line="1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Substantially all of the Company’s revenue has been generated in the United States for the years ended December 31, 2024 and 2023. For the year ended December 31, 2024, approximately 53% of the Company’s revenue originated in California compared with 52% for the year ended December 31, 2023.</w:t>
      </w:r>
    </w:p>
    <w:p>
      <w:pPr>
        <w:spacing w:after="0" w:line="44" w:lineRule="exact"/>
        <w:rPr>
          <w:sz w:val="20"/>
          <w:szCs w:val="20"/>
          <w:color w:val="auto"/>
        </w:rPr>
      </w:pPr>
    </w:p>
    <w:p>
      <w:pPr>
        <w:ind w:left="340" w:hanging="337"/>
        <w:spacing w:after="0"/>
        <w:tabs>
          <w:tab w:leader="none" w:pos="34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Reporting</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considers its product offerings as similar, in close proximity, and have aggregated them into one reportable segment, which constitutes consolidated results. Revenue from customers is derived principally from monthly subscription packages and other add-on products. The Company’s chief operating decision maker (the “CODM”) is the Chief Executive Officer. The Company’s CODM reviews financial information on a consolidated basis for purposes of allocating resources and assessing financial performance, as well as for making strategic operational decisions and managing the organization. The accounting policies for the segment are the same as those described in Note 2, “Summary of Significant Accounting Policies.”</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measure of segment assets is reported on the balance sheet as total consolidated assets. The majority of the Company’s revenue and total assets are within the United States. The CODM evaluates company-wide performance based on multiple performance measures (both GAAP and Non-GAAP measures), including, but not limited net income.</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table below provides the calculation of net income, which is the performance measure that is most consistent with GAAP, and the significant operating expenses included in this performance measure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19"/>
                <w:szCs w:val="19"/>
                <w:color w:val="auto"/>
              </w:rPr>
            </w:pPr>
          </w:p>
        </w:tc>
        <w:tc>
          <w:tcPr>
            <w:tcW w:w="312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680" w:type="dxa"/>
            <w:vAlign w:val="bottom"/>
            <w:tcBorders>
              <w:bottom w:val="single" w:sz="8" w:color="auto"/>
            </w:tcBorders>
          </w:tcPr>
          <w:p>
            <w:pPr>
              <w:spacing w:after="0"/>
              <w:rPr>
                <w:sz w:val="19"/>
                <w:szCs w:val="19"/>
                <w:color w:val="auto"/>
              </w:rPr>
            </w:pPr>
          </w:p>
        </w:tc>
      </w:tr>
      <w:tr>
        <w:trPr>
          <w:trHeight w:val="212"/>
        </w:trPr>
        <w:tc>
          <w:tcPr>
            <w:tcW w:w="74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184,514</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187,993</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(add):</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Cost of revenues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12,527</w:t>
            </w: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40,424</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47,073</w:t>
            </w:r>
          </w:p>
        </w:tc>
      </w:tr>
      <w:tr>
        <w:trPr>
          <w:trHeight w:val="219"/>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Product development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36,426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36,001</w:t>
            </w: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70,619</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74,313</w:t>
            </w:r>
          </w:p>
        </w:tc>
      </w:tr>
      <w:tr>
        <w:trPr>
          <w:trHeight w:val="219"/>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12,133</w:t>
            </w: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impairment charges</w:t>
            </w:r>
          </w:p>
        </w:tc>
        <w:tc>
          <w:tcPr>
            <w:tcW w:w="1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24,403</w:t>
            </w:r>
          </w:p>
        </w:tc>
      </w:tr>
      <w:tr>
        <w:trPr>
          <w:trHeight w:val="219"/>
        </w:trPr>
        <w:tc>
          <w:tcPr>
            <w:tcW w:w="744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7"/>
                <w:szCs w:val="17"/>
                <w:color w:val="auto"/>
              </w:rPr>
              <w:t>Other non-operating expense (income), net</w:t>
            </w:r>
            <w:r>
              <w:rPr>
                <w:rFonts w:ascii="Times New Roman" w:cs="Times New Roman" w:eastAsia="Times New Roman" w:hAnsi="Times New Roman"/>
                <w:sz w:val="22"/>
                <w:szCs w:val="22"/>
                <w:color w:val="auto"/>
                <w:vertAlign w:val="superscript"/>
              </w:rPr>
              <w:t>(1)</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(2,823)</w:t>
            </w:r>
          </w:p>
        </w:tc>
      </w:tr>
      <w:tr>
        <w:trPr>
          <w:trHeight w:val="219"/>
        </w:trPr>
        <w:tc>
          <w:tcPr>
            <w:tcW w:w="7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3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Segment net income (loss)</w:t>
            </w: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12,187</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80" w:hanging="77"/>
        <w:spacing w:after="0"/>
        <w:tabs>
          <w:tab w:leader="none" w:pos="80" w:val="left"/>
        </w:tabs>
        <w:numPr>
          <w:ilvl w:val="0"/>
          <w:numId w:val="5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change in fair value of warrant liability, change in tax receivable agreement liability and other non-operating income and expense.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no reconciling items or adjustments between segment revenues, net income, total assets and consolidated revenues, net income, and total assets.</w:t>
      </w:r>
    </w:p>
    <w:p>
      <w:pPr>
        <w:spacing w:after="0" w:line="11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Leases</w:t>
      </w:r>
    </w:p>
    <w:p>
      <w:pPr>
        <w:spacing w:after="0" w:line="114"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 xml:space="preserve">The Company follows the guidance under ASC 842 -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for its operating leases. The Company’s operating leases consist of office space located primarily in the United States. The Company does not have any leases classified as financing leases.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lease related costs, net for the years ended December 31, 2024 and 2023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19"/>
                <w:szCs w:val="19"/>
                <w:color w:val="auto"/>
              </w:rPr>
            </w:pPr>
          </w:p>
        </w:tc>
        <w:tc>
          <w:tcPr>
            <w:tcW w:w="320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600" w:type="dxa"/>
            <w:vAlign w:val="bottom"/>
            <w:tcBorders>
              <w:bottom w:val="single" w:sz="8" w:color="auto"/>
            </w:tcBorders>
          </w:tcPr>
          <w:p>
            <w:pPr>
              <w:spacing w:after="0"/>
              <w:rPr>
                <w:sz w:val="19"/>
                <w:szCs w:val="19"/>
                <w:color w:val="auto"/>
              </w:rPr>
            </w:pPr>
          </w:p>
        </w:tc>
      </w:tr>
      <w:tr>
        <w:trPr>
          <w:trHeight w:val="212"/>
        </w:trPr>
        <w:tc>
          <w:tcPr>
            <w:tcW w:w="74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0" w:type="dxa"/>
            <w:vAlign w:val="bottom"/>
            <w:tcBorders>
              <w:bottom w:val="single" w:sz="8" w:color="auto"/>
            </w:tcBorders>
          </w:tcPr>
          <w:p>
            <w:pPr>
              <w:spacing w:after="0"/>
              <w:rPr>
                <w:sz w:val="18"/>
                <w:szCs w:val="18"/>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5,482</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7,208</w:t>
            </w:r>
          </w:p>
        </w:tc>
      </w:tr>
      <w:tr>
        <w:trPr>
          <w:trHeight w:val="21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2,307</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1,549</w:t>
            </w:r>
          </w:p>
        </w:tc>
      </w:tr>
      <w:tr>
        <w:trPr>
          <w:trHeight w:val="212"/>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cost</w:t>
            </w: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7,789</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8,757</w:t>
            </w:r>
          </w:p>
        </w:tc>
      </w:tr>
      <w:tr>
        <w:trPr>
          <w:trHeight w:val="21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37"/>
        </w:trPr>
        <w:tc>
          <w:tcPr>
            <w:tcW w:w="7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lease cost, net</w:t>
            </w:r>
          </w:p>
        </w:tc>
        <w:tc>
          <w:tcPr>
            <w:tcW w:w="1260" w:type="dxa"/>
            <w:vAlign w:val="bottom"/>
            <w:tcBorders>
              <w:bottom w:val="single" w:sz="8" w:color="auto"/>
            </w:tcBorders>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7,895</w:t>
            </w:r>
          </w:p>
        </w:tc>
        <w:tc>
          <w:tcPr>
            <w:tcW w:w="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rent expense is included in general and administrative expense in the accompanying consolidated statements of operations. During the years ended December 31, 2024 and 2023, the Company made cash payments of $9.0 million and $9.9 million, respectively, on its operating leases, all of which were included in cash flows from operating activities within the consolidated statements of cash flows.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Sublease rental income is recognized as a reduction to the related lease expense on a straight-line basis over the sublease term. For the years ended December 31, 2024 and 2023, the Company recorded rent income related to a sublease of $1.3 million and $2.2 million, respectively. In 2022, the Company entered into a sublease agreement with an affiliate of the Chief Executive Officer. The sublease commenced on June 1, 2022, and the term is for the remainder of the amended lease term which expired on October 31, 2024. See Note 16, “Related Party Transactions,” to these consolidated financial statements for additional information.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60" w:type="dxa"/>
            <w:vAlign w:val="bottom"/>
          </w:tcPr>
          <w:p>
            <w:pPr>
              <w:spacing w:after="0"/>
              <w:rPr>
                <w:sz w:val="20"/>
                <w:szCs w:val="20"/>
                <w:color w:val="auto"/>
              </w:rPr>
            </w:pPr>
            <w:r>
              <w:rPr>
                <w:rFonts w:ascii="Times New Roman" w:cs="Times New Roman" w:eastAsia="Times New Roman" w:hAnsi="Times New Roman"/>
                <w:sz w:val="17"/>
                <w:szCs w:val="17"/>
                <w:color w:val="auto"/>
              </w:rPr>
              <w:t>As of December 31, 2024, future minimum payments for the next five years and thereafter are as follows (in thousands):</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96"/>
        </w:trPr>
        <w:tc>
          <w:tcPr>
            <w:tcW w:w="9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Operating</w:t>
            </w:r>
          </w:p>
        </w:tc>
      </w:tr>
      <w:tr>
        <w:trPr>
          <w:trHeight w:val="230"/>
        </w:trPr>
        <w:tc>
          <w:tcPr>
            <w:tcW w:w="9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Leases</w:t>
            </w:r>
          </w:p>
        </w:tc>
      </w:tr>
      <w:tr>
        <w:trPr>
          <w:trHeight w:val="20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Years Ending December 31,</w:t>
            </w:r>
          </w:p>
        </w:tc>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6,381</w:t>
            </w: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6,395</w:t>
            </w: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6,590</w:t>
            </w: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6,791</w:t>
            </w: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7,001</w:t>
            </w: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7,292</w:t>
            </w:r>
          </w:p>
        </w:tc>
      </w:tr>
      <w:tr>
        <w:trPr>
          <w:trHeight w:val="212"/>
        </w:trPr>
        <w:tc>
          <w:tcPr>
            <w:tcW w:w="9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40,450</w:t>
            </w: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present value discount</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(10,357)</w:t>
            </w:r>
          </w:p>
        </w:tc>
      </w:tr>
      <w:tr>
        <w:trPr>
          <w:trHeight w:val="212"/>
        </w:trPr>
        <w:tc>
          <w:tcPr>
            <w:tcW w:w="9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30,093</w:t>
            </w:r>
          </w:p>
        </w:tc>
      </w:tr>
      <w:tr>
        <w:trPr>
          <w:trHeight w:val="20"/>
        </w:trPr>
        <w:tc>
          <w:tcPr>
            <w:tcW w:w="9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December 31, 2024 and December 31, 2023, the Company’s operating leases had a weighted average remaining lease term of 6.0 years and 6.3 years and a weighted-average discount rate of 10.0% and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did not have any ROU asset impairment charges for the year ended December 31, 2024. For the year ended December 31, 2023, the Company recognized a ROU asset impairment charge of $10.9 million and impairment of related leasehold improvements of $1.3 million, driven by updated sublease assumptions for the Company’s office space in Los Angeles, California, pursuant to an operating lease that expires in 2031. The ROU impairment charges are included in asset impairment charges in the consolidated statements of operations.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2024, the Company amended its lease associated with its corporate headquarters located in Irvine, California. The amendment extended the lease term five years through February 2030 and reduced the leased square footage. The lease extension was accounted for as a lease modification, and the Company remeasured its lease liability and ROU asset using an incremental borrowing rate of 11.5% and recognized a non-cash lease liability of $3.0 million and the related non-cash ROU asset of $3.0 million. The lease classification remained as an operating lease. The Company also paid $0.1 million to terminate a lease agreement for one of the offices. In conjunction with the early lease termination, the Company reported a gain of $0.1 million which is recognized as a reduction to the related lease expense. The Company also de-recognized the remaining ROU asset of $0.2 million and a lease liability of $0.4 million on the consolidated balance sheet related to early lease termination.</w:t>
      </w:r>
    </w:p>
    <w:p>
      <w:pPr>
        <w:spacing w:after="0" w:line="7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tab/>
        <w:t>Commitments and Contingencies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Further, on October 17, 2024, a putative shareholder class action complaint, captioned </w:t>
      </w:r>
      <w:r>
        <w:rPr>
          <w:rFonts w:ascii="Times New Roman" w:cs="Times New Roman" w:eastAsia="Times New Roman" w:hAnsi="Times New Roman"/>
          <w:sz w:val="17"/>
          <w:szCs w:val="17"/>
          <w:i w:val="1"/>
          <w:iCs w:val="1"/>
          <w:color w:val="auto"/>
        </w:rPr>
        <w:t>Seret Ishak v. WM Technology, Inc. et al</w:t>
      </w:r>
      <w:r>
        <w:rPr>
          <w:rFonts w:ascii="Times New Roman" w:cs="Times New Roman" w:eastAsia="Times New Roman" w:hAnsi="Times New Roman"/>
          <w:sz w:val="17"/>
          <w:szCs w:val="17"/>
          <w:color w:val="auto"/>
        </w:rPr>
        <w:t>., Case No. 2:24-cv-08959, was filed in the U.S. District Court for the Central District of California, naming the Company and certain former and current officers and/or directors of the Company and Silver Spike as defendants. The lawsuit alleges that the Company made material misrepresentations and/or omissions of material fact relating to historical public reporting of MAUs in violation of Sections 10(b) and 20(a) of the Exchange Act and Rule 10b-5 promulgated thereunder. The putative class action is brought on behalf of persons or entities who purchased or otherwise acquired our securities between May 25, 2021, and September 24, 2024, inclusive, and seeks unspecified monetary damages on behalf of the putative class and an award of costs and expenses, including attorney’s fees. At this early stage of the proceedings, the Company is unable to make any prediction regarding the outcome of the litigation.</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Further, on November 8, 2024, a shareholder derivative action, captioned </w:t>
      </w:r>
      <w:r>
        <w:rPr>
          <w:rFonts w:ascii="Times New Roman" w:cs="Times New Roman" w:eastAsia="Times New Roman" w:hAnsi="Times New Roman"/>
          <w:sz w:val="17"/>
          <w:szCs w:val="17"/>
          <w:i w:val="1"/>
          <w:iCs w:val="1"/>
          <w:color w:val="auto"/>
        </w:rPr>
        <w:t>DeGennaro v. Francis, et. al</w:t>
      </w:r>
      <w:r>
        <w:rPr>
          <w:rFonts w:ascii="Times New Roman" w:cs="Times New Roman" w:eastAsia="Times New Roman" w:hAnsi="Times New Roman"/>
          <w:sz w:val="17"/>
          <w:szCs w:val="17"/>
          <w:color w:val="auto"/>
        </w:rPr>
        <w:t>, Case No. 8:24-cv-02454, was filed in the U.S. District Court for the Central District of California against certain members of the Company’s board of directors and certain former and current officers. The plaintiff purports to bring the action derivatively on behalf of the Company, and the Company is a nominal defendant in the action. The derivative complaint alleges, among other things, that the individual defendants authorized or permitted materially false statements and/or material omissions of fact relating to historical public reporting of MAUs. The derivative complaint asserts claims for violations of Section 10(b) of the Exchange Act as well as claims for breach of fiduciary duty, aiding and abetting breach of fiduciary duty, unjust enrichment, and waste of corporate assets. The derivative complaint seeks unspecified damages on behalf of the Company, disgorgement or restitution, corporate governance reforms, declaratory relief, and an award of costs and expenses to the derivative plaintiff, including attorneys’ fees.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Further, on November 18, 2024, a shareholder derivative action, captioned </w:t>
      </w:r>
      <w:r>
        <w:rPr>
          <w:rFonts w:ascii="Times New Roman" w:cs="Times New Roman" w:eastAsia="Times New Roman" w:hAnsi="Times New Roman"/>
          <w:sz w:val="17"/>
          <w:szCs w:val="17"/>
          <w:i w:val="1"/>
          <w:iCs w:val="1"/>
          <w:color w:val="auto"/>
        </w:rPr>
        <w:t>Pearson v. Francis, et. al</w:t>
      </w:r>
      <w:r>
        <w:rPr>
          <w:rFonts w:ascii="Times New Roman" w:cs="Times New Roman" w:eastAsia="Times New Roman" w:hAnsi="Times New Roman"/>
          <w:sz w:val="17"/>
          <w:szCs w:val="17"/>
          <w:color w:val="auto"/>
        </w:rPr>
        <w:t>, Case No. 8:24-cv-02525, was filed in the U.S. District Court for the Central District of California against certain former and current members of our board of directors and certain former and current officers. The derivative complaint alleges, among other things, that the individual defendants authorized or permitted materially false statements and/or material omissions of fact relating to historical public reporting of MAUs and corporate governance matters. The derivative complaint asserts claims for violations of Section 14(a) of the Exchange Act and Rule 14a-9 promulgated thereunder, as well as claims for breach of fiduciary duty, unjust enrichment, abuse of control, gross mismanagement, waste of corporate assets, and contribution under Sections 10(b) and 21D of the Exchange Act. The derivative complaint seeks unspecified damages on behalf of the Company, restitution, corporate governance reforms, declaratory relief, and an award of costs and expenses to the derivative plaintiff, including attorneys’ fees. On December 10, 2024, the U.S. District Court of the Central District of California issued an order consolidating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DeGennaro and Pearson shareholder derivative actions. At this early stage of the proceedings, the Company is unable to make any prediction regarding the outcome of the litigation.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 Matter</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previously disclosed, in the second quarter of 2022, the Company’s board of directors received an internal complaint regarding the calculation, definition and reporting of the Company’s monthly active users (“MAUs”) metric. In response, the Company’s board of directors formed a special committee of independent directors to conduct an internal investigation with the assistance of outside counsel. As a result of the findings of that internal investigation, the Company provided certain additional information regarding the growth and nature of the Company’s previously-reported MAUs in the Company’s Quarterly Report on Form 10-Q for the quarter ended June 30, 2022 filed with the SEC on August 9, 2022. This investigation found no impact on the Company’s financial results under GAAP or the reporting or disclosure of any currently disclosed non-GAAP financial metric. As also previously reported, in the third quarter of 2022, the Company determined not to report MAUs going forward. In August 2022, the Company’s board of directors determined to voluntarily report the internal complaint and subsequent internal investigation to the SEC, following which the SEC’s Division of Enforcement commenced an investigation.</w:t>
      </w:r>
    </w:p>
    <w:p>
      <w:pPr>
        <w:spacing w:after="0" w:line="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As also previously reported in the Current Report on Form 8-K filed on July 25, 2024, on July 22, 2024, the Company reached an agreement in principle with the SEC staff to resolve the SEC’s investigation with respect to the Company. Under the terms of the settlement, the Company consented,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pay a civil money penalty of $1.5 million. The settlement was approved by the SEC, and the administrative cease-and-desist order was entered in September 2024. The Company issued payment to the SEC, and it was received by the SEC, in October 2024. Accordingly, the SEC enforcement matter is concluded with respect to the Company.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Obligations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minimum outstanding purchase obligations of $7.3 million in 2025 and $7.5 million in 2026, due under software license agreements, of which the majority relates to the Company’s remaining two years of the three-year AWS Enterprise agreement.</w:t>
      </w:r>
    </w:p>
    <w:p>
      <w:pPr>
        <w:spacing w:after="0" w:line="4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Fair Value Measurements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1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The Company follows the guidance in ASC 820 -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xml:space="preserve"> for its financial assets and liabilities that are re-measured and reported at fair value at each reporting period.</w:t>
      </w:r>
    </w:p>
    <w:p>
      <w:pPr>
        <w:spacing w:after="0" w:line="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 w:lineRule="exact"/>
        <w:rPr>
          <w:sz w:val="20"/>
          <w:szCs w:val="20"/>
          <w:color w:val="auto"/>
        </w:rPr>
      </w:pPr>
    </w:p>
    <w:p>
      <w:pPr>
        <w:ind w:left="620" w:hanging="307"/>
        <w:spacing w:after="0" w:line="284"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based on the Company assessment of the assumptions that market participants would use in pricing the asset or liability.</w:t>
      </w:r>
    </w:p>
    <w:p>
      <w:pPr>
        <w:spacing w:after="0" w:line="1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liabilities that are measured at fair value on a recurring basis at December 31, 2024 and 2023, and indicates the fair value hierarchy of the valuation inputs the Company utilized to determine such fair value (in thousands):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20" w:type="dxa"/>
            <w:vAlign w:val="bottom"/>
          </w:tcPr>
          <w:p>
            <w:pPr>
              <w:spacing w:after="0"/>
              <w:rPr>
                <w:sz w:val="19"/>
                <w:szCs w:val="19"/>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220" w:type="dxa"/>
            <w:vAlign w:val="bottom"/>
          </w:tcPr>
          <w:p>
            <w:pPr>
              <w:spacing w:after="0"/>
              <w:rPr>
                <w:sz w:val="19"/>
                <w:szCs w:val="19"/>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20" w:type="dxa"/>
            <w:vAlign w:val="bottom"/>
          </w:tcPr>
          <w:p>
            <w:pPr>
              <w:spacing w:after="0"/>
              <w:rPr>
                <w:sz w:val="19"/>
                <w:szCs w:val="19"/>
                <w:color w:val="auto"/>
              </w:rPr>
            </w:pPr>
          </w:p>
        </w:tc>
        <w:tc>
          <w:tcPr>
            <w:tcW w:w="18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19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liability – Public Warrants</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liability – Private Placement Warrants</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12"/>
        </w:trPr>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warrant liability</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w:t>
            </w:r>
          </w:p>
        </w:tc>
      </w:tr>
      <w:tr>
        <w:trPr>
          <w:trHeight w:val="20"/>
        </w:trPr>
        <w:tc>
          <w:tcPr>
            <w:tcW w:w="4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4381500</wp:posOffset>
            </wp:positionH>
            <wp:positionV relativeFrom="paragraph">
              <wp:posOffset>-596900</wp:posOffset>
            </wp:positionV>
            <wp:extent cx="571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-596900</wp:posOffset>
            </wp:positionV>
            <wp:extent cx="571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the changes in the fair value of the warrant liabilities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center"/>
              <w:ind w:left="894"/>
              <w:spacing w:after="0"/>
              <w:rPr>
                <w:sz w:val="20"/>
                <w:szCs w:val="20"/>
                <w:color w:val="auto"/>
              </w:rPr>
            </w:pPr>
            <w:r>
              <w:rPr>
                <w:rFonts w:ascii="Times New Roman" w:cs="Times New Roman" w:eastAsia="Times New Roman" w:hAnsi="Times New Roman"/>
                <w:sz w:val="17"/>
                <w:szCs w:val="17"/>
                <w:b w:val="1"/>
                <w:bCs w:val="1"/>
                <w:color w:val="auto"/>
              </w:rPr>
              <w:t>Year Ended December 31, 2024</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Public Warrants</w:t>
            </w:r>
          </w:p>
        </w:tc>
        <w:tc>
          <w:tcPr>
            <w:tcW w:w="1520" w:type="dxa"/>
            <w:vAlign w:val="bottom"/>
            <w:gridSpan w:val="3"/>
          </w:tcPr>
          <w:p>
            <w:pPr>
              <w:jc w:val="center"/>
              <w:ind w:right="100"/>
              <w:spacing w:after="0" w:line="161" w:lineRule="exact"/>
              <w:rPr>
                <w:sz w:val="20"/>
                <w:szCs w:val="20"/>
                <w:color w:val="auto"/>
              </w:rPr>
            </w:pPr>
            <w:r>
              <w:rPr>
                <w:rFonts w:ascii="Times New Roman" w:cs="Times New Roman" w:eastAsia="Times New Roman" w:hAnsi="Times New Roman"/>
                <w:sz w:val="17"/>
                <w:szCs w:val="17"/>
                <w:b w:val="1"/>
                <w:bCs w:val="1"/>
                <w:color w:val="auto"/>
              </w:rPr>
              <w:t>Private Placement</w:t>
            </w:r>
          </w:p>
        </w:tc>
        <w:tc>
          <w:tcPr>
            <w:tcW w:w="340" w:type="dxa"/>
            <w:vAlign w:val="bottom"/>
          </w:tcPr>
          <w:p>
            <w:pPr>
              <w:spacing w:after="0"/>
              <w:rPr>
                <w:sz w:val="13"/>
                <w:szCs w:val="13"/>
                <w:color w:val="auto"/>
              </w:rPr>
            </w:pPr>
          </w:p>
        </w:tc>
        <w:tc>
          <w:tcPr>
            <w:tcW w:w="1080" w:type="dxa"/>
            <w:vAlign w:val="bottom"/>
          </w:tcPr>
          <w:p>
            <w:pPr>
              <w:jc w:val="right"/>
              <w:ind w:right="314"/>
              <w:spacing w:after="0" w:line="161" w:lineRule="exact"/>
              <w:rPr>
                <w:sz w:val="20"/>
                <w:szCs w:val="20"/>
                <w:color w:val="auto"/>
              </w:rPr>
            </w:pPr>
            <w:r>
              <w:rPr>
                <w:rFonts w:ascii="Times New Roman" w:cs="Times New Roman" w:eastAsia="Times New Roman" w:hAnsi="Times New Roman"/>
                <w:sz w:val="17"/>
                <w:szCs w:val="17"/>
                <w:b w:val="1"/>
                <w:bCs w:val="1"/>
                <w:color w:val="auto"/>
              </w:rPr>
              <w:t>Warrant</w:t>
            </w:r>
          </w:p>
        </w:tc>
        <w:tc>
          <w:tcPr>
            <w:tcW w:w="0" w:type="dxa"/>
            <w:vAlign w:val="bottom"/>
          </w:tcPr>
          <w:p>
            <w:pPr>
              <w:spacing w:after="0"/>
              <w:rPr>
                <w:sz w:val="1"/>
                <w:szCs w:val="1"/>
                <w:color w:val="auto"/>
              </w:rPr>
            </w:pPr>
          </w:p>
        </w:tc>
      </w:tr>
      <w:tr>
        <w:trPr>
          <w:trHeight w:val="232"/>
        </w:trPr>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340" w:type="dxa"/>
            <w:vAlign w:val="bottom"/>
          </w:tcPr>
          <w:p>
            <w:pPr>
              <w:spacing w:after="0"/>
              <w:rPr>
                <w:sz w:val="20"/>
                <w:szCs w:val="20"/>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8"/>
              </w:rPr>
              <w:t>Liabilities</w:t>
            </w:r>
          </w:p>
        </w:tc>
        <w:tc>
          <w:tcPr>
            <w:tcW w:w="0" w:type="dxa"/>
            <w:vAlign w:val="bottom"/>
          </w:tcPr>
          <w:p>
            <w:pPr>
              <w:spacing w:after="0"/>
              <w:rPr>
                <w:sz w:val="1"/>
                <w:szCs w:val="1"/>
                <w:color w:val="auto"/>
              </w:rPr>
            </w:pPr>
          </w:p>
        </w:tc>
      </w:tr>
      <w:tr>
        <w:trPr>
          <w:trHeight w:val="212"/>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0" w:type="dxa"/>
            <w:vAlign w:val="bottom"/>
          </w:tcPr>
          <w:p>
            <w:pPr>
              <w:spacing w:after="0"/>
              <w:rPr>
                <w:sz w:val="1"/>
                <w:szCs w:val="1"/>
                <w:color w:val="auto"/>
              </w:rPr>
            </w:pPr>
          </w:p>
        </w:tc>
      </w:tr>
      <w:tr>
        <w:trPr>
          <w:trHeight w:val="21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valuation inputs or other assumptions</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6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Fair value,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6174740</wp:posOffset>
            </wp:positionH>
            <wp:positionV relativeFrom="paragraph">
              <wp:posOffset>-466090</wp:posOffset>
            </wp:positionV>
            <wp:extent cx="571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center"/>
              <w:ind w:left="894"/>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Public Warrants</w:t>
            </w:r>
          </w:p>
        </w:tc>
        <w:tc>
          <w:tcPr>
            <w:tcW w:w="1520" w:type="dxa"/>
            <w:vAlign w:val="bottom"/>
            <w:gridSpan w:val="3"/>
          </w:tcPr>
          <w:p>
            <w:pPr>
              <w:jc w:val="center"/>
              <w:ind w:right="100"/>
              <w:spacing w:after="0" w:line="166" w:lineRule="exact"/>
              <w:rPr>
                <w:sz w:val="20"/>
                <w:szCs w:val="20"/>
                <w:color w:val="auto"/>
              </w:rPr>
            </w:pPr>
            <w:r>
              <w:rPr>
                <w:rFonts w:ascii="Times New Roman" w:cs="Times New Roman" w:eastAsia="Times New Roman" w:hAnsi="Times New Roman"/>
                <w:sz w:val="17"/>
                <w:szCs w:val="17"/>
                <w:b w:val="1"/>
                <w:bCs w:val="1"/>
                <w:color w:val="auto"/>
              </w:rPr>
              <w:t>Private Placement</w:t>
            </w:r>
          </w:p>
        </w:tc>
        <w:tc>
          <w:tcPr>
            <w:tcW w:w="340" w:type="dxa"/>
            <w:vAlign w:val="bottom"/>
          </w:tcPr>
          <w:p>
            <w:pPr>
              <w:spacing w:after="0"/>
              <w:rPr>
                <w:sz w:val="14"/>
                <w:szCs w:val="14"/>
                <w:color w:val="auto"/>
              </w:rPr>
            </w:pPr>
          </w:p>
        </w:tc>
        <w:tc>
          <w:tcPr>
            <w:tcW w:w="1080" w:type="dxa"/>
            <w:vAlign w:val="bottom"/>
          </w:tcPr>
          <w:p>
            <w:pPr>
              <w:jc w:val="right"/>
              <w:ind w:right="314"/>
              <w:spacing w:after="0" w:line="166" w:lineRule="exact"/>
              <w:rPr>
                <w:sz w:val="20"/>
                <w:szCs w:val="20"/>
                <w:color w:val="auto"/>
              </w:rPr>
            </w:pPr>
            <w:r>
              <w:rPr>
                <w:rFonts w:ascii="Times New Roman" w:cs="Times New Roman" w:eastAsia="Times New Roman" w:hAnsi="Times New Roman"/>
                <w:sz w:val="17"/>
                <w:szCs w:val="17"/>
                <w:b w:val="1"/>
                <w:bCs w:val="1"/>
                <w:color w:val="auto"/>
              </w:rPr>
              <w:t>Warrant</w:t>
            </w:r>
          </w:p>
        </w:tc>
        <w:tc>
          <w:tcPr>
            <w:tcW w:w="0" w:type="dxa"/>
            <w:vAlign w:val="bottom"/>
          </w:tcPr>
          <w:p>
            <w:pPr>
              <w:spacing w:after="0"/>
              <w:rPr>
                <w:sz w:val="1"/>
                <w:szCs w:val="1"/>
                <w:color w:val="auto"/>
              </w:rPr>
            </w:pPr>
          </w:p>
        </w:tc>
      </w:tr>
      <w:tr>
        <w:trPr>
          <w:trHeight w:val="227"/>
        </w:trPr>
        <w:tc>
          <w:tcPr>
            <w:tcW w:w="6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340" w:type="dxa"/>
            <w:vAlign w:val="bottom"/>
          </w:tcPr>
          <w:p>
            <w:pPr>
              <w:spacing w:after="0"/>
              <w:rPr>
                <w:sz w:val="19"/>
                <w:szCs w:val="19"/>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8"/>
              </w:rPr>
              <w:t>Liabilities</w:t>
            </w:r>
          </w:p>
        </w:tc>
        <w:tc>
          <w:tcPr>
            <w:tcW w:w="0" w:type="dxa"/>
            <w:vAlign w:val="bottom"/>
          </w:tcPr>
          <w:p>
            <w:pPr>
              <w:spacing w:after="0"/>
              <w:rPr>
                <w:sz w:val="1"/>
                <w:szCs w:val="1"/>
                <w:color w:val="auto"/>
              </w:rPr>
            </w:pPr>
          </w:p>
        </w:tc>
      </w:tr>
      <w:tr>
        <w:trPr>
          <w:trHeight w:val="212"/>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rPr>
              <w:t>840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w:t>
            </w:r>
          </w:p>
        </w:tc>
        <w:tc>
          <w:tcPr>
            <w:tcW w:w="0" w:type="dxa"/>
            <w:vAlign w:val="bottom"/>
          </w:tcPr>
          <w:p>
            <w:pPr>
              <w:spacing w:after="0"/>
              <w:rPr>
                <w:sz w:val="1"/>
                <w:szCs w:val="1"/>
                <w:color w:val="auto"/>
              </w:rPr>
            </w:pPr>
          </w:p>
        </w:tc>
      </w:tr>
      <w:tr>
        <w:trPr>
          <w:trHeight w:val="21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valuation inputs or other assumptions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94"/>
              <w:spacing w:after="0"/>
              <w:rPr>
                <w:sz w:val="20"/>
                <w:szCs w:val="20"/>
                <w:color w:val="auto"/>
              </w:rPr>
            </w:pPr>
            <w:r>
              <w:rPr>
                <w:rFonts w:ascii="Times New Roman" w:cs="Times New Roman" w:eastAsia="Times New Roman" w:hAnsi="Times New Roman"/>
                <w:sz w:val="17"/>
                <w:szCs w:val="17"/>
                <w:color w:val="auto"/>
              </w:rPr>
              <w:t>(630)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Fair value,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6174740</wp:posOffset>
            </wp:positionH>
            <wp:positionV relativeFrom="paragraph">
              <wp:posOffset>-466090</wp:posOffset>
            </wp:positionV>
            <wp:extent cx="571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$0.4 million as of December 31, 2024 and December 31, 2023.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 Warrants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quantitative information regarding Level 3 fair value measurements inputs at their measurement dates: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300" w:type="dxa"/>
            <w:vAlign w:val="bottom"/>
          </w:tcPr>
          <w:p>
            <w:pPr>
              <w:spacing w:after="0"/>
              <w:rPr>
                <w:sz w:val="19"/>
                <w:szCs w:val="19"/>
                <w:color w:val="auto"/>
              </w:rPr>
            </w:pPr>
          </w:p>
        </w:tc>
        <w:tc>
          <w:tcPr>
            <w:tcW w:w="21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2"/>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 price</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11.50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11.50</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0.72</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87.5 %</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(years)</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4.13 %</w:t>
            </w:r>
          </w:p>
        </w:tc>
      </w:tr>
    </w:tbl>
    <w:p>
      <w:pPr>
        <w:spacing w:after="0" w:line="177"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7"/>
          <w:szCs w:val="17"/>
          <w:color w:val="auto"/>
        </w:rPr>
        <w:t>Significant changes in the volatility would result in a significant lower or higher fair value measurement, respectively. The fair value of the Private Placement Warrants was $0.2 million as of December 31, 2024 and December 31, 2023. There were no transfers in or out of Level 3 from other levels in the fair value hierarchy.</w:t>
      </w:r>
    </w:p>
    <w:p>
      <w:pPr>
        <w:spacing w:after="0" w:line="58" w:lineRule="exact"/>
        <w:rPr>
          <w:sz w:val="20"/>
          <w:szCs w:val="20"/>
          <w:color w:val="auto"/>
        </w:rPr>
      </w:pPr>
    </w:p>
    <w:p>
      <w:pPr>
        <w:ind w:left="340" w:hanging="337"/>
        <w:spacing w:after="0"/>
        <w:tabs>
          <w:tab w:leader="none" w:pos="34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Goodwill totaled $68.4 million as of December 31, 2024 and December 31, 2023. No goodwill impairment charges were recorded for the years ended December 31, 2024 and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consisted of the following for the periods presented below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7"/>
          </w:tcPr>
          <w:p>
            <w:pPr>
              <w:ind w:left="120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Amortization Period</w:t>
            </w:r>
          </w:p>
        </w:tc>
        <w:tc>
          <w:tcPr>
            <w:tcW w:w="100" w:type="dxa"/>
            <w:vAlign w:val="bottom"/>
          </w:tcPr>
          <w:p>
            <w:pPr>
              <w:spacing w:after="0"/>
              <w:rPr>
                <w:sz w:val="14"/>
                <w:szCs w:val="14"/>
                <w:color w:val="auto"/>
              </w:rPr>
            </w:pPr>
          </w:p>
        </w:tc>
        <w:tc>
          <w:tcPr>
            <w:tcW w:w="2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Gross Intangible Assets</w:t>
            </w:r>
          </w:p>
        </w:tc>
        <w:tc>
          <w:tcPr>
            <w:tcW w:w="21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 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Net Intangible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(Years)</w:t>
            </w:r>
          </w:p>
        </w:tc>
        <w:tc>
          <w:tcPr>
            <w:tcW w:w="100" w:type="dxa"/>
            <w:vAlign w:val="bottom"/>
          </w:tcPr>
          <w:p>
            <w:pPr>
              <w:spacing w:after="0"/>
              <w:rPr>
                <w:sz w:val="20"/>
                <w:szCs w:val="20"/>
                <w:color w:val="auto"/>
              </w:rPr>
            </w:pPr>
          </w:p>
        </w:tc>
        <w:tc>
          <w:tcPr>
            <w:tcW w:w="2000" w:type="dxa"/>
            <w:vAlign w:val="bottom"/>
            <w:gridSpan w:val="3"/>
            <w:vMerge w:val="continue"/>
          </w:tcPr>
          <w:p>
            <w:pPr>
              <w:spacing w:after="0"/>
              <w:rPr>
                <w:sz w:val="20"/>
                <w:szCs w:val="20"/>
                <w:color w:val="auto"/>
              </w:rPr>
            </w:pPr>
          </w:p>
        </w:tc>
        <w:tc>
          <w:tcPr>
            <w:tcW w:w="2140" w:type="dxa"/>
            <w:vAlign w:val="bottom"/>
            <w:gridSpan w:val="5"/>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and domain names</w:t>
            </w:r>
          </w:p>
        </w:tc>
        <w:tc>
          <w:tcPr>
            <w:tcW w:w="2040" w:type="dxa"/>
            <w:vAlign w:val="bottom"/>
            <w:tcBorders>
              <w:top w:val="single" w:sz="8" w:color="auto"/>
            </w:tcBorders>
            <w:gridSpan w:val="2"/>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7,256</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(5,492)</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technology</w:t>
            </w:r>
          </w:p>
        </w:tc>
        <w:tc>
          <w:tcPr>
            <w:tcW w:w="20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0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2040" w:type="dxa"/>
            <w:vAlign w:val="bottom"/>
            <w:gridSpan w:val="2"/>
          </w:tcPr>
          <w:p>
            <w:pPr>
              <w:jc w:val="right"/>
              <w:ind w:right="774"/>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7,675</w:t>
            </w:r>
          </w:p>
        </w:tc>
        <w:tc>
          <w:tcPr>
            <w:tcW w:w="80" w:type="dxa"/>
            <w:vAlign w:val="bottom"/>
          </w:tcPr>
          <w:p>
            <w:pPr>
              <w:spacing w:after="0"/>
              <w:rPr>
                <w:sz w:val="18"/>
                <w:szCs w:val="18"/>
                <w:color w:val="auto"/>
              </w:rPr>
            </w:pPr>
          </w:p>
        </w:tc>
        <w:tc>
          <w:tcPr>
            <w:tcW w:w="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7"/>
          </w:tcPr>
          <w:p>
            <w:pPr>
              <w:ind w:left="124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jc w:val="center"/>
              <w:spacing w:after="0" w:line="166" w:lineRule="exact"/>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Amortization Period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Gross Intangible Assets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Net Intangible Assets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(Years)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and domain names</w:t>
            </w:r>
          </w:p>
        </w:tc>
        <w:tc>
          <w:tcPr>
            <w:tcW w:w="2040" w:type="dxa"/>
            <w:vAlign w:val="bottom"/>
            <w:tcBorders>
              <w:top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7,256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(5,008)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technology</w:t>
            </w:r>
          </w:p>
        </w:tc>
        <w:tc>
          <w:tcPr>
            <w:tcW w:w="2040" w:type="dxa"/>
            <w:vAlign w:val="bottom"/>
            <w:gridSpan w:val="2"/>
          </w:tcPr>
          <w:p>
            <w:pPr>
              <w:jc w:val="right"/>
              <w:ind w:right="794"/>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04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20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7,675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(5,168)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Amortization expense and impairment charge for intangible assets were $0.6 million and $7.8 million for the years ended December 31, 2024 and 2023, respectively. The Company recorded a non-cash intangible impairment charge of $6.1 million for the year ended December 31, 2023 related to certain product offerings that were sunset in December 2023, which is included in asset impairment charges in the consolidated statements of operations. No intangible asset impairment charges have been recorded for the years ended December 31, 2024.</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The   estimated   future   amortization</w:t>
            </w:r>
          </w:p>
        </w:tc>
        <w:tc>
          <w:tcPr>
            <w:tcW w:w="624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expense   of   intangible   assets   as   of   December   31,   2024   is   as</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follows   (in   thousands):</w:t>
            </w:r>
          </w:p>
        </w:tc>
      </w:tr>
      <w:tr>
        <w:trPr>
          <w:trHeight w:val="245"/>
        </w:trPr>
        <w:tc>
          <w:tcPr>
            <w:tcW w:w="3020" w:type="dxa"/>
            <w:vAlign w:val="bottom"/>
            <w:tcBorders>
              <w:bottom w:val="single" w:sz="8" w:color="CCEEFF"/>
            </w:tcBorders>
          </w:tcPr>
          <w:p>
            <w:pPr>
              <w:spacing w:after="0"/>
              <w:rPr>
                <w:sz w:val="21"/>
                <w:szCs w:val="21"/>
                <w:color w:val="auto"/>
              </w:rPr>
            </w:pPr>
          </w:p>
        </w:tc>
        <w:tc>
          <w:tcPr>
            <w:tcW w:w="6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Amortization</w:t>
            </w:r>
          </w:p>
        </w:tc>
      </w:tr>
      <w:tr>
        <w:trPr>
          <w:trHeight w:val="19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Years ended December 31,</w:t>
            </w:r>
          </w:p>
        </w:tc>
        <w:tc>
          <w:tcPr>
            <w:tcW w:w="6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r>
        <w:trPr>
          <w:trHeight w:val="219"/>
        </w:trPr>
        <w:tc>
          <w:tcPr>
            <w:tcW w:w="3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6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w:t>
            </w: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6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r>
      <w:tr>
        <w:trPr>
          <w:trHeight w:val="219"/>
        </w:trPr>
        <w:tc>
          <w:tcPr>
            <w:tcW w:w="3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6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6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19"/>
        </w:trPr>
        <w:tc>
          <w:tcPr>
            <w:tcW w:w="3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6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6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30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1,952</w:t>
            </w:r>
          </w:p>
        </w:tc>
      </w:tr>
      <w:tr>
        <w:trPr>
          <w:trHeight w:val="20"/>
        </w:trPr>
        <w:tc>
          <w:tcPr>
            <w:tcW w:w="30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340" w:hanging="337"/>
        <w:spacing w:after="0"/>
        <w:tabs>
          <w:tab w:leader="none" w:pos="34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Prepaid Expenses and Other Current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Prepaid expenses and other current assets as of December 31, 2024 and December 31, 2023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00" w:type="dxa"/>
            <w:vAlign w:val="bottom"/>
          </w:tcPr>
          <w:p>
            <w:pPr>
              <w:spacing w:after="0"/>
              <w:rPr>
                <w:sz w:val="19"/>
                <w:szCs w:val="19"/>
                <w:color w:val="auto"/>
              </w:rPr>
            </w:pPr>
          </w:p>
        </w:tc>
        <w:tc>
          <w:tcPr>
            <w:tcW w:w="17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2"/>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insurance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1,530</w:t>
            </w: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marketing</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software</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2,406</w:t>
            </w:r>
          </w:p>
        </w:tc>
      </w:tr>
      <w:tr>
        <w:trPr>
          <w:trHeight w:val="21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prepaid expenses and other current assets</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1,655</w:t>
            </w:r>
          </w:p>
        </w:tc>
      </w:tr>
      <w:tr>
        <w:trPr>
          <w:trHeight w:val="237"/>
        </w:trPr>
        <w:tc>
          <w:tcPr>
            <w:tcW w:w="7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5,978</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5838825</wp:posOffset>
            </wp:positionH>
            <wp:positionV relativeFrom="paragraph">
              <wp:posOffset>-744220</wp:posOffset>
            </wp:positionV>
            <wp:extent cx="571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4537075</wp:posOffset>
            </wp:positionH>
            <wp:positionV relativeFrom="paragraph">
              <wp:posOffset>-744220</wp:posOffset>
            </wp:positionV>
            <wp:extent cx="57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4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7"/>
          <w:szCs w:val="17"/>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72"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17"/>
          <w:szCs w:val="17"/>
          <w:color w:val="auto"/>
        </w:rPr>
        <w:t>No impairment charges were recognized during the years ended December 31, 2024 and 2023, related to certain capitalized implementation costs for a cloud computing arrangement that was abandoned.</w:t>
      </w:r>
    </w:p>
    <w:p>
      <w:pPr>
        <w:spacing w:after="0" w:line="44" w:lineRule="exact"/>
        <w:rPr>
          <w:sz w:val="20"/>
          <w:szCs w:val="20"/>
          <w:color w:val="auto"/>
        </w:rPr>
      </w:pPr>
    </w:p>
    <w:p>
      <w:pPr>
        <w:ind w:left="420" w:hanging="417"/>
        <w:spacing w:after="0"/>
        <w:tabs>
          <w:tab w:leader="none" w:pos="42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Accounts Payable and Accrued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payable and accrued liabilities as of December 31, 2024 and 2023 consisted of the following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227"/>
        </w:trPr>
        <w:tc>
          <w:tcPr>
            <w:tcW w:w="6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w:t>
            </w:r>
          </w:p>
        </w:tc>
      </w:tr>
      <w:tr>
        <w:trPr>
          <w:trHeight w:val="212"/>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 and other accrued liabilities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7,466</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374"/>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Commissions and Bonuses</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Salaries</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Vacation</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employee expenses</w:t>
            </w: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r>
      <w:tr>
        <w:trPr>
          <w:trHeight w:val="212"/>
        </w:trPr>
        <w:tc>
          <w:tcPr>
            <w:tcW w:w="69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20,102</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374"/>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6149975</wp:posOffset>
            </wp:positionH>
            <wp:positionV relativeFrom="paragraph">
              <wp:posOffset>-883285</wp:posOffset>
            </wp:positionV>
            <wp:extent cx="57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4766310</wp:posOffset>
            </wp:positionH>
            <wp:positionV relativeFrom="paragraph">
              <wp:posOffset>-883285</wp:posOffset>
            </wp:positionV>
            <wp:extent cx="57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53" w:lineRule="exact"/>
        <w:rPr>
          <w:sz w:val="20"/>
          <w:szCs w:val="20"/>
          <w:color w:val="auto"/>
        </w:rPr>
      </w:pPr>
    </w:p>
    <w:p>
      <w:pPr>
        <w:ind w:left="420" w:hanging="417"/>
        <w:spacing w:after="0"/>
        <w:tabs>
          <w:tab w:leader="none" w:pos="42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 Liability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2024, there were 12,499,973 Public Warrants outstanding and 7,000,000 Private Placement Warrants outstanding.</w:t>
      </w:r>
    </w:p>
    <w:p>
      <w:pPr>
        <w:spacing w:after="0" w:line="114"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7"/>
          <w:szCs w:val="17"/>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may exercise its redemption right even if it is unable to register or qualify the underlying securities for sale under all applicable state securities laws.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 concluded the Public Warrants and Private Placement Warrants, or the Warrants, meet the definition of a derivative under ASC 815- </w:t>
      </w:r>
      <w:r>
        <w:rPr>
          <w:rFonts w:ascii="Times New Roman" w:cs="Times New Roman" w:eastAsia="Times New Roman" w:hAnsi="Times New Roman"/>
          <w:sz w:val="17"/>
          <w:szCs w:val="17"/>
          <w:i w:val="1"/>
          <w:iCs w:val="1"/>
          <w:color w:val="auto"/>
        </w:rPr>
        <w:t>Derivatives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Hedging </w:t>
      </w:r>
      <w:r>
        <w:rPr>
          <w:rFonts w:ascii="Times New Roman" w:cs="Times New Roman" w:eastAsia="Times New Roman" w:hAnsi="Times New Roman"/>
          <w:sz w:val="17"/>
          <w:szCs w:val="17"/>
          <w:color w:val="auto"/>
        </w:rPr>
        <w:t>(as described in Note 2) and are recorded as liabilities. Upon the Closing, the fair value of the Warrants was recorded on the balance sheet. The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Warrants are remeasured as of each balance sheet date. The Company recorded no gain or loss from remeasurement for the year ended December 31, 2024. The Company recorded non-cash gain of $1.5 million in the consolidated statements of operations for the years ended December 31, 2023. For additional information, see Note 7, “Fair Value Measurements.”</w:t>
      </w:r>
    </w:p>
    <w:p>
      <w:pPr>
        <w:spacing w:after="0" w:line="67" w:lineRule="exact"/>
        <w:rPr>
          <w:sz w:val="20"/>
          <w:szCs w:val="20"/>
          <w:color w:val="auto"/>
        </w:rPr>
      </w:pPr>
    </w:p>
    <w:p>
      <w:pPr>
        <w:ind w:left="440" w:hanging="437"/>
        <w:spacing w:after="0"/>
        <w:tabs>
          <w:tab w:leader="none" w:pos="440"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Rights upon Liquidation, Dissolution and Winding-Up</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Preemptive or Other Rights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V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holders of the Class V Common Stock will not participate in any dividends declared by the Company’s board of directors.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Rights upon Liquidation, Dissolution and Winding-Up</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our affairs, the holders of Class V Common Stock are not entitled to receive any of the Company’s assets.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Preemptive or Other Rights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holders of shares of Class V Common Stock do not have preemptive, subscription, redemption or conversion rights. There will be no redemption or sinking fund provisions applicable to the Class V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Issuance and Retirement of Class V Common Stock</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2024, there were no shares of preferred stock issued or outstanding.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Noncontrolling Interests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noncontrolling interest represents the Units held by holders other than the Company. As of December 31, 2024, the noncontrolling interests owned 36.7%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0" w:hanging="437"/>
        <w:spacing w:after="0"/>
        <w:tabs>
          <w:tab w:leader="none" w:pos="44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WM Holding Company, LLC Equity Incentive Plan</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The Company accounted for the issuance of Class A-3 and Class B Units issued under the WM Holding Company, LLC Equity Incentive Plan in accordance with ASC 718 - </w:t>
      </w:r>
      <w:r>
        <w:rPr>
          <w:rFonts w:ascii="Times New Roman" w:cs="Times New Roman" w:eastAsia="Times New Roman" w:hAnsi="Times New Roman"/>
          <w:sz w:val="17"/>
          <w:szCs w:val="17"/>
          <w:i w:val="1"/>
          <w:iCs w:val="1"/>
          <w:color w:val="auto"/>
        </w:rPr>
        <w:t>Stock Based Compensation</w:t>
      </w:r>
      <w:r>
        <w:rPr>
          <w:rFonts w:ascii="Times New Roman" w:cs="Times New Roman" w:eastAsia="Times New Roman" w:hAnsi="Times New Roman"/>
          <w:sz w:val="17"/>
          <w:szCs w:val="17"/>
          <w:color w:val="auto"/>
        </w:rPr>
        <w:t>. The Company considered the limitation on the exercisability of the Class A-3 and Class B Units to be a performance condition and recorded compensation cost when it became probable that the performance condition would be met.</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6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the Class P Unit activity for the periods presented is as follows:</w:t>
            </w:r>
          </w:p>
        </w:tc>
        <w:tc>
          <w:tcPr>
            <w:tcW w:w="2080" w:type="dxa"/>
            <w:vAlign w:val="bottom"/>
          </w:tcPr>
          <w:p>
            <w:pPr>
              <w:spacing w:after="0"/>
              <w:rPr>
                <w:sz w:val="19"/>
                <w:szCs w:val="19"/>
                <w:color w:val="auto"/>
              </w:rPr>
            </w:pPr>
          </w:p>
        </w:tc>
      </w:tr>
      <w:tr>
        <w:trPr>
          <w:trHeight w:val="245"/>
        </w:trPr>
        <w:tc>
          <w:tcPr>
            <w:tcW w:w="9160" w:type="dxa"/>
            <w:vAlign w:val="bottom"/>
            <w:tcBorders>
              <w:bottom w:val="single" w:sz="8" w:color="CCEEFF"/>
            </w:tcBorders>
          </w:tcPr>
          <w:p>
            <w:pPr>
              <w:spacing w:after="0"/>
              <w:rPr>
                <w:sz w:val="21"/>
                <w:szCs w:val="21"/>
                <w:color w:val="auto"/>
              </w:rPr>
            </w:pPr>
          </w:p>
        </w:tc>
        <w:tc>
          <w:tcPr>
            <w:tcW w:w="20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Number of Units</w:t>
            </w:r>
          </w:p>
        </w:tc>
      </w:tr>
      <w:tr>
        <w:trPr>
          <w:trHeight w:val="21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Class P Units, December 31, 2023</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14,804,507</w:t>
            </w: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Cancellations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w:t>
            </w: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Exchanged for Class A Common Stock</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212"/>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Class P Units, December 31, 2024</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14,403,732</w:t>
            </w:r>
          </w:p>
        </w:tc>
      </w:tr>
      <w:tr>
        <w:trPr>
          <w:trHeight w:val="20"/>
        </w:trPr>
        <w:tc>
          <w:tcPr>
            <w:tcW w:w="916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36"/>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December 31, 2024</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14,403,732</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December 31, 2024, all the outstanding Class P Units have been vested and as such, there is no remaining unrecognized stock-based compensation expense for non-vested Class P Units. For the years ended December 31, 2024 and 2023, the Company recorded stock-based compensation expense for the Class P Units of $0.2 million and $0.5 million,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WM Technology, Inc. Equity Incentive Plan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2024, 40,639,882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2024, 19,341,168 shares of Class A Common Stock are available for future issuance.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restricted stock unit (“RSU”) activity for the year ended December 31, 2024 is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20" w:type="dxa"/>
            <w:vAlign w:val="bottom"/>
          </w:tcPr>
          <w:p>
            <w:pPr>
              <w:spacing w:after="0"/>
              <w:rPr>
                <w:sz w:val="17"/>
                <w:szCs w:val="17"/>
                <w:color w:val="auto"/>
              </w:rPr>
            </w:pPr>
          </w:p>
        </w:tc>
        <w:tc>
          <w:tcPr>
            <w:tcW w:w="210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Number of RSUs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9"/>
              </w:rPr>
              <w:t>Weighted-average Grant</w:t>
            </w:r>
          </w:p>
        </w:tc>
        <w:tc>
          <w:tcPr>
            <w:tcW w:w="0" w:type="dxa"/>
            <w:vAlign w:val="bottom"/>
          </w:tcPr>
          <w:p>
            <w:pPr>
              <w:spacing w:after="0"/>
              <w:rPr>
                <w:sz w:val="1"/>
                <w:szCs w:val="1"/>
                <w:color w:val="auto"/>
              </w:rPr>
            </w:pPr>
          </w:p>
        </w:tc>
      </w:tr>
      <w:tr>
        <w:trPr>
          <w:trHeight w:val="232"/>
        </w:trPr>
        <w:tc>
          <w:tcPr>
            <w:tcW w:w="692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Date Fair Value</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2023</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7,683,598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5,416,973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(3,252,428)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0" w:type="dxa"/>
            <w:vAlign w:val="bottom"/>
          </w:tcPr>
          <w:p>
            <w:pPr>
              <w:spacing w:after="0"/>
              <w:rPr>
                <w:sz w:val="1"/>
                <w:szCs w:val="1"/>
                <w:color w:val="auto"/>
              </w:rPr>
            </w:pPr>
          </w:p>
        </w:tc>
      </w:tr>
      <w:tr>
        <w:trPr>
          <w:trHeight w:val="219"/>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Cancelled/Forfeited/Expired</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(1,901,235)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2024</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7,946,908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December 31, 2024, unrecognized stock-based compensation expense for non-vested RSUs was $9.9 million, which is expected to be recognized over a weighted-average period of 1.7 years. For the years ended December 31, 2024 and 2023, the Company recorded stock-based compensation expense for the RSUs of $8.8 million and $13.1 million, respectively.</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grants performance-based restricted stock units (“PRSUs”). For the awards with the Company’s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the awards with market performance conditions, the vesting of the award is dependent upon the attainment of a target stock price. The Company recognizes stock-based compensation expense for awards with market conditions over the derived service period of the awards. The estimated fair value and derived service period for the awards with market conditions are calculated using a Monte Carlo simulation. Assumptions used in valuing awards with market conditions include the performance period, grant-date stock price, expected volatility, risk-free rate and cost of equity.</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2024, a PRSU market condition award of 4,342,391 units was granted to the Company’s Chief Executive Officer that will vest based upon achieving certain target prices for the Company’s common stock. Achievement of the target prices will be determined using the volume weighted average closing price of the Company’s Class A common stock over a 30 trading-day period. Any unvested PRSUs remaining after December 31, 2027 will be forfeited. If service is terminated prior to December 31, 2027, all unvested PRSUs will be forfeited.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key assumptions used in estimating the value of the PRSUs granted in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Grant Date</w:t>
            </w:r>
          </w:p>
        </w:tc>
        <w:tc>
          <w:tcPr>
            <w:tcW w:w="440" w:type="dxa"/>
            <w:vAlign w:val="bottom"/>
            <w:tcBorders>
              <w:bottom w:val="single" w:sz="8" w:color="CCEEFF"/>
            </w:tcBorders>
          </w:tcPr>
          <w:p>
            <w:pPr>
              <w:spacing w:after="0"/>
              <w:rPr>
                <w:sz w:val="19"/>
                <w:szCs w:val="19"/>
                <w:color w:val="auto"/>
              </w:rPr>
            </w:pPr>
          </w:p>
        </w:tc>
        <w:tc>
          <w:tcPr>
            <w:tcW w:w="3880" w:type="dxa"/>
            <w:vAlign w:val="bottom"/>
            <w:tcBorders>
              <w:bottom w:val="single" w:sz="8" w:color="auto"/>
            </w:tcBorders>
            <w:gridSpan w:val="3"/>
          </w:tcPr>
          <w:p>
            <w:pPr>
              <w:jc w:val="right"/>
              <w:ind w:right="1154"/>
              <w:spacing w:after="0"/>
              <w:rPr>
                <w:sz w:val="20"/>
                <w:szCs w:val="20"/>
                <w:color w:val="auto"/>
              </w:rPr>
            </w:pPr>
            <w:r>
              <w:rPr>
                <w:rFonts w:ascii="Times New Roman" w:cs="Times New Roman" w:eastAsia="Times New Roman" w:hAnsi="Times New Roman"/>
                <w:sz w:val="17"/>
                <w:szCs w:val="17"/>
                <w:b w:val="1"/>
                <w:bCs w:val="1"/>
                <w:color w:val="auto"/>
              </w:rPr>
              <w:t>November 07, 2024</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period</w:t>
            </w:r>
          </w:p>
        </w:tc>
        <w:tc>
          <w:tcPr>
            <w:tcW w:w="440" w:type="dxa"/>
            <w:vAlign w:val="bottom"/>
            <w:shd w:val="clear" w:color="auto" w:fill="CCEEFF"/>
          </w:tcPr>
          <w:p>
            <w:pPr>
              <w:spacing w:after="0"/>
              <w:rPr>
                <w:sz w:val="18"/>
                <w:szCs w:val="18"/>
                <w:color w:val="auto"/>
              </w:rPr>
            </w:pPr>
          </w:p>
        </w:tc>
        <w:tc>
          <w:tcPr>
            <w:tcW w:w="3880" w:type="dxa"/>
            <w:vAlign w:val="bottom"/>
            <w:gridSpan w:val="3"/>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November 07, 2024 - December 31, 2027</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PRSUs Granted</w:t>
            </w:r>
          </w:p>
        </w:tc>
        <w:tc>
          <w:tcPr>
            <w:tcW w:w="4320" w:type="dxa"/>
            <w:vAlign w:val="bottom"/>
            <w:gridSpan w:val="4"/>
          </w:tcPr>
          <w:p>
            <w:pPr>
              <w:jc w:val="center"/>
              <w:ind w:left="354"/>
              <w:spacing w:after="0"/>
              <w:rPr>
                <w:sz w:val="20"/>
                <w:szCs w:val="20"/>
                <w:color w:val="auto"/>
              </w:rPr>
            </w:pPr>
            <w:r>
              <w:rPr>
                <w:rFonts w:ascii="Times New Roman" w:cs="Times New Roman" w:eastAsia="Times New Roman" w:hAnsi="Times New Roman"/>
                <w:sz w:val="17"/>
                <w:szCs w:val="17"/>
                <w:color w:val="auto"/>
                <w:w w:val="99"/>
              </w:rPr>
              <w:t>4,342,391</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Grant Date Stock Price</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center"/>
              <w:ind w:right="1574"/>
              <w:spacing w:after="0"/>
              <w:rPr>
                <w:sz w:val="20"/>
                <w:szCs w:val="20"/>
                <w:color w:val="auto"/>
              </w:rPr>
            </w:pPr>
            <w:r>
              <w:rPr>
                <w:rFonts w:ascii="Times New Roman" w:cs="Times New Roman" w:eastAsia="Times New Roman" w:hAnsi="Times New Roman"/>
                <w:sz w:val="17"/>
                <w:szCs w:val="17"/>
                <w:color w:val="auto"/>
              </w:rPr>
              <w:t>$0.77</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 at Valuation Date</w:t>
            </w: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20" w:type="dxa"/>
            <w:vAlign w:val="bottom"/>
            <w:gridSpan w:val="2"/>
          </w:tcPr>
          <w:p>
            <w:pPr>
              <w:jc w:val="center"/>
              <w:ind w:right="1574"/>
              <w:spacing w:after="0"/>
              <w:rPr>
                <w:sz w:val="20"/>
                <w:szCs w:val="20"/>
                <w:color w:val="auto"/>
              </w:rPr>
            </w:pPr>
            <w:r>
              <w:rPr>
                <w:rFonts w:ascii="Times New Roman" w:cs="Times New Roman" w:eastAsia="Times New Roman" w:hAnsi="Times New Roman"/>
                <w:sz w:val="17"/>
                <w:szCs w:val="17"/>
                <w:color w:val="auto"/>
              </w:rPr>
              <w:t>4.05%</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Equity</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center"/>
              <w:ind w:right="1574"/>
              <w:spacing w:after="0"/>
              <w:rPr>
                <w:sz w:val="20"/>
                <w:szCs w:val="20"/>
                <w:color w:val="auto"/>
              </w:rPr>
            </w:pPr>
            <w:r>
              <w:rPr>
                <w:rFonts w:ascii="Times New Roman" w:cs="Times New Roman" w:eastAsia="Times New Roman" w:hAnsi="Times New Roman"/>
                <w:sz w:val="17"/>
                <w:szCs w:val="17"/>
                <w:color w:val="auto"/>
                <w:w w:val="99"/>
              </w:rPr>
              <w:t>18.00%</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Estimated Volatility at Valuation Date</w:t>
            </w: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20" w:type="dxa"/>
            <w:vAlign w:val="bottom"/>
            <w:gridSpan w:val="2"/>
          </w:tcPr>
          <w:p>
            <w:pPr>
              <w:jc w:val="center"/>
              <w:ind w:right="1574"/>
              <w:spacing w:after="0"/>
              <w:rPr>
                <w:sz w:val="20"/>
                <w:szCs w:val="20"/>
                <w:color w:val="auto"/>
              </w:rPr>
            </w:pPr>
            <w:r>
              <w:rPr>
                <w:rFonts w:ascii="Times New Roman" w:cs="Times New Roman" w:eastAsia="Times New Roman" w:hAnsi="Times New Roman"/>
                <w:sz w:val="17"/>
                <w:szCs w:val="17"/>
                <w:color w:val="auto"/>
                <w:w w:val="99"/>
              </w:rPr>
              <w:t>85.61%</w:t>
            </w:r>
          </w:p>
        </w:tc>
        <w:tc>
          <w:tcPr>
            <w:tcW w:w="0" w:type="dxa"/>
            <w:vAlign w:val="bottom"/>
          </w:tcPr>
          <w:p>
            <w:pPr>
              <w:spacing w:after="0"/>
              <w:rPr>
                <w:sz w:val="1"/>
                <w:szCs w:val="1"/>
                <w:color w:val="auto"/>
              </w:rPr>
            </w:pPr>
          </w:p>
        </w:tc>
      </w:tr>
      <w:tr>
        <w:trPr>
          <w:trHeight w:val="383"/>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the PRSU activity for the year ended December 31, 2024 is as follows:</w:t>
            </w: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920" w:type="dxa"/>
            <w:vAlign w:val="bottom"/>
          </w:tcPr>
          <w:p>
            <w:pPr>
              <w:spacing w:after="0"/>
              <w:rPr>
                <w:sz w:val="24"/>
                <w:szCs w:val="24"/>
                <w:color w:val="auto"/>
              </w:rPr>
            </w:pPr>
          </w:p>
        </w:tc>
        <w:tc>
          <w:tcPr>
            <w:tcW w:w="210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Number of PRSUs</w:t>
            </w:r>
          </w:p>
        </w:tc>
        <w:tc>
          <w:tcPr>
            <w:tcW w:w="140" w:type="dxa"/>
            <w:vAlign w:val="bottom"/>
          </w:tcPr>
          <w:p>
            <w:pPr>
              <w:spacing w:after="0"/>
              <w:rPr>
                <w:sz w:val="24"/>
                <w:szCs w:val="24"/>
                <w:color w:val="auto"/>
              </w:rPr>
            </w:pPr>
          </w:p>
        </w:tc>
        <w:tc>
          <w:tcPr>
            <w:tcW w:w="208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Weighted-average Grant</w:t>
            </w:r>
          </w:p>
        </w:tc>
        <w:tc>
          <w:tcPr>
            <w:tcW w:w="0" w:type="dxa"/>
            <w:vAlign w:val="bottom"/>
          </w:tcPr>
          <w:p>
            <w:pPr>
              <w:spacing w:after="0"/>
              <w:rPr>
                <w:sz w:val="1"/>
                <w:szCs w:val="1"/>
                <w:color w:val="auto"/>
              </w:rPr>
            </w:pPr>
          </w:p>
        </w:tc>
      </w:tr>
      <w:tr>
        <w:trPr>
          <w:trHeight w:val="227"/>
        </w:trPr>
        <w:tc>
          <w:tcPr>
            <w:tcW w:w="692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Date Fair Value</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2023</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234,375</w:t>
            </w:r>
          </w:p>
        </w:tc>
        <w:tc>
          <w:tcPr>
            <w:tcW w:w="1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4,342,391</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(58,594)</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19"/>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Cancelled/Forfeited/Expired</w:t>
            </w: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(175,781)</w:t>
            </w:r>
          </w:p>
        </w:tc>
        <w:tc>
          <w:tcPr>
            <w:tcW w:w="2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2024</w:t>
            </w:r>
          </w:p>
        </w:tc>
        <w:tc>
          <w:tcPr>
            <w:tcW w:w="2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4,342,391</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December 31, 2024, the unrecognized stock-based compensation expense for non-vested PRSUs was $1.5 million, which is expected to be recognized over a weighted-average period of 1.7 years. For the year ended December 31, 2024, the Company recorded stock-based compensation expense of $0.2 million related to the PRSUs. For the year ended December 31, 2023, the Company recorded stock-based compensation credit of $0.1 million related to the PRSUs.</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recorded stock-based compensation cost related to the Class P Units, RSUs and PRSUs in the following expense categories on the consolidated statements of operations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980" w:type="dxa"/>
            <w:vAlign w:val="bottom"/>
          </w:tcPr>
          <w:p>
            <w:pPr>
              <w:spacing w:after="0"/>
              <w:rPr>
                <w:sz w:val="19"/>
                <w:szCs w:val="19"/>
                <w:color w:val="auto"/>
              </w:rPr>
            </w:pPr>
          </w:p>
        </w:tc>
        <w:tc>
          <w:tcPr>
            <w:tcW w:w="356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700" w:type="dxa"/>
            <w:vAlign w:val="bottom"/>
            <w:tcBorders>
              <w:bottom w:val="single" w:sz="8" w:color="auto"/>
            </w:tcBorders>
          </w:tcPr>
          <w:p>
            <w:pPr>
              <w:spacing w:after="0"/>
              <w:rPr>
                <w:sz w:val="19"/>
                <w:szCs w:val="19"/>
                <w:color w:val="auto"/>
              </w:rPr>
            </w:pPr>
          </w:p>
        </w:tc>
      </w:tr>
      <w:tr>
        <w:trPr>
          <w:trHeight w:val="212"/>
        </w:trPr>
        <w:tc>
          <w:tcPr>
            <w:tcW w:w="69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700" w:type="dxa"/>
            <w:vAlign w:val="bottom"/>
            <w:tcBorders>
              <w:bottom w:val="single" w:sz="8" w:color="auto"/>
            </w:tcBorders>
          </w:tcPr>
          <w:p>
            <w:pPr>
              <w:spacing w:after="0"/>
              <w:rPr>
                <w:sz w:val="18"/>
                <w:szCs w:val="18"/>
                <w:color w:val="auto"/>
              </w:rPr>
            </w:pPr>
          </w:p>
        </w:tc>
      </w:tr>
      <w:tr>
        <w:trPr>
          <w:trHeight w:val="21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38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2,706</w:t>
            </w: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development</w:t>
            </w:r>
          </w:p>
        </w:tc>
        <w:tc>
          <w:tcPr>
            <w:tcW w:w="1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3,516</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4,170</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4,266</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6,639</w:t>
            </w:r>
          </w:p>
        </w:tc>
      </w:tr>
      <w:tr>
        <w:trPr>
          <w:trHeight w:val="212"/>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9,221</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13,515</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capitalized to software development</w:t>
            </w: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r>
      <w:tr>
        <w:trPr>
          <w:trHeight w:val="212"/>
        </w:trPr>
        <w:tc>
          <w:tcPr>
            <w:tcW w:w="6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 cost</w:t>
            </w:r>
          </w:p>
        </w:tc>
        <w:tc>
          <w:tcPr>
            <w:tcW w:w="1380" w:type="dxa"/>
            <w:vAlign w:val="bottom"/>
            <w:tcBorders>
              <w:bottom w:val="single" w:sz="8" w:color="auto"/>
            </w:tcBorders>
          </w:tcPr>
          <w:p>
            <w:pPr>
              <w:jc w:val="right"/>
              <w:ind w:right="11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10,287</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11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14,901</w:t>
            </w:r>
          </w:p>
        </w:tc>
      </w:tr>
      <w:tr>
        <w:trPr>
          <w:trHeight w:val="20"/>
        </w:trPr>
        <w:tc>
          <w:tcPr>
            <w:tcW w:w="6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14.</w:t>
        <w:tab/>
        <w:t>Earnings Per Share</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computation of (loss) income per share attributable to WM Technology, Inc. and weighted-average shares of the Company’s Class A Common Stock outstanding are as follows for the years ended December 31, 2024 and 2023 (amounts in thousands, except for share and per share amounts):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00" w:type="dxa"/>
            <w:vAlign w:val="bottom"/>
          </w:tcPr>
          <w:p>
            <w:pPr>
              <w:spacing w:after="0"/>
              <w:rPr>
                <w:sz w:val="19"/>
                <w:szCs w:val="19"/>
                <w:color w:val="auto"/>
              </w:rPr>
            </w:pPr>
          </w:p>
        </w:tc>
        <w:tc>
          <w:tcPr>
            <w:tcW w:w="342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0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24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12,187</w:t>
            </w:r>
          </w:p>
        </w:tc>
        <w:tc>
          <w:tcPr>
            <w:tcW w:w="80" w:type="dxa"/>
            <w:vAlign w:val="bottom"/>
          </w:tcPr>
          <w:p>
            <w:pPr>
              <w:spacing w:after="0"/>
              <w:rPr>
                <w:sz w:val="19"/>
                <w:szCs w:val="19"/>
                <w:color w:val="auto"/>
              </w:rPr>
            </w:pPr>
          </w:p>
        </w:tc>
        <w:tc>
          <w:tcPr>
            <w:tcW w:w="126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(loss) attributable to noncontrolling interests after the Business Combination</w:t>
            </w:r>
          </w:p>
        </w:tc>
        <w:tc>
          <w:tcPr>
            <w:tcW w:w="1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4,548</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0" w:type="dxa"/>
            <w:vAlign w:val="bottom"/>
          </w:tcPr>
          <w:p>
            <w:pPr>
              <w:spacing w:after="0"/>
              <w:rPr>
                <w:sz w:val="1"/>
                <w:szCs w:val="1"/>
                <w:color w:val="auto"/>
              </w:rPr>
            </w:pPr>
          </w:p>
        </w:tc>
      </w:tr>
      <w:tr>
        <w:trPr>
          <w:trHeight w:val="212"/>
        </w:trPr>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 (loss) attributable to WM Technology, Inc. - basic and diluted</w:t>
            </w:r>
          </w:p>
        </w:tc>
        <w:tc>
          <w:tcPr>
            <w:tcW w:w="124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7,639</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(9,898)</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0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Denominator:</w:t>
            </w:r>
          </w:p>
        </w:tc>
        <w:tc>
          <w:tcPr>
            <w:tcW w:w="1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1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96,254,679</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93,244,911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effect of dilutive securities:</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units¹</w:t>
            </w:r>
          </w:p>
        </w:tc>
        <w:tc>
          <w:tcPr>
            <w:tcW w:w="1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847,767</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Performance-based stock units</w:t>
            </w:r>
          </w:p>
        </w:tc>
        <w:tc>
          <w:tcPr>
            <w:tcW w:w="1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1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97,103,304</w:t>
            </w:r>
          </w:p>
        </w:tc>
        <w:tc>
          <w:tcPr>
            <w:tcW w:w="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93,244,911</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per share of Class A Common Stock:</w:t>
            </w: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per Class A common share - basic</w:t>
            </w:r>
          </w:p>
        </w:tc>
        <w:tc>
          <w:tcPr>
            <w:tcW w:w="1240" w:type="dxa"/>
            <w:vAlign w:val="bottom"/>
            <w:tcBorders>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0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Net income (loss) per Class A common share - diluted</w:t>
            </w:r>
          </w:p>
        </w:tc>
        <w:tc>
          <w:tcPr>
            <w:tcW w:w="1240" w:type="dxa"/>
            <w:vAlign w:val="bottom"/>
            <w:tcBorders>
              <w:bottom w:val="single" w:sz="8" w:color="auto"/>
            </w:tcBorders>
          </w:tcPr>
          <w:p>
            <w:pPr>
              <w:jc w:val="right"/>
              <w:ind w:right="10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0.08</w:t>
            </w:r>
          </w:p>
        </w:tc>
        <w:tc>
          <w:tcPr>
            <w:tcW w:w="80" w:type="dxa"/>
            <w:vAlign w:val="bottom"/>
          </w:tcPr>
          <w:p>
            <w:pPr>
              <w:spacing w:after="0"/>
              <w:rPr>
                <w:sz w:val="16"/>
                <w:szCs w:val="16"/>
                <w:color w:val="auto"/>
              </w:rPr>
            </w:pPr>
          </w:p>
        </w:tc>
        <w:tc>
          <w:tcPr>
            <w:tcW w:w="1260" w:type="dxa"/>
            <w:vAlign w:val="bottom"/>
            <w:tcBorders>
              <w:bottom w:val="single" w:sz="8" w:color="auto"/>
            </w:tcBorders>
          </w:tcPr>
          <w:p>
            <w:pPr>
              <w:jc w:val="right"/>
              <w:ind w:right="1054"/>
              <w:spacing w:after="0" w:line="191"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(0.11)</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___________________________________</w:t>
            </w:r>
          </w:p>
        </w:tc>
        <w:tc>
          <w:tcPr>
            <w:tcW w:w="1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000" w:type="dxa"/>
            <w:vAlign w:val="bottom"/>
            <w:vMerge w:val="continue"/>
          </w:tcPr>
          <w:p>
            <w:pPr>
              <w:spacing w:after="0"/>
              <w:rPr>
                <w:sz w:val="22"/>
                <w:szCs w:val="22"/>
                <w:color w:val="auto"/>
              </w:rPr>
            </w:pPr>
          </w:p>
        </w:tc>
        <w:tc>
          <w:tcPr>
            <w:tcW w:w="1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¹ Calculated using the treasury stock method.</w:t>
            </w: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Shares of the Class V Common Stock do not participate in the earnings or losses of the Company and are therefore not participating securities. As such, separate presentation of basic and diluted earnings per share of Class V Common Stock under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excluded the following securities from its computation of diluted shares outstanding, as their effect would have been anti-dilutive:</w:t>
      </w:r>
    </w:p>
    <w:p>
      <w:pPr>
        <w:spacing w:after="0" w:line="14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7"/>
          <w:szCs w:val="17"/>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8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V Shares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54,319,542</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55,486,361</w:t>
            </w:r>
          </w:p>
        </w:tc>
      </w:tr>
      <w:tr>
        <w:trPr>
          <w:trHeight w:val="219"/>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Class P Units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14,403,732</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14,804,507</w:t>
            </w:r>
          </w:p>
        </w:tc>
      </w:tr>
      <w:tr>
        <w:trPr>
          <w:trHeight w:val="219"/>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RSUs outstanding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6,504,918</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7,683,598</w:t>
            </w:r>
          </w:p>
        </w:tc>
      </w:tr>
      <w:tr>
        <w:trPr>
          <w:trHeight w:val="219"/>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PRSUs outstanding</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4,342,391</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234,375</w:t>
            </w:r>
          </w:p>
        </w:tc>
      </w:tr>
      <w:tr>
        <w:trPr>
          <w:trHeight w:val="219"/>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Public Warrants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12,499,973</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12,499,973</w:t>
            </w:r>
          </w:p>
        </w:tc>
      </w:tr>
      <w:tr>
        <w:trPr>
          <w:trHeight w:val="22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7,000,000</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7,000,000</w:t>
            </w:r>
          </w:p>
        </w:tc>
      </w:tr>
    </w:tbl>
    <w:p>
      <w:pPr>
        <w:spacing w:after="0" w:line="169" w:lineRule="exact"/>
        <w:rPr>
          <w:sz w:val="20"/>
          <w:szCs w:val="20"/>
          <w:color w:val="auto"/>
        </w:rPr>
      </w:pPr>
    </w:p>
    <w:p>
      <w:pPr>
        <w:ind w:left="440" w:hanging="437"/>
        <w:spacing w:after="0"/>
        <w:tabs>
          <w:tab w:leader="none" w:pos="44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w:t>
      </w:r>
    </w:p>
    <w:p>
      <w:pPr>
        <w:spacing w:after="0" w:line="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taxes. Accordingly, no provision for U.S. federal and state income taxes has been recorded in the financial statements for the period prior to June 16, 2021, as this period was prior to the Business Combination.</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owners of the non-controlling interests are taxed as a partnership, and therefore, no tax provision is allocated to non-controlling interests on the consolidated statements of operations. The Company is also subject to taxes in foreign jurisdictions.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income (loss) before taxes are as follows (in thousands):</w:t>
            </w: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5"/>
        </w:trPr>
        <w:tc>
          <w:tcPr>
            <w:tcW w:w="6980" w:type="dxa"/>
            <w:vAlign w:val="bottom"/>
          </w:tcPr>
          <w:p>
            <w:pPr>
              <w:spacing w:after="0"/>
              <w:rPr>
                <w:sz w:val="21"/>
                <w:szCs w:val="21"/>
                <w:color w:val="auto"/>
              </w:rPr>
            </w:pPr>
          </w:p>
        </w:tc>
        <w:tc>
          <w:tcPr>
            <w:tcW w:w="352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740" w:type="dxa"/>
            <w:vAlign w:val="bottom"/>
            <w:tcBorders>
              <w:bottom w:val="single" w:sz="8" w:color="auto"/>
            </w:tcBorders>
          </w:tcPr>
          <w:p>
            <w:pPr>
              <w:spacing w:after="0"/>
              <w:rPr>
                <w:sz w:val="21"/>
                <w:szCs w:val="21"/>
                <w:color w:val="auto"/>
              </w:rPr>
            </w:pPr>
          </w:p>
        </w:tc>
      </w:tr>
      <w:tr>
        <w:trPr>
          <w:trHeight w:val="212"/>
        </w:trPr>
        <w:tc>
          <w:tcPr>
            <w:tcW w:w="69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740" w:type="dxa"/>
            <w:vAlign w:val="bottom"/>
            <w:tcBorders>
              <w:bottom w:val="single" w:sz="8" w:color="auto"/>
            </w:tcBorders>
          </w:tcPr>
          <w:p>
            <w:pPr>
              <w:spacing w:after="0"/>
              <w:rPr>
                <w:sz w:val="18"/>
                <w:szCs w:val="18"/>
                <w:color w:val="auto"/>
              </w:rPr>
            </w:pPr>
          </w:p>
        </w:tc>
      </w:tr>
      <w:tr>
        <w:trPr>
          <w:trHeight w:val="21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Domestic</w:t>
            </w:r>
          </w:p>
        </w:tc>
        <w:tc>
          <w:tcPr>
            <w:tcW w:w="138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(15,582)</w:t>
            </w:r>
          </w:p>
        </w:tc>
      </w:tr>
      <w:tr>
        <w:trPr>
          <w:trHeight w:val="21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1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37"/>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3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12,233</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the provision for (benefit from) income taxes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Current</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Federal</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State</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Foreign</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Deferred</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Federal</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State</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Foreign</w:t>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center"/>
        <w:ind w:right="3360"/>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33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b w:val="1"/>
          <w:bCs w:val="1"/>
          <w:color w:val="auto"/>
        </w:rPr>
        <w:t>Years Ended December 31,</w:t>
      </w:r>
    </w:p>
    <w:p>
      <w:pPr>
        <w:spacing w:after="0" w:line="31" w:lineRule="exact"/>
        <w:rPr>
          <w:sz w:val="20"/>
          <w:szCs w:val="20"/>
          <w:color w:val="auto"/>
        </w:rPr>
      </w:pPr>
    </w:p>
    <w:tbl>
      <w:tblPr>
        <w:tblLayout w:type="fixed"/>
        <w:tblInd w:w="3600" w:type="dxa"/>
        <w:tblCellMar>
          <w:top w:w="0" w:type="dxa"/>
          <w:left w:w="0" w:type="dxa"/>
          <w:bottom w:w="0" w:type="dxa"/>
          <w:right w:w="0" w:type="dxa"/>
        </w:tblCellMar>
      </w:tblPr>
      <w:tr>
        <w:trPr>
          <w:trHeight w:val="212"/>
        </w:trPr>
        <w:tc>
          <w:tcPr>
            <w:tcW w:w="4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415"/>
        </w:trPr>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4"/>
                <w:szCs w:val="24"/>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93</w:t>
            </w:r>
          </w:p>
        </w:tc>
      </w:tr>
      <w:tr>
        <w:trPr>
          <w:trHeight w:val="223"/>
        </w:trPr>
        <w:tc>
          <w:tcPr>
            <w:tcW w:w="48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60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4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ind w:left="1360"/>
              <w:spacing w:after="0"/>
              <w:rPr>
                <w:sz w:val="20"/>
                <w:szCs w:val="20"/>
                <w:color w:val="auto"/>
              </w:rPr>
            </w:pPr>
            <w:r>
              <w:rPr>
                <w:rFonts w:ascii="Times New Roman" w:cs="Times New Roman" w:eastAsia="Times New Roman" w:hAnsi="Times New Roman"/>
                <w:sz w:val="17"/>
                <w:szCs w:val="17"/>
                <w:color w:val="auto"/>
              </w:rPr>
              <w:t>93</w:t>
            </w:r>
          </w:p>
        </w:tc>
      </w:tr>
      <w:tr>
        <w:trPr>
          <w:trHeight w:val="431"/>
        </w:trPr>
        <w:tc>
          <w:tcPr>
            <w:tcW w:w="480" w:type="dxa"/>
            <w:vAlign w:val="bottom"/>
          </w:tcPr>
          <w:p>
            <w:pPr>
              <w:spacing w:after="0"/>
              <w:rPr>
                <w:sz w:val="24"/>
                <w:szCs w:val="24"/>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4"/>
                <w:szCs w:val="24"/>
                <w:color w:val="auto"/>
              </w:rPr>
            </w:pPr>
          </w:p>
        </w:tc>
        <w:tc>
          <w:tcPr>
            <w:tcW w:w="160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60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48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60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7"/>
                <w:szCs w:val="17"/>
                <w:color w:val="auto"/>
              </w:rPr>
              <w:t>93</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-2143760</wp:posOffset>
            </wp:positionH>
            <wp:positionV relativeFrom="paragraph">
              <wp:posOffset>-1587500</wp:posOffset>
            </wp:positionV>
            <wp:extent cx="7138670" cy="1390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-1309370</wp:posOffset>
            </wp:positionV>
            <wp:extent cx="7138670" cy="139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-1030605</wp:posOffset>
            </wp:positionV>
            <wp:extent cx="7138670" cy="147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-744220</wp:posOffset>
            </wp:positionV>
            <wp:extent cx="7138670" cy="1390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-466090</wp:posOffset>
            </wp:positionV>
            <wp:extent cx="7138670" cy="1390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-179705</wp:posOffset>
            </wp:positionV>
            <wp:extent cx="7138670" cy="163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2660" w:space="720"/>
            <w:col w:w="7860"/>
          </w:cols>
          <w:pgMar w:left="320" w:top="123" w:right="339" w:bottom="1440" w:gutter="0" w:footer="0" w:header="0"/>
          <w:type w:val="continuous"/>
        </w:sectPr>
      </w:pPr>
    </w:p>
    <w:p>
      <w:pPr>
        <w:spacing w:after="0" w:line="271" w:lineRule="auto"/>
        <w:rPr>
          <w:sz w:val="20"/>
          <w:szCs w:val="20"/>
          <w:color w:val="auto"/>
        </w:rPr>
      </w:pPr>
      <w:r>
        <w:rPr>
          <w:rFonts w:ascii="Times New Roman" w:cs="Times New Roman" w:eastAsia="Times New Roman" w:hAnsi="Times New Roman"/>
          <w:sz w:val="18"/>
          <w:szCs w:val="18"/>
          <w:color w:val="auto"/>
        </w:rPr>
        <w:t xml:space="preserve">The change in the Company’s income tax provision/(benefit) during the years ended </w:t>
      </w:r>
      <w:r>
        <w:rPr>
          <w:rFonts w:ascii="Times New Roman" w:cs="Times New Roman" w:eastAsia="Times New Roman" w:hAnsi="Times New Roman"/>
          <w:sz w:val="17"/>
          <w:szCs w:val="17"/>
          <w:color w:val="auto"/>
        </w:rPr>
        <w:t>December 31, 2024 and 2023 were</w:t>
      </w:r>
      <w:r>
        <w:rPr>
          <w:rFonts w:ascii="Times New Roman" w:cs="Times New Roman" w:eastAsia="Times New Roman" w:hAnsi="Times New Roman"/>
          <w:sz w:val="18"/>
          <w:szCs w:val="18"/>
          <w:color w:val="auto"/>
        </w:rPr>
        <w:t xml:space="preserve"> due to the continuation of recording a full valuation allowance on our deferred tax assets and continued remeasurement of the related TRA liability.</w:t>
      </w:r>
    </w:p>
    <w:p>
      <w:pPr>
        <w:spacing w:after="0" w:line="6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The actual income tax expense differs from the expected amount computed by applying the federal statutory corporate tax rate of 21 percent as follows (in thousands):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6"/>
          </w:tcPr>
          <w:p>
            <w:pPr>
              <w:jc w:val="right"/>
              <w:ind w:right="119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0" w:type="dxa"/>
            <w:vAlign w:val="bottom"/>
          </w:tcPr>
          <w:p>
            <w:pPr>
              <w:spacing w:after="0"/>
              <w:rPr>
                <w:sz w:val="1"/>
                <w:szCs w:val="1"/>
                <w:color w:val="auto"/>
              </w:rPr>
            </w:pPr>
          </w:p>
        </w:tc>
      </w:tr>
      <w:tr>
        <w:trPr>
          <w:trHeight w:val="212"/>
        </w:trPr>
        <w:tc>
          <w:tcPr>
            <w:tcW w:w="66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statutory rate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2,607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(3,283)</w:t>
            </w: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blended statutory rate</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647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(828)</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taxed to owners of noncontrolling interests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(1,219)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1,558</w:t>
            </w: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tax impact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(246)</w:t>
            </w: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based compensation</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1,446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2,154</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permanent items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943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433</w:t>
            </w: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(1,298)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(502)</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Return to Provision</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(837)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1,128</w:t>
            </w: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 Holdback Share Release</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(605)</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(3,292)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(413)</w:t>
            </w: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receivable agreement revaluation</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State Tax Rate</w:t>
            </w:r>
          </w:p>
        </w:tc>
        <w:tc>
          <w:tcPr>
            <w:tcW w:w="3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491</w:t>
            </w:r>
          </w:p>
        </w:tc>
        <w:tc>
          <w:tcPr>
            <w:tcW w:w="0" w:type="dxa"/>
            <w:vAlign w:val="bottom"/>
          </w:tcPr>
          <w:p>
            <w:pPr>
              <w:spacing w:after="0"/>
              <w:rPr>
                <w:sz w:val="1"/>
                <w:szCs w:val="1"/>
                <w:color w:val="auto"/>
              </w:rPr>
            </w:pPr>
          </w:p>
        </w:tc>
      </w:tr>
      <w:tr>
        <w:trPr>
          <w:trHeight w:val="212"/>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3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significant components of the net deferred tax assets are as follows: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199"/>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in partnership</w:t>
            </w:r>
          </w:p>
        </w:tc>
        <w:tc>
          <w:tcPr>
            <w:tcW w:w="5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120,258</w:t>
            </w:r>
          </w:p>
        </w:tc>
        <w:tc>
          <w:tcPr>
            <w:tcW w:w="20" w:type="dxa"/>
            <w:vAlign w:val="bottom"/>
          </w:tcPr>
          <w:p>
            <w:pPr>
              <w:spacing w:after="0"/>
              <w:rPr>
                <w:sz w:val="19"/>
                <w:szCs w:val="19"/>
                <w:color w:val="auto"/>
              </w:rPr>
            </w:pPr>
          </w:p>
        </w:tc>
        <w:tc>
          <w:tcPr>
            <w:tcW w:w="30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129,297</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 receivable agreement</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37,021</w:t>
            </w:r>
          </w:p>
        </w:tc>
        <w:tc>
          <w:tcPr>
            <w:tcW w:w="0" w:type="dxa"/>
            <w:vAlign w:val="bottom"/>
          </w:tcPr>
          <w:p>
            <w:pPr>
              <w:spacing w:after="0"/>
              <w:rPr>
                <w:sz w:val="1"/>
                <w:szCs w:val="1"/>
                <w:color w:val="auto"/>
              </w:rPr>
            </w:pPr>
          </w:p>
        </w:tc>
      </w:tr>
      <w:tr>
        <w:trPr>
          <w:trHeight w:val="219"/>
        </w:trPr>
        <w:tc>
          <w:tcPr>
            <w:tcW w:w="6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operating loss carryovers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20,973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15,689</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 credit carryovers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4,140</w:t>
            </w:r>
          </w:p>
        </w:tc>
        <w:tc>
          <w:tcPr>
            <w:tcW w:w="0" w:type="dxa"/>
            <w:vAlign w:val="bottom"/>
          </w:tcPr>
          <w:p>
            <w:pPr>
              <w:spacing w:after="0"/>
              <w:rPr>
                <w:sz w:val="1"/>
                <w:szCs w:val="1"/>
                <w:color w:val="auto"/>
              </w:rPr>
            </w:pPr>
          </w:p>
        </w:tc>
      </w:tr>
      <w:tr>
        <w:trPr>
          <w:trHeight w:val="219"/>
        </w:trPr>
        <w:tc>
          <w:tcPr>
            <w:tcW w:w="6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0" w:type="dxa"/>
            <w:vAlign w:val="bottom"/>
          </w:tcPr>
          <w:p>
            <w:pPr>
              <w:spacing w:after="0"/>
              <w:rPr>
                <w:sz w:val="1"/>
                <w:szCs w:val="1"/>
                <w:color w:val="auto"/>
              </w:rPr>
            </w:pPr>
          </w:p>
        </w:tc>
      </w:tr>
      <w:tr>
        <w:trPr>
          <w:trHeight w:val="212"/>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deferred tax asset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186,682</w:t>
            </w:r>
          </w:p>
        </w:tc>
        <w:tc>
          <w:tcPr>
            <w:tcW w:w="0" w:type="dxa"/>
            <w:vAlign w:val="bottom"/>
          </w:tcPr>
          <w:p>
            <w:pPr>
              <w:spacing w:after="0"/>
              <w:rPr>
                <w:sz w:val="1"/>
                <w:szCs w:val="1"/>
                <w:color w:val="auto"/>
              </w:rPr>
            </w:pPr>
          </w:p>
        </w:tc>
      </w:tr>
      <w:tr>
        <w:trPr>
          <w:trHeight w:val="219"/>
        </w:trPr>
        <w:tc>
          <w:tcPr>
            <w:tcW w:w="6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(183,976)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(186,682)</w:t>
            </w: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asset</w:t>
            </w:r>
          </w:p>
        </w:tc>
        <w:tc>
          <w:tcPr>
            <w:tcW w:w="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valuation allowance decreased $2.7 million and $0.4 million for the years ended December 31, 2024 and 2023, respectively. Realization of deferred tax assets is dependent on future earning, if any, the timing of which are uncertain. Accordingly, the net deferred tax assets have been fully offset by a valuation allowance.</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December 31, 2024, the Company had federal and state net operating loss carry forwards of approximately $72.5 million and $88.9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$0.1 million.</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2024, the Company had federal and California research credit carryforwards of $4.9 million and $2.2 million, respectively, available to reduce future tax. Federal tax credits begin to expire in 2041 and California credits carry forward indefinitely.</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rolling three-year period. Utilization of federal net operating loss carryforwards is also limited to 80% of the Company’s taxable income in the year of deduction.</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deferred tax asset is primarily attributable to future tax amortization deductions of tax basis created from the Business Combination, subsequent redemptions and exchanges of WMH Units, and future TRA payments. These deferred tax assets generally amortize over 15 years beginning on the date the WMH Units are deemed to have been exchanged or redeemed, or TRA payments are made, as applicable. Tax amortization deductions in excess of taxable income from operations result in a net operating loss, which can be carried forward indefinitely for federal tax purposes.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assesses whether it is “more-likely-than-not” that it will realize its deferred tax assets (“DTAs”).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judgement.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Based on the weight of all available evidence, both positive and negative, the Company determined during the fourth quarter of 2022 that a full valuation allowance was required against its net DTAs. Management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2022 and lowered forecasts at that time. For the years ended December 31, 2024 and 2023, management conducted a similar analysis, and determined that a full valuation allowance was still required. Payment under the TRA liability was not probable, resulting from the full valuation allowance. As of December 31, 2024 and December 31, 2023, the TRA liability was $4.4 million and $1.8 million, respectively.</w:t>
      </w:r>
    </w:p>
    <w:p>
      <w:pPr>
        <w:spacing w:after="0" w:line="6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The Company follows the provisions of FASB ASC 740-10, </w:t>
      </w:r>
      <w:r>
        <w:rPr>
          <w:rFonts w:ascii="Times New Roman" w:cs="Times New Roman" w:eastAsia="Times New Roman" w:hAnsi="Times New Roman"/>
          <w:sz w:val="17"/>
          <w:szCs w:val="17"/>
          <w:i w:val="1"/>
          <w:iCs w:val="1"/>
          <w:color w:val="auto"/>
        </w:rPr>
        <w:t>Accounting for Uncertainty in Income Taxes</w:t>
      </w:r>
      <w:r>
        <w:rPr>
          <w:rFonts w:ascii="Times New Roman" w:cs="Times New Roman" w:eastAsia="Times New Roman" w:hAnsi="Times New Roman"/>
          <w:sz w:val="17"/>
          <w:szCs w:val="17"/>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reflects changes in the unrecognized tax benefits (in thousands):</w:t>
            </w: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348"/>
        </w:trPr>
        <w:tc>
          <w:tcPr>
            <w:tcW w:w="69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amount of unrecognized tax benefits as of the beginning of the period</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r>
      <w:tr>
        <w:trPr>
          <w:trHeight w:val="219"/>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Decreases related to prior year tax provisions</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Increases related to current year tax provisions</w:t>
            </w: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12"/>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amount of unrecognized tax benefits as of the end of the period</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2024, the Company has unrecognized tax benefits of approximately $1.3 million, which would affect its effective tax rate if recognized, and without consideration of valuation allowance.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and its subsidiaries file income tax returns with the U.S. federal government, various U.S. states and several foreign jurisdictions. The Company’s U.S. federal and state tax returns remain open to examination for 2020 through 2024. In addition, tax returns remain open to examination in non-U.S. subsidiaries, including Canada.</w:t>
      </w:r>
    </w:p>
    <w:p>
      <w:pPr>
        <w:spacing w:after="0" w:line="58" w:lineRule="exact"/>
        <w:rPr>
          <w:sz w:val="20"/>
          <w:szCs w:val="20"/>
          <w:color w:val="auto"/>
        </w:rPr>
      </w:pPr>
    </w:p>
    <w:p>
      <w:pPr>
        <w:ind w:left="440" w:hanging="437"/>
        <w:spacing w:after="0"/>
        <w:tabs>
          <w:tab w:leader="none" w:pos="44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second quarter of 2022, the Company entered into a sublease agreement with an affiliate of the Chief Executive Officer. The sublease commenced on June 1, 2022, and the term is for the remainder of the amended lease term which expired on October 31, 2024. The monthly base rent, after the rent abatement period for the first four months, is $69,000. As of December 31, 2024, there was no outstanding rent receivable. As of December 31, 2023, rent receivable was $0.7 million and was included in prepaid expenses and other current assets on the accompanying consolidated balance sheets. For the years ended December 31, 2024 and 2023, income on the sublease from the related party transactions were $0.6 million and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1" w:name="page112"/>
    <w:bookmarkEnd w:id="111"/>
    <w:p>
      <w:pPr>
        <w:spacing w:after="0" w:line="3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$0.7 million, respectively. The income on sublease is netted with rent expense and included in general and administrative expenses on the consolidated statements of operations.</w:t>
      </w:r>
    </w:p>
    <w:p>
      <w:pPr>
        <w:spacing w:after="0" w:line="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and maturing on December 31, 2025. In an event of default, the outstanding principal amount shall bear interest for the entire period during which the principal balance is unpaid at a rate which is equal to 10% per annum. As of December 31, 2024, the remaining balance of the promissory note receivable was $0.4 million and is included in prepaid expenses and other current assets on the consolidated balance sheets. As of December 31, 2023, the remaining balance of the promissory note receivable was $0.7 million of which $0.4 million was included in prepaid expenses and other current assets and $0.3 million was included in other assets on the accompanying consolidated balance sheets. For the years ended December 31, 2024 and 2023, interest income on the promissory note were less than $0.1 million, which is included in other income (expense), net on the consolidated statement of operations.</w:t>
      </w:r>
    </w:p>
    <w:p>
      <w:pPr>
        <w:spacing w:after="0" w:line="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years ended December 31, 2024 and 2023, the Company reimbursed $0.2 million and $0.4 million, respectively, in certain legal fee to Silver Spike Holdings, an affiliate to a member of the board of directors in connection with responding to the SEC investigation. See Part I. Item 3. “Legal Proceedings” for further discussion. The expense is included in general and administrative expenses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ectPr>
          <w:pgSz w:w="11900" w:h="16838" w:orient="portrait"/>
          <w:cols w:equalWidth="0" w:num="1">
            <w:col w:w="11240"/>
          </w:cols>
          <w:pgMar w:left="320" w:top="1440"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4"/>
          <w:szCs w:val="24"/>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 xml:space="preserve">Ghost Management Group, </w:t>
      </w:r>
      <w:r>
        <w:rPr>
          <w:rFonts w:ascii="Arial" w:cs="Arial" w:eastAsia="Arial" w:hAnsi="Arial"/>
          <w:sz w:val="20"/>
          <w:szCs w:val="20"/>
          <w:color w:val="auto"/>
        </w:rPr>
        <w:t>LLC</w:t>
      </w:r>
    </w:p>
    <w:p>
      <w:pPr>
        <w:spacing w:after="0" w:line="37" w:lineRule="exact"/>
        <w:rPr>
          <w:sz w:val="20"/>
          <w:szCs w:val="20"/>
          <w:color w:val="auto"/>
        </w:rPr>
      </w:pPr>
    </w:p>
    <w:p>
      <w:pPr>
        <w:ind w:left="5560" w:hanging="249"/>
        <w:spacing w:after="0"/>
        <w:tabs>
          <w:tab w:leader="none" w:pos="5560" w:val="left"/>
        </w:tabs>
        <w:numPr>
          <w:ilvl w:val="0"/>
          <w:numId w:val="65"/>
        </w:numPr>
        <w:rPr>
          <w:rFonts w:ascii="Arial" w:cs="Arial" w:eastAsia="Arial" w:hAnsi="Arial"/>
          <w:sz w:val="17"/>
          <w:szCs w:val="17"/>
          <w:color w:val="auto"/>
        </w:rPr>
      </w:pPr>
      <w:r>
        <w:rPr>
          <w:rFonts w:ascii="Arial" w:cs="Arial" w:eastAsia="Arial" w:hAnsi="Arial"/>
          <w:sz w:val="21"/>
          <w:szCs w:val="21"/>
          <w:color w:val="auto"/>
        </w:rPr>
        <w:t>Discovery</w:t>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 xml:space="preserve">Irvine, California </w:t>
      </w:r>
      <w:r>
        <w:rPr>
          <w:rFonts w:ascii="Arial" w:cs="Arial" w:eastAsia="Arial" w:hAnsi="Arial"/>
          <w:sz w:val="20"/>
          <w:szCs w:val="20"/>
          <w:color w:val="auto"/>
        </w:rPr>
        <w:t>92618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2, 2024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Sarah Griffis</w:t>
      </w:r>
    </w:p>
    <w:p>
      <w:pPr>
        <w:spacing w:after="0" w:line="2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Re: </w:t>
      </w:r>
      <w:r>
        <w:rPr>
          <w:rFonts w:ascii="Times New Roman" w:cs="Times New Roman" w:eastAsia="Times New Roman" w:hAnsi="Times New Roman"/>
          <w:sz w:val="21"/>
          <w:szCs w:val="21"/>
          <w:u w:val="single" w:color="auto"/>
          <w:color w:val="auto"/>
        </w:rPr>
        <w:t>Offer of Employment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Dear </w:t>
      </w:r>
      <w:r>
        <w:rPr>
          <w:rFonts w:ascii="Times New Roman" w:cs="Times New Roman" w:eastAsia="Times New Roman" w:hAnsi="Times New Roman"/>
          <w:sz w:val="20"/>
          <w:szCs w:val="20"/>
          <w:color w:val="auto"/>
        </w:rPr>
        <w:t>Sarah:</w:t>
      </w:r>
    </w:p>
    <w:p>
      <w:pPr>
        <w:spacing w:after="0" w:line="243" w:lineRule="exact"/>
        <w:rPr>
          <w:sz w:val="20"/>
          <w:szCs w:val="20"/>
          <w:color w:val="auto"/>
        </w:rPr>
      </w:pPr>
    </w:p>
    <w:p>
      <w:pPr>
        <w:ind w:right="120"/>
        <w:spacing w:after="0" w:line="322" w:lineRule="auto"/>
        <w:rPr>
          <w:sz w:val="20"/>
          <w:szCs w:val="20"/>
          <w:color w:val="auto"/>
        </w:rPr>
      </w:pPr>
      <w:r>
        <w:rPr>
          <w:rFonts w:ascii="Times New Roman" w:cs="Times New Roman" w:eastAsia="Times New Roman" w:hAnsi="Times New Roman"/>
          <w:sz w:val="19"/>
          <w:szCs w:val="19"/>
          <w:color w:val="auto"/>
        </w:rPr>
        <w:t>This letter is to memorialize the offer of employment (the “</w:t>
      </w:r>
      <w:r>
        <w:rPr>
          <w:rFonts w:ascii="Times New Roman" w:cs="Times New Roman" w:eastAsia="Times New Roman" w:hAnsi="Times New Roman"/>
          <w:sz w:val="20"/>
          <w:szCs w:val="20"/>
          <w:b w:val="1"/>
          <w:bCs w:val="1"/>
          <w:u w:val="single" w:color="auto"/>
          <w:color w:val="auto"/>
        </w:rPr>
        <w:t>Offer</w:t>
      </w:r>
      <w:r>
        <w:rPr>
          <w:rFonts w:ascii="Times New Roman" w:cs="Times New Roman" w:eastAsia="Times New Roman" w:hAnsi="Times New Roman"/>
          <w:sz w:val="19"/>
          <w:szCs w:val="19"/>
          <w:color w:val="auto"/>
        </w:rPr>
        <w:t>”) made to you by Ghost Management Group, LLC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19"/>
          <w:szCs w:val="19"/>
          <w:color w:val="auto"/>
        </w:rPr>
        <w:t>”) and to set forth the specific terms and conditions of your employment with the Company.</w:t>
      </w:r>
    </w:p>
    <w:p>
      <w:pPr>
        <w:spacing w:after="0" w:line="150" w:lineRule="exact"/>
        <w:rPr>
          <w:sz w:val="20"/>
          <w:szCs w:val="20"/>
          <w:color w:val="auto"/>
        </w:rPr>
      </w:pPr>
    </w:p>
    <w:p>
      <w:pPr>
        <w:ind w:left="620" w:hanging="307"/>
        <w:spacing w:after="0" w:line="263" w:lineRule="auto"/>
        <w:tabs>
          <w:tab w:leader="none" w:pos="61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Position</w:t>
      </w:r>
      <w:r>
        <w:rPr>
          <w:rFonts w:ascii="Times New Roman" w:cs="Times New Roman" w:eastAsia="Times New Roman" w:hAnsi="Times New Roman"/>
          <w:sz w:val="18"/>
          <w:szCs w:val="18"/>
          <w:color w:val="auto"/>
        </w:rPr>
        <w:t>. The Company offers you the full-time, exempt position of Chief Technology Officer. In this position, you will report to Douglas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Francis, unless notified otherwise. You will work at the Company’s Austin, Texas office.</w:t>
      </w:r>
    </w:p>
    <w:p>
      <w:pPr>
        <w:spacing w:after="0" w:line="205" w:lineRule="exact"/>
        <w:rPr>
          <w:rFonts w:ascii="Times New Roman" w:cs="Times New Roman" w:eastAsia="Times New Roman" w:hAnsi="Times New Roman"/>
          <w:sz w:val="19"/>
          <w:szCs w:val="19"/>
          <w:color w:val="auto"/>
        </w:rPr>
      </w:pPr>
    </w:p>
    <w:p>
      <w:pPr>
        <w:ind w:left="620" w:right="60" w:hanging="307"/>
        <w:spacing w:after="0" w:line="285" w:lineRule="auto"/>
        <w:tabs>
          <w:tab w:leader="none" w:pos="61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At-Will Employment</w:t>
      </w:r>
      <w:r>
        <w:rPr>
          <w:rFonts w:ascii="Times New Roman" w:cs="Times New Roman" w:eastAsia="Times New Roman" w:hAnsi="Times New Roman"/>
          <w:sz w:val="18"/>
          <w:szCs w:val="18"/>
          <w:color w:val="auto"/>
        </w:rPr>
        <w:t>. Subject to the terms and conditions of this Offer, the Company agrees to employ you and you agree to be employed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by the Company commencing no later than January 6, 2025. If you have not commenced employment with the Company by this date, this Offer shall be null and void and of no further effect. You shall be employed on an at-will basis, meaning that either the Company or you may, at any time, with or without cause and with or without advance notice, terminate the employment relationship. You and the Company agree that it is the express intent of each of us that your employment shall be at will. Nothing in this Offer or the relationship between you and the Company now or in the future may be construed or interpreted to create an employment relationship for a specific length of time or any right to continued employment, or any limit on the discretion of the Company to modify terms and conditions of employment. No employee or representative of the Company has the authority to modify this at- will policy except for the Chief Executive Officer of the Company (“</w:t>
      </w:r>
      <w:r>
        <w:rPr>
          <w:rFonts w:ascii="Times New Roman" w:cs="Times New Roman" w:eastAsia="Times New Roman" w:hAnsi="Times New Roman"/>
          <w:sz w:val="20"/>
          <w:szCs w:val="20"/>
          <w:b w:val="1"/>
          <w:bCs w:val="1"/>
          <w:u w:val="single" w:color="auto"/>
          <w:color w:val="auto"/>
        </w:rPr>
        <w:t>CEO</w:t>
      </w:r>
      <w:r>
        <w:rPr>
          <w:rFonts w:ascii="Times New Roman" w:cs="Times New Roman" w:eastAsia="Times New Roman" w:hAnsi="Times New Roman"/>
          <w:sz w:val="18"/>
          <w:szCs w:val="18"/>
          <w:color w:val="auto"/>
        </w:rPr>
        <w:t>”), and any such modification to this at-will employment policy must be in a written agreement signed by both you and the CEO. This constitutes an integrated agreement with respect to the at-will nature of the employment relationship, and there may be no implied or oral agreements that in any way modify this at-will employment policy.</w:t>
      </w:r>
    </w:p>
    <w:p>
      <w:pPr>
        <w:spacing w:after="0" w:line="180" w:lineRule="exact"/>
        <w:rPr>
          <w:rFonts w:ascii="Times New Roman" w:cs="Times New Roman" w:eastAsia="Times New Roman" w:hAnsi="Times New Roman"/>
          <w:sz w:val="19"/>
          <w:szCs w:val="19"/>
          <w:color w:val="auto"/>
        </w:rPr>
      </w:pPr>
    </w:p>
    <w:p>
      <w:pPr>
        <w:ind w:left="620" w:right="20" w:hanging="307"/>
        <w:spacing w:after="0" w:line="295" w:lineRule="auto"/>
        <w:tabs>
          <w:tab w:leader="none" w:pos="61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Duties</w:t>
      </w:r>
      <w:r>
        <w:rPr>
          <w:rFonts w:ascii="Times New Roman" w:cs="Times New Roman" w:eastAsia="Times New Roman" w:hAnsi="Times New Roman"/>
          <w:sz w:val="18"/>
          <w:szCs w:val="18"/>
          <w:color w:val="auto"/>
        </w:rPr>
        <w:t>. In your role, you shall be responsible for all duties commensurate with those generally expected of your title as well as any set forth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in your job description. You shall also have such other responsibilities as may be assigned to you from time to time by your manager or other senior officer of the Company. While you remain employed in such role, you agree to devote your full business efforts and time to the Company and will use good faith efforts to discharge your obligations under this letter to the best of your ability. You represent and warrant to the Company that you are not party to any contract, understanding, agreement or policy, written or otherwise, that would be breached by your entering into, or performing services under, this letter.</w:t>
      </w:r>
    </w:p>
    <w:p>
      <w:pPr>
        <w:sectPr>
          <w:pgSz w:w="11900" w:h="16838" w:orient="portrait"/>
          <w:cols w:equalWidth="0" w:num="1">
            <w:col w:w="11240"/>
          </w:cols>
          <w:pgMar w:left="320" w:top="58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4"/>
          <w:szCs w:val="24"/>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7" w:hanging="307"/>
        <w:spacing w:after="0"/>
        <w:tabs>
          <w:tab w:leader="none" w:pos="307"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Compensation and Benefits</w:t>
      </w:r>
      <w:r>
        <w:rPr>
          <w:rFonts w:ascii="Times New Roman" w:cs="Times New Roman" w:eastAsia="Times New Roman" w:hAnsi="Times New Roman"/>
          <w:sz w:val="21"/>
          <w:szCs w:val="21"/>
          <w:color w:val="auto"/>
        </w:rPr>
        <w:t>.</w:t>
      </w:r>
    </w:p>
    <w:p>
      <w:pPr>
        <w:spacing w:after="0" w:line="231" w:lineRule="exact"/>
        <w:rPr>
          <w:rFonts w:ascii="Times New Roman" w:cs="Times New Roman" w:eastAsia="Times New Roman" w:hAnsi="Times New Roman"/>
          <w:sz w:val="19"/>
          <w:szCs w:val="19"/>
          <w:color w:val="auto"/>
        </w:rPr>
      </w:pPr>
    </w:p>
    <w:p>
      <w:pPr>
        <w:ind w:left="927" w:right="20" w:hanging="309"/>
        <w:spacing w:after="0" w:line="274" w:lineRule="auto"/>
        <w:tabs>
          <w:tab w:leader="none" w:pos="916"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Salary</w:t>
      </w:r>
      <w:r>
        <w:rPr>
          <w:rFonts w:ascii="Times New Roman" w:cs="Times New Roman" w:eastAsia="Times New Roman" w:hAnsi="Times New Roman"/>
          <w:sz w:val="18"/>
          <w:szCs w:val="18"/>
          <w:color w:val="auto"/>
        </w:rPr>
        <w:t>. You will receive a base salary at the rate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Four Hundred Thousand Dollars ($400,000)</w:t>
      </w:r>
      <w:r>
        <w:rPr>
          <w:rFonts w:ascii="Times New Roman" w:cs="Times New Roman" w:eastAsia="Times New Roman" w:hAnsi="Times New Roman"/>
          <w:sz w:val="18"/>
          <w:szCs w:val="18"/>
          <w:color w:val="auto"/>
        </w:rPr>
        <w:t>, annualized, payable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 xml:space="preserve">accordance with the Company’s normal payroll practices. In addition, you may be eligible to earn an annual bonus for each calendar year of employment with a bonus target of </w:t>
      </w:r>
      <w:r>
        <w:rPr>
          <w:rFonts w:ascii="Times New Roman" w:cs="Times New Roman" w:eastAsia="Times New Roman" w:hAnsi="Times New Roman"/>
          <w:sz w:val="20"/>
          <w:szCs w:val="20"/>
          <w:b w:val="1"/>
          <w:bCs w:val="1"/>
          <w:color w:val="auto"/>
        </w:rPr>
        <w:t>fifty percent (50%)</w:t>
      </w:r>
      <w:r>
        <w:rPr>
          <w:rFonts w:ascii="Times New Roman" w:cs="Times New Roman" w:eastAsia="Times New Roman" w:hAnsi="Times New Roman"/>
          <w:sz w:val="18"/>
          <w:szCs w:val="18"/>
          <w:color w:val="auto"/>
        </w:rPr>
        <w:t xml:space="preserve"> of your annual base salary (which shall consist of base wages or salary and overtime pay and any utilized vacation and sick time, excluding any accrued but not used vacation time or sick time, relocation allowances, bonuses, awards, equity grants or any other form of compensation), paid pursuant to the Company’s Annual Incentive Plan, with the attainment of such bonus being based upon the achievement of quantifiable goals that will be established by senior management. The bonus (i) may be modified or terminated by the Company in its sole discretion at any time, and (ii) shall be deemed earned as provided in the Company’s Annual Incentive Plan. In the event of a conflict between this offer of employment and the Annual Incentive Plan, the Annual Incentive Plan shall control. Any bonus payable hereunder shall be paid within the “short-term deferral” period provided under Treasury Regulation Section 1.409A-(b)(4).</w:t>
      </w:r>
    </w:p>
    <w:p>
      <w:pPr>
        <w:spacing w:after="0" w:line="2" w:lineRule="exact"/>
        <w:rPr>
          <w:rFonts w:ascii="Times New Roman" w:cs="Times New Roman" w:eastAsia="Times New Roman" w:hAnsi="Times New Roman"/>
          <w:sz w:val="19"/>
          <w:szCs w:val="19"/>
          <w:color w:val="auto"/>
        </w:rPr>
      </w:pPr>
    </w:p>
    <w:p>
      <w:pPr>
        <w:ind w:left="927" w:right="60" w:hanging="309"/>
        <w:spacing w:after="0" w:line="264" w:lineRule="auto"/>
        <w:tabs>
          <w:tab w:leader="none" w:pos="927"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Signing Bonus.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We will also provide you with a signing bonus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Twenty-Five Thousand Dollars ($25,000)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21"/>
          <w:szCs w:val="21"/>
          <w:b w:val="1"/>
          <w:bCs w:val="1"/>
          <w:u w:val="single" w:color="auto"/>
          <w:color w:val="auto"/>
        </w:rPr>
        <w:t>Signing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Bonus</w:t>
      </w:r>
      <w:r>
        <w:rPr>
          <w:rFonts w:ascii="Times New Roman" w:cs="Times New Roman" w:eastAsia="Times New Roman" w:hAnsi="Times New Roman"/>
          <w:sz w:val="18"/>
          <w:szCs w:val="18"/>
          <w:color w:val="auto"/>
        </w:rPr>
        <w:t>”). The Signing Bonus will be paid in one lump sum in a separate check within thirty (30) days after your start date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8"/>
          <w:szCs w:val="18"/>
          <w:color w:val="auto"/>
        </w:rPr>
        <w:t>Company. The Signing Bonus is taxable, and all regular and required payroll taxes/withholdings will be withheld. In the event that you are terminated by the Company for Cause (as defined below) within twelve (12) months of your employment start date, you will be responsible for reimbursing the Company for the entire Signing Bonus. Alternatively, if you resign from the Company within twelve (12) months of your employment start date, you will be responsible for reimbursing the Company a prorated portion of the Signing Bonus based on the ratio of (x) twelve (12) minus the number of full months of your employment with the Company to (y) twelve (12) months.</w:t>
      </w:r>
    </w:p>
    <w:p>
      <w:pPr>
        <w:spacing w:after="0" w:line="200" w:lineRule="exact"/>
        <w:rPr>
          <w:rFonts w:ascii="Times New Roman" w:cs="Times New Roman" w:eastAsia="Times New Roman" w:hAnsi="Times New Roman"/>
          <w:sz w:val="19"/>
          <w:szCs w:val="19"/>
          <w:color w:val="auto"/>
        </w:rPr>
      </w:pPr>
    </w:p>
    <w:p>
      <w:pPr>
        <w:spacing w:after="0" w:line="254" w:lineRule="exact"/>
        <w:rPr>
          <w:rFonts w:ascii="Times New Roman" w:cs="Times New Roman" w:eastAsia="Times New Roman" w:hAnsi="Times New Roman"/>
          <w:sz w:val="19"/>
          <w:szCs w:val="19"/>
          <w:color w:val="auto"/>
        </w:rPr>
      </w:pPr>
    </w:p>
    <w:p>
      <w:pPr>
        <w:ind w:left="927" w:right="80" w:hanging="309"/>
        <w:spacing w:after="0" w:line="269" w:lineRule="auto"/>
        <w:tabs>
          <w:tab w:leader="none" w:pos="916"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Following commencement of your employment with the Company, the Company will recommend to the Compensation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Committee of the Board of Directors (the “</w:t>
      </w:r>
      <w:r>
        <w:rPr>
          <w:rFonts w:ascii="Times New Roman" w:cs="Times New Roman" w:eastAsia="Times New Roman" w:hAnsi="Times New Roman"/>
          <w:sz w:val="20"/>
          <w:szCs w:val="20"/>
          <w:b w:val="1"/>
          <w:bCs w:val="1"/>
          <w:u w:val="single" w:color="auto"/>
          <w:color w:val="auto"/>
        </w:rPr>
        <w:t>Compensation Committee</w:t>
      </w:r>
      <w:r>
        <w:rPr>
          <w:rFonts w:ascii="Times New Roman" w:cs="Times New Roman" w:eastAsia="Times New Roman" w:hAnsi="Times New Roman"/>
          <w:sz w:val="18"/>
          <w:szCs w:val="18"/>
          <w:color w:val="auto"/>
        </w:rPr>
        <w:t>”) of WM Technology, Inc. (“</w:t>
      </w:r>
      <w:r>
        <w:rPr>
          <w:rFonts w:ascii="Times New Roman" w:cs="Times New Roman" w:eastAsia="Times New Roman" w:hAnsi="Times New Roman"/>
          <w:sz w:val="20"/>
          <w:szCs w:val="20"/>
          <w:b w:val="1"/>
          <w:bCs w:val="1"/>
          <w:u w:val="single" w:color="auto"/>
          <w:color w:val="auto"/>
        </w:rPr>
        <w:t>WM Technology</w:t>
      </w:r>
      <w:r>
        <w:rPr>
          <w:rFonts w:ascii="Times New Roman" w:cs="Times New Roman" w:eastAsia="Times New Roman" w:hAnsi="Times New Roman"/>
          <w:sz w:val="18"/>
          <w:szCs w:val="18"/>
          <w:color w:val="auto"/>
        </w:rPr>
        <w:t>”) that you be granted an award of restricted stock units (“</w:t>
      </w:r>
      <w:r>
        <w:rPr>
          <w:rFonts w:ascii="Times New Roman" w:cs="Times New Roman" w:eastAsia="Times New Roman" w:hAnsi="Times New Roman"/>
          <w:sz w:val="20"/>
          <w:szCs w:val="20"/>
          <w:b w:val="1"/>
          <w:bCs w:val="1"/>
          <w:u w:val="single" w:color="auto"/>
          <w:color w:val="auto"/>
        </w:rPr>
        <w:t>RSUs</w:t>
      </w:r>
      <w:r>
        <w:rPr>
          <w:rFonts w:ascii="Times New Roman" w:cs="Times New Roman" w:eastAsia="Times New Roman" w:hAnsi="Times New Roman"/>
          <w:sz w:val="18"/>
          <w:szCs w:val="18"/>
          <w:color w:val="auto"/>
        </w:rPr>
        <w:t>”) under WM Technology’s 2021 Equity Incentive Plan (the “</w:t>
      </w:r>
      <w:r>
        <w:rPr>
          <w:rFonts w:ascii="Times New Roman" w:cs="Times New Roman" w:eastAsia="Times New Roman" w:hAnsi="Times New Roman"/>
          <w:sz w:val="20"/>
          <w:szCs w:val="20"/>
          <w:b w:val="1"/>
          <w:bCs w:val="1"/>
          <w:u w:val="single" w:color="auto"/>
          <w:color w:val="auto"/>
        </w:rPr>
        <w:t>EIP</w:t>
      </w:r>
      <w:r>
        <w:rPr>
          <w:rFonts w:ascii="Times New Roman" w:cs="Times New Roman" w:eastAsia="Times New Roman" w:hAnsi="Times New Roman"/>
          <w:sz w:val="18"/>
          <w:szCs w:val="18"/>
          <w:color w:val="auto"/>
        </w:rPr>
        <w:t xml:space="preserve">”) with a grant of </w:t>
      </w:r>
      <w:r>
        <w:rPr>
          <w:rFonts w:ascii="Times New Roman" w:cs="Times New Roman" w:eastAsia="Times New Roman" w:hAnsi="Times New Roman"/>
          <w:sz w:val="20"/>
          <w:szCs w:val="20"/>
          <w:b w:val="1"/>
          <w:bCs w:val="1"/>
          <w:color w:val="auto"/>
        </w:rPr>
        <w:t>one million eight hundred thousand (1,800,000) units</w:t>
      </w:r>
      <w:r>
        <w:rPr>
          <w:rFonts w:ascii="Times New Roman" w:cs="Times New Roman" w:eastAsia="Times New Roman" w:hAnsi="Times New Roman"/>
          <w:sz w:val="18"/>
          <w:szCs w:val="18"/>
          <w:color w:val="auto"/>
        </w:rPr>
        <w:t>. Please note that your RSU award is subject to approval by the Compensation Committee and, if approved by the Compensation Committee, will be governed by the terms and conditions of the EIP and your RSU award agreement.</w:t>
      </w:r>
    </w:p>
    <w:p>
      <w:pPr>
        <w:spacing w:after="0" w:line="193" w:lineRule="exact"/>
        <w:rPr>
          <w:rFonts w:ascii="Times New Roman" w:cs="Times New Roman" w:eastAsia="Times New Roman" w:hAnsi="Times New Roman"/>
          <w:sz w:val="21"/>
          <w:szCs w:val="21"/>
          <w:color w:val="auto"/>
        </w:rPr>
      </w:pPr>
    </w:p>
    <w:p>
      <w:pPr>
        <w:ind w:left="927" w:right="20" w:hanging="309"/>
        <w:spacing w:after="0" w:line="292" w:lineRule="auto"/>
        <w:tabs>
          <w:tab w:leader="none" w:pos="927"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Withholdings and Deductions</w:t>
      </w:r>
      <w:r>
        <w:rPr>
          <w:rFonts w:ascii="Times New Roman" w:cs="Times New Roman" w:eastAsia="Times New Roman" w:hAnsi="Times New Roman"/>
          <w:sz w:val="18"/>
          <w:szCs w:val="18"/>
          <w:color w:val="auto"/>
        </w:rPr>
        <w:t>. All payments made under this Offer by the Company shall be subject to all required federal, state,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and local withholdings and such other deductions as you may properly instruct the Company to take.</w:t>
      </w:r>
    </w:p>
    <w:p>
      <w:pPr>
        <w:spacing w:after="0" w:line="176" w:lineRule="exact"/>
        <w:rPr>
          <w:rFonts w:ascii="Times New Roman" w:cs="Times New Roman" w:eastAsia="Times New Roman" w:hAnsi="Times New Roman"/>
          <w:sz w:val="21"/>
          <w:szCs w:val="21"/>
          <w:color w:val="auto"/>
        </w:rPr>
      </w:pPr>
    </w:p>
    <w:p>
      <w:pPr>
        <w:ind w:left="927" w:right="20" w:hanging="309"/>
        <w:spacing w:after="0" w:line="296" w:lineRule="auto"/>
        <w:tabs>
          <w:tab w:leader="none" w:pos="916"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18"/>
          <w:szCs w:val="18"/>
          <w:color w:val="auto"/>
        </w:rPr>
        <w:t>. You will be entitled to employee benefits on the same basis as those benefits are made available to other similarly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situated Company employees. Your rights under any benefit policies or plans adopted by the Company shall be governed solely by the terms of such policies or plans. The Company reserves to itself or its designated administrator the exclusive authority and discretion to determine all issues of eligibility, interpretation and administration of each such benefit plan or policy. The Company or its designated administrator reserves the right to modify or terminate each benefit plan or program with or without prior notice to employees. Details</w:t>
      </w:r>
    </w:p>
    <w:p>
      <w:pPr>
        <w:sectPr>
          <w:pgSz w:w="11900" w:h="16838" w:orient="portrait"/>
          <w:cols w:equalWidth="0" w:num="1">
            <w:col w:w="10927"/>
          </w:cols>
          <w:pgMar w:left="633" w:top="58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4"/>
          <w:szCs w:val="24"/>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19"/>
          <w:szCs w:val="19"/>
          <w:color w:val="auto"/>
        </w:rPr>
        <w:t>about current benefit plans and programs are available in the office of the Company’s benefits administrator.</w:t>
      </w:r>
    </w:p>
    <w:p>
      <w:pPr>
        <w:spacing w:after="0" w:line="241" w:lineRule="exact"/>
        <w:rPr>
          <w:sz w:val="20"/>
          <w:szCs w:val="20"/>
          <w:color w:val="auto"/>
        </w:rPr>
      </w:pPr>
    </w:p>
    <w:p>
      <w:pPr>
        <w:ind w:left="927" w:right="240" w:hanging="309"/>
        <w:spacing w:after="0" w:line="270" w:lineRule="auto"/>
        <w:tabs>
          <w:tab w:leader="none" w:pos="919"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18"/>
          <w:szCs w:val="18"/>
          <w:color w:val="auto"/>
        </w:rPr>
        <w:t>. You will receive paid vacation according to the Company’s Vacation policy set forth in the Company’s Employee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Handbook as may be amended from time to time (the “</w:t>
      </w:r>
      <w:r>
        <w:rPr>
          <w:rFonts w:ascii="Times New Roman" w:cs="Times New Roman" w:eastAsia="Times New Roman" w:hAnsi="Times New Roman"/>
          <w:sz w:val="20"/>
          <w:szCs w:val="20"/>
          <w:b w:val="1"/>
          <w:bCs w:val="1"/>
          <w:u w:val="single" w:color="auto"/>
          <w:color w:val="auto"/>
        </w:rPr>
        <w:t>Employee Handbook</w:t>
      </w:r>
      <w:r>
        <w:rPr>
          <w:rFonts w:ascii="Times New Roman" w:cs="Times New Roman" w:eastAsia="Times New Roman" w:hAnsi="Times New Roman"/>
          <w:sz w:val="18"/>
          <w:szCs w:val="18"/>
          <w:color w:val="auto"/>
        </w:rPr>
        <w:t>”). You will be eligible to accrue paid vacation at the rate set forth in the Employee Handbook. Payment of any accrued but unused vacation will be made upon termination of employment.</w:t>
      </w:r>
    </w:p>
    <w:p>
      <w:pPr>
        <w:spacing w:after="0" w:line="200" w:lineRule="exact"/>
        <w:rPr>
          <w:rFonts w:ascii="Times New Roman" w:cs="Times New Roman" w:eastAsia="Times New Roman" w:hAnsi="Times New Roman"/>
          <w:sz w:val="21"/>
          <w:szCs w:val="21"/>
          <w:color w:val="auto"/>
        </w:rPr>
      </w:pPr>
    </w:p>
    <w:p>
      <w:pPr>
        <w:spacing w:after="0" w:line="248" w:lineRule="exact"/>
        <w:rPr>
          <w:rFonts w:ascii="Times New Roman" w:cs="Times New Roman" w:eastAsia="Times New Roman" w:hAnsi="Times New Roman"/>
          <w:sz w:val="21"/>
          <w:szCs w:val="21"/>
          <w:color w:val="auto"/>
        </w:rPr>
      </w:pPr>
    </w:p>
    <w:p>
      <w:pPr>
        <w:ind w:left="927" w:right="40" w:hanging="309"/>
        <w:spacing w:after="0" w:line="238" w:lineRule="auto"/>
        <w:tabs>
          <w:tab w:leader="none" w:pos="927"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Paid Sick Leave</w:t>
      </w:r>
      <w:r>
        <w:rPr>
          <w:rFonts w:ascii="Times New Roman" w:cs="Times New Roman" w:eastAsia="Times New Roman" w:hAnsi="Times New Roman"/>
          <w:sz w:val="18"/>
          <w:szCs w:val="18"/>
          <w:color w:val="auto"/>
        </w:rPr>
        <w:t>. You will be eligible for paid sick leave according to the Company’s Sick Leave policy set forth in the Employee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Handbook.</w:t>
      </w:r>
    </w:p>
    <w:p>
      <w:pPr>
        <w:spacing w:after="0" w:line="230" w:lineRule="exact"/>
        <w:rPr>
          <w:rFonts w:ascii="Times New Roman" w:cs="Times New Roman" w:eastAsia="Times New Roman" w:hAnsi="Times New Roman"/>
          <w:sz w:val="19"/>
          <w:szCs w:val="19"/>
          <w:color w:val="auto"/>
        </w:rPr>
      </w:pPr>
    </w:p>
    <w:p>
      <w:pPr>
        <w:ind w:left="927" w:right="400" w:hanging="309"/>
        <w:spacing w:after="0" w:line="238" w:lineRule="auto"/>
        <w:tabs>
          <w:tab w:leader="none" w:pos="927"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Exclusive Compensation</w:t>
      </w:r>
      <w:r>
        <w:rPr>
          <w:rFonts w:ascii="Times New Roman" w:cs="Times New Roman" w:eastAsia="Times New Roman" w:hAnsi="Times New Roman"/>
          <w:sz w:val="18"/>
          <w:szCs w:val="18"/>
          <w:color w:val="auto"/>
        </w:rPr>
        <w:t>. You agree that your compensation under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Compensation and Benefits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section constitutes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complete, full and exclusive consideration and compensation for all services rendered by you under this Offer.</w:t>
      </w:r>
    </w:p>
    <w:p>
      <w:pPr>
        <w:spacing w:after="0" w:line="230" w:lineRule="exact"/>
        <w:rPr>
          <w:rFonts w:ascii="Times New Roman" w:cs="Times New Roman" w:eastAsia="Times New Roman" w:hAnsi="Times New Roman"/>
          <w:sz w:val="19"/>
          <w:szCs w:val="19"/>
          <w:color w:val="auto"/>
        </w:rPr>
      </w:pPr>
    </w:p>
    <w:p>
      <w:pPr>
        <w:ind w:left="927" w:right="60" w:hanging="309"/>
        <w:spacing w:after="0" w:line="274" w:lineRule="auto"/>
        <w:tabs>
          <w:tab w:leader="none" w:pos="924"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Definition of Cause</w:t>
      </w:r>
      <w:r>
        <w:rPr>
          <w:rFonts w:ascii="Times New Roman" w:cs="Times New Roman" w:eastAsia="Times New Roman" w:hAnsi="Times New Roman"/>
          <w:sz w:val="18"/>
          <w:szCs w:val="18"/>
          <w:color w:val="auto"/>
        </w:rPr>
        <w:t>. Any of the following actions by you constitute Cause for termination of employment by the Company: (i) 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 xml:space="preserve">act of fraud, embezzlement, dishonesty, material misappropriation or theft against the Company or any of its affiliates, or a customer or co-worker; (ii) willful misconduct that has, or could reasonably be expected to have, an adverse effect upon the business, interests, or reputation of the Company or any of its affiliates; (iii) conviction of, or plea of nolo contendere with respect to, a felony or other crime involving moral turpitude; (iv) breach of any of the terms of this Offer, the Confidential Information, Non-Solicitation and Inventions Assignment Agreement, the Mutual Agreement to Arbitrate All Disputes, or any written policy of the Company or any of its affiliates, including any policy in the Employee Handbook, applicable to you; or (v) willful failure to perform, or gross negligence in the performance of, your duties and responsibilities to the Company and its </w:t>
      </w:r>
      <w:r>
        <w:rPr>
          <w:rFonts w:ascii="Times New Roman" w:cs="Times New Roman" w:eastAsia="Times New Roman" w:hAnsi="Times New Roman"/>
          <w:sz w:val="20"/>
          <w:szCs w:val="20"/>
          <w:color w:val="auto"/>
        </w:rPr>
        <w:t>affiliates.</w:t>
      </w:r>
    </w:p>
    <w:p>
      <w:pPr>
        <w:spacing w:after="0" w:line="196" w:lineRule="exact"/>
        <w:rPr>
          <w:rFonts w:ascii="Times New Roman" w:cs="Times New Roman" w:eastAsia="Times New Roman" w:hAnsi="Times New Roman"/>
          <w:sz w:val="19"/>
          <w:szCs w:val="19"/>
          <w:color w:val="auto"/>
        </w:rPr>
      </w:pPr>
    </w:p>
    <w:p>
      <w:pPr>
        <w:ind w:left="927" w:right="100" w:hanging="309"/>
        <w:spacing w:after="0" w:line="277" w:lineRule="auto"/>
        <w:tabs>
          <w:tab w:leader="none" w:pos="92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Provisions</w:t>
      </w:r>
      <w:r>
        <w:rPr>
          <w:rFonts w:ascii="Times New Roman" w:cs="Times New Roman" w:eastAsia="Times New Roman" w:hAnsi="Times New Roman"/>
          <w:sz w:val="18"/>
          <w:szCs w:val="18"/>
          <w:color w:val="auto"/>
        </w:rPr>
        <w:t>. Notwithstanding any other provisions in this letter to the contrary, any incentive-based compensation,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any other compensation, paid to you pursuant to this letter or any other agreement or arrangement with the Company or any of its affiliates,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or any of its affiliates pursuant to any such law, government regulation or stock exchange listing requirement).</w:t>
      </w:r>
    </w:p>
    <w:p>
      <w:pPr>
        <w:ind w:left="307" w:hanging="307"/>
        <w:spacing w:after="0"/>
        <w:tabs>
          <w:tab w:leader="none" w:pos="307"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Conditions of Employment</w:t>
      </w:r>
      <w:r>
        <w:rPr>
          <w:rFonts w:ascii="Times New Roman" w:cs="Times New Roman" w:eastAsia="Times New Roman" w:hAnsi="Times New Roman"/>
          <w:sz w:val="21"/>
          <w:szCs w:val="21"/>
          <w:color w:val="auto"/>
        </w:rPr>
        <w:t>.</w:t>
      </w:r>
    </w:p>
    <w:p>
      <w:pPr>
        <w:spacing w:after="0" w:line="231" w:lineRule="exact"/>
        <w:rPr>
          <w:rFonts w:ascii="Times New Roman" w:cs="Times New Roman" w:eastAsia="Times New Roman" w:hAnsi="Times New Roman"/>
          <w:sz w:val="19"/>
          <w:szCs w:val="19"/>
          <w:color w:val="auto"/>
        </w:rPr>
      </w:pPr>
    </w:p>
    <w:p>
      <w:pPr>
        <w:ind w:left="927" w:right="180" w:hanging="309"/>
        <w:spacing w:after="0" w:line="284" w:lineRule="auto"/>
        <w:tabs>
          <w:tab w:leader="none" w:pos="916"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Policies and Procedures</w:t>
      </w:r>
      <w:r>
        <w:rPr>
          <w:rFonts w:ascii="Times New Roman" w:cs="Times New Roman" w:eastAsia="Times New Roman" w:hAnsi="Times New Roman"/>
          <w:sz w:val="18"/>
          <w:szCs w:val="18"/>
          <w:color w:val="auto"/>
        </w:rPr>
        <w:t>. You agree to adhere to Company policies and procedures, including all policies contained in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Employee Handbook, which you will receive when you begin employment. From time to time, Company policies and procedures may be amended by the Company and will be called to your attention.</w:t>
      </w:r>
    </w:p>
    <w:p>
      <w:pPr>
        <w:spacing w:after="0" w:line="191" w:lineRule="exact"/>
        <w:rPr>
          <w:rFonts w:ascii="Times New Roman" w:cs="Times New Roman" w:eastAsia="Times New Roman" w:hAnsi="Times New Roman"/>
          <w:sz w:val="19"/>
          <w:szCs w:val="19"/>
          <w:color w:val="auto"/>
        </w:rPr>
      </w:pPr>
    </w:p>
    <w:p>
      <w:pPr>
        <w:ind w:left="927" w:right="140" w:hanging="309"/>
        <w:spacing w:after="0" w:line="266" w:lineRule="auto"/>
        <w:tabs>
          <w:tab w:leader="none" w:pos="927"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Background Check and Eligibility</w:t>
      </w:r>
      <w:r>
        <w:rPr>
          <w:rFonts w:ascii="Times New Roman" w:cs="Times New Roman" w:eastAsia="Times New Roman" w:hAnsi="Times New Roman"/>
          <w:sz w:val="18"/>
          <w:szCs w:val="18"/>
          <w:color w:val="auto"/>
        </w:rPr>
        <w:t>. This Offer is contingent upon a satisfactory background and reference check, which may be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conducted in whole or in part by a consumer reporting agency; including, but not limited to, education and employment verification, and proof of your</w:t>
      </w:r>
    </w:p>
    <w:p>
      <w:pPr>
        <w:sectPr>
          <w:pgSz w:w="11900" w:h="16838" w:orient="portrait"/>
          <w:cols w:equalWidth="0" w:num="1">
            <w:col w:w="10927"/>
          </w:cols>
          <w:pgMar w:left="633" w:top="58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4"/>
          <w:szCs w:val="24"/>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309"/>
        <w:spacing w:after="0" w:line="297" w:lineRule="auto"/>
        <w:rPr>
          <w:sz w:val="20"/>
          <w:szCs w:val="20"/>
          <w:color w:val="auto"/>
        </w:rPr>
      </w:pPr>
      <w:r>
        <w:rPr>
          <w:rFonts w:ascii="Times New Roman" w:cs="Times New Roman" w:eastAsia="Times New Roman" w:hAnsi="Times New Roman"/>
          <w:sz w:val="19"/>
          <w:szCs w:val="19"/>
          <w:color w:val="auto"/>
        </w:rPr>
        <w:t>eligibility to work in the United States. You agree to timely complete and return to the Company all documentation provided to you for the purpose of completing such background check.</w:t>
      </w:r>
    </w:p>
    <w:p>
      <w:pPr>
        <w:spacing w:after="0" w:line="177" w:lineRule="exact"/>
        <w:rPr>
          <w:sz w:val="20"/>
          <w:szCs w:val="20"/>
          <w:color w:val="auto"/>
        </w:rPr>
      </w:pPr>
    </w:p>
    <w:p>
      <w:pPr>
        <w:ind w:left="309" w:right="80" w:hanging="309"/>
        <w:spacing w:after="0" w:line="290" w:lineRule="auto"/>
        <w:tabs>
          <w:tab w:leader="none" w:pos="298"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Right to Work</w:t>
      </w:r>
      <w:r>
        <w:rPr>
          <w:rFonts w:ascii="Times New Roman" w:cs="Times New Roman" w:eastAsia="Times New Roman" w:hAnsi="Times New Roman"/>
          <w:sz w:val="18"/>
          <w:szCs w:val="18"/>
          <w:color w:val="auto"/>
        </w:rPr>
        <w:t>. This Offer is conditional upon your having the unrestricted right to work in the United States. On or before your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 xml:space="preserve">first day of employment, you will be required to complete Section 1 of the federal Form I-9. By the fourth day of employment, you must provide documentation that proves both your identity and right to work in the United States, or the Company must terminate your employment. For further information, please visit </w:t>
      </w:r>
      <w:r>
        <w:rPr>
          <w:rFonts w:ascii="Times New Roman" w:cs="Times New Roman" w:eastAsia="Times New Roman" w:hAnsi="Times New Roman"/>
          <w:sz w:val="20"/>
          <w:szCs w:val="20"/>
          <w:u w:val="single" w:color="auto"/>
          <w:color w:val="auto"/>
        </w:rPr>
        <w:t>https://</w:t>
      </w:r>
      <w:r>
        <w:rPr>
          <w:rFonts w:ascii="Times New Roman" w:cs="Times New Roman" w:eastAsia="Times New Roman" w:hAnsi="Times New Roman"/>
          <w:sz w:val="20"/>
          <w:szCs w:val="20"/>
          <w:color w:val="auto"/>
        </w:rPr>
        <w:t>www.uscis.gov/i-9.</w:t>
      </w:r>
    </w:p>
    <w:p>
      <w:pPr>
        <w:spacing w:after="0" w:line="167" w:lineRule="exact"/>
        <w:rPr>
          <w:rFonts w:ascii="Times New Roman" w:cs="Times New Roman" w:eastAsia="Times New Roman" w:hAnsi="Times New Roman"/>
          <w:sz w:val="19"/>
          <w:szCs w:val="19"/>
          <w:color w:val="auto"/>
        </w:rPr>
      </w:pPr>
    </w:p>
    <w:p>
      <w:pPr>
        <w:ind w:left="309" w:right="20" w:hanging="309"/>
        <w:spacing w:after="0" w:line="266" w:lineRule="auto"/>
        <w:tabs>
          <w:tab w:leader="none" w:pos="309"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 Non-Solicitation and Inventions Assignment Agreement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Enclosed is the Company’s Confidential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Information, Non-Solicitation and Inventions Assignment Agreement, which you are required to sign as a condition of your employment. Upon your acceptance of this Offer, please return to the Company a signed copy of that agreement.</w:t>
      </w:r>
    </w:p>
    <w:p>
      <w:pPr>
        <w:spacing w:after="0" w:line="202" w:lineRule="exact"/>
        <w:rPr>
          <w:rFonts w:ascii="Times New Roman" w:cs="Times New Roman" w:eastAsia="Times New Roman" w:hAnsi="Times New Roman"/>
          <w:sz w:val="21"/>
          <w:szCs w:val="21"/>
          <w:color w:val="auto"/>
        </w:rPr>
      </w:pPr>
    </w:p>
    <w:p>
      <w:pPr>
        <w:ind w:left="309" w:right="160" w:hanging="309"/>
        <w:spacing w:after="0" w:line="291" w:lineRule="auto"/>
        <w:tabs>
          <w:tab w:leader="none" w:pos="298"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Arbitration Agreement</w:t>
      </w:r>
      <w:r>
        <w:rPr>
          <w:rFonts w:ascii="Times New Roman" w:cs="Times New Roman" w:eastAsia="Times New Roman" w:hAnsi="Times New Roman"/>
          <w:sz w:val="18"/>
          <w:szCs w:val="18"/>
          <w:color w:val="auto"/>
        </w:rPr>
        <w:t>. Enclosed is the Company’s Mutual Agreement to Arbitrate All Disputes, which you are required to sign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as a condition of your employment. Upon your acceptance of this Offer, please return to the Company a signed copy of that agreement.</w:t>
      </w:r>
    </w:p>
    <w:p>
      <w:pPr>
        <w:spacing w:after="0" w:line="200" w:lineRule="exact"/>
        <w:rPr>
          <w:rFonts w:ascii="Times New Roman" w:cs="Times New Roman" w:eastAsia="Times New Roman" w:hAnsi="Times New Roman"/>
          <w:sz w:val="19"/>
          <w:szCs w:val="19"/>
          <w:color w:val="auto"/>
        </w:rPr>
      </w:pPr>
    </w:p>
    <w:p>
      <w:pPr>
        <w:spacing w:after="0" w:line="223" w:lineRule="exact"/>
        <w:rPr>
          <w:rFonts w:ascii="Times New Roman" w:cs="Times New Roman" w:eastAsia="Times New Roman" w:hAnsi="Times New Roman"/>
          <w:sz w:val="19"/>
          <w:szCs w:val="19"/>
          <w:color w:val="auto"/>
        </w:rPr>
      </w:pPr>
    </w:p>
    <w:p>
      <w:pPr>
        <w:ind w:left="309" w:right="360" w:hanging="309"/>
        <w:spacing w:after="0" w:line="263" w:lineRule="auto"/>
        <w:tabs>
          <w:tab w:leader="none" w:pos="303"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Modification</w:t>
      </w:r>
      <w:r>
        <w:rPr>
          <w:rFonts w:ascii="Times New Roman" w:cs="Times New Roman" w:eastAsia="Times New Roman" w:hAnsi="Times New Roman"/>
          <w:sz w:val="18"/>
          <w:szCs w:val="18"/>
          <w:color w:val="auto"/>
        </w:rPr>
        <w:t>. The Company reserves the right to modify your position, duties, compensation, benefits, and/or other terms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conditions of employment at any time in its sole discretion, as allowed by law, except for the at-will employment policy.</w:t>
      </w:r>
    </w:p>
    <w:p>
      <w:pPr>
        <w:spacing w:after="0" w:line="205" w:lineRule="exact"/>
        <w:rPr>
          <w:rFonts w:ascii="Times New Roman" w:cs="Times New Roman" w:eastAsia="Times New Roman" w:hAnsi="Times New Roman"/>
          <w:sz w:val="19"/>
          <w:szCs w:val="19"/>
          <w:color w:val="auto"/>
        </w:rPr>
      </w:pPr>
    </w:p>
    <w:p>
      <w:pPr>
        <w:ind w:left="309" w:hanging="309"/>
        <w:spacing w:after="0" w:line="266" w:lineRule="auto"/>
        <w:tabs>
          <w:tab w:leader="none" w:pos="309"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Reliance</w:t>
      </w:r>
      <w:r>
        <w:rPr>
          <w:rFonts w:ascii="Times New Roman" w:cs="Times New Roman" w:eastAsia="Times New Roman" w:hAnsi="Times New Roman"/>
          <w:sz w:val="18"/>
          <w:szCs w:val="18"/>
          <w:color w:val="auto"/>
        </w:rPr>
        <w:t>. You acknowledge that you are not relocating your residence or resigning employment in reliance on any promise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representation by the Company regarding the kind, character, or existence of such work, or the length of time such work will last, or the compensation therefore.</w:t>
      </w:r>
    </w:p>
    <w:p>
      <w:pPr>
        <w:spacing w:after="0" w:line="202" w:lineRule="exact"/>
        <w:rPr>
          <w:rFonts w:ascii="Times New Roman" w:cs="Times New Roman" w:eastAsia="Times New Roman" w:hAnsi="Times New Roman"/>
          <w:sz w:val="21"/>
          <w:szCs w:val="21"/>
          <w:color w:val="auto"/>
        </w:rPr>
      </w:pPr>
    </w:p>
    <w:p>
      <w:pPr>
        <w:ind w:left="309" w:hanging="309"/>
        <w:spacing w:after="0"/>
        <w:tabs>
          <w:tab w:leader="none" w:pos="309"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Prior Agreements</w:t>
      </w:r>
      <w:r>
        <w:rPr>
          <w:rFonts w:ascii="Times New Roman" w:cs="Times New Roman" w:eastAsia="Times New Roman" w:hAnsi="Times New Roman"/>
          <w:sz w:val="18"/>
          <w:szCs w:val="18"/>
          <w:color w:val="auto"/>
        </w:rPr>
        <w:t>. This letter supersedes any prior agreements regarding your employment with the Company.</w:t>
      </w:r>
    </w:p>
    <w:p>
      <w:pPr>
        <w:spacing w:after="0" w:line="235" w:lineRule="exact"/>
        <w:rPr>
          <w:rFonts w:ascii="Times New Roman" w:cs="Times New Roman" w:eastAsia="Times New Roman" w:hAnsi="Times New Roman"/>
          <w:sz w:val="19"/>
          <w:szCs w:val="19"/>
          <w:color w:val="auto"/>
        </w:rPr>
      </w:pPr>
    </w:p>
    <w:p>
      <w:pPr>
        <w:ind w:left="309" w:right="300" w:hanging="309"/>
        <w:spacing w:after="0" w:line="274" w:lineRule="auto"/>
        <w:tabs>
          <w:tab w:leader="none" w:pos="305"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Governing Law; Severability</w:t>
      </w:r>
      <w:r>
        <w:rPr>
          <w:rFonts w:ascii="Times New Roman" w:cs="Times New Roman" w:eastAsia="Times New Roman" w:hAnsi="Times New Roman"/>
          <w:sz w:val="18"/>
          <w:szCs w:val="18"/>
          <w:color w:val="auto"/>
        </w:rPr>
        <w:t>. The validity, interpretation, construction and performance of this letter will be governed by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laws of the state in which you are employed, without regard for the state’s conflict of laws provisions. The invalidity or unenforceability of any provision or provisions of this letter will not affect the validity or enforceability of any other provision hereof, which will remain in full force and effect.</w:t>
      </w:r>
    </w:p>
    <w:p>
      <w:pPr>
        <w:spacing w:after="0" w:line="200" w:lineRule="exact"/>
        <w:rPr>
          <w:rFonts w:ascii="Times New Roman" w:cs="Times New Roman" w:eastAsia="Times New Roman" w:hAnsi="Times New Roman"/>
          <w:sz w:val="19"/>
          <w:szCs w:val="19"/>
          <w:color w:val="auto"/>
        </w:rPr>
      </w:pPr>
    </w:p>
    <w:p>
      <w:pPr>
        <w:ind w:left="309" w:right="20" w:hanging="309"/>
        <w:spacing w:after="0" w:line="266" w:lineRule="auto"/>
        <w:tabs>
          <w:tab w:leader="none" w:pos="305"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18"/>
          <w:szCs w:val="18"/>
          <w:color w:val="auto"/>
        </w:rPr>
        <w:t>. This letter will be binding upon and inure to the benefit of (i) your heirs, executors and legal representatives upon your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death and (ii) any successor of the Company. Any successor of the Company will be deemed substituted for the Company under the terms of this letter for all purposes.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469"/>
        <w:spacing w:after="0"/>
        <w:rPr>
          <w:sz w:val="20"/>
          <w:szCs w:val="20"/>
          <w:color w:val="auto"/>
        </w:rPr>
      </w:pPr>
      <w:r>
        <w:rPr>
          <w:rFonts w:ascii="Times New Roman" w:cs="Times New Roman" w:eastAsia="Times New Roman" w:hAnsi="Times New Roman"/>
          <w:sz w:val="21"/>
          <w:szCs w:val="21"/>
          <w:b w:val="1"/>
          <w:bCs w:val="1"/>
          <w:color w:val="auto"/>
        </w:rPr>
        <w:t>[The Remainder of this Page is Intentionally Left Blank]</w:t>
      </w:r>
    </w:p>
    <w:p>
      <w:pPr>
        <w:sectPr>
          <w:pgSz w:w="11900" w:h="16838" w:orient="portrait"/>
          <w:cols w:equalWidth="0" w:num="1">
            <w:col w:w="10309"/>
          </w:cols>
          <w:pgMar w:left="1251" w:top="58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4"/>
          <w:szCs w:val="24"/>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right="680"/>
        <w:spacing w:after="0" w:line="269" w:lineRule="auto"/>
        <w:rPr>
          <w:sz w:val="20"/>
          <w:szCs w:val="20"/>
          <w:color w:val="auto"/>
        </w:rPr>
      </w:pPr>
      <w:r>
        <w:rPr>
          <w:rFonts w:ascii="Times New Roman" w:cs="Times New Roman" w:eastAsia="Times New Roman" w:hAnsi="Times New Roman"/>
          <w:sz w:val="19"/>
          <w:szCs w:val="19"/>
          <w:color w:val="auto"/>
        </w:rPr>
        <w:t xml:space="preserve">If you accept the terms of the foregoing offer of employment, please so indicate by signing and dating below and returning it to the Company’s attention </w:t>
      </w:r>
      <w:r>
        <w:rPr>
          <w:rFonts w:ascii="Times New Roman" w:cs="Times New Roman" w:eastAsia="Times New Roman" w:hAnsi="Times New Roman"/>
          <w:sz w:val="19"/>
          <w:szCs w:val="19"/>
          <w:i w:val="1"/>
          <w:iCs w:val="1"/>
          <w:color w:val="auto"/>
        </w:rPr>
        <w:t>no later than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December 6, 2024</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Sincerely,</w:t>
      </w:r>
    </w:p>
    <w:p>
      <w:pPr>
        <w:spacing w:after="0" w:line="23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GHOST MANAGEMENT GROUP, LLC</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Douglas Francis</w:t>
      </w:r>
    </w:p>
    <w:tbl>
      <w:tblPr>
        <w:tblLayout w:type="fixed"/>
        <w:tblInd w:w="4360" w:type="dxa"/>
        <w:tblCellMar>
          <w:top w:w="0" w:type="dxa"/>
          <w:left w:w="0" w:type="dxa"/>
          <w:bottom w:w="0" w:type="dxa"/>
          <w:right w:w="0" w:type="dxa"/>
        </w:tblCellMar>
      </w:tblPr>
      <w:tr>
        <w:trPr>
          <w:trHeight w:val="208"/>
        </w:trPr>
        <w:tc>
          <w:tcPr>
            <w:tcW w:w="480" w:type="dxa"/>
            <w:vAlign w:val="bottom"/>
          </w:tcPr>
          <w:p>
            <w:pPr>
              <w:spacing w:after="0" w:line="208" w:lineRule="exact"/>
              <w:rPr>
                <w:sz w:val="20"/>
                <w:szCs w:val="20"/>
                <w:color w:val="auto"/>
              </w:rPr>
            </w:pPr>
            <w:r>
              <w:rPr>
                <w:rFonts w:ascii="Times New Roman" w:cs="Times New Roman" w:eastAsia="Times New Roman" w:hAnsi="Times New Roman"/>
                <w:sz w:val="19"/>
                <w:szCs w:val="19"/>
                <w:color w:val="auto"/>
              </w:rPr>
              <w:t>By:</w:t>
            </w:r>
          </w:p>
        </w:tc>
        <w:tc>
          <w:tcPr>
            <w:tcW w:w="360" w:type="dxa"/>
            <w:vAlign w:val="bottom"/>
            <w:tcBorders>
              <w:bottom w:val="single" w:sz="8" w:color="auto"/>
            </w:tcBorders>
          </w:tcPr>
          <w:p>
            <w:pPr>
              <w:spacing w:after="0"/>
              <w:rPr>
                <w:sz w:val="18"/>
                <w:szCs w:val="18"/>
                <w:color w:val="auto"/>
              </w:rPr>
            </w:pPr>
          </w:p>
        </w:tc>
        <w:tc>
          <w:tcPr>
            <w:tcW w:w="14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Douglas Francis</w:t>
            </w:r>
          </w:p>
        </w:tc>
      </w:tr>
      <w:tr>
        <w:trPr>
          <w:trHeight w:val="255"/>
        </w:trPr>
        <w:tc>
          <w:tcPr>
            <w:tcW w:w="480" w:type="dxa"/>
            <w:vAlign w:val="bottom"/>
          </w:tcPr>
          <w:p>
            <w:pPr>
              <w:spacing w:after="0"/>
              <w:rPr>
                <w:sz w:val="22"/>
                <w:szCs w:val="22"/>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7"/>
              </w:rPr>
              <w:t>Chief Executive Officer</w:t>
            </w:r>
          </w:p>
        </w:tc>
      </w:tr>
    </w:tbl>
    <w:p>
      <w:pPr>
        <w:spacing w:after="0" w:line="4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ACCEPTED AND AGREED:</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/s/ Sarah Griffis</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Print Name: </w:t>
      </w:r>
      <w:r>
        <w:rPr>
          <w:rFonts w:ascii="Arial" w:cs="Arial" w:eastAsia="Arial" w:hAnsi="Arial"/>
          <w:sz w:val="11"/>
          <w:szCs w:val="11"/>
          <w:color w:val="auto"/>
        </w:rPr>
        <w:t>sarah griffis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-15875</wp:posOffset>
            </wp:positionV>
            <wp:extent cx="4635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463550"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9"/>
          <w:szCs w:val="19"/>
          <w:color w:val="auto"/>
        </w:rPr>
        <w:t xml:space="preserve">Date: </w:t>
      </w:r>
      <w:r>
        <w:rPr>
          <w:rFonts w:ascii="Arial" w:cs="Arial" w:eastAsia="Arial" w:hAnsi="Arial"/>
          <w:sz w:val="12"/>
          <w:szCs w:val="12"/>
          <w:color w:val="auto"/>
        </w:rPr>
        <w:t>12/02/2024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-18415</wp:posOffset>
            </wp:positionV>
            <wp:extent cx="4883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4"/>
          <w:szCs w:val="24"/>
          <w:b w:val="1"/>
          <w:bCs w:val="1"/>
          <w:color w:val="auto"/>
        </w:rPr>
        <w:t>Exhibit 10.19</w:t>
      </w:r>
    </w:p>
    <w:p>
      <w:pPr>
        <w:spacing w:after="0" w:line="200" w:lineRule="exact"/>
        <w:rPr>
          <w:sz w:val="20"/>
          <w:szCs w:val="20"/>
          <w:color w:val="auto"/>
        </w:rPr>
      </w:pPr>
    </w:p>
    <w:p>
      <w:pPr>
        <w:spacing w:after="0" w:line="3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b w:val="1"/>
          <w:bCs w:val="1"/>
          <w:u w:val="single" w:color="auto"/>
          <w:color w:val="auto"/>
        </w:rPr>
        <w:t>MUTUAL AGREEMENT TO ARBITRATE ALL DISPUTES</w:t>
      </w:r>
    </w:p>
    <w:p>
      <w:pPr>
        <w:spacing w:after="0" w:line="214" w:lineRule="exact"/>
        <w:rPr>
          <w:sz w:val="20"/>
          <w:szCs w:val="20"/>
          <w:color w:val="auto"/>
        </w:rPr>
      </w:pPr>
    </w:p>
    <w:p>
      <w:pPr>
        <w:jc w:val="both"/>
        <w:ind w:right="120" w:firstLine="619"/>
        <w:spacing w:after="0" w:line="264" w:lineRule="auto"/>
        <w:rPr>
          <w:sz w:val="20"/>
          <w:szCs w:val="20"/>
          <w:color w:val="auto"/>
        </w:rPr>
      </w:pPr>
      <w:r>
        <w:rPr>
          <w:rFonts w:ascii="Times New Roman" w:cs="Times New Roman" w:eastAsia="Times New Roman" w:hAnsi="Times New Roman"/>
          <w:sz w:val="20"/>
          <w:szCs w:val="20"/>
          <w:color w:val="auto"/>
        </w:rPr>
        <w:t>Ghost Management Group, LLC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I (collectively,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recognize that there may be disagreements and disputes between us arising out of or relating to my relationship with the Company, and that an expedient and private method of resolving all of our disputes with one another is to our mutual advantage. As a result, we agree to enter into this Mutual Agreement to Arbitrate All Disputes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PURSUANT TO THIS AGREEMENT, THE COMPANY AND I AGREE TO WAIVE OUR RESPECTIVE RIGHTS TO RESOLUTION OF DISPUTES IN A COURT OF LAW BY A JUDGE OR JURY, AND AGREE TO RESOLVE ANY CLAIM OR DISPUTE AGAINST EACH OTHER ON AN INDIVIDUAL BASIS IN ARBITRATION, EXCEPT AS EXPRESSLY PROVIDED IN THIS AGREEMENT.</w:t>
      </w:r>
    </w:p>
    <w:p>
      <w:pPr>
        <w:spacing w:after="0" w:line="163" w:lineRule="exact"/>
        <w:rPr>
          <w:sz w:val="20"/>
          <w:szCs w:val="20"/>
          <w:color w:val="auto"/>
        </w:rPr>
      </w:pPr>
    </w:p>
    <w:p>
      <w:pPr>
        <w:jc w:val="both"/>
        <w:ind w:right="140" w:firstLine="619"/>
        <w:spacing w:after="0" w:line="253" w:lineRule="auto"/>
        <w:rPr>
          <w:sz w:val="20"/>
          <w:szCs w:val="20"/>
          <w:color w:val="auto"/>
        </w:rPr>
      </w:pPr>
      <w:r>
        <w:rPr>
          <w:rFonts w:ascii="Times New Roman" w:cs="Times New Roman" w:eastAsia="Times New Roman" w:hAnsi="Times New Roman"/>
          <w:sz w:val="21"/>
          <w:szCs w:val="21"/>
          <w:color w:val="auto"/>
        </w:rPr>
        <w:t>This Agreement will prohibit me and the Company from bringing any class, collective, or consolidated proceeding against each other, and will also prohibit me and the Company from participating in or recovering relief under any current or future such actions brought by someone else. Arbitration is more informal than a lawsuit in court: there is no judge or jury in arbitration; discovery in arbitration may be more limited than discovery in litigation; and court review of an arbitration award is limited.</w:t>
      </w:r>
    </w:p>
    <w:p>
      <w:pPr>
        <w:spacing w:after="0" w:line="158" w:lineRule="exact"/>
        <w:rPr>
          <w:sz w:val="20"/>
          <w:szCs w:val="20"/>
          <w:color w:val="auto"/>
        </w:rPr>
      </w:pPr>
    </w:p>
    <w:p>
      <w:pPr>
        <w:jc w:val="both"/>
        <w:ind w:right="140" w:firstLine="619"/>
        <w:spacing w:after="0" w:line="256" w:lineRule="auto"/>
        <w:rPr>
          <w:sz w:val="20"/>
          <w:szCs w:val="20"/>
          <w:color w:val="auto"/>
        </w:rPr>
      </w:pPr>
      <w:r>
        <w:rPr>
          <w:rFonts w:ascii="Times New Roman" w:cs="Times New Roman" w:eastAsia="Times New Roman" w:hAnsi="Times New Roman"/>
          <w:sz w:val="21"/>
          <w:szCs w:val="21"/>
          <w:color w:val="auto"/>
        </w:rPr>
        <w:t>This Agreement is effective as of the date that I sign below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The mutual promises between the Company and me to arbitrate our disputes, rather than to litigate them in a court of law or before a jury, provide full and adequate consideration for this Agreement, which is binding and is a condition of my employment and continued employment with the Company.</w:t>
      </w:r>
    </w:p>
    <w:p>
      <w:pPr>
        <w:spacing w:after="0" w:line="169" w:lineRule="exact"/>
        <w:rPr>
          <w:sz w:val="20"/>
          <w:szCs w:val="20"/>
          <w:color w:val="auto"/>
        </w:rPr>
      </w:pPr>
    </w:p>
    <w:p>
      <w:pPr>
        <w:ind w:left="1540" w:hanging="925"/>
        <w:spacing w:after="0"/>
        <w:tabs>
          <w:tab w:leader="none" w:pos="15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Covered Claims and Class Action Waiver</w:t>
      </w:r>
    </w:p>
    <w:p>
      <w:pPr>
        <w:spacing w:after="0" w:line="210" w:lineRule="exact"/>
        <w:rPr>
          <w:sz w:val="20"/>
          <w:szCs w:val="20"/>
          <w:color w:val="auto"/>
        </w:rPr>
      </w:pPr>
    </w:p>
    <w:p>
      <w:pPr>
        <w:jc w:val="both"/>
        <w:ind w:right="120" w:firstLine="619"/>
        <w:spacing w:after="0" w:line="260" w:lineRule="auto"/>
        <w:rPr>
          <w:sz w:val="20"/>
          <w:szCs w:val="20"/>
          <w:color w:val="auto"/>
        </w:rPr>
      </w:pPr>
      <w:r>
        <w:rPr>
          <w:rFonts w:ascii="Times New Roman" w:cs="Times New Roman" w:eastAsia="Times New Roman" w:hAnsi="Times New Roman"/>
          <w:sz w:val="20"/>
          <w:szCs w:val="20"/>
          <w:color w:val="auto"/>
        </w:rPr>
        <w:t>Except as expressly provided in Section 7 below, the Company and I agree that any and all disputes arising out of or in any way relating to my relationship with the Company—which might occur before, during, or following employment—shall be resolved and settled exclusively by final and binding arbitration pursuant to the Federal Arbitration Act, 9 U.S.C. § 1 et seq. (“</w:t>
      </w:r>
      <w:r>
        <w:rPr>
          <w:rFonts w:ascii="Times New Roman" w:cs="Times New Roman" w:eastAsia="Times New Roman" w:hAnsi="Times New Roman"/>
          <w:sz w:val="20"/>
          <w:szCs w:val="20"/>
          <w:u w:val="single" w:color="auto"/>
          <w:color w:val="auto"/>
        </w:rPr>
        <w:t>FAA</w:t>
      </w:r>
      <w:r>
        <w:rPr>
          <w:rFonts w:ascii="Times New Roman" w:cs="Times New Roman" w:eastAsia="Times New Roman" w:hAnsi="Times New Roman"/>
          <w:sz w:val="20"/>
          <w:szCs w:val="20"/>
          <w:color w:val="auto"/>
        </w:rPr>
        <w:t>”). This Agreement includes any claims that the Company may have against me, or I may have against the Company and/or any of its officers, directors, members, managers, employees, owners, agents, representatives, benefit plans, sponsors, fiduciaries, parents, subsidiaries, or affiliated entities. This Agreement may be enforced by you, the Company, or third-party beneficiaries to this Agreement. The claims covered by this Agreement include, but are not limited to, claims for: wrongful termination; discrimination or harassment because of race, gender, color, pregnancy, religion, national origin, ancestry, age, disability, medical condition, marital status, sexual orientation, gender identity or any other characteristic protected by applicable law; retaliation; breach of any contract or covenant, express or implied; negligence or other tort claims including defamation, libel, slander, fraud, misrepresentation, invasion of privacy, and infliction of emotional distress; claims for misclassification, wages, overtime, bonuses, commissions, benefits, or other compensation; penalties; benefits; reimbursement of expenses; intellectual property disputes; any claim for trade secret violations or unlawful competition; and all other statutory, regulatory, contractual, or tort claims or claims of violation of any international, federal/national, state/provincial, or local statute, ordinance, governmental enactment, common law duty, provision, or doctrine, including but not limited to claims arising under Title VII of the Civil Rights Act of 1964, the Age Discrimination in Employment Act of</w:t>
      </w:r>
    </w:p>
    <w:p>
      <w:pPr>
        <w:sectPr>
          <w:pgSz w:w="11900" w:h="16838" w:orient="portrait"/>
          <w:cols w:equalWidth="0" w:num="1">
            <w:col w:w="10580"/>
          </w:cols>
          <w:pgMar w:left="980" w:top="58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4"/>
          <w:szCs w:val="24"/>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140"/>
        <w:spacing w:after="0" w:line="252" w:lineRule="auto"/>
        <w:rPr>
          <w:sz w:val="20"/>
          <w:szCs w:val="20"/>
          <w:color w:val="auto"/>
        </w:rPr>
      </w:pPr>
      <w:r>
        <w:rPr>
          <w:rFonts w:ascii="Times New Roman" w:cs="Times New Roman" w:eastAsia="Times New Roman" w:hAnsi="Times New Roman"/>
          <w:sz w:val="21"/>
          <w:szCs w:val="21"/>
          <w:color w:val="auto"/>
        </w:rPr>
        <w:t>1967, the Americans with Disabilities Act, the Fair Labor Standards Act, the Employee Retirement Income Security Act, the Consolidated Omnibus Budget Reconciliation Act, the Family and Medical Leave Act, the California Fair Employment and Housing Act, the California Family Rights Act, the California Labor Code, the California Civil Code, and/or the California Wage Orders. This Agreement does not cover claims for sexual assault or sexual harassment.</w:t>
      </w:r>
    </w:p>
    <w:p>
      <w:pPr>
        <w:spacing w:after="0" w:line="168" w:lineRule="exact"/>
        <w:rPr>
          <w:sz w:val="20"/>
          <w:szCs w:val="20"/>
          <w:color w:val="auto"/>
        </w:rPr>
      </w:pPr>
    </w:p>
    <w:p>
      <w:pPr>
        <w:jc w:val="both"/>
        <w:ind w:right="140" w:firstLine="619"/>
        <w:spacing w:after="0" w:line="264" w:lineRule="auto"/>
        <w:rPr>
          <w:sz w:val="20"/>
          <w:szCs w:val="20"/>
          <w:color w:val="auto"/>
        </w:rPr>
      </w:pPr>
      <w:r>
        <w:rPr>
          <w:rFonts w:ascii="Times New Roman" w:cs="Times New Roman" w:eastAsia="Times New Roman" w:hAnsi="Times New Roman"/>
          <w:sz w:val="21"/>
          <w:szCs w:val="21"/>
          <w:b w:val="1"/>
          <w:bCs w:val="1"/>
          <w:color w:val="auto"/>
        </w:rPr>
        <w:t>The Company and I agree that we are waiving the right to a trial by jury or to participate as a plaintiff or class member in any purported class, collective, or consolidated action (and, to the extent permitted by law, representative proceeding).</w:t>
      </w:r>
    </w:p>
    <w:p>
      <w:pPr>
        <w:spacing w:after="0" w:line="144" w:lineRule="exact"/>
        <w:rPr>
          <w:sz w:val="20"/>
          <w:szCs w:val="20"/>
          <w:color w:val="auto"/>
        </w:rPr>
      </w:pPr>
    </w:p>
    <w:p>
      <w:pPr>
        <w:jc w:val="both"/>
        <w:ind w:right="140" w:firstLine="619"/>
        <w:spacing w:after="0" w:line="257" w:lineRule="auto"/>
        <w:rPr>
          <w:sz w:val="20"/>
          <w:szCs w:val="20"/>
          <w:color w:val="auto"/>
        </w:rPr>
      </w:pPr>
      <w:r>
        <w:rPr>
          <w:rFonts w:ascii="Times New Roman" w:cs="Times New Roman" w:eastAsia="Times New Roman" w:hAnsi="Times New Roman"/>
          <w:sz w:val="21"/>
          <w:szCs w:val="21"/>
          <w:b w:val="1"/>
          <w:bCs w:val="1"/>
          <w:color w:val="auto"/>
        </w:rPr>
        <w:t>Unless both the Company and I otherwise agree in writing, any arbitration will be conducted only on an individual basis and not in a class, collective, or consolidated proceeding (and, to the extent permitted by law, not in a representative proceeding). Any claims that are found not subject to arbitration under this Agreement shall be resolved in court, and will be severed and stayed pending the outcome of an arbitration on any arbitrable claims.</w:t>
      </w:r>
    </w:p>
    <w:p>
      <w:pPr>
        <w:spacing w:after="0" w:line="169" w:lineRule="exact"/>
        <w:rPr>
          <w:sz w:val="20"/>
          <w:szCs w:val="20"/>
          <w:color w:val="auto"/>
        </w:rPr>
      </w:pPr>
    </w:p>
    <w:p>
      <w:pPr>
        <w:ind w:left="1540" w:hanging="925"/>
        <w:spacing w:after="0"/>
        <w:tabs>
          <w:tab w:leader="none" w:pos="15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Rules</w:t>
      </w:r>
    </w:p>
    <w:p>
      <w:pPr>
        <w:spacing w:after="0" w:line="210" w:lineRule="exact"/>
        <w:rPr>
          <w:sz w:val="20"/>
          <w:szCs w:val="20"/>
          <w:color w:val="auto"/>
        </w:rPr>
      </w:pPr>
    </w:p>
    <w:p>
      <w:pPr>
        <w:ind w:right="380" w:firstLine="619"/>
        <w:spacing w:after="0" w:line="249" w:lineRule="auto"/>
        <w:rPr>
          <w:sz w:val="20"/>
          <w:szCs w:val="20"/>
          <w:color w:val="auto"/>
        </w:rPr>
      </w:pPr>
      <w:r>
        <w:rPr>
          <w:rFonts w:ascii="Times New Roman" w:cs="Times New Roman" w:eastAsia="Times New Roman" w:hAnsi="Times New Roman"/>
          <w:sz w:val="21"/>
          <w:szCs w:val="21"/>
          <w:color w:val="auto"/>
        </w:rPr>
        <w:t>The Parties agree and acknowledge that the FAA will govern the interpretation and enforcement of this Agreement. The Parties also agree and acknowledge that this is not a contract of employment involving any class of transportation workers within the exemptions under Section 1 of the FAA. It is the intent of the Parties that the FAA and the Employment Arbitration Rules &amp; Procedures of the Judicial Arbitration and Mediation Services (“</w:t>
      </w:r>
      <w:r>
        <w:rPr>
          <w:rFonts w:ascii="Times New Roman" w:cs="Times New Roman" w:eastAsia="Times New Roman" w:hAnsi="Times New Roman"/>
          <w:sz w:val="21"/>
          <w:szCs w:val="21"/>
          <w:u w:val="single" w:color="auto"/>
          <w:color w:val="auto"/>
        </w:rPr>
        <w:t>JAMS</w:t>
      </w:r>
      <w:r>
        <w:rPr>
          <w:rFonts w:ascii="Times New Roman" w:cs="Times New Roman" w:eastAsia="Times New Roman" w:hAnsi="Times New Roman"/>
          <w:sz w:val="21"/>
          <w:szCs w:val="21"/>
          <w:color w:val="auto"/>
        </w:rPr>
        <w:t>”) shall preempt all state laws to the fullest extent permitted by law. If the FAA and JAMS’ rules are found to not apply to any issue that arises under this Agreement or the enforcement thereof, then that issue shall be resolved under the applicable laws of the state in which I am employed.</w:t>
      </w:r>
    </w:p>
    <w:p>
      <w:pPr>
        <w:spacing w:after="0" w:line="219" w:lineRule="exact"/>
        <w:rPr>
          <w:sz w:val="20"/>
          <w:szCs w:val="20"/>
          <w:color w:val="auto"/>
        </w:rPr>
      </w:pPr>
    </w:p>
    <w:p>
      <w:pPr>
        <w:ind w:right="740" w:firstLine="619"/>
        <w:spacing w:after="0" w:line="269" w:lineRule="auto"/>
        <w:rPr>
          <w:sz w:val="20"/>
          <w:szCs w:val="20"/>
          <w:color w:val="auto"/>
        </w:rPr>
      </w:pPr>
      <w:r>
        <w:rPr>
          <w:rFonts w:ascii="Times New Roman" w:cs="Times New Roman" w:eastAsia="Times New Roman" w:hAnsi="Times New Roman"/>
          <w:sz w:val="21"/>
          <w:szCs w:val="21"/>
          <w:color w:val="auto"/>
        </w:rPr>
        <w:t>Arbitration of all claims will be conducted in accordance with JAMS’ rules or its surviving successor, a copy of which is available to review from People Operations and is available online at www.jamsadr.com.</w:t>
      </w:r>
    </w:p>
    <w:p>
      <w:pPr>
        <w:spacing w:after="0" w:line="181" w:lineRule="exact"/>
        <w:rPr>
          <w:sz w:val="20"/>
          <w:szCs w:val="20"/>
          <w:color w:val="auto"/>
        </w:rPr>
      </w:pPr>
    </w:p>
    <w:p>
      <w:pPr>
        <w:ind w:right="320" w:firstLine="619"/>
        <w:spacing w:after="0" w:line="273" w:lineRule="auto"/>
        <w:rPr>
          <w:sz w:val="20"/>
          <w:szCs w:val="20"/>
          <w:color w:val="auto"/>
        </w:rPr>
      </w:pPr>
      <w:r>
        <w:rPr>
          <w:rFonts w:ascii="Times New Roman" w:cs="Times New Roman" w:eastAsia="Times New Roman" w:hAnsi="Times New Roman"/>
          <w:sz w:val="20"/>
          <w:szCs w:val="20"/>
          <w:color w:val="auto"/>
        </w:rPr>
        <w:t>The Parties agree that the arbitrator and not any federal, state, or local court or agency, shall have exclusive authority to resolve any disputes relating to the interpretation, applicability, validity, enforceability, or formation of this Agreement, including without limitation all threshold arbitrability issues. However, disputes about the interpretation, applicability, validity, or enforceability of the class action waiver may be resolved only by a court and not by an arbitrator.</w:t>
      </w:r>
    </w:p>
    <w:p>
      <w:pPr>
        <w:spacing w:after="0" w:line="178" w:lineRule="exact"/>
        <w:rPr>
          <w:sz w:val="20"/>
          <w:szCs w:val="20"/>
          <w:color w:val="auto"/>
        </w:rPr>
      </w:pPr>
    </w:p>
    <w:p>
      <w:pPr>
        <w:ind w:left="1540" w:hanging="925"/>
        <w:spacing w:after="0"/>
        <w:tabs>
          <w:tab w:leader="none" w:pos="154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 Procedures</w:t>
      </w:r>
    </w:p>
    <w:p>
      <w:pPr>
        <w:spacing w:after="0" w:line="210" w:lineRule="exact"/>
        <w:rPr>
          <w:sz w:val="20"/>
          <w:szCs w:val="20"/>
          <w:color w:val="auto"/>
        </w:rPr>
      </w:pPr>
    </w:p>
    <w:p>
      <w:pPr>
        <w:jc w:val="both"/>
        <w:ind w:right="120" w:firstLine="619"/>
        <w:spacing w:after="0" w:line="252" w:lineRule="auto"/>
        <w:rPr>
          <w:sz w:val="20"/>
          <w:szCs w:val="20"/>
          <w:color w:val="auto"/>
        </w:rPr>
      </w:pPr>
      <w:r>
        <w:rPr>
          <w:rFonts w:ascii="Times New Roman" w:cs="Times New Roman" w:eastAsia="Times New Roman" w:hAnsi="Times New Roman"/>
          <w:sz w:val="21"/>
          <w:szCs w:val="21"/>
          <w:color w:val="auto"/>
        </w:rPr>
        <w:t>A single, neutral arbitrator who is selected in accordance with JAMS’ rules and who is experienced in employment law will hear and resolve the dispute. All Parties may be represented by licensed attorneys. The arbitration shall be held in Orange County, California. The arbitrator shall have the same authority to decide dispositive motions as would a court, though they may</w:t>
      </w:r>
    </w:p>
    <w:p>
      <w:pPr>
        <w:sectPr>
          <w:pgSz w:w="11900" w:h="16838" w:orient="portrait"/>
          <w:cols w:equalWidth="0" w:num="1">
            <w:col w:w="10580"/>
          </w:cols>
          <w:pgMar w:left="980" w:top="58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4"/>
          <w:szCs w:val="24"/>
          <w:b w:val="1"/>
          <w:bCs w:val="1"/>
          <w:color w:val="auto"/>
        </w:rPr>
        <w:t>Exhibit 10.19</w:t>
      </w:r>
    </w:p>
    <w:p>
      <w:pPr>
        <w:spacing w:after="0" w:line="200" w:lineRule="exact"/>
        <w:rPr>
          <w:sz w:val="20"/>
          <w:szCs w:val="20"/>
          <w:color w:val="auto"/>
        </w:rPr>
      </w:pPr>
    </w:p>
    <w:p>
      <w:pPr>
        <w:spacing w:after="0" w:line="372" w:lineRule="exact"/>
        <w:rPr>
          <w:sz w:val="20"/>
          <w:szCs w:val="20"/>
          <w:color w:val="auto"/>
        </w:rPr>
      </w:pPr>
    </w:p>
    <w:p>
      <w:pPr>
        <w:jc w:val="both"/>
        <w:ind w:left="4" w:right="140"/>
        <w:spacing w:after="0" w:line="256" w:lineRule="auto"/>
        <w:rPr>
          <w:sz w:val="20"/>
          <w:szCs w:val="20"/>
          <w:color w:val="auto"/>
        </w:rPr>
      </w:pPr>
      <w:r>
        <w:rPr>
          <w:rFonts w:ascii="Times New Roman" w:cs="Times New Roman" w:eastAsia="Times New Roman" w:hAnsi="Times New Roman"/>
          <w:sz w:val="21"/>
          <w:szCs w:val="21"/>
          <w:color w:val="auto"/>
        </w:rPr>
        <w:t>establish appropriate and less formal procedures for such motions consistent with the expedited nature of arbitration proceedings. The arbitrator will have the authority to award all damages or other relief provided by applicable law. The decision or award of the arbitrator shall be in writing, shall state the basis for the decision with sufficient specificity to allow meaningful judicial review as may be permitted by law, and shall be final and binding.</w:t>
      </w:r>
    </w:p>
    <w:p>
      <w:pPr>
        <w:spacing w:after="0" w:line="169" w:lineRule="exact"/>
        <w:rPr>
          <w:sz w:val="20"/>
          <w:szCs w:val="20"/>
          <w:color w:val="auto"/>
        </w:rPr>
      </w:pPr>
    </w:p>
    <w:p>
      <w:pPr>
        <w:jc w:val="both"/>
        <w:ind w:left="4" w:right="140" w:firstLine="619"/>
        <w:spacing w:after="0" w:line="265" w:lineRule="auto"/>
        <w:rPr>
          <w:sz w:val="20"/>
          <w:szCs w:val="20"/>
          <w:color w:val="auto"/>
        </w:rPr>
      </w:pPr>
      <w:r>
        <w:rPr>
          <w:rFonts w:ascii="Times New Roman" w:cs="Times New Roman" w:eastAsia="Times New Roman" w:hAnsi="Times New Roman"/>
          <w:sz w:val="20"/>
          <w:szCs w:val="20"/>
          <w:color w:val="auto"/>
        </w:rPr>
        <w:t>The Company shall pay all costs unique to arbitration (as compared to the costs of adjudicating the same claims before a court or agency), including the fees charged by JAMS, as described in the applicable JAMS fee schedule. However, if I initiate the claim, I shall contribute an amount equal to the filing fee to initiate the claim in the court of general jurisdiction where the claim is filed. Rule 68 of the Federal Rule of Civil Procedure (“Offer of Judgment”) shall apply to the arbitration proceedings, and related costs, as if they were a trial or other scheduled proceeding for assessing the extent of liability.</w:t>
      </w:r>
    </w:p>
    <w:p>
      <w:pPr>
        <w:spacing w:after="0" w:line="174" w:lineRule="exact"/>
        <w:rPr>
          <w:sz w:val="20"/>
          <w:szCs w:val="20"/>
          <w:color w:val="auto"/>
        </w:rPr>
      </w:pPr>
    </w:p>
    <w:p>
      <w:pPr>
        <w:jc w:val="both"/>
        <w:ind w:left="4" w:right="140" w:firstLine="619"/>
        <w:spacing w:after="0" w:line="256" w:lineRule="auto"/>
        <w:rPr>
          <w:sz w:val="20"/>
          <w:szCs w:val="20"/>
          <w:color w:val="auto"/>
        </w:rPr>
      </w:pPr>
      <w:r>
        <w:rPr>
          <w:rFonts w:ascii="Times New Roman" w:cs="Times New Roman" w:eastAsia="Times New Roman" w:hAnsi="Times New Roman"/>
          <w:sz w:val="21"/>
          <w:szCs w:val="21"/>
          <w:color w:val="auto"/>
        </w:rPr>
        <w:t>It is expressly understood that the Company and I are responsible for our own attorneys’, expert, witness and similar fees in any case, unless the arbitrator awards costs and attorney fees to the prevailing party to the extent permitted by law. Judgment upon the arbitrator’s award may be entered and enforced in any court of competent jurisdiction.</w:t>
      </w:r>
    </w:p>
    <w:p>
      <w:pPr>
        <w:spacing w:after="0" w:line="181" w:lineRule="exact"/>
        <w:rPr>
          <w:sz w:val="20"/>
          <w:szCs w:val="20"/>
          <w:color w:val="auto"/>
        </w:rPr>
      </w:pPr>
    </w:p>
    <w:p>
      <w:pPr>
        <w:ind w:left="1544" w:hanging="925"/>
        <w:spacing w:after="0"/>
        <w:tabs>
          <w:tab w:leader="none" w:pos="1544"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Exceptions to Arbitration</w:t>
      </w:r>
    </w:p>
    <w:p>
      <w:pPr>
        <w:spacing w:after="0" w:line="197" w:lineRule="exact"/>
        <w:rPr>
          <w:sz w:val="20"/>
          <w:szCs w:val="20"/>
          <w:color w:val="auto"/>
        </w:rPr>
      </w:pPr>
    </w:p>
    <w:p>
      <w:pPr>
        <w:jc w:val="both"/>
        <w:ind w:left="4" w:right="140" w:firstLine="619"/>
        <w:spacing w:after="0" w:line="266" w:lineRule="auto"/>
        <w:rPr>
          <w:sz w:val="20"/>
          <w:szCs w:val="20"/>
          <w:color w:val="auto"/>
        </w:rPr>
      </w:pPr>
      <w:r>
        <w:rPr>
          <w:rFonts w:ascii="Times New Roman" w:cs="Times New Roman" w:eastAsia="Times New Roman" w:hAnsi="Times New Roman"/>
          <w:sz w:val="20"/>
          <w:szCs w:val="20"/>
          <w:color w:val="auto"/>
        </w:rPr>
        <w:t>Notwithstanding any other provision in this Agreement, this Agreement shall not require arbitration of the following types of claims: (a) small claims actions brought on an individual basis that are within the scope of such small claims court’s jurisdiction, (b) claims for workers’ compensation, state disability insurance and/or unemployment insurance benefits, (c) injunctive or other equitable relief to prevent the actual or threatened infringement, misappropriation or violation of a party’s confidentiality rights or copyrights, trademarks, trade secrets, patents or other intellectual property rights, and (d) claims that may not be subject to arbitration as a matter of generally applicable law not preempted by the FAA.</w:t>
      </w:r>
    </w:p>
    <w:p>
      <w:pPr>
        <w:spacing w:after="0" w:line="172" w:lineRule="exact"/>
        <w:rPr>
          <w:sz w:val="20"/>
          <w:szCs w:val="20"/>
          <w:color w:val="auto"/>
        </w:rPr>
      </w:pPr>
    </w:p>
    <w:p>
      <w:pPr>
        <w:jc w:val="both"/>
        <w:ind w:left="4" w:right="140" w:firstLine="619"/>
        <w:spacing w:after="0" w:line="249" w:lineRule="auto"/>
        <w:rPr>
          <w:sz w:val="20"/>
          <w:szCs w:val="20"/>
          <w:color w:val="auto"/>
        </w:rPr>
      </w:pPr>
      <w:r>
        <w:rPr>
          <w:rFonts w:ascii="Times New Roman" w:cs="Times New Roman" w:eastAsia="Times New Roman" w:hAnsi="Times New Roman"/>
          <w:sz w:val="21"/>
          <w:szCs w:val="21"/>
          <w:color w:val="auto"/>
        </w:rPr>
        <w:t>Nothing in this Agreement prevents any party from making a report to or filing a claim or charge with the Equal Employment Opportunity Commission, U.S. Department of Labor, Securities Exchange Commission, National Labor Relations Board, or Office of Federal Contract Compliance Programs, or similar local, state or federal agency, and nothing in this Agreement shall be deemed to preclude or excuse a party from bringing an administrative claim before any agency in order to fulfill the party’s obligation to exhaust administrative remedies before making a claim in arbitration. Nothing in this Agreement prevents me or the Company from participation in an investigation by a government agency of any report, claim or charge otherwise covered by this Agreement.</w:t>
      </w:r>
    </w:p>
    <w:p>
      <w:pPr>
        <w:spacing w:after="0" w:line="180" w:lineRule="exact"/>
        <w:rPr>
          <w:sz w:val="20"/>
          <w:szCs w:val="20"/>
          <w:color w:val="auto"/>
        </w:rPr>
      </w:pPr>
    </w:p>
    <w:p>
      <w:pPr>
        <w:ind w:left="1544" w:hanging="925"/>
        <w:spacing w:after="0"/>
        <w:tabs>
          <w:tab w:leader="none" w:pos="1544"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p>
    <w:p>
      <w:pPr>
        <w:spacing w:after="0" w:line="210"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21"/>
          <w:szCs w:val="21"/>
          <w:color w:val="auto"/>
        </w:rPr>
        <w:t>If any portion of this Agreement is found to be unenforceable or unlawful for any reason,</w:t>
      </w:r>
    </w:p>
    <w:p>
      <w:pPr>
        <w:spacing w:after="0" w:line="25" w:lineRule="exact"/>
        <w:rPr>
          <w:sz w:val="20"/>
          <w:szCs w:val="20"/>
          <w:color w:val="auto"/>
        </w:rPr>
      </w:pPr>
    </w:p>
    <w:p>
      <w:pPr>
        <w:ind w:left="4" w:right="240" w:hanging="4"/>
        <w:spacing w:after="0" w:line="249" w:lineRule="auto"/>
        <w:tabs>
          <w:tab w:leader="none" w:pos="296"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unenforceable or unlawful provision shall be severed from this Agreement; (2) the remainder of this Agreement or the Parties’ ability to compel arbitration of any arbitrable claims on an individual basis can be enforced; (3) but in no event should severance result in class arbitration, to which the Parties expressly do not agree. To the extent that any claims must proceed on a class,</w:t>
      </w:r>
    </w:p>
    <w:p>
      <w:pPr>
        <w:sectPr>
          <w:pgSz w:w="11900" w:h="16838" w:orient="portrait"/>
          <w:cols w:equalWidth="0" w:num="1">
            <w:col w:w="10584"/>
          </w:cols>
          <w:pgMar w:left="976" w:top="58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4"/>
          <w:szCs w:val="24"/>
          <w:b w:val="1"/>
          <w:bCs w:val="1"/>
          <w:color w:val="auto"/>
        </w:rPr>
        <w:t>Exhibit 10.19</w:t>
      </w:r>
    </w:p>
    <w:p>
      <w:pPr>
        <w:spacing w:after="0" w:line="200" w:lineRule="exact"/>
        <w:rPr>
          <w:sz w:val="20"/>
          <w:szCs w:val="20"/>
          <w:color w:val="auto"/>
        </w:rPr>
      </w:pPr>
    </w:p>
    <w:p>
      <w:pPr>
        <w:spacing w:after="0" w:line="308"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21"/>
          <w:szCs w:val="21"/>
          <w:color w:val="auto"/>
        </w:rPr>
        <w:t>collective, consolidated, or representative basis, such claims must be litigated in a civil court of competent jurisdiction and not in arbitration, and the Parties agree that litigation of those claims shall be severed and stayed pending the outcome of any individual claims in arbitration.</w:t>
      </w:r>
    </w:p>
    <w:p>
      <w:pPr>
        <w:spacing w:after="0" w:line="189" w:lineRule="exact"/>
        <w:rPr>
          <w:sz w:val="20"/>
          <w:szCs w:val="20"/>
          <w:color w:val="auto"/>
        </w:rPr>
      </w:pPr>
    </w:p>
    <w:p>
      <w:pPr>
        <w:ind w:left="1540" w:hanging="925"/>
        <w:spacing w:after="0"/>
        <w:tabs>
          <w:tab w:leader="none" w:pos="154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Provisions</w:t>
      </w:r>
    </w:p>
    <w:p>
      <w:pPr>
        <w:spacing w:after="0" w:line="210" w:lineRule="exact"/>
        <w:rPr>
          <w:sz w:val="20"/>
          <w:szCs w:val="20"/>
          <w:color w:val="auto"/>
        </w:rPr>
      </w:pPr>
    </w:p>
    <w:p>
      <w:pPr>
        <w:jc w:val="both"/>
        <w:ind w:right="140" w:firstLine="619"/>
        <w:spacing w:after="0" w:line="252" w:lineRule="auto"/>
        <w:rPr>
          <w:sz w:val="20"/>
          <w:szCs w:val="20"/>
          <w:color w:val="auto"/>
        </w:rPr>
      </w:pPr>
      <w:r>
        <w:rPr>
          <w:rFonts w:ascii="Times New Roman" w:cs="Times New Roman" w:eastAsia="Times New Roman" w:hAnsi="Times New Roman"/>
          <w:sz w:val="21"/>
          <w:szCs w:val="21"/>
          <w:color w:val="auto"/>
        </w:rPr>
        <w:t>This is the complete agreement between the Company and me about the arbitration of claims. This Agreement supersedes and replaces any prior or current oral or written understandings or discussions on the subject. Neither of us is relying on any representations, oral or written, about the outcome, enforceability or meaning of this Agreement, except as specifically set forth herein.</w:t>
      </w:r>
    </w:p>
    <w:p>
      <w:pPr>
        <w:spacing w:after="0" w:line="172" w:lineRule="exact"/>
        <w:rPr>
          <w:sz w:val="20"/>
          <w:szCs w:val="20"/>
          <w:color w:val="auto"/>
        </w:rPr>
      </w:pPr>
    </w:p>
    <w:p>
      <w:pPr>
        <w:jc w:val="both"/>
        <w:ind w:right="120" w:firstLine="619"/>
        <w:spacing w:after="0" w:line="262" w:lineRule="auto"/>
        <w:rPr>
          <w:sz w:val="20"/>
          <w:szCs w:val="20"/>
          <w:color w:val="auto"/>
        </w:rPr>
      </w:pPr>
      <w:r>
        <w:rPr>
          <w:rFonts w:ascii="Times New Roman" w:cs="Times New Roman" w:eastAsia="Times New Roman" w:hAnsi="Times New Roman"/>
          <w:sz w:val="21"/>
          <w:szCs w:val="21"/>
          <w:color w:val="auto"/>
        </w:rPr>
        <w:t>This Agreement does not in any way alter the “at-will” status of my employment. If there is ever a written employment agreement between us, this Agreement shall apply to and be deemed part of the employment agreement unless the agreement specifically states that this Agreement does not apply.</w:t>
      </w:r>
    </w:p>
    <w:p>
      <w:pPr>
        <w:spacing w:after="0" w:line="150" w:lineRule="exact"/>
        <w:rPr>
          <w:sz w:val="20"/>
          <w:szCs w:val="20"/>
          <w:color w:val="auto"/>
        </w:rPr>
      </w:pPr>
    </w:p>
    <w:p>
      <w:pPr>
        <w:jc w:val="both"/>
        <w:ind w:right="140" w:firstLine="619"/>
        <w:spacing w:after="0" w:line="256" w:lineRule="auto"/>
        <w:rPr>
          <w:sz w:val="20"/>
          <w:szCs w:val="20"/>
          <w:color w:val="auto"/>
        </w:rPr>
      </w:pPr>
      <w:r>
        <w:rPr>
          <w:rFonts w:ascii="Times New Roman" w:cs="Times New Roman" w:eastAsia="Times New Roman" w:hAnsi="Times New Roman"/>
          <w:sz w:val="21"/>
          <w:szCs w:val="21"/>
          <w:color w:val="auto"/>
        </w:rPr>
        <w:t>If and to the fullest extent applicable law permits, all evidence, documents, testimony and arbitration proceedings, including the award, shall be confidential and may be disclosed only to the Parties, their attorneys and professional advisors (such as accountants and insurers), experts, the arbitrator and arbitration witnesses, except to the extent necessary to confirm the award by entry of judgment or to litigate any objection to entry of judgment on the award.</w:t>
      </w:r>
    </w:p>
    <w:p>
      <w:pPr>
        <w:spacing w:after="0" w:line="169" w:lineRule="exact"/>
        <w:rPr>
          <w:sz w:val="20"/>
          <w:szCs w:val="20"/>
          <w:color w:val="auto"/>
        </w:rPr>
      </w:pPr>
    </w:p>
    <w:p>
      <w:pPr>
        <w:jc w:val="both"/>
        <w:ind w:right="140" w:firstLine="619"/>
        <w:spacing w:after="0" w:line="269" w:lineRule="auto"/>
        <w:rPr>
          <w:sz w:val="20"/>
          <w:szCs w:val="20"/>
          <w:color w:val="auto"/>
        </w:rPr>
      </w:pPr>
      <w:r>
        <w:rPr>
          <w:rFonts w:ascii="Times New Roman" w:cs="Times New Roman" w:eastAsia="Times New Roman" w:hAnsi="Times New Roman"/>
          <w:sz w:val="21"/>
          <w:szCs w:val="21"/>
          <w:color w:val="auto"/>
        </w:rPr>
        <w:t>This Agreement shall remain in full force and effect as of the Effective Date, and survives termination of my relationship with the Company.</w:t>
      </w:r>
    </w:p>
    <w:p>
      <w:pPr>
        <w:spacing w:after="0" w:line="168" w:lineRule="exact"/>
        <w:rPr>
          <w:sz w:val="20"/>
          <w:szCs w:val="20"/>
          <w:color w:val="auto"/>
        </w:rPr>
      </w:pPr>
    </w:p>
    <w:p>
      <w:pPr>
        <w:ind w:left="1540" w:hanging="925"/>
        <w:spacing w:after="0"/>
        <w:tabs>
          <w:tab w:leader="none" w:pos="15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Voluntary Agreement to Arbitrate/Knowing Waiver of Rights</w:t>
      </w:r>
    </w:p>
    <w:p>
      <w:pPr>
        <w:spacing w:after="0" w:line="193" w:lineRule="exact"/>
        <w:rPr>
          <w:sz w:val="20"/>
          <w:szCs w:val="20"/>
          <w:color w:val="auto"/>
        </w:rPr>
      </w:pPr>
    </w:p>
    <w:p>
      <w:pPr>
        <w:jc w:val="both"/>
        <w:ind w:right="140" w:firstLine="619"/>
        <w:spacing w:after="0" w:line="257" w:lineRule="auto"/>
        <w:rPr>
          <w:sz w:val="20"/>
          <w:szCs w:val="20"/>
          <w:color w:val="auto"/>
        </w:rPr>
      </w:pPr>
      <w:r>
        <w:rPr>
          <w:rFonts w:ascii="Times New Roman" w:cs="Times New Roman" w:eastAsia="Times New Roman" w:hAnsi="Times New Roman"/>
          <w:sz w:val="21"/>
          <w:szCs w:val="21"/>
          <w:b w:val="1"/>
          <w:bCs w:val="1"/>
          <w:color w:val="auto"/>
        </w:rPr>
        <w:t>The Company and I acknowledge that we have carefully read this Agreement and that we understand its terms. We further acknowledge that we have been given the opportunity to discuss this Agreement with our own legal counsel and have done so to the extent we felt it was necessary to do so, and also acknowledge that this Agreement was entered into voluntarily.</w:t>
      </w: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Accepted and Agreed:</w:t>
      </w:r>
    </w:p>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u w:val="single" w:color="auto"/>
          <w:color w:val="auto"/>
        </w:rPr>
        <w:t>/s/ Sarah Griffis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-27940</wp:posOffset>
            </wp:positionV>
            <wp:extent cx="1308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 xml:space="preserve">Name: </w:t>
      </w:r>
      <w:r>
        <w:rPr>
          <w:rFonts w:ascii="Arial" w:cs="Arial" w:eastAsia="Arial" w:hAnsi="Arial"/>
          <w:sz w:val="13"/>
          <w:szCs w:val="13"/>
          <w:color w:val="auto"/>
        </w:rPr>
        <w:t>sarah griffis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-13970</wp:posOffset>
            </wp:positionV>
            <wp:extent cx="7880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788035" cy="8255"/>
                    </a:xfrm>
                    <a:prstGeom prst="rect">
                      <a:avLst/>
                    </a:prstGeom>
                    <a:noFill/>
                  </pic:spPr>
                </pic:pic>
              </a:graphicData>
            </a:graphic>
          </wp:anchor>
        </w:drawing>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 xml:space="preserve">Date: </w:t>
      </w:r>
      <w:r>
        <w:rPr>
          <w:rFonts w:ascii="Arial" w:cs="Arial" w:eastAsia="Arial" w:hAnsi="Arial"/>
          <w:sz w:val="13"/>
          <w:szCs w:val="13"/>
          <w:color w:val="auto"/>
        </w:rPr>
        <w:t>12/02/2024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-20320</wp:posOffset>
            </wp:positionV>
            <wp:extent cx="5334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533400" cy="8255"/>
                    </a:xfrm>
                    <a:prstGeom prst="rect">
                      <a:avLst/>
                    </a:prstGeom>
                    <a:noFill/>
                  </pic:spPr>
                </pic:pic>
              </a:graphicData>
            </a:graphic>
          </wp:anchor>
        </w:drawing>
      </w:r>
    </w:p>
    <w:p>
      <w:pPr>
        <w:sectPr>
          <w:pgSz w:w="11900" w:h="16838" w:orient="portrait"/>
          <w:cols w:equalWidth="0" w:num="1">
            <w:col w:w="10580"/>
          </w:cols>
          <w:pgMar w:left="980" w:top="58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4"/>
          <w:szCs w:val="24"/>
          <w:b w:val="1"/>
          <w:bCs w:val="1"/>
          <w:color w:val="auto"/>
        </w:rPr>
        <w:t>Exhibit 10.19</w:t>
      </w:r>
    </w:p>
    <w:p>
      <w:pPr>
        <w:spacing w:after="0" w:line="200" w:lineRule="exact"/>
        <w:rPr>
          <w:sz w:val="20"/>
          <w:szCs w:val="20"/>
          <w:color w:val="auto"/>
        </w:rPr>
      </w:pPr>
    </w:p>
    <w:p>
      <w:pPr>
        <w:spacing w:after="0" w:line="286" w:lineRule="exact"/>
        <w:rPr>
          <w:sz w:val="20"/>
          <w:szCs w:val="20"/>
          <w:color w:val="auto"/>
        </w:rPr>
      </w:pPr>
    </w:p>
    <w:p>
      <w:pPr>
        <w:ind w:left="1866" w:right="1800" w:firstLine="381"/>
        <w:spacing w:after="0" w:line="289" w:lineRule="auto"/>
        <w:rPr>
          <w:sz w:val="20"/>
          <w:szCs w:val="20"/>
          <w:color w:val="auto"/>
        </w:rPr>
      </w:pPr>
      <w:r>
        <w:rPr>
          <w:rFonts w:ascii="Times New Roman" w:cs="Times New Roman" w:eastAsia="Times New Roman" w:hAnsi="Times New Roman"/>
          <w:sz w:val="20"/>
          <w:szCs w:val="20"/>
          <w:b w:val="1"/>
          <w:bCs w:val="1"/>
          <w:color w:val="auto"/>
        </w:rPr>
        <w:t>CONFIDENTIAL INFORMATION AND ASSIGNMENT OF INVENTIONS AGREEMENT</w:t>
      </w:r>
    </w:p>
    <w:p>
      <w:pPr>
        <w:spacing w:after="0" w:line="1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In consideration of my employment with Ghost Management Group, LLC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 hereby agree as follows:</w:t>
      </w:r>
    </w:p>
    <w:p>
      <w:pPr>
        <w:spacing w:after="0" w:line="234" w:lineRule="exact"/>
        <w:rPr>
          <w:sz w:val="20"/>
          <w:szCs w:val="20"/>
          <w:color w:val="auto"/>
        </w:rPr>
      </w:pPr>
    </w:p>
    <w:p>
      <w:pPr>
        <w:ind w:left="606" w:hanging="606"/>
        <w:spacing w:after="0"/>
        <w:tabs>
          <w:tab w:leader="none" w:pos="60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Confidentiality</w:t>
      </w:r>
    </w:p>
    <w:p>
      <w:pPr>
        <w:spacing w:after="0" w:line="28" w:lineRule="exact"/>
        <w:rPr>
          <w:rFonts w:ascii="Times New Roman" w:cs="Times New Roman" w:eastAsia="Times New Roman" w:hAnsi="Times New Roman"/>
          <w:sz w:val="20"/>
          <w:szCs w:val="20"/>
          <w:color w:val="auto"/>
        </w:rPr>
      </w:pPr>
    </w:p>
    <w:p>
      <w:pPr>
        <w:ind w:left="6" w:right="360" w:firstLine="642"/>
        <w:spacing w:after="0" w:line="246" w:lineRule="auto"/>
        <w:tabs>
          <w:tab w:leader="none" w:pos="1209"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I understand and agree that in the course of my employment with the Company, I will acquire confidential information concerning the Company’s and its affiliates’ respective business operations, including without limitation financial information, financial analysis, market analysis, contracts, practices, client lists, marketing methods, business plans, pending development, development pipeline, operating and pricing strategies, cost information, vendor information, employee information, creative concepts, designs, marketing strategies, source materials, methods of doing business, discoveries, inventions, and trade secrets (collectively,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w:t>
      </w:r>
    </w:p>
    <w:p>
      <w:pPr>
        <w:spacing w:after="0" w:line="3" w:lineRule="exact"/>
        <w:rPr>
          <w:rFonts w:ascii="Times New Roman" w:cs="Times New Roman" w:eastAsia="Times New Roman" w:hAnsi="Times New Roman"/>
          <w:sz w:val="20"/>
          <w:szCs w:val="20"/>
          <w:color w:val="auto"/>
        </w:rPr>
      </w:pPr>
    </w:p>
    <w:p>
      <w:pPr>
        <w:ind w:left="6" w:right="180" w:firstLine="642"/>
        <w:spacing w:after="0" w:line="247" w:lineRule="auto"/>
        <w:tabs>
          <w:tab w:leader="none" w:pos="1207"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 to Maintain Confidentiality</w:t>
      </w:r>
      <w:r>
        <w:rPr>
          <w:rFonts w:ascii="Times New Roman" w:cs="Times New Roman" w:eastAsia="Times New Roman" w:hAnsi="Times New Roman"/>
          <w:sz w:val="20"/>
          <w:szCs w:val="20"/>
          <w:color w:val="auto"/>
        </w:rPr>
        <w:t>. I understand and agree that Confidential Information will be divulged to me in confidence. I further understand and agree that at all times, during my work for the Company and after my work for the Company ends, I will maintain the strict confidentiality of the Confidential Information to the fullest extent permitted by law and will not disclose it, except in connection with my work for the Company, for the benefit of the Company, and with the express prior knowledge and consent of the Chief Executive Officer of the Company.</w:t>
      </w:r>
    </w:p>
    <w:p>
      <w:pPr>
        <w:spacing w:after="0" w:line="2" w:lineRule="exact"/>
        <w:rPr>
          <w:rFonts w:ascii="Times New Roman" w:cs="Times New Roman" w:eastAsia="Times New Roman" w:hAnsi="Times New Roman"/>
          <w:sz w:val="20"/>
          <w:szCs w:val="20"/>
          <w:color w:val="auto"/>
        </w:rPr>
      </w:pPr>
    </w:p>
    <w:p>
      <w:pPr>
        <w:ind w:left="6" w:right="180" w:firstLine="642"/>
        <w:spacing w:after="0" w:line="247" w:lineRule="auto"/>
        <w:tabs>
          <w:tab w:leader="none" w:pos="1209"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 Party Confidential Information</w:t>
      </w:r>
      <w:r>
        <w:rPr>
          <w:rFonts w:ascii="Times New Roman" w:cs="Times New Roman" w:eastAsia="Times New Roman" w:hAnsi="Times New Roman"/>
          <w:sz w:val="20"/>
          <w:szCs w:val="20"/>
          <w:color w:val="auto"/>
        </w:rPr>
        <w:t>. I understand and agree that in the course of my employment with the Company, I will receive and have access to the confidential information of certain third parties related to the Company, including but not limited to business partners, contractors, customers, customer contact information, and pricing and product purchase history related to such customers (collectively “</w:t>
      </w:r>
      <w:r>
        <w:rPr>
          <w:rFonts w:ascii="Times New Roman" w:cs="Times New Roman" w:eastAsia="Times New Roman" w:hAnsi="Times New Roman"/>
          <w:sz w:val="20"/>
          <w:szCs w:val="20"/>
          <w:b w:val="1"/>
          <w:bCs w:val="1"/>
          <w:color w:val="auto"/>
        </w:rPr>
        <w:t>Third-Party Confidential Information</w:t>
      </w:r>
      <w:r>
        <w:rPr>
          <w:rFonts w:ascii="Times New Roman" w:cs="Times New Roman" w:eastAsia="Times New Roman" w:hAnsi="Times New Roman"/>
          <w:sz w:val="20"/>
          <w:szCs w:val="20"/>
          <w:color w:val="auto"/>
        </w:rPr>
        <w:t>”). I understand and agree that both I and the Company have duties to protect and maintain the confidentiality of Third- Party Confidential Information. I understand and agree that any Third Party Confidential Information will be divulged to me in confidence and understand and agree that at all times, during my work for the Company and after my work for the Company ends, I will keep such Third Party Confidential Information secret and confidential and will not disclose it, except in connection with my work for the company and for the benefit of the Company.</w:t>
      </w:r>
    </w:p>
    <w:p>
      <w:pPr>
        <w:spacing w:after="0" w:line="1" w:lineRule="exact"/>
        <w:rPr>
          <w:rFonts w:ascii="Times New Roman" w:cs="Times New Roman" w:eastAsia="Times New Roman" w:hAnsi="Times New Roman"/>
          <w:sz w:val="20"/>
          <w:szCs w:val="20"/>
          <w:color w:val="auto"/>
        </w:rPr>
      </w:pPr>
    </w:p>
    <w:p>
      <w:pPr>
        <w:ind w:left="6" w:right="460" w:firstLine="642"/>
        <w:spacing w:after="0" w:line="248" w:lineRule="auto"/>
        <w:tabs>
          <w:tab w:leader="none" w:pos="1207"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Required to Protect Confidentiality</w:t>
      </w:r>
      <w:r>
        <w:rPr>
          <w:rFonts w:ascii="Times New Roman" w:cs="Times New Roman" w:eastAsia="Times New Roman" w:hAnsi="Times New Roman"/>
          <w:sz w:val="20"/>
          <w:szCs w:val="20"/>
          <w:color w:val="auto"/>
        </w:rPr>
        <w:t>. In order to protect the confidentiality of the Confidential Information and Third Party Confidential Information, I agree (i) to provide twenty</w:t>
      </w:r>
    </w:p>
    <w:p>
      <w:pPr>
        <w:spacing w:after="0" w:line="1" w:lineRule="exact"/>
        <w:rPr>
          <w:rFonts w:ascii="Times New Roman" w:cs="Times New Roman" w:eastAsia="Times New Roman" w:hAnsi="Times New Roman"/>
          <w:sz w:val="20"/>
          <w:szCs w:val="20"/>
          <w:color w:val="auto"/>
        </w:rPr>
      </w:pPr>
    </w:p>
    <w:p>
      <w:pPr>
        <w:ind w:left="6" w:right="220"/>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 business days’ advance written notice to the Company to the attention of the Chief Executive Officer, with a copy to the Legal Department, of any proposed disclosure of Company or third party documents or information so that the Company can assess and determine whether the information or documents proposed to be disclosed constitute Confidential Information or Third Party Confidential Information and (ii) to maintain such information and documents in confidence until the Company’s determination. I agree that in the event the Company, in its sole discretion, determines such information constitutes Confidential Information or Third-Party Confidential Information, I am prohibited from disclosing any such Confidential Information or Third-Party Confidential Information as set forth in subsections 1(b) and 1(c) of this Agreement. I further understand and agree that I will not make any disclosure of Company or third-party documents or information until I receive written notice from the Company that such documents or information has been approved for public disclosure by the Company.</w:t>
      </w:r>
    </w:p>
    <w:p>
      <w:pPr>
        <w:spacing w:after="0" w:line="5" w:lineRule="exact"/>
        <w:rPr>
          <w:rFonts w:ascii="Times New Roman" w:cs="Times New Roman" w:eastAsia="Times New Roman" w:hAnsi="Times New Roman"/>
          <w:sz w:val="20"/>
          <w:szCs w:val="20"/>
          <w:color w:val="auto"/>
        </w:rPr>
      </w:pPr>
    </w:p>
    <w:p>
      <w:pPr>
        <w:ind w:left="6" w:right="600" w:firstLine="642"/>
        <w:spacing w:after="0" w:line="261" w:lineRule="auto"/>
        <w:tabs>
          <w:tab w:leader="none" w:pos="1209"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Company Property</w:t>
      </w:r>
      <w:r>
        <w:rPr>
          <w:rFonts w:ascii="Times New Roman" w:cs="Times New Roman" w:eastAsia="Times New Roman" w:hAnsi="Times New Roman"/>
          <w:sz w:val="20"/>
          <w:szCs w:val="20"/>
          <w:color w:val="auto"/>
        </w:rPr>
        <w:t>. I am aware that pursuant to California Labor Code § 2860, “everything which an employee acquires by virtue of his employment, except the</w:t>
      </w:r>
    </w:p>
    <w:p>
      <w:pPr>
        <w:sectPr>
          <w:pgSz w:w="11900" w:h="16838" w:orient="portrait"/>
          <w:cols w:equalWidth="0" w:num="1">
            <w:col w:w="10586"/>
          </w:cols>
          <w:pgMar w:left="974" w:top="58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4"/>
          <w:szCs w:val="24"/>
          <w:b w:val="1"/>
          <w:bCs w:val="1"/>
          <w:color w:val="auto"/>
        </w:rPr>
        <w:t>Exhibit 10.19</w:t>
      </w:r>
    </w:p>
    <w:p>
      <w:pPr>
        <w:spacing w:after="0" w:line="200" w:lineRule="exact"/>
        <w:rPr>
          <w:sz w:val="20"/>
          <w:szCs w:val="20"/>
          <w:color w:val="auto"/>
        </w:rPr>
      </w:pPr>
    </w:p>
    <w:p>
      <w:pPr>
        <w:spacing w:after="0" w:line="290" w:lineRule="exact"/>
        <w:rPr>
          <w:sz w:val="20"/>
          <w:szCs w:val="20"/>
          <w:color w:val="auto"/>
        </w:rPr>
      </w:pPr>
    </w:p>
    <w:p>
      <w:pPr>
        <w:ind w:left="6" w:right="220"/>
        <w:spacing w:after="0" w:line="264" w:lineRule="auto"/>
        <w:rPr>
          <w:sz w:val="20"/>
          <w:szCs w:val="20"/>
          <w:color w:val="auto"/>
        </w:rPr>
      </w:pPr>
      <w:r>
        <w:rPr>
          <w:rFonts w:ascii="Times New Roman" w:cs="Times New Roman" w:eastAsia="Times New Roman" w:hAnsi="Times New Roman"/>
          <w:sz w:val="19"/>
          <w:szCs w:val="19"/>
          <w:color w:val="auto"/>
        </w:rPr>
        <w:t>compensation which is due to him from his employer, belongs to the employer.” I understand that this means that all Company property, including physical property, documents, and Confidential Information or Third-Party Confidential Information that I receive or create during my employment with the Company, belongs to the Company. I understand and agree that I have a duty and a responsibility to return all such property upon termination of my employment with the Company. I therefore agree that, pursuant to that duty, upon termination of my work for the Company, or at any other time upon the Company’s request, I will promptly deliver to the Company all such property, documents, Confidential Information, and Third-Party Confidential Information.</w:t>
      </w:r>
    </w:p>
    <w:p>
      <w:pPr>
        <w:spacing w:after="0" w:line="2" w:lineRule="exact"/>
        <w:rPr>
          <w:sz w:val="20"/>
          <w:szCs w:val="20"/>
          <w:color w:val="auto"/>
        </w:rPr>
      </w:pPr>
    </w:p>
    <w:p>
      <w:pPr>
        <w:ind w:left="6" w:right="640" w:firstLine="642"/>
        <w:spacing w:after="0" w:line="251" w:lineRule="auto"/>
        <w:tabs>
          <w:tab w:leader="none" w:pos="12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w:t>
      </w:r>
      <w:r>
        <w:rPr>
          <w:rFonts w:ascii="Times New Roman" w:cs="Times New Roman" w:eastAsia="Times New Roman" w:hAnsi="Times New Roman"/>
          <w:sz w:val="20"/>
          <w:szCs w:val="20"/>
          <w:color w:val="auto"/>
        </w:rPr>
        <w:t>. Notwithstanding the foregoing, the definition of “Confidential Information” as well as the obligations to maintain such Confidential Information as set forth in Section 1(b) of this Agreement, shall be construed in a manner to be consistent with California Business and Professions Code § 16600 (or any similar law of any other state), which provides:</w:t>
      </w:r>
    </w:p>
    <w:p>
      <w:pPr>
        <w:spacing w:after="0" w:line="211" w:lineRule="exact"/>
        <w:rPr>
          <w:sz w:val="20"/>
          <w:szCs w:val="20"/>
          <w:color w:val="auto"/>
        </w:rPr>
      </w:pPr>
    </w:p>
    <w:p>
      <w:pPr>
        <w:ind w:left="686" w:right="1680" w:hanging="1"/>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333333"/>
        </w:rPr>
        <w:t>(a) Except as provided in this chapter, every contract by which anyone is restrained from engaging in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333333"/>
        </w:rPr>
        <w:t>lawful profession, trade, or business of any kind is to that extent void.</w:t>
      </w:r>
    </w:p>
    <w:p>
      <w:pPr>
        <w:spacing w:after="0" w:line="1" w:lineRule="exact"/>
        <w:rPr>
          <w:sz w:val="20"/>
          <w:szCs w:val="20"/>
          <w:color w:val="auto"/>
        </w:rPr>
      </w:pPr>
    </w:p>
    <w:p>
      <w:pPr>
        <w:jc w:val="both"/>
        <w:ind w:left="1246" w:right="1500" w:hanging="551"/>
        <w:spacing w:after="0" w:line="259" w:lineRule="auto"/>
        <w:tabs>
          <w:tab w:leader="none" w:pos="1241" w:val="left"/>
        </w:tabs>
        <w:numPr>
          <w:ilvl w:val="0"/>
          <w:numId w:val="81"/>
        </w:numPr>
        <w:rPr>
          <w:rFonts w:ascii="Times New Roman" w:cs="Times New Roman" w:eastAsia="Times New Roman" w:hAnsi="Times New Roman"/>
          <w:sz w:val="19"/>
          <w:szCs w:val="19"/>
          <w:color w:val="333333"/>
        </w:rPr>
      </w:pPr>
      <w:r>
        <w:rPr>
          <w:rFonts w:ascii="Times New Roman" w:cs="Times New Roman" w:eastAsia="Times New Roman" w:hAnsi="Times New Roman"/>
          <w:sz w:val="19"/>
          <w:szCs w:val="19"/>
          <w:color w:val="333333"/>
        </w:rPr>
        <w:t xml:space="preserve">(1) This section shall be read broadly, in accordance with </w:t>
      </w:r>
      <w:r>
        <w:rPr>
          <w:rFonts w:ascii="Times New Roman" w:cs="Times New Roman" w:eastAsia="Times New Roman" w:hAnsi="Times New Roman"/>
          <w:sz w:val="19"/>
          <w:szCs w:val="19"/>
          <w:u w:val="single" w:color="auto"/>
          <w:color w:val="333333"/>
        </w:rPr>
        <w:t>Edwards v. Arthur Andersen LLP</w:t>
      </w:r>
      <w:r>
        <w:rPr>
          <w:rFonts w:ascii="Times New Roman" w:cs="Times New Roman" w:eastAsia="Times New Roman" w:hAnsi="Times New Roman"/>
          <w:sz w:val="19"/>
          <w:szCs w:val="19"/>
          <w:color w:val="333333"/>
        </w:rPr>
        <w:t xml:space="preserve"> (2008) 44 Cal.4th 937, to void the application of any noncompete agreement in an employment context, or any noncompete clause in an employment contract, no matter how narrowly tailored, that does not</w:t>
      </w:r>
    </w:p>
    <w:p>
      <w:pPr>
        <w:spacing w:after="0" w:line="2" w:lineRule="exact"/>
        <w:rPr>
          <w:sz w:val="20"/>
          <w:szCs w:val="20"/>
          <w:color w:val="auto"/>
        </w:rPr>
      </w:pPr>
    </w:p>
    <w:p>
      <w:pPr>
        <w:ind w:left="1246"/>
        <w:spacing w:after="0"/>
        <w:rPr>
          <w:sz w:val="20"/>
          <w:szCs w:val="20"/>
          <w:color w:val="auto"/>
        </w:rPr>
      </w:pPr>
      <w:r>
        <w:rPr>
          <w:rFonts w:ascii="Times New Roman" w:cs="Times New Roman" w:eastAsia="Times New Roman" w:hAnsi="Times New Roman"/>
          <w:sz w:val="20"/>
          <w:szCs w:val="20"/>
          <w:color w:val="333333"/>
        </w:rPr>
        <w:t>satisfy an exception in this chapter.</w:t>
      </w:r>
    </w:p>
    <w:p>
      <w:pPr>
        <w:spacing w:after="0" w:line="11" w:lineRule="exact"/>
        <w:rPr>
          <w:sz w:val="20"/>
          <w:szCs w:val="20"/>
          <w:color w:val="auto"/>
        </w:rPr>
      </w:pPr>
    </w:p>
    <w:p>
      <w:pPr>
        <w:ind w:left="1226" w:right="3540" w:firstLine="9"/>
        <w:spacing w:after="0" w:line="235" w:lineRule="auto"/>
        <w:tabs>
          <w:tab w:leader="none" w:pos="1506" w:val="left"/>
        </w:tabs>
        <w:numPr>
          <w:ilvl w:val="1"/>
          <w:numId w:val="82"/>
        </w:numPr>
        <w:rPr>
          <w:rFonts w:ascii="Times New Roman" w:cs="Times New Roman" w:eastAsia="Times New Roman" w:hAnsi="Times New Roman"/>
          <w:sz w:val="20"/>
          <w:szCs w:val="20"/>
          <w:color w:val="333333"/>
        </w:rPr>
      </w:pPr>
      <w:r>
        <w:rPr>
          <w:rFonts w:ascii="Times New Roman" w:cs="Times New Roman" w:eastAsia="Times New Roman" w:hAnsi="Times New Roman"/>
          <w:sz w:val="20"/>
          <w:szCs w:val="20"/>
          <w:color w:val="333333"/>
        </w:rPr>
        <w:t>This subdivision does not constitute a change in, but is declaratory of, existing law.</w:t>
      </w:r>
    </w:p>
    <w:p>
      <w:pPr>
        <w:ind w:left="1206" w:hanging="512"/>
        <w:spacing w:after="0"/>
        <w:tabs>
          <w:tab w:leader="none" w:pos="1206" w:val="left"/>
        </w:tabs>
        <w:numPr>
          <w:ilvl w:val="0"/>
          <w:numId w:val="83"/>
        </w:numPr>
        <w:rPr>
          <w:rFonts w:ascii="Times New Roman" w:cs="Times New Roman" w:eastAsia="Times New Roman" w:hAnsi="Times New Roman"/>
          <w:sz w:val="20"/>
          <w:szCs w:val="20"/>
          <w:color w:val="333333"/>
        </w:rPr>
      </w:pPr>
      <w:r>
        <w:rPr>
          <w:rFonts w:ascii="Times New Roman" w:cs="Times New Roman" w:eastAsia="Times New Roman" w:hAnsi="Times New Roman"/>
          <w:sz w:val="20"/>
          <w:szCs w:val="20"/>
          <w:color w:val="333333"/>
        </w:rPr>
        <w:t>This section shall not be limited to contracts where the person being restrained from engaging in a</w:t>
      </w:r>
    </w:p>
    <w:p>
      <w:pPr>
        <w:spacing w:after="0" w:line="6" w:lineRule="exact"/>
        <w:rPr>
          <w:sz w:val="20"/>
          <w:szCs w:val="20"/>
          <w:color w:val="auto"/>
        </w:rPr>
      </w:pPr>
    </w:p>
    <w:p>
      <w:pPr>
        <w:ind w:left="686"/>
        <w:spacing w:after="0"/>
        <w:rPr>
          <w:sz w:val="20"/>
          <w:szCs w:val="20"/>
          <w:color w:val="auto"/>
        </w:rPr>
      </w:pPr>
      <w:r>
        <w:rPr>
          <w:rFonts w:ascii="Times New Roman" w:cs="Times New Roman" w:eastAsia="Times New Roman" w:hAnsi="Times New Roman"/>
          <w:sz w:val="20"/>
          <w:szCs w:val="20"/>
          <w:color w:val="333333"/>
        </w:rPr>
        <w:t>lawful profession, trade, or business is a party to the contract.”</w:t>
      </w:r>
    </w:p>
    <w:p>
      <w:pPr>
        <w:spacing w:after="0" w:line="204" w:lineRule="exact"/>
        <w:rPr>
          <w:sz w:val="20"/>
          <w:szCs w:val="20"/>
          <w:color w:val="auto"/>
        </w:rPr>
      </w:pPr>
    </w:p>
    <w:p>
      <w:pPr>
        <w:ind w:left="606" w:hanging="606"/>
        <w:spacing w:after="0"/>
        <w:tabs>
          <w:tab w:leader="none" w:pos="60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Inventions</w:t>
      </w:r>
    </w:p>
    <w:p>
      <w:pPr>
        <w:spacing w:after="0" w:line="28" w:lineRule="exact"/>
        <w:rPr>
          <w:rFonts w:ascii="Times New Roman" w:cs="Times New Roman" w:eastAsia="Times New Roman" w:hAnsi="Times New Roman"/>
          <w:sz w:val="20"/>
          <w:szCs w:val="20"/>
          <w:color w:val="auto"/>
        </w:rPr>
      </w:pPr>
    </w:p>
    <w:p>
      <w:pPr>
        <w:ind w:left="6" w:right="300" w:firstLine="642"/>
        <w:spacing w:after="0" w:line="259" w:lineRule="auto"/>
        <w:tabs>
          <w:tab w:leader="none" w:pos="1209"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Ownership</w:t>
      </w:r>
      <w:r>
        <w:rPr>
          <w:rFonts w:ascii="Times New Roman" w:cs="Times New Roman" w:eastAsia="Times New Roman" w:hAnsi="Times New Roman"/>
          <w:sz w:val="19"/>
          <w:szCs w:val="19"/>
          <w:color w:val="auto"/>
        </w:rPr>
        <w:t>. If at any time during my employment, whether or not during regular working hours, I, either alone or with others, make, conceive, create, discover, invent, develop, improve, add to, or reduce to practice any invention, modification, discovery, drawing, design, concept, idea, specification, development, audiovisual work, pictorial, graphic work, sound recording, improvement, process, software program, work of authorship, documentation, formula, data, technique, know-how, trade secret, trade name, domain name, logos and get-up, computer data, databases, applications for registration, renewals and extensions in relation to any of the above, or any intellectual property right whatsoever or any interest therein (whether or not patentable or registrable under copyright, trademark or similar statutes), and all intangible rights and privileges of a nature similar, analogous or allied to any of the above in any part of the world (herein called “</w:t>
      </w:r>
      <w:r>
        <w:rPr>
          <w:rFonts w:ascii="Times New Roman" w:cs="Times New Roman" w:eastAsia="Times New Roman" w:hAnsi="Times New Roman"/>
          <w:sz w:val="19"/>
          <w:szCs w:val="19"/>
          <w:b w:val="1"/>
          <w:bCs w:val="1"/>
          <w:color w:val="auto"/>
        </w:rPr>
        <w:t>Inventions</w:t>
      </w:r>
      <w:r>
        <w:rPr>
          <w:rFonts w:ascii="Times New Roman" w:cs="Times New Roman" w:eastAsia="Times New Roman" w:hAnsi="Times New Roman"/>
          <w:sz w:val="19"/>
          <w:szCs w:val="19"/>
          <w:color w:val="auto"/>
        </w:rPr>
        <w:t>”) that: (i) relate to the present or planned business of the Company or its affiliates or any of the products or services being developed, manufactured or sold by the Company or its affiliates, or which may be used in relation therewith during the term of my employment; (ii) result from responsibilities assigned to me by the Company; or (iii) result from the use of premises or personal property (whether tangible or intangible) owned, leased or contracted for by the Company or any of its affiliates, such Inventions and the benefits thereof are and shall immediately become the sole and absolute property of the Company and its assigns, as works made for hire or otherwise.</w:t>
      </w:r>
    </w:p>
    <w:p>
      <w:pPr>
        <w:spacing w:after="0" w:line="7" w:lineRule="exact"/>
        <w:rPr>
          <w:rFonts w:ascii="Times New Roman" w:cs="Times New Roman" w:eastAsia="Times New Roman" w:hAnsi="Times New Roman"/>
          <w:sz w:val="19"/>
          <w:szCs w:val="19"/>
          <w:color w:val="auto"/>
        </w:rPr>
      </w:pPr>
    </w:p>
    <w:p>
      <w:pPr>
        <w:ind w:left="6" w:right="460" w:firstLine="642"/>
        <w:spacing w:after="0" w:line="257" w:lineRule="auto"/>
        <w:tabs>
          <w:tab w:leader="none" w:pos="1207"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Waiver of Moral Rights</w:t>
      </w:r>
      <w:r>
        <w:rPr>
          <w:rFonts w:ascii="Times New Roman" w:cs="Times New Roman" w:eastAsia="Times New Roman" w:hAnsi="Times New Roman"/>
          <w:sz w:val="20"/>
          <w:szCs w:val="20"/>
          <w:color w:val="auto"/>
        </w:rPr>
        <w:t>. I hereby assign any rights (including, but not limited to, any copyrights and trademarks) I may have or acquire in the Inventions and benefits</w:t>
      </w:r>
    </w:p>
    <w:p>
      <w:pPr>
        <w:sectPr>
          <w:pgSz w:w="11900" w:h="16838" w:orient="portrait"/>
          <w:cols w:equalWidth="0" w:num="1">
            <w:col w:w="10586"/>
          </w:cols>
          <w:pgMar w:left="974" w:top="58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4"/>
          <w:szCs w:val="24"/>
          <w:b w:val="1"/>
          <w:bCs w:val="1"/>
          <w:color w:val="auto"/>
        </w:rPr>
        <w:t>Exhibit 10.19</w:t>
      </w:r>
    </w:p>
    <w:p>
      <w:pPr>
        <w:spacing w:after="0" w:line="200" w:lineRule="exact"/>
        <w:rPr>
          <w:sz w:val="20"/>
          <w:szCs w:val="20"/>
          <w:color w:val="auto"/>
        </w:rPr>
      </w:pPr>
    </w:p>
    <w:p>
      <w:pPr>
        <w:spacing w:after="0" w:line="290" w:lineRule="exact"/>
        <w:rPr>
          <w:sz w:val="20"/>
          <w:szCs w:val="20"/>
          <w:color w:val="auto"/>
        </w:rPr>
      </w:pPr>
    </w:p>
    <w:p>
      <w:pPr>
        <w:ind w:left="6" w:right="260"/>
        <w:spacing w:after="0" w:line="251" w:lineRule="auto"/>
        <w:rPr>
          <w:sz w:val="20"/>
          <w:szCs w:val="20"/>
          <w:color w:val="auto"/>
        </w:rPr>
      </w:pPr>
      <w:r>
        <w:rPr>
          <w:rFonts w:ascii="Times New Roman" w:cs="Times New Roman" w:eastAsia="Times New Roman" w:hAnsi="Times New Roman"/>
          <w:sz w:val="20"/>
          <w:szCs w:val="20"/>
          <w:color w:val="auto"/>
        </w:rPr>
        <w:t>and/or rights resulting therefrom to the Company and its assigns without further compensation and shall communicate, without cost or delay, and without disclosing to others the same, all available information relating thereto (with all necessary plans and models) to the Company. Notwithstanding the above, to the extent that the Inventions do not belong to the Company, then to the fullest extent permitted by the law, I shall assign to the Company, by way of present assignment of future rights in respect of rights not yet created, the Inventions and hold in trust for the benefit of the Company the ownership of the Inventions until they belong entirely to the Company. In addition to the foregoing assignment of Inventions to the Company, I hereby irrevocably transfer and assign to the Company:</w:t>
      </w:r>
    </w:p>
    <w:p>
      <w:pPr>
        <w:spacing w:after="0" w:line="1" w:lineRule="exact"/>
        <w:rPr>
          <w:sz w:val="20"/>
          <w:szCs w:val="20"/>
          <w:color w:val="auto"/>
        </w:rPr>
      </w:pPr>
    </w:p>
    <w:p>
      <w:pPr>
        <w:ind w:left="6" w:right="200" w:hanging="6"/>
        <w:spacing w:after="0" w:line="259" w:lineRule="auto"/>
        <w:tabs>
          <w:tab w:leader="none" w:pos="242"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worldwide patents, patent applications, copyrights, mask works, trade secrets and other intellectual property rights in any Inventions, and (ii) any and all “Moral Rights” (as defined below) that I may have in or with respect to any Inventions. I also hereby forever waive and agree never to assert any and all Moral Rights I may have in or with respect to the Inventions, even after termination of my employment with the Company. For the purposes of this Agreement, “</w:t>
      </w:r>
      <w:r>
        <w:rPr>
          <w:rFonts w:ascii="Times New Roman" w:cs="Times New Roman" w:eastAsia="Times New Roman" w:hAnsi="Times New Roman"/>
          <w:sz w:val="19"/>
          <w:szCs w:val="19"/>
          <w:b w:val="1"/>
          <w:bCs w:val="1"/>
          <w:color w:val="auto"/>
        </w:rPr>
        <w:t>Moral Rights</w:t>
      </w:r>
      <w:r>
        <w:rPr>
          <w:rFonts w:ascii="Times New Roman" w:cs="Times New Roman" w:eastAsia="Times New Roman" w:hAnsi="Times New Roman"/>
          <w:sz w:val="19"/>
          <w:szCs w:val="19"/>
          <w:color w:val="auto"/>
        </w:rPr>
        <w:t>” mean any rights to claim authorship of the Inventions, to object to or prevent the modification of any Inventions, or to withdraw from circulation or control the publication or distribution of any Inventions, and any similar right, existing under judicial or statutory law of any country in the world, or under any treaty, regardless of whether or not such right is denominated or generally referred to as a “moral right.”</w:t>
      </w:r>
    </w:p>
    <w:p>
      <w:pPr>
        <w:spacing w:after="0" w:line="3" w:lineRule="exact"/>
        <w:rPr>
          <w:rFonts w:ascii="Times New Roman" w:cs="Times New Roman" w:eastAsia="Times New Roman" w:hAnsi="Times New Roman"/>
          <w:sz w:val="19"/>
          <w:szCs w:val="19"/>
          <w:color w:val="auto"/>
        </w:rPr>
      </w:pPr>
    </w:p>
    <w:p>
      <w:pPr>
        <w:ind w:left="6" w:right="160" w:firstLine="642"/>
        <w:spacing w:after="0" w:line="247" w:lineRule="auto"/>
        <w:tabs>
          <w:tab w:leader="none" w:pos="1209"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Assistance</w:t>
      </w:r>
      <w:r>
        <w:rPr>
          <w:rFonts w:ascii="Times New Roman" w:cs="Times New Roman" w:eastAsia="Times New Roman" w:hAnsi="Times New Roman"/>
          <w:sz w:val="20"/>
          <w:szCs w:val="20"/>
          <w:color w:val="auto"/>
        </w:rPr>
        <w:t>. I will, during my employment and at any time thereafter, at the request and cost of the Company, promptly sign, execute, make and do all such deeds, documents, acts and things as the Company and its duly authorized agents may reasonably require for giving full effect to this Section 2 and securing to the Company or its assignee the full benefits of the rights, power, privileges and remedies conferred on the Company by this Section 2 to the fullest extent permitted by the law, including but not limited to: (i) to apply for, obtain, register and vest in the name of the Company alone (unless the Company otherwise directs) letters patent, copyrights, trademarks or other analogous protection in any country throughout the world and, when so obtained or vested, to renew and restore the same; and (ii) to defend any judicial, opposition or other proceedings in respect of such applications and any judicial, opposition or other proceedings or petitions or applications for revocation of such letters patent, copyright, trademark or other analogous protection. In the event the Company is unable, after reasonable effort, to secure my signature on any application for letters patent, copyright or trademark registration or other documents regarding any legal protection relating to the Inventions, whether because of my physical or mental incapacity or for any other reason whatsoever, I hereby irrevocably designate and appoint the Company and its duly authorized officers and agents as my agent and attorney-in-fact, to act for and on my behalf and stead to execute and file any such application or applications or other documents and to do all other lawfully permitted acts to give full effect to this Section 2, including furthering the prosecution and issuance of letters patent, copyright or trademark registrations or any other legal protection thereon with the same legal force and effect as if executed by me. In addition, I will not do anything, whether by omission or commission, during or after my employment, to affect or imperil the validity of Inventions owned or used by the Company and its related entities.</w:t>
      </w:r>
    </w:p>
    <w:p>
      <w:pPr>
        <w:spacing w:after="0" w:line="11" w:lineRule="exact"/>
        <w:rPr>
          <w:rFonts w:ascii="Times New Roman" w:cs="Times New Roman" w:eastAsia="Times New Roman" w:hAnsi="Times New Roman"/>
          <w:sz w:val="20"/>
          <w:szCs w:val="20"/>
          <w:color w:val="auto"/>
        </w:rPr>
      </w:pPr>
    </w:p>
    <w:p>
      <w:pPr>
        <w:ind w:left="1206" w:hanging="558"/>
        <w:spacing w:after="0"/>
        <w:tabs>
          <w:tab w:leader="none" w:pos="1206"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w:t>
      </w:r>
      <w:r>
        <w:rPr>
          <w:rFonts w:ascii="Times New Roman" w:cs="Times New Roman" w:eastAsia="Times New Roman" w:hAnsi="Times New Roman"/>
          <w:sz w:val="20"/>
          <w:szCs w:val="20"/>
          <w:color w:val="auto"/>
        </w:rPr>
        <w:t>. Notwithstanding the foregoing, any provision in this Agreement requiring me to assign my rights</w:t>
      </w:r>
    </w:p>
    <w:p>
      <w:pPr>
        <w:spacing w:after="0" w:line="11" w:lineRule="exact"/>
        <w:rPr>
          <w:sz w:val="20"/>
          <w:szCs w:val="20"/>
          <w:color w:val="auto"/>
        </w:rPr>
      </w:pPr>
    </w:p>
    <w:p>
      <w:pPr>
        <w:ind w:left="6" w:right="600"/>
        <w:spacing w:after="0" w:line="261" w:lineRule="auto"/>
        <w:rPr>
          <w:sz w:val="20"/>
          <w:szCs w:val="20"/>
          <w:color w:val="auto"/>
        </w:rPr>
      </w:pPr>
      <w:r>
        <w:rPr>
          <w:rFonts w:ascii="Times New Roman" w:cs="Times New Roman" w:eastAsia="Times New Roman" w:hAnsi="Times New Roman"/>
          <w:sz w:val="20"/>
          <w:szCs w:val="20"/>
          <w:color w:val="auto"/>
        </w:rPr>
        <w:t>shall not apply to an Invention that qualifies fully under the provisions of California Labor Code § 2870 (or any similar law of any other state), which provides:</w:t>
      </w:r>
    </w:p>
    <w:p>
      <w:pPr>
        <w:spacing w:after="0" w:line="174" w:lineRule="exact"/>
        <w:rPr>
          <w:sz w:val="20"/>
          <w:szCs w:val="20"/>
          <w:color w:val="auto"/>
        </w:rPr>
      </w:pPr>
    </w:p>
    <w:p>
      <w:pPr>
        <w:ind w:left="626" w:right="1660"/>
        <w:spacing w:after="0" w:line="263" w:lineRule="auto"/>
        <w:rPr>
          <w:sz w:val="20"/>
          <w:szCs w:val="20"/>
          <w:color w:val="auto"/>
        </w:rPr>
      </w:pPr>
      <w:r>
        <w:rPr>
          <w:rFonts w:ascii="Times New Roman" w:cs="Times New Roman" w:eastAsia="Times New Roman" w:hAnsi="Times New Roman"/>
          <w:sz w:val="20"/>
          <w:szCs w:val="20"/>
          <w:color w:val="auto"/>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w:t>
      </w:r>
    </w:p>
    <w:p>
      <w:pPr>
        <w:sectPr>
          <w:pgSz w:w="11900" w:h="16838" w:orient="portrait"/>
          <w:cols w:equalWidth="0" w:num="1">
            <w:col w:w="10586"/>
          </w:cols>
          <w:pgMar w:left="974" w:top="58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4"/>
          <w:szCs w:val="24"/>
          <w:b w:val="1"/>
          <w:bCs w:val="1"/>
          <w:color w:val="auto"/>
        </w:rPr>
        <w:t>Exhibit 10.19</w:t>
      </w:r>
    </w:p>
    <w:p>
      <w:pPr>
        <w:spacing w:after="0" w:line="200" w:lineRule="exact"/>
        <w:rPr>
          <w:sz w:val="20"/>
          <w:szCs w:val="20"/>
          <w:color w:val="auto"/>
        </w:rPr>
      </w:pPr>
    </w:p>
    <w:p>
      <w:pPr>
        <w:spacing w:after="0" w:line="290"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20"/>
          <w:szCs w:val="20"/>
          <w:color w:val="auto"/>
        </w:rPr>
        <w:t>employer’s equipment, supplies, facilities, or trade secret information except for those inventions that either:</w:t>
      </w:r>
    </w:p>
    <w:p>
      <w:pPr>
        <w:spacing w:after="0" w:line="28" w:lineRule="exact"/>
        <w:rPr>
          <w:sz w:val="20"/>
          <w:szCs w:val="20"/>
          <w:color w:val="auto"/>
        </w:rPr>
      </w:pPr>
    </w:p>
    <w:p>
      <w:pPr>
        <w:ind w:left="1246" w:right="1640" w:hanging="5"/>
        <w:spacing w:after="0" w:line="261" w:lineRule="auto"/>
        <w:tabs>
          <w:tab w:leader="none" w:pos="1826"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Relate at the time of conception or reduction to practice of the invention to the employer’s business, or actual or demonstrably anticipated research or Work Product of the employer; or</w:t>
      </w:r>
    </w:p>
    <w:p>
      <w:pPr>
        <w:spacing w:after="0" w:line="1" w:lineRule="exact"/>
        <w:rPr>
          <w:rFonts w:ascii="Times New Roman" w:cs="Times New Roman" w:eastAsia="Times New Roman" w:hAnsi="Times New Roman"/>
          <w:sz w:val="19"/>
          <w:szCs w:val="19"/>
          <w:color w:val="auto"/>
        </w:rPr>
      </w:pPr>
    </w:p>
    <w:p>
      <w:pPr>
        <w:ind w:left="1826" w:hanging="585"/>
        <w:spacing w:after="0"/>
        <w:tabs>
          <w:tab w:leader="none" w:pos="1826"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from any work performed by the employee for the employer.</w:t>
      </w:r>
    </w:p>
    <w:p>
      <w:pPr>
        <w:spacing w:after="0" w:line="10" w:lineRule="exact"/>
        <w:rPr>
          <w:rFonts w:ascii="Times New Roman" w:cs="Times New Roman" w:eastAsia="Times New Roman" w:hAnsi="Times New Roman"/>
          <w:sz w:val="20"/>
          <w:szCs w:val="20"/>
          <w:color w:val="auto"/>
        </w:rPr>
      </w:pPr>
    </w:p>
    <w:p>
      <w:pPr>
        <w:ind w:left="626" w:right="1680" w:hanging="5"/>
        <w:spacing w:after="0" w:line="252" w:lineRule="auto"/>
        <w:tabs>
          <w:tab w:leader="none" w:pos="1051"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195" w:lineRule="exact"/>
        <w:rPr>
          <w:sz w:val="20"/>
          <w:szCs w:val="20"/>
          <w:color w:val="auto"/>
        </w:rPr>
      </w:pPr>
    </w:p>
    <w:p>
      <w:pPr>
        <w:ind w:left="6" w:right="360"/>
        <w:spacing w:after="0" w:line="250" w:lineRule="auto"/>
        <w:rPr>
          <w:sz w:val="20"/>
          <w:szCs w:val="20"/>
          <w:color w:val="auto"/>
        </w:rPr>
      </w:pPr>
      <w:r>
        <w:rPr>
          <w:rFonts w:ascii="Times New Roman" w:cs="Times New Roman" w:eastAsia="Times New Roman" w:hAnsi="Times New Roman"/>
          <w:sz w:val="20"/>
          <w:szCs w:val="20"/>
          <w:color w:val="auto"/>
        </w:rPr>
        <w:t>During my employment, I agree to disclose promptly to the Company all of my Inventions, made solely or jointly with others, even if I believe that an Invention falls within the provisions of California Labor Code § 2870. If I believe that the Invention falls within California Labor Code § 2870, I further agree, at the time of disclosure, to provide a written notice to the Company indicating such belief. Failure to provide such written notice shall be construed as an admission that all rights in the Invention belong to the Company.</w:t>
      </w:r>
    </w:p>
    <w:p>
      <w:pPr>
        <w:spacing w:after="0" w:line="1" w:lineRule="exact"/>
        <w:rPr>
          <w:sz w:val="20"/>
          <w:szCs w:val="20"/>
          <w:color w:val="auto"/>
        </w:rPr>
      </w:pPr>
    </w:p>
    <w:p>
      <w:pPr>
        <w:ind w:left="6" w:right="320" w:firstLine="642"/>
        <w:spacing w:after="0" w:line="264" w:lineRule="auto"/>
        <w:tabs>
          <w:tab w:leader="none" w:pos="1209"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Exceptions</w:t>
      </w:r>
      <w:r>
        <w:rPr>
          <w:rFonts w:ascii="Times New Roman" w:cs="Times New Roman" w:eastAsia="Times New Roman" w:hAnsi="Times New Roman"/>
          <w:sz w:val="19"/>
          <w:szCs w:val="19"/>
          <w:color w:val="auto"/>
        </w:rPr>
        <w:t xml:space="preserve">. In order to avoid disputes over the application of this assignment to prior inventions or copyrightable materials, I have listed on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to this Agreement descriptions of patentable inventions and copyrightable materials that I have developed and reduced to practice prior to the date hereof and that are, accordingly, excepted from the provisions of this Section 2. If no items are listed on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I represent that I have no such inventions or materials at the time of signing this Agreement. Notwithstanding the foregoing, I shall not include or incorporate any elements from any patentable inventions or copyrightable materials listed on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into any Company works and, to the extent that I do, I agree the Company shall be permitted to use such elements royalty and fee free in perpetuity without payment of any license or fee to me or to any third party.</w:t>
      </w:r>
    </w:p>
    <w:p>
      <w:pPr>
        <w:spacing w:after="0" w:line="195" w:lineRule="exact"/>
        <w:rPr>
          <w:rFonts w:ascii="Times New Roman" w:cs="Times New Roman" w:eastAsia="Times New Roman" w:hAnsi="Times New Roman"/>
          <w:sz w:val="19"/>
          <w:szCs w:val="19"/>
          <w:color w:val="auto"/>
        </w:rPr>
      </w:pPr>
    </w:p>
    <w:p>
      <w:pPr>
        <w:ind w:left="606" w:hanging="606"/>
        <w:spacing w:after="0"/>
        <w:tabs>
          <w:tab w:leader="none" w:pos="60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Non-Disparagement</w:t>
      </w:r>
    </w:p>
    <w:p>
      <w:pPr>
        <w:spacing w:after="0" w:line="15" w:lineRule="exact"/>
        <w:rPr>
          <w:sz w:val="20"/>
          <w:szCs w:val="20"/>
          <w:color w:val="auto"/>
        </w:rPr>
      </w:pPr>
    </w:p>
    <w:p>
      <w:pPr>
        <w:ind w:left="6" w:right="300"/>
        <w:spacing w:after="0" w:line="250" w:lineRule="auto"/>
        <w:rPr>
          <w:sz w:val="20"/>
          <w:szCs w:val="20"/>
          <w:color w:val="auto"/>
        </w:rPr>
      </w:pPr>
      <w:r>
        <w:rPr>
          <w:rFonts w:ascii="Times New Roman" w:cs="Times New Roman" w:eastAsia="Times New Roman" w:hAnsi="Times New Roman"/>
          <w:sz w:val="20"/>
          <w:szCs w:val="20"/>
          <w:color w:val="auto"/>
        </w:rPr>
        <w:t>I agree that during my employment with the Company and for a period of one (1) year thereafter, not to make any disloyal, reckless, or maliciously untrue comments (whether verbally or in writing) to any third party concerning the Company or any of its affiliates or any of the foregoing persons’ or entities’ current and former officers, directors, shareholders, employees, representatives, attorneys and agents, as well as their predecessors, parents, subsidiaries, affiliates, divisions, and successors-in-interest. The foregoing shall not apply to the extent contemplated in Section 7 of this Agreement.</w:t>
      </w:r>
    </w:p>
    <w:p>
      <w:pPr>
        <w:spacing w:after="0" w:line="194" w:lineRule="exact"/>
        <w:rPr>
          <w:sz w:val="20"/>
          <w:szCs w:val="20"/>
          <w:color w:val="auto"/>
        </w:rPr>
      </w:pPr>
    </w:p>
    <w:p>
      <w:pPr>
        <w:ind w:left="606" w:hanging="606"/>
        <w:spacing w:after="0"/>
        <w:tabs>
          <w:tab w:leader="none" w:pos="60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28" w:lineRule="exact"/>
        <w:rPr>
          <w:rFonts w:ascii="Times New Roman" w:cs="Times New Roman" w:eastAsia="Times New Roman" w:hAnsi="Times New Roman"/>
          <w:sz w:val="20"/>
          <w:szCs w:val="20"/>
          <w:color w:val="auto"/>
        </w:rPr>
      </w:pPr>
    </w:p>
    <w:p>
      <w:pPr>
        <w:ind w:left="6" w:right="340" w:firstLine="640"/>
        <w:spacing w:after="0" w:line="245" w:lineRule="auto"/>
        <w:tabs>
          <w:tab w:leader="none" w:pos="1207"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Agreements</w:t>
      </w:r>
      <w:r>
        <w:rPr>
          <w:rFonts w:ascii="Times New Roman" w:cs="Times New Roman" w:eastAsia="Times New Roman" w:hAnsi="Times New Roman"/>
          <w:sz w:val="20"/>
          <w:szCs w:val="20"/>
          <w:color w:val="auto"/>
        </w:rPr>
        <w:t>. I hereby represent and warrant that, except as I have disclosed in writing to the Company, I am not bound by the terms of any agreement with any previous employer or other party to refrain from using or disclosing any trade secret or confidential or proprietary information in the course of my work for the Company or to refrain from competing, directly or indirectly, with the business of such previous employer or any other party.</w:t>
      </w:r>
    </w:p>
    <w:p>
      <w:pPr>
        <w:spacing w:after="0" w:line="2" w:lineRule="exact"/>
        <w:rPr>
          <w:rFonts w:ascii="Times New Roman" w:cs="Times New Roman" w:eastAsia="Times New Roman" w:hAnsi="Times New Roman"/>
          <w:sz w:val="20"/>
          <w:szCs w:val="20"/>
          <w:color w:val="auto"/>
        </w:rPr>
      </w:pPr>
    </w:p>
    <w:p>
      <w:pPr>
        <w:ind w:left="6" w:right="280" w:firstLine="640"/>
        <w:spacing w:after="0" w:line="253" w:lineRule="auto"/>
        <w:tabs>
          <w:tab w:leader="none" w:pos="1205"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Others’ Confidential Information</w:t>
      </w:r>
      <w:r>
        <w:rPr>
          <w:rFonts w:ascii="Times New Roman" w:cs="Times New Roman" w:eastAsia="Times New Roman" w:hAnsi="Times New Roman"/>
          <w:sz w:val="20"/>
          <w:szCs w:val="20"/>
          <w:color w:val="auto"/>
        </w:rPr>
        <w:t>. I hereby represent and warrant that my performance of all the terms of this Agreement and as an employee of the Company does not and will not breach any agreement to keep in confidence proprietary information, knowledge or data acquired by me in confidence or in trust prior to my work for the Company, and I will not disclose to</w:t>
      </w:r>
    </w:p>
    <w:p>
      <w:pPr>
        <w:sectPr>
          <w:pgSz w:w="11900" w:h="16838" w:orient="portrait"/>
          <w:cols w:equalWidth="0" w:num="1">
            <w:col w:w="10586"/>
          </w:cols>
          <w:pgMar w:left="974" w:top="58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4"/>
          <w:szCs w:val="24"/>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 w:right="780"/>
        <w:spacing w:after="0" w:line="260" w:lineRule="auto"/>
        <w:rPr>
          <w:sz w:val="20"/>
          <w:szCs w:val="20"/>
          <w:color w:val="auto"/>
        </w:rPr>
      </w:pPr>
      <w:r>
        <w:rPr>
          <w:rFonts w:ascii="Times New Roman" w:cs="Times New Roman" w:eastAsia="Times New Roman" w:hAnsi="Times New Roman"/>
          <w:sz w:val="20"/>
          <w:szCs w:val="20"/>
          <w:color w:val="auto"/>
        </w:rPr>
        <w:t>the Company or induce the Company to use any confidential information or material belonging to any previous employer or others.</w:t>
      </w:r>
    </w:p>
    <w:p>
      <w:pPr>
        <w:spacing w:after="0" w:line="1" w:lineRule="exact"/>
        <w:rPr>
          <w:sz w:val="20"/>
          <w:szCs w:val="20"/>
          <w:color w:val="auto"/>
        </w:rPr>
      </w:pPr>
    </w:p>
    <w:p>
      <w:pPr>
        <w:ind w:left="6" w:right="300" w:firstLine="640"/>
        <w:spacing w:after="0" w:line="248" w:lineRule="auto"/>
        <w:tabs>
          <w:tab w:leader="none" w:pos="1207"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Original Work</w:t>
      </w:r>
      <w:r>
        <w:rPr>
          <w:rFonts w:ascii="Times New Roman" w:cs="Times New Roman" w:eastAsia="Times New Roman" w:hAnsi="Times New Roman"/>
          <w:sz w:val="20"/>
          <w:szCs w:val="20"/>
          <w:color w:val="auto"/>
        </w:rPr>
        <w:t>. I hereby represent and warrant that all of the product resulting from my work for the Company will be original (other than work product that is derived from the work product of others, which is clearly such or that I identify as such), and will not infringe the rights of any third party, including, without limitation, intellectual property rights, such as rights pertaining to patents, trademarks, copyrights and trade secrets.</w:t>
      </w:r>
    </w:p>
    <w:p>
      <w:pPr>
        <w:spacing w:after="0" w:line="209" w:lineRule="exact"/>
        <w:rPr>
          <w:rFonts w:ascii="Times New Roman" w:cs="Times New Roman" w:eastAsia="Times New Roman" w:hAnsi="Times New Roman"/>
          <w:sz w:val="20"/>
          <w:szCs w:val="20"/>
          <w:color w:val="auto"/>
        </w:rPr>
      </w:pPr>
    </w:p>
    <w:p>
      <w:pPr>
        <w:ind w:left="606" w:hanging="606"/>
        <w:spacing w:after="0"/>
        <w:tabs>
          <w:tab w:leader="none" w:pos="60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Obligations</w:t>
      </w:r>
    </w:p>
    <w:p>
      <w:pPr>
        <w:spacing w:after="0" w:line="15" w:lineRule="exact"/>
        <w:rPr>
          <w:sz w:val="20"/>
          <w:szCs w:val="20"/>
          <w:color w:val="auto"/>
        </w:rPr>
      </w:pPr>
    </w:p>
    <w:p>
      <w:pPr>
        <w:ind w:left="6" w:right="340" w:hanging="1"/>
        <w:spacing w:after="0" w:line="248" w:lineRule="auto"/>
        <w:rPr>
          <w:sz w:val="20"/>
          <w:szCs w:val="20"/>
          <w:color w:val="auto"/>
        </w:rPr>
      </w:pPr>
      <w:r>
        <w:rPr>
          <w:rFonts w:ascii="Times New Roman" w:cs="Times New Roman" w:eastAsia="Times New Roman" w:hAnsi="Times New Roman"/>
          <w:sz w:val="20"/>
          <w:szCs w:val="20"/>
          <w:color w:val="auto"/>
        </w:rPr>
        <w:t>I acknowledge that the Company from time to time may have agreements with others which impose obligations or restrictions on the Company regarding Inventions made during the course of work under such agreements or regarding the confidential nature of such work. I agree to take all action necessary to discharge the obligations of the Company under such agreements, to the extent the Company makes such obligations known to me.</w:t>
      </w:r>
    </w:p>
    <w:p>
      <w:pPr>
        <w:spacing w:after="0" w:line="209" w:lineRule="exact"/>
        <w:rPr>
          <w:sz w:val="20"/>
          <w:szCs w:val="20"/>
          <w:color w:val="auto"/>
        </w:rPr>
      </w:pPr>
    </w:p>
    <w:p>
      <w:pPr>
        <w:ind w:left="606" w:hanging="606"/>
        <w:spacing w:after="0"/>
        <w:tabs>
          <w:tab w:leader="none" w:pos="60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Employment At Will</w:t>
      </w:r>
    </w:p>
    <w:p>
      <w:pPr>
        <w:spacing w:after="0" w:line="28" w:lineRule="exact"/>
        <w:rPr>
          <w:sz w:val="20"/>
          <w:szCs w:val="20"/>
          <w:color w:val="auto"/>
        </w:rPr>
      </w:pPr>
    </w:p>
    <w:p>
      <w:pPr>
        <w:ind w:left="6" w:right="460" w:hanging="1"/>
        <w:spacing w:after="0" w:line="248" w:lineRule="auto"/>
        <w:rPr>
          <w:sz w:val="20"/>
          <w:szCs w:val="20"/>
          <w:color w:val="auto"/>
        </w:rPr>
      </w:pPr>
      <w:r>
        <w:rPr>
          <w:rFonts w:ascii="Times New Roman" w:cs="Times New Roman" w:eastAsia="Times New Roman" w:hAnsi="Times New Roman"/>
          <w:sz w:val="20"/>
          <w:szCs w:val="20"/>
          <w:color w:val="auto"/>
        </w:rPr>
        <w:t>I understand that this Agreement does not constitute a contract of employment and does not imply that my employment will continue for any period of time. I acknowledge that I am an “at-will” employee, and that the Company has the right to terminate my employment at any time with or without cause, with two weeks’ notice. I also have the right, if I so choose, to terminate my employment at any time, with two weeks’ notice.</w:t>
      </w:r>
    </w:p>
    <w:p>
      <w:pPr>
        <w:spacing w:after="0" w:line="197" w:lineRule="exact"/>
        <w:rPr>
          <w:sz w:val="20"/>
          <w:szCs w:val="20"/>
          <w:color w:val="auto"/>
        </w:rPr>
      </w:pPr>
    </w:p>
    <w:p>
      <w:pPr>
        <w:ind w:left="606" w:hanging="606"/>
        <w:spacing w:after="0"/>
        <w:tabs>
          <w:tab w:leader="none" w:pos="606"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Protected Activities</w:t>
      </w:r>
    </w:p>
    <w:p>
      <w:pPr>
        <w:spacing w:after="0" w:line="28" w:lineRule="exact"/>
        <w:rPr>
          <w:sz w:val="20"/>
          <w:szCs w:val="20"/>
          <w:color w:val="auto"/>
        </w:rPr>
      </w:pPr>
    </w:p>
    <w:p>
      <w:pPr>
        <w:ind w:left="6" w:right="220"/>
        <w:spacing w:after="0" w:line="248" w:lineRule="auto"/>
        <w:rPr>
          <w:sz w:val="20"/>
          <w:szCs w:val="20"/>
          <w:color w:val="auto"/>
        </w:rPr>
      </w:pPr>
      <w:r>
        <w:rPr>
          <w:rFonts w:ascii="Times New Roman" w:cs="Times New Roman" w:eastAsia="Times New Roman" w:hAnsi="Times New Roman"/>
          <w:sz w:val="20"/>
          <w:szCs w:val="20"/>
          <w:color w:val="auto"/>
        </w:rPr>
        <w:t>I understand that nothing in this Agreement prevents me from: (i) discussing or disclosing information about unlawful acts in the workplace, including, but not limited to, harassment or discrimination or any other conduct that I have reason to believe is unlawful; (ii) engaging in any activity protected by the National Labor Relations Act; (iii) making a report to the Securities and Exchange Commission pursuant to Section 21F of the Securities Exchange Act of 1934; or (iv) making any other disclosures permitted by federal, state, and/or local laws to governmental regulatory or law enforcement agencies without notice to or approval from the Company.</w:t>
      </w:r>
    </w:p>
    <w:p>
      <w:pPr>
        <w:spacing w:after="0" w:line="198" w:lineRule="exact"/>
        <w:rPr>
          <w:sz w:val="20"/>
          <w:szCs w:val="20"/>
          <w:color w:val="auto"/>
        </w:rPr>
      </w:pPr>
    </w:p>
    <w:p>
      <w:pPr>
        <w:ind w:left="606" w:hanging="606"/>
        <w:spacing w:after="0"/>
        <w:tabs>
          <w:tab w:leader="none" w:pos="60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8" w:lineRule="exact"/>
        <w:rPr>
          <w:rFonts w:ascii="Times New Roman" w:cs="Times New Roman" w:eastAsia="Times New Roman" w:hAnsi="Times New Roman"/>
          <w:sz w:val="20"/>
          <w:szCs w:val="20"/>
          <w:color w:val="auto"/>
        </w:rPr>
      </w:pPr>
    </w:p>
    <w:p>
      <w:pPr>
        <w:ind w:left="6" w:right="520" w:firstLine="642"/>
        <w:spacing w:after="0" w:line="244" w:lineRule="auto"/>
        <w:tabs>
          <w:tab w:leader="none" w:pos="1209"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will not affect the validity or enforceability of any other provision of this Agreement.</w:t>
      </w:r>
    </w:p>
    <w:p>
      <w:pPr>
        <w:jc w:val="both"/>
        <w:ind w:left="6" w:right="340" w:firstLine="642"/>
        <w:spacing w:after="0" w:line="246" w:lineRule="auto"/>
        <w:tabs>
          <w:tab w:leader="none" w:pos="1207"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supersedes all prior agreements, written or oral, between me and the Company relating to the subject matter of this Agreement. This Agreement may not be modified, changed or discharged in whole or in part, except by an agreement in writing signed by me and the Company.</w:t>
      </w:r>
    </w:p>
    <w:p>
      <w:pPr>
        <w:spacing w:after="0" w:line="1" w:lineRule="exact"/>
        <w:rPr>
          <w:rFonts w:ascii="Times New Roman" w:cs="Times New Roman" w:eastAsia="Times New Roman" w:hAnsi="Times New Roman"/>
          <w:sz w:val="20"/>
          <w:szCs w:val="20"/>
          <w:color w:val="auto"/>
        </w:rPr>
      </w:pPr>
    </w:p>
    <w:p>
      <w:pPr>
        <w:ind w:left="6" w:right="640" w:firstLine="642"/>
        <w:spacing w:after="0" w:line="248" w:lineRule="auto"/>
        <w:tabs>
          <w:tab w:leader="none" w:pos="1209"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will be binding upon my heirs, executors and administrators and will inure to the benefit of the Company and its successors and assigns.</w:t>
      </w:r>
    </w:p>
    <w:p>
      <w:pPr>
        <w:spacing w:after="0" w:line="1" w:lineRule="exact"/>
        <w:rPr>
          <w:rFonts w:ascii="Times New Roman" w:cs="Times New Roman" w:eastAsia="Times New Roman" w:hAnsi="Times New Roman"/>
          <w:sz w:val="20"/>
          <w:szCs w:val="20"/>
          <w:color w:val="auto"/>
        </w:rPr>
      </w:pPr>
    </w:p>
    <w:p>
      <w:pPr>
        <w:ind w:left="6" w:right="300" w:firstLine="642"/>
        <w:spacing w:after="0" w:line="246" w:lineRule="auto"/>
        <w:tabs>
          <w:tab w:leader="none" w:pos="1207"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w:t>
      </w:r>
      <w:r>
        <w:rPr>
          <w:rFonts w:ascii="Times New Roman" w:cs="Times New Roman" w:eastAsia="Times New Roman" w:hAnsi="Times New Roman"/>
          <w:sz w:val="20"/>
          <w:szCs w:val="20"/>
          <w:color w:val="auto"/>
        </w:rPr>
        <w:t>. 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spacing w:after="0" w:line="1" w:lineRule="exact"/>
        <w:rPr>
          <w:rFonts w:ascii="Times New Roman" w:cs="Times New Roman" w:eastAsia="Times New Roman" w:hAnsi="Times New Roman"/>
          <w:sz w:val="20"/>
          <w:szCs w:val="20"/>
          <w:color w:val="auto"/>
        </w:rPr>
      </w:pPr>
    </w:p>
    <w:p>
      <w:pPr>
        <w:ind w:left="6" w:right="460" w:firstLine="642"/>
        <w:spacing w:after="0" w:line="249" w:lineRule="auto"/>
        <w:tabs>
          <w:tab w:leader="none" w:pos="1209"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Transfers</w:t>
      </w:r>
      <w:r>
        <w:rPr>
          <w:rFonts w:ascii="Times New Roman" w:cs="Times New Roman" w:eastAsia="Times New Roman" w:hAnsi="Times New Roman"/>
          <w:sz w:val="20"/>
          <w:szCs w:val="20"/>
          <w:color w:val="auto"/>
        </w:rPr>
        <w:t>. I expressly consent to be bound by the provisions of this Agreement for the benefit of the Company or any subsidiary or affiliate thereof to whose employ I may be transferred without the necessity that this Agreement be re-signed at the time of such transfer.</w:t>
      </w:r>
    </w:p>
    <w:p>
      <w:pPr>
        <w:sectPr>
          <w:pgSz w:w="11900" w:h="16838" w:orient="portrait"/>
          <w:cols w:equalWidth="0" w:num="1">
            <w:col w:w="10586"/>
          </w:cols>
          <w:pgMar w:left="974" w:top="58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4"/>
          <w:szCs w:val="24"/>
          <w:b w:val="1"/>
          <w:bCs w:val="1"/>
          <w:color w:val="auto"/>
        </w:rPr>
        <w:t>Exhibit 10.19</w:t>
      </w:r>
    </w:p>
    <w:p>
      <w:pPr>
        <w:spacing w:after="0" w:line="200" w:lineRule="exact"/>
        <w:rPr>
          <w:sz w:val="20"/>
          <w:szCs w:val="20"/>
          <w:color w:val="auto"/>
        </w:rPr>
      </w:pPr>
    </w:p>
    <w:p>
      <w:pPr>
        <w:spacing w:after="0" w:line="290" w:lineRule="exact"/>
        <w:rPr>
          <w:sz w:val="20"/>
          <w:szCs w:val="20"/>
          <w:color w:val="auto"/>
        </w:rPr>
      </w:pPr>
    </w:p>
    <w:p>
      <w:pPr>
        <w:ind w:right="580" w:firstLine="642"/>
        <w:spacing w:after="0" w:line="260" w:lineRule="auto"/>
        <w:tabs>
          <w:tab w:leader="none" w:pos="1193"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will be governed by and construed in accordance with the laws of the State of California, other than those relating to the choice of law provisions.</w:t>
      </w:r>
    </w:p>
    <w:p>
      <w:pPr>
        <w:ind w:right="240" w:firstLine="642"/>
        <w:spacing w:after="0" w:line="246" w:lineRule="auto"/>
        <w:tabs>
          <w:tab w:leader="none" w:pos="120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The restrictions contained in this Agreement are necessary for the protection of the business and goodwill of the Company, and I consider them to be reasonable for such purpose. I recognize that irreparable damages would be caused to the Company, and that monetary damages would not compensate the Company for its loss, should I breach the terms of this Agreement. Accordingly, in addition to all other remedies available to the Company at law or in equity, upon a showing by the Company that I have violated or am about to violate the terms of this Agreement, I hereby consent to the entry by a court of competent jurisdiction of an injunction or declaratory judgment enforcing the terms of this Agreement, including without limitation preventing disclosure or further disclosure by me of the Company’s trade secrets.</w:t>
      </w:r>
    </w:p>
    <w:p>
      <w:pPr>
        <w:spacing w:after="0" w:line="4" w:lineRule="exact"/>
        <w:rPr>
          <w:rFonts w:ascii="Times New Roman" w:cs="Times New Roman" w:eastAsia="Times New Roman" w:hAnsi="Times New Roman"/>
          <w:sz w:val="20"/>
          <w:szCs w:val="20"/>
          <w:color w:val="auto"/>
        </w:rPr>
      </w:pPr>
    </w:p>
    <w:p>
      <w:pPr>
        <w:ind w:right="280" w:firstLine="642"/>
        <w:spacing w:after="0" w:line="249" w:lineRule="auto"/>
        <w:tabs>
          <w:tab w:leader="none" w:pos="120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Narrow Construction Where Necessary</w:t>
      </w:r>
      <w:r>
        <w:rPr>
          <w:rFonts w:ascii="Times New Roman" w:cs="Times New Roman" w:eastAsia="Times New Roman" w:hAnsi="Times New Roman"/>
          <w:sz w:val="20"/>
          <w:szCs w:val="20"/>
          <w:color w:val="auto"/>
        </w:rPr>
        <w:t>. I agree that if any one or more of the provisions of this Agreement will for any reason be held to be excessively broad as to time, duration, geographical scope, activity or subject, it will be construed by limiting and reducing it, so as to be enforceable to the extent compatible with the applicable law as it will then appear.</w:t>
      </w:r>
    </w:p>
    <w:p>
      <w:pPr>
        <w:spacing w:after="0" w:line="2" w:lineRule="exact"/>
        <w:rPr>
          <w:rFonts w:ascii="Times New Roman" w:cs="Times New Roman" w:eastAsia="Times New Roman" w:hAnsi="Times New Roman"/>
          <w:sz w:val="20"/>
          <w:szCs w:val="20"/>
          <w:color w:val="auto"/>
        </w:rPr>
      </w:pPr>
    </w:p>
    <w:p>
      <w:pPr>
        <w:ind w:right="280" w:firstLine="642"/>
        <w:spacing w:after="0" w:line="248" w:lineRule="auto"/>
        <w:tabs>
          <w:tab w:leader="none" w:pos="119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Certificate</w:t>
      </w:r>
      <w:r>
        <w:rPr>
          <w:rFonts w:ascii="Times New Roman" w:cs="Times New Roman" w:eastAsia="Times New Roman" w:hAnsi="Times New Roman"/>
          <w:sz w:val="20"/>
          <w:szCs w:val="20"/>
          <w:color w:val="auto"/>
        </w:rPr>
        <w:t>. If requested to do so by the Company, I agree to sign a termination certificate in which I confirm that I have complied with and will continue to comply with the requirements of this Agreement and that I am aware that certain restrictions imposed upon me by this Agreement continue after termination of my work for the Company. I understand, however, that my rights and obligations under this Agreement will continue even if I do not sign a termination certificate. I further agree that the Company is entitled to communicate my obligations under this Agreement to any future employer or potential employer of mine.</w:t>
      </w:r>
    </w:p>
    <w:p>
      <w:pPr>
        <w:spacing w:after="0" w:line="200" w:lineRule="exact"/>
        <w:rPr>
          <w:sz w:val="20"/>
          <w:szCs w:val="20"/>
          <w:color w:val="auto"/>
        </w:rPr>
      </w:pPr>
    </w:p>
    <w:p>
      <w:pPr>
        <w:spacing w:after="0" w:line="24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Employee:</w:t>
      </w:r>
    </w:p>
    <w:p>
      <w:pPr>
        <w:spacing w:after="0" w:line="28" w:lineRule="exact"/>
        <w:rPr>
          <w:sz w:val="20"/>
          <w:szCs w:val="20"/>
          <w:color w:val="auto"/>
        </w:rPr>
      </w:pPr>
    </w:p>
    <w:p>
      <w:pPr>
        <w:spacing w:after="0"/>
        <w:tabs>
          <w:tab w:leader="none" w:pos="2900" w:val="left"/>
        </w:tabs>
        <w:rPr>
          <w:sz w:val="20"/>
          <w:szCs w:val="20"/>
          <w:color w:val="auto"/>
        </w:rPr>
      </w:pPr>
      <w:r>
        <w:rPr>
          <w:rFonts w:ascii="Times New Roman" w:cs="Times New Roman" w:eastAsia="Times New Roman" w:hAnsi="Times New Roman"/>
          <w:sz w:val="20"/>
          <w:szCs w:val="20"/>
          <w:color w:val="auto"/>
        </w:rPr>
        <w:t xml:space="preserve">Date: </w:t>
      </w:r>
      <w:r>
        <w:rPr>
          <w:rFonts w:ascii="Arial" w:cs="Arial" w:eastAsia="Arial" w:hAnsi="Arial"/>
          <w:sz w:val="34"/>
          <w:szCs w:val="34"/>
          <w:u w:val="single" w:color="auto"/>
          <w:color w:val="auto"/>
        </w:rPr>
        <w:t>12/02/2024</w:t>
      </w:r>
      <w:r>
        <w:rPr>
          <w:sz w:val="20"/>
          <w:szCs w:val="20"/>
          <w:color w:val="auto"/>
        </w:rPr>
        <w:tab/>
      </w:r>
      <w:r>
        <w:rPr>
          <w:rFonts w:ascii="Times New Roman" w:cs="Times New Roman" w:eastAsia="Times New Roman" w:hAnsi="Times New Roman"/>
          <w:sz w:val="19"/>
          <w:szCs w:val="19"/>
          <w:color w:val="auto"/>
        </w:rPr>
        <w:t>/s/ Sarah Griffis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1828165</wp:posOffset>
            </wp:positionH>
            <wp:positionV relativeFrom="paragraph">
              <wp:posOffset>-41275</wp:posOffset>
            </wp:positionV>
            <wp:extent cx="830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ind w:left="430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21" w:lineRule="exact"/>
        <w:rPr>
          <w:sz w:val="20"/>
          <w:szCs w:val="20"/>
          <w:color w:val="auto"/>
        </w:rPr>
      </w:pPr>
    </w:p>
    <w:p>
      <w:pPr>
        <w:ind w:left="4300"/>
        <w:spacing w:after="0"/>
        <w:rPr>
          <w:sz w:val="20"/>
          <w:szCs w:val="20"/>
          <w:color w:val="auto"/>
        </w:rPr>
      </w:pPr>
      <w:r>
        <w:rPr>
          <w:rFonts w:ascii="Arial" w:cs="Arial" w:eastAsia="Arial" w:hAnsi="Arial"/>
          <w:sz w:val="36"/>
          <w:szCs w:val="36"/>
          <w:color w:val="auto"/>
        </w:rPr>
        <w:t>sarah griffis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-15240</wp:posOffset>
            </wp:positionV>
            <wp:extent cx="143510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1435100" cy="16510"/>
                    </a:xfrm>
                    <a:prstGeom prst="rect">
                      <a:avLst/>
                    </a:prstGeom>
                    <a:noFill/>
                  </pic:spPr>
                </pic:pic>
              </a:graphicData>
            </a:graphic>
          </wp:anchor>
        </w:drawing>
      </w:r>
    </w:p>
    <w:p>
      <w:pPr>
        <w:spacing w:after="0" w:line="4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Printed Name</w:t>
      </w:r>
    </w:p>
    <w:p>
      <w:pPr>
        <w:sectPr>
          <w:pgSz w:w="11900" w:h="16838" w:orient="portrait"/>
          <w:cols w:equalWidth="0" w:num="1">
            <w:col w:w="10580"/>
          </w:cols>
          <w:pgMar w:left="980" w:top="58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4"/>
          <w:szCs w:val="24"/>
          <w:b w:val="1"/>
          <w:bCs w:val="1"/>
          <w:color w:val="auto"/>
        </w:rPr>
        <w:t>Exhibit 10.19</w:t>
      </w:r>
    </w:p>
    <w:p>
      <w:pPr>
        <w:spacing w:after="0" w:line="200" w:lineRule="exact"/>
        <w:rPr>
          <w:sz w:val="20"/>
          <w:szCs w:val="20"/>
          <w:color w:val="auto"/>
        </w:rPr>
      </w:pPr>
    </w:p>
    <w:p>
      <w:pPr>
        <w:spacing w:after="0" w:line="28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38" w:lineRule="exact"/>
        <w:rPr>
          <w:sz w:val="20"/>
          <w:szCs w:val="20"/>
          <w:color w:val="auto"/>
        </w:rPr>
      </w:pPr>
    </w:p>
    <w:p>
      <w:pPr>
        <w:ind w:right="860" w:hanging="1"/>
        <w:spacing w:after="0" w:line="266" w:lineRule="auto"/>
        <w:rPr>
          <w:sz w:val="20"/>
          <w:szCs w:val="20"/>
          <w:color w:val="auto"/>
        </w:rPr>
      </w:pPr>
      <w:r>
        <w:rPr>
          <w:rFonts w:ascii="Times New Roman" w:cs="Times New Roman" w:eastAsia="Times New Roman" w:hAnsi="Times New Roman"/>
          <w:sz w:val="20"/>
          <w:szCs w:val="20"/>
          <w:color w:val="auto"/>
        </w:rPr>
        <w:t>(Please type or print legibly. Attach additional sheets if necessary to provide a complete description. If you have nothing to disclose, type or print “None” below.)</w:t>
      </w:r>
    </w:p>
    <w:p>
      <w:pPr>
        <w:spacing w:after="0" w:line="1" w:lineRule="exact"/>
        <w:rPr>
          <w:sz w:val="20"/>
          <w:szCs w:val="20"/>
          <w:color w:val="auto"/>
        </w:rPr>
      </w:pPr>
    </w:p>
    <w:p>
      <w:pPr>
        <w:ind w:left="20"/>
        <w:spacing w:after="0"/>
        <w:rPr>
          <w:sz w:val="20"/>
          <w:szCs w:val="20"/>
          <w:color w:val="auto"/>
        </w:rPr>
      </w:pPr>
      <w:r>
        <w:rPr>
          <w:rFonts w:ascii="Arial" w:cs="Arial" w:eastAsia="Arial" w:hAnsi="Arial"/>
          <w:sz w:val="34"/>
          <w:szCs w:val="34"/>
          <w:color w:val="auto"/>
        </w:rPr>
        <w:t>N/A</w:t>
      </w:r>
    </w:p>
    <w:p>
      <w:pPr>
        <w:sectPr>
          <w:pgSz w:w="11900" w:h="16838" w:orient="portrait"/>
          <w:cols w:equalWidth="0" w:num="1">
            <w:col w:w="10580"/>
          </w:cols>
          <w:pgMar w:left="980" w:top="581"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b w:val="1"/>
          <w:bCs w:val="1"/>
          <w:color w:val="auto"/>
        </w:rPr>
        <w:t>WM Technology, Inc.</w:t>
      </w:r>
    </w:p>
    <w:p>
      <w:pPr>
        <w:spacing w:after="0" w:line="15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spacing w:after="0" w:line="1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b w:val="1"/>
          <w:bCs w:val="1"/>
          <w:color w:val="auto"/>
        </w:rPr>
        <w:t>Approved and Adopted by the Board of Directors: June 16, 2021</w:t>
      </w:r>
    </w:p>
    <w:p>
      <w:pPr>
        <w:spacing w:after="0" w:line="1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Effective: June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290830</wp:posOffset>
            </wp:positionV>
            <wp:extent cx="71386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Policy Principles</w:t>
      </w:r>
    </w:p>
    <w:p>
      <w:pPr>
        <w:spacing w:after="0" w:line="111" w:lineRule="exact"/>
        <w:rPr>
          <w:sz w:val="20"/>
          <w:szCs w:val="20"/>
          <w:color w:val="auto"/>
        </w:rPr>
      </w:pPr>
    </w:p>
    <w:p>
      <w:pPr>
        <w:jc w:val="both"/>
        <w:ind w:left="500" w:hanging="307"/>
        <w:spacing w:after="0" w:line="257" w:lineRule="auto"/>
        <w:tabs>
          <w:tab w:leader="none" w:pos="489"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Employees, directors, other applicable members of management and designated consultants (each a “</w:t>
      </w:r>
      <w:r>
        <w:rPr>
          <w:rFonts w:ascii="Times New Roman" w:cs="Times New Roman" w:eastAsia="Times New Roman" w:hAnsi="Times New Roman"/>
          <w:sz w:val="19"/>
          <w:szCs w:val="19"/>
          <w:b w:val="1"/>
          <w:bCs w:val="1"/>
          <w:i w:val="1"/>
          <w:iCs w:val="1"/>
          <w:color w:val="auto"/>
        </w:rPr>
        <w:t>Covered Person</w:t>
      </w:r>
      <w:r>
        <w:rPr>
          <w:rFonts w:ascii="Times New Roman" w:cs="Times New Roman" w:eastAsia="Times New Roman" w:hAnsi="Times New Roman"/>
          <w:sz w:val="19"/>
          <w:szCs w:val="19"/>
          <w:color w:val="auto"/>
        </w:rPr>
        <w:t>,” and collectively, “</w:t>
      </w:r>
      <w:r>
        <w:rPr>
          <w:rFonts w:ascii="Times New Roman" w:cs="Times New Roman" w:eastAsia="Times New Roman" w:hAnsi="Times New Roman"/>
          <w:sz w:val="19"/>
          <w:szCs w:val="19"/>
          <w:b w:val="1"/>
          <w:bCs w:val="1"/>
          <w:i w:val="1"/>
          <w:iCs w:val="1"/>
          <w:color w:val="auto"/>
        </w:rPr>
        <w:t>Covered Persons</w:t>
      </w:r>
      <w:r>
        <w:rPr>
          <w:rFonts w:ascii="Times New Roman" w:cs="Times New Roman" w:eastAsia="Times New Roman" w:hAnsi="Times New Roman"/>
          <w:sz w:val="19"/>
          <w:szCs w:val="19"/>
          <w:color w:val="auto"/>
        </w:rPr>
        <w:t>”) of WM Technology, Inc. and its subsidiaries (together,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are responsible for understanding the obligations that come with having access to material nonpublic information (defined below) and wanting to transact in the Company’s securities.</w:t>
      </w:r>
    </w:p>
    <w:p>
      <w:pPr>
        <w:spacing w:after="0" w:line="75" w:lineRule="exact"/>
        <w:rPr>
          <w:rFonts w:ascii="Times New Roman" w:cs="Times New Roman" w:eastAsia="Times New Roman" w:hAnsi="Times New Roman"/>
          <w:sz w:val="19"/>
          <w:szCs w:val="19"/>
          <w:color w:val="auto"/>
        </w:rPr>
      </w:pPr>
    </w:p>
    <w:p>
      <w:pPr>
        <w:ind w:left="500" w:hanging="307"/>
        <w:spacing w:after="0" w:line="283" w:lineRule="auto"/>
        <w:tabs>
          <w:tab w:leader="none" w:pos="489"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Covered Persons who are aware of material nonpublic information relating to the Company may not engage in transactions in the Company’s securities except as permitted by this Insider Trading Policy (this “</w:t>
      </w:r>
      <w:r>
        <w:rPr>
          <w:rFonts w:ascii="Times New Roman" w:cs="Times New Roman" w:eastAsia="Times New Roman" w:hAnsi="Times New Roman"/>
          <w:sz w:val="19"/>
          <w:szCs w:val="19"/>
          <w:b w:val="1"/>
          <w:bCs w:val="1"/>
          <w:i w:val="1"/>
          <w:iCs w:val="1"/>
          <w:color w:val="auto"/>
        </w:rPr>
        <w:t>Policy</w:t>
      </w:r>
      <w:r>
        <w:rPr>
          <w:rFonts w:ascii="Times New Roman" w:cs="Times New Roman" w:eastAsia="Times New Roman" w:hAnsi="Times New Roman"/>
          <w:sz w:val="19"/>
          <w:szCs w:val="19"/>
          <w:color w:val="auto"/>
        </w:rPr>
        <w:t>”) and applicable law.</w:t>
      </w:r>
    </w:p>
    <w:p>
      <w:pPr>
        <w:spacing w:after="0" w:line="39" w:lineRule="exact"/>
        <w:rPr>
          <w:rFonts w:ascii="Times New Roman" w:cs="Times New Roman" w:eastAsia="Times New Roman" w:hAnsi="Times New Roman"/>
          <w:sz w:val="19"/>
          <w:szCs w:val="19"/>
          <w:color w:val="auto"/>
        </w:rPr>
      </w:pPr>
    </w:p>
    <w:p>
      <w:pPr>
        <w:ind w:left="500" w:hanging="307"/>
        <w:spacing w:after="0" w:line="283" w:lineRule="auto"/>
        <w:tabs>
          <w:tab w:leader="none" w:pos="489"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Covered Persons may not disclose material nonpublic information outside of the Company unless the disclosure is made in accordance with a specific Company policy that authorizes such disclosure.</w:t>
      </w:r>
    </w:p>
    <w:p>
      <w:pPr>
        <w:spacing w:after="0" w:line="39" w:lineRule="exact"/>
        <w:rPr>
          <w:rFonts w:ascii="Times New Roman" w:cs="Times New Roman" w:eastAsia="Times New Roman" w:hAnsi="Times New Roman"/>
          <w:sz w:val="19"/>
          <w:szCs w:val="19"/>
          <w:color w:val="auto"/>
        </w:rPr>
      </w:pPr>
    </w:p>
    <w:p>
      <w:pPr>
        <w:ind w:left="500" w:hanging="307"/>
        <w:spacing w:after="0" w:line="283" w:lineRule="auto"/>
        <w:tabs>
          <w:tab w:leader="none" w:pos="489"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Covered Persons may not disclose material nonpublic information to persons within the Company whose jobs do not require them to have that information.</w:t>
      </w:r>
    </w:p>
    <w:p>
      <w:pPr>
        <w:spacing w:after="0" w:line="52" w:lineRule="exact"/>
        <w:rPr>
          <w:rFonts w:ascii="Times New Roman" w:cs="Times New Roman" w:eastAsia="Times New Roman" w:hAnsi="Times New Roman"/>
          <w:sz w:val="19"/>
          <w:szCs w:val="19"/>
          <w:color w:val="auto"/>
        </w:rPr>
      </w:pPr>
    </w:p>
    <w:p>
      <w:pPr>
        <w:ind w:left="500" w:hanging="307"/>
        <w:spacing w:after="0"/>
        <w:tabs>
          <w:tab w:leader="none" w:pos="50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Covered Persons may not recommend the purchase or sale of any of the Company’s securities.</w:t>
      </w:r>
    </w:p>
    <w:p>
      <w:pPr>
        <w:spacing w:after="0" w:line="103" w:lineRule="exact"/>
        <w:rPr>
          <w:rFonts w:ascii="Times New Roman" w:cs="Times New Roman" w:eastAsia="Times New Roman" w:hAnsi="Times New Roman"/>
          <w:sz w:val="19"/>
          <w:szCs w:val="19"/>
          <w:color w:val="auto"/>
        </w:rPr>
      </w:pPr>
    </w:p>
    <w:p>
      <w:pPr>
        <w:ind w:left="500" w:hanging="307"/>
        <w:spacing w:after="0"/>
        <w:tabs>
          <w:tab w:leader="none" w:pos="50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to this Policy require approval by the Company’s Board of Directors or a duly appointed committee of the Board of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Policy Q&amp;A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Policy Scope and Purpose</w:t>
      </w:r>
    </w:p>
    <w:p>
      <w:pPr>
        <w:spacing w:after="0" w:line="150" w:lineRule="exact"/>
        <w:rPr>
          <w:sz w:val="20"/>
          <w:szCs w:val="20"/>
          <w:color w:val="auto"/>
        </w:rPr>
      </w:pPr>
    </w:p>
    <w:p>
      <w:pPr>
        <w:ind w:left="200"/>
        <w:spacing w:after="0"/>
        <w:tabs>
          <w:tab w:leader="none" w:pos="560" w:val="left"/>
        </w:tabs>
        <w:rPr>
          <w:sz w:val="20"/>
          <w:szCs w:val="20"/>
          <w:color w:val="auto"/>
        </w:rPr>
      </w:pPr>
      <w:r>
        <w:rPr>
          <w:rFonts w:ascii="Times New Roman" w:cs="Times New Roman" w:eastAsia="Times New Roman" w:hAnsi="Times New Roman"/>
          <w:sz w:val="19"/>
          <w:szCs w:val="19"/>
          <w:b w:val="1"/>
          <w:bCs w:val="1"/>
          <w:color w:val="auto"/>
        </w:rPr>
        <w:t>Q:</w:t>
      </w:r>
      <w:r>
        <w:rPr>
          <w:sz w:val="20"/>
          <w:szCs w:val="20"/>
          <w:color w:val="auto"/>
        </w:rPr>
        <w:tab/>
      </w:r>
      <w:r>
        <w:rPr>
          <w:rFonts w:ascii="Times New Roman" w:cs="Times New Roman" w:eastAsia="Times New Roman" w:hAnsi="Times New Roman"/>
          <w:sz w:val="18"/>
          <w:szCs w:val="18"/>
          <w:b w:val="1"/>
          <w:bCs w:val="1"/>
          <w:color w:val="auto"/>
        </w:rPr>
        <w:t>Why do we have an insider trading policy?</w:t>
      </w:r>
    </w:p>
    <w:p>
      <w:pPr>
        <w:spacing w:after="0" w:line="121" w:lineRule="exact"/>
        <w:rPr>
          <w:sz w:val="20"/>
          <w:szCs w:val="20"/>
          <w:color w:val="auto"/>
        </w:rPr>
      </w:pPr>
    </w:p>
    <w:p>
      <w:pPr>
        <w:jc w:val="both"/>
        <w:ind w:left="820" w:hanging="627"/>
        <w:spacing w:after="0" w:line="254" w:lineRule="auto"/>
        <w:tabs>
          <w:tab w:leader="none" w:pos="813" w:val="left"/>
        </w:tabs>
        <w:numPr>
          <w:ilvl w:val="0"/>
          <w:numId w:val="9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During the course of your relationship with the Company, you may receive material information that is not yet publicly available (“</w:t>
      </w:r>
      <w:r>
        <w:rPr>
          <w:rFonts w:ascii="Times New Roman" w:cs="Times New Roman" w:eastAsia="Times New Roman" w:hAnsi="Times New Roman"/>
          <w:sz w:val="19"/>
          <w:szCs w:val="19"/>
          <w:b w:val="1"/>
          <w:bCs w:val="1"/>
          <w:i w:val="1"/>
          <w:iCs w:val="1"/>
          <w:color w:val="auto"/>
        </w:rPr>
        <w:t>material nonpublic information</w:t>
      </w:r>
      <w:r>
        <w:rPr>
          <w:rFonts w:ascii="Times New Roman" w:cs="Times New Roman" w:eastAsia="Times New Roman" w:hAnsi="Times New Roman"/>
          <w:sz w:val="19"/>
          <w:szCs w:val="19"/>
          <w:color w:val="auto"/>
        </w:rPr>
        <w:t>”) about the Company or other publicly traded companies with which the Company has business relationships. Material nonpublic information may give you, or someone to whom you pass that information, a leg up over others when deciding whether to buy, sell or otherwise transact in the Company’s securities or the securities of another publicly traded company. This Policy sets forth guidelines with respect to transactions in Company securities by persons subject to this Policy.</w:t>
      </w:r>
    </w:p>
    <w:p>
      <w:pPr>
        <w:spacing w:after="0" w:line="78" w:lineRule="exact"/>
        <w:rPr>
          <w:sz w:val="20"/>
          <w:szCs w:val="20"/>
          <w:color w:val="auto"/>
        </w:rPr>
      </w:pPr>
    </w:p>
    <w:p>
      <w:pPr>
        <w:ind w:left="200"/>
        <w:spacing w:after="0"/>
        <w:tabs>
          <w:tab w:leader="none" w:pos="560" w:val="left"/>
        </w:tabs>
        <w:rPr>
          <w:sz w:val="20"/>
          <w:szCs w:val="20"/>
          <w:color w:val="auto"/>
        </w:rPr>
      </w:pPr>
      <w:r>
        <w:rPr>
          <w:rFonts w:ascii="Times New Roman" w:cs="Times New Roman" w:eastAsia="Times New Roman" w:hAnsi="Times New Roman"/>
          <w:sz w:val="19"/>
          <w:szCs w:val="19"/>
          <w:b w:val="1"/>
          <w:bCs w:val="1"/>
          <w:color w:val="auto"/>
        </w:rPr>
        <w:t>Q:</w:t>
      </w:r>
      <w:r>
        <w:rPr>
          <w:sz w:val="20"/>
          <w:szCs w:val="20"/>
          <w:color w:val="auto"/>
        </w:rPr>
        <w:tab/>
      </w:r>
      <w:r>
        <w:rPr>
          <w:rFonts w:ascii="Times New Roman" w:cs="Times New Roman" w:eastAsia="Times New Roman" w:hAnsi="Times New Roman"/>
          <w:sz w:val="18"/>
          <w:szCs w:val="18"/>
          <w:b w:val="1"/>
          <w:bCs w:val="1"/>
          <w:color w:val="auto"/>
        </w:rPr>
        <w:t>Who is subject to this Policy?</w:t>
      </w:r>
    </w:p>
    <w:p>
      <w:pPr>
        <w:spacing w:after="0" w:line="108" w:lineRule="exact"/>
        <w:rPr>
          <w:sz w:val="20"/>
          <w:szCs w:val="20"/>
          <w:color w:val="auto"/>
        </w:rPr>
      </w:pPr>
    </w:p>
    <w:p>
      <w:pPr>
        <w:jc w:val="both"/>
        <w:ind w:left="820" w:hanging="627"/>
        <w:spacing w:after="0" w:line="254" w:lineRule="auto"/>
        <w:tabs>
          <w:tab w:leader="none" w:pos="813" w:val="left"/>
        </w:tabs>
        <w:numPr>
          <w:ilvl w:val="0"/>
          <w:numId w:val="9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This Policy applies to you and all other Covered Persons. This Policy also applies to members of your immediate family, persons with whom you share a household, persons who are your economic dependents, and, unless otherwise determined by the Company, any other individuals or entities whose transactions in securities you influence, direct, or control (including, e.g., a venture or other investment fund, if you influence, direct, or control transactions by the fund). However, this Policy does not apply to any entity that invests in securities in the ordinary course of its business (e.g., a venture or other investment fund) if (and only if) such entity has established its own insider trading controls and procedures in compliance with applicable securities laws with respect to trading in the</w:t>
      </w:r>
    </w:p>
    <w:p>
      <w:pPr>
        <w:sectPr>
          <w:pgSz w:w="11900" w:h="16838" w:orient="portrait"/>
          <w:cols w:equalWidth="0" w:num="1">
            <w:col w:w="11120"/>
          </w:cols>
          <w:pgMar w:left="440" w:top="58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940"/>
        <w:spacing w:after="0" w:line="275" w:lineRule="auto"/>
        <w:rPr>
          <w:sz w:val="20"/>
          <w:szCs w:val="20"/>
          <w:color w:val="auto"/>
        </w:rPr>
      </w:pPr>
      <w:r>
        <w:rPr>
          <w:rFonts w:ascii="Times New Roman" w:cs="Times New Roman" w:eastAsia="Times New Roman" w:hAnsi="Times New Roman"/>
          <w:sz w:val="19"/>
          <w:szCs w:val="19"/>
          <w:color w:val="auto"/>
        </w:rPr>
        <w:t>Company’s securities. The foregoing persons who are deemed subject to this Policy are referred to in this Policy as “</w:t>
      </w:r>
      <w:r>
        <w:rPr>
          <w:rFonts w:ascii="Times New Roman" w:cs="Times New Roman" w:eastAsia="Times New Roman" w:hAnsi="Times New Roman"/>
          <w:sz w:val="19"/>
          <w:szCs w:val="19"/>
          <w:b w:val="1"/>
          <w:bCs w:val="1"/>
          <w:i w:val="1"/>
          <w:iCs w:val="1"/>
          <w:color w:val="auto"/>
        </w:rPr>
        <w:t>Related Persons</w:t>
      </w:r>
      <w:r>
        <w:rPr>
          <w:rFonts w:ascii="Times New Roman" w:cs="Times New Roman" w:eastAsia="Times New Roman" w:hAnsi="Times New Roman"/>
          <w:sz w:val="19"/>
          <w:szCs w:val="19"/>
          <w:color w:val="auto"/>
        </w:rPr>
        <w:t>.” You are responsible for making sure that your Related Persons comply with this Policy.</w:t>
      </w:r>
    </w:p>
    <w:p>
      <w:pPr>
        <w:spacing w:after="0" w:line="60" w:lineRule="exact"/>
        <w:rPr>
          <w:sz w:val="20"/>
          <w:szCs w:val="20"/>
          <w:color w:val="auto"/>
        </w:rPr>
      </w:pPr>
    </w:p>
    <w:p>
      <w:pPr>
        <w:jc w:val="both"/>
        <w:ind w:left="940"/>
        <w:spacing w:after="0" w:line="297" w:lineRule="auto"/>
        <w:rPr>
          <w:sz w:val="20"/>
          <w:szCs w:val="20"/>
          <w:color w:val="auto"/>
        </w:rPr>
      </w:pPr>
      <w:r>
        <w:rPr>
          <w:rFonts w:ascii="Times New Roman" w:cs="Times New Roman" w:eastAsia="Times New Roman" w:hAnsi="Times New Roman"/>
          <w:sz w:val="18"/>
          <w:szCs w:val="18"/>
          <w:color w:val="auto"/>
        </w:rPr>
        <w:t xml:space="preserve">In addition, if you are an officer or director of the Company, or an employee or designated consultant of the Company described on </w:t>
      </w:r>
      <w:r>
        <w:rPr>
          <w:rFonts w:ascii="Times New Roman" w:cs="Times New Roman" w:eastAsia="Times New Roman" w:hAnsi="Times New Roman"/>
          <w:sz w:val="18"/>
          <w:szCs w:val="18"/>
          <w:b w:val="1"/>
          <w:bCs w:val="1"/>
          <w:color w:val="auto"/>
        </w:rPr>
        <w:t xml:space="preserve">Appendix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Persons</w:t>
      </w:r>
      <w:r>
        <w:rPr>
          <w:rFonts w:ascii="Times New Roman" w:cs="Times New Roman" w:eastAsia="Times New Roman" w:hAnsi="Times New Roman"/>
          <w:sz w:val="18"/>
          <w:szCs w:val="18"/>
          <w:color w:val="auto"/>
        </w:rPr>
        <w:t>”), you and your Related Persons are subject to the quarterly trading blackout periods described below.</w:t>
      </w:r>
    </w:p>
    <w:p>
      <w:pPr>
        <w:spacing w:after="0" w:line="38"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9"/>
          <w:szCs w:val="19"/>
          <w:b w:val="1"/>
          <w:bCs w:val="1"/>
          <w:color w:val="auto"/>
        </w:rPr>
        <w:t>Q:</w:t>
      </w:r>
      <w:r>
        <w:rPr>
          <w:sz w:val="20"/>
          <w:szCs w:val="20"/>
          <w:color w:val="auto"/>
        </w:rPr>
        <w:tab/>
      </w:r>
      <w:r>
        <w:rPr>
          <w:rFonts w:ascii="Times New Roman" w:cs="Times New Roman" w:eastAsia="Times New Roman" w:hAnsi="Times New Roman"/>
          <w:sz w:val="18"/>
          <w:szCs w:val="18"/>
          <w:b w:val="1"/>
          <w:bCs w:val="1"/>
          <w:color w:val="auto"/>
        </w:rPr>
        <w:t>Whose responsibility is it to comply with this Policy?</w:t>
      </w:r>
    </w:p>
    <w:p>
      <w:pPr>
        <w:spacing w:after="0" w:line="121" w:lineRule="exact"/>
        <w:rPr>
          <w:sz w:val="20"/>
          <w:szCs w:val="20"/>
          <w:color w:val="auto"/>
        </w:rPr>
      </w:pPr>
    </w:p>
    <w:p>
      <w:pPr>
        <w:jc w:val="both"/>
        <w:ind w:left="940" w:hanging="627"/>
        <w:spacing w:after="0" w:line="252" w:lineRule="auto"/>
        <w:tabs>
          <w:tab w:leader="none" w:pos="933" w:val="left"/>
        </w:tabs>
        <w:numPr>
          <w:ilvl w:val="0"/>
          <w:numId w:val="10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Covered Persons subject to this Policy have ethical and legal obligations to maintain the confidentiality of information about the Company and to not engage in transactions in the Company’s securities while aware of material nonpublic information.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the Company or any Covered Persons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b w:val="1"/>
          <w:bCs w:val="1"/>
          <w:color w:val="auto"/>
        </w:rPr>
        <w:t>Q: What transactions are subject to this Policy?</w:t>
      </w:r>
    </w:p>
    <w:p>
      <w:pPr>
        <w:spacing w:after="0" w:line="108" w:lineRule="exact"/>
        <w:rPr>
          <w:sz w:val="20"/>
          <w:szCs w:val="20"/>
          <w:color w:val="auto"/>
        </w:rPr>
      </w:pPr>
    </w:p>
    <w:p>
      <w:pPr>
        <w:jc w:val="both"/>
        <w:ind w:left="940" w:hanging="627"/>
        <w:spacing w:after="0" w:line="254" w:lineRule="auto"/>
        <w:tabs>
          <w:tab w:leader="none" w:pos="933" w:val="left"/>
        </w:tabs>
        <w:numPr>
          <w:ilvl w:val="0"/>
          <w:numId w:val="10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This Policy applies to all transactions in securities issued by the Company, as well as derivative securities that are not issued by the Company, such as exchange-traded put or call options or swaps relating to the Company’s securities. Accordingly, for purposes of this policy, the terms “</w:t>
      </w:r>
      <w:r>
        <w:rPr>
          <w:rFonts w:ascii="Times New Roman" w:cs="Times New Roman" w:eastAsia="Times New Roman" w:hAnsi="Times New Roman"/>
          <w:sz w:val="19"/>
          <w:szCs w:val="19"/>
          <w:b w:val="1"/>
          <w:bCs w:val="1"/>
          <w:i w:val="1"/>
          <w:iCs w:val="1"/>
          <w:color w:val="auto"/>
        </w:rPr>
        <w:t>trade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trading</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transactions</w:t>
      </w:r>
      <w:r>
        <w:rPr>
          <w:rFonts w:ascii="Times New Roman" w:cs="Times New Roman" w:eastAsia="Times New Roman" w:hAnsi="Times New Roman"/>
          <w:sz w:val="19"/>
          <w:szCs w:val="19"/>
          <w:color w:val="auto"/>
        </w:rPr>
        <w:t>” include not only purchases and sales of the Company’s Class A ordinary shares in the public market but also any other purchases, sales, transfers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Insider Trading and Material Nonpublic Information</w:t>
      </w:r>
    </w:p>
    <w:p>
      <w:pPr>
        <w:spacing w:after="0" w:line="150"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9"/>
          <w:szCs w:val="19"/>
          <w:b w:val="1"/>
          <w:bCs w:val="1"/>
          <w:color w:val="auto"/>
        </w:rPr>
        <w:t>Q:</w:t>
        <w:tab/>
        <w:t>What is insider trading?</w:t>
      </w:r>
    </w:p>
    <w:p>
      <w:pPr>
        <w:spacing w:after="0" w:line="121" w:lineRule="exact"/>
        <w:rPr>
          <w:sz w:val="20"/>
          <w:szCs w:val="20"/>
          <w:color w:val="auto"/>
        </w:rPr>
      </w:pPr>
    </w:p>
    <w:p>
      <w:pPr>
        <w:jc w:val="both"/>
        <w:ind w:left="940" w:hanging="627"/>
        <w:spacing w:after="0" w:line="252" w:lineRule="auto"/>
        <w:tabs>
          <w:tab w:leader="none" w:pos="933" w:val="left"/>
        </w:tabs>
        <w:numPr>
          <w:ilvl w:val="0"/>
          <w:numId w:val="10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you are aware of material nonpublic information about the Company or another publicly traded company that the Company has business relationships with and you trade in the Company’s or such other company’s securities, you have broken the law.</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b w:val="1"/>
          <w:bCs w:val="1"/>
          <w:color w:val="auto"/>
        </w:rPr>
        <w:t>Q: Why is insider trading illegal?</w:t>
      </w:r>
    </w:p>
    <w:p>
      <w:pPr>
        <w:spacing w:after="0" w:line="108" w:lineRule="exact"/>
        <w:rPr>
          <w:sz w:val="20"/>
          <w:szCs w:val="20"/>
          <w:color w:val="auto"/>
        </w:rPr>
      </w:pPr>
    </w:p>
    <w:p>
      <w:pPr>
        <w:jc w:val="both"/>
        <w:ind w:left="940" w:hanging="627"/>
        <w:spacing w:after="0" w:line="269" w:lineRule="auto"/>
        <w:tabs>
          <w:tab w:leader="none" w:pos="933" w:val="left"/>
        </w:tabs>
        <w:numPr>
          <w:ilvl w:val="0"/>
          <w:numId w:val="10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b w:val="1"/>
          <w:bCs w:val="1"/>
          <w:color w:val="auto"/>
        </w:rPr>
        <w:t>Q: What is material information?</w:t>
      </w:r>
    </w:p>
    <w:p>
      <w:pPr>
        <w:sectPr>
          <w:pgSz w:w="11900" w:h="16838" w:orient="portrait"/>
          <w:cols w:equalWidth="0" w:num="1">
            <w:col w:w="11240"/>
          </w:cols>
          <w:pgMar w:left="320" w:top="58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627" w:hanging="627"/>
        <w:spacing w:after="0" w:line="254" w:lineRule="auto"/>
        <w:tabs>
          <w:tab w:leader="none" w:pos="620" w:val="left"/>
        </w:tabs>
        <w:numPr>
          <w:ilvl w:val="0"/>
          <w:numId w:val="10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in that company’s securities. If the information makes you want to trade, it would probably have the same effect on others. Keep in mind that both positive and negative information can be material.</w:t>
      </w:r>
    </w:p>
    <w:p>
      <w:pPr>
        <w:spacing w:after="0" w:line="7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color w:val="auto"/>
        </w:rPr>
        <w:t>Q: What are examples of material information?</w:t>
      </w:r>
    </w:p>
    <w:p>
      <w:pPr>
        <w:spacing w:after="0" w:line="108" w:lineRule="exact"/>
        <w:rPr>
          <w:sz w:val="20"/>
          <w:szCs w:val="20"/>
          <w:color w:val="auto"/>
        </w:rPr>
      </w:pPr>
    </w:p>
    <w:p>
      <w:pPr>
        <w:jc w:val="both"/>
        <w:ind w:left="627" w:hanging="627"/>
        <w:spacing w:after="0" w:line="258" w:lineRule="auto"/>
        <w:tabs>
          <w:tab w:leader="none" w:pos="620" w:val="left"/>
        </w:tabs>
        <w:numPr>
          <w:ilvl w:val="0"/>
          <w:numId w:val="10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63" w:lineRule="exact"/>
        <w:rPr>
          <w:rFonts w:ascii="Times New Roman" w:cs="Times New Roman" w:eastAsia="Times New Roman" w:hAnsi="Times New Roman"/>
          <w:sz w:val="19"/>
          <w:szCs w:val="19"/>
          <w:b w:val="1"/>
          <w:bCs w:val="1"/>
          <w:color w:val="auto"/>
        </w:rPr>
      </w:pPr>
    </w:p>
    <w:p>
      <w:pPr>
        <w:ind w:left="907" w:hanging="289"/>
        <w:spacing w:after="0"/>
        <w:tabs>
          <w:tab w:leader="none" w:pos="907"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results or forecasts;</w:t>
      </w:r>
    </w:p>
    <w:p>
      <w:pPr>
        <w:spacing w:after="0" w:line="116" w:lineRule="exact"/>
        <w:rPr>
          <w:rFonts w:ascii="Times New Roman" w:cs="Times New Roman" w:eastAsia="Times New Roman" w:hAnsi="Times New Roman"/>
          <w:sz w:val="19"/>
          <w:szCs w:val="19"/>
          <w:color w:val="auto"/>
        </w:rPr>
      </w:pPr>
    </w:p>
    <w:p>
      <w:pPr>
        <w:ind w:left="907" w:hanging="289"/>
        <w:spacing w:after="0"/>
        <w:tabs>
          <w:tab w:leader="none" w:pos="907"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acquisitions, dispositions or other strategic transactions;</w:t>
      </w:r>
    </w:p>
    <w:p>
      <w:pPr>
        <w:spacing w:after="0" w:line="103" w:lineRule="exact"/>
        <w:rPr>
          <w:rFonts w:ascii="Times New Roman" w:cs="Times New Roman" w:eastAsia="Times New Roman" w:hAnsi="Times New Roman"/>
          <w:sz w:val="19"/>
          <w:szCs w:val="19"/>
          <w:color w:val="auto"/>
        </w:rPr>
      </w:pPr>
    </w:p>
    <w:p>
      <w:pPr>
        <w:ind w:left="927" w:hanging="309"/>
        <w:spacing w:after="0" w:line="283" w:lineRule="auto"/>
        <w:tabs>
          <w:tab w:leader="none" w:pos="916"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events regarding the Company’s securities (e.g., repurchase plans, stock splits, public or private equity or debt offerings, or changes in the Company’s dividend policies or amounts);</w:t>
      </w:r>
    </w:p>
    <w:p>
      <w:pPr>
        <w:spacing w:after="0" w:line="52" w:lineRule="exact"/>
        <w:rPr>
          <w:rFonts w:ascii="Times New Roman" w:cs="Times New Roman" w:eastAsia="Times New Roman" w:hAnsi="Times New Roman"/>
          <w:sz w:val="19"/>
          <w:szCs w:val="19"/>
          <w:color w:val="auto"/>
        </w:rPr>
      </w:pPr>
    </w:p>
    <w:p>
      <w:pPr>
        <w:ind w:left="907" w:hanging="289"/>
        <w:spacing w:after="0"/>
        <w:tabs>
          <w:tab w:leader="none" w:pos="907"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major contracts or contract cancellations;</w:t>
      </w:r>
    </w:p>
    <w:p>
      <w:pPr>
        <w:spacing w:after="0" w:line="103" w:lineRule="exact"/>
        <w:rPr>
          <w:rFonts w:ascii="Times New Roman" w:cs="Times New Roman" w:eastAsia="Times New Roman" w:hAnsi="Times New Roman"/>
          <w:sz w:val="19"/>
          <w:szCs w:val="19"/>
          <w:color w:val="auto"/>
        </w:rPr>
      </w:pPr>
    </w:p>
    <w:p>
      <w:pPr>
        <w:ind w:left="907" w:hanging="289"/>
        <w:spacing w:after="0"/>
        <w:tabs>
          <w:tab w:leader="none" w:pos="907"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gain or loss of a significant customer;</w:t>
      </w:r>
    </w:p>
    <w:p>
      <w:pPr>
        <w:spacing w:after="0" w:line="116" w:lineRule="exact"/>
        <w:rPr>
          <w:rFonts w:ascii="Times New Roman" w:cs="Times New Roman" w:eastAsia="Times New Roman" w:hAnsi="Times New Roman"/>
          <w:sz w:val="19"/>
          <w:szCs w:val="19"/>
          <w:color w:val="auto"/>
        </w:rPr>
      </w:pPr>
    </w:p>
    <w:p>
      <w:pPr>
        <w:ind w:left="907" w:hanging="289"/>
        <w:spacing w:after="0"/>
        <w:tabs>
          <w:tab w:leader="none" w:pos="907"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pricing changes;</w:t>
      </w:r>
    </w:p>
    <w:p>
      <w:pPr>
        <w:spacing w:after="0" w:line="103" w:lineRule="exact"/>
        <w:rPr>
          <w:rFonts w:ascii="Times New Roman" w:cs="Times New Roman" w:eastAsia="Times New Roman" w:hAnsi="Times New Roman"/>
          <w:sz w:val="19"/>
          <w:szCs w:val="19"/>
          <w:color w:val="auto"/>
        </w:rPr>
      </w:pPr>
    </w:p>
    <w:p>
      <w:pPr>
        <w:ind w:left="907" w:hanging="289"/>
        <w:spacing w:after="0"/>
        <w:tabs>
          <w:tab w:leader="none" w:pos="907"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product releases;</w:t>
      </w:r>
    </w:p>
    <w:p>
      <w:pPr>
        <w:spacing w:after="0" w:line="116" w:lineRule="exact"/>
        <w:rPr>
          <w:rFonts w:ascii="Times New Roman" w:cs="Times New Roman" w:eastAsia="Times New Roman" w:hAnsi="Times New Roman"/>
          <w:sz w:val="19"/>
          <w:szCs w:val="19"/>
          <w:color w:val="auto"/>
        </w:rPr>
      </w:pPr>
    </w:p>
    <w:p>
      <w:pPr>
        <w:ind w:left="907" w:hanging="289"/>
        <w:spacing w:after="0"/>
        <w:tabs>
          <w:tab w:leader="none" w:pos="907"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product problems or security incidents; and</w:t>
      </w:r>
    </w:p>
    <w:p>
      <w:pPr>
        <w:spacing w:after="0" w:line="103" w:lineRule="exact"/>
        <w:rPr>
          <w:rFonts w:ascii="Times New Roman" w:cs="Times New Roman" w:eastAsia="Times New Roman" w:hAnsi="Times New Roman"/>
          <w:sz w:val="19"/>
          <w:szCs w:val="19"/>
          <w:color w:val="auto"/>
        </w:rPr>
      </w:pPr>
    </w:p>
    <w:p>
      <w:pPr>
        <w:ind w:left="907" w:hanging="289"/>
        <w:spacing w:after="0"/>
        <w:tabs>
          <w:tab w:leader="none" w:pos="907"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top management or control changes;</w:t>
      </w:r>
    </w:p>
    <w:p>
      <w:pPr>
        <w:spacing w:after="0" w:line="116" w:lineRule="exact"/>
        <w:rPr>
          <w:rFonts w:ascii="Times New Roman" w:cs="Times New Roman" w:eastAsia="Times New Roman" w:hAnsi="Times New Roman"/>
          <w:sz w:val="19"/>
          <w:szCs w:val="19"/>
          <w:color w:val="auto"/>
        </w:rPr>
      </w:pPr>
    </w:p>
    <w:p>
      <w:pPr>
        <w:ind w:left="907" w:hanging="289"/>
        <w:spacing w:after="0"/>
        <w:tabs>
          <w:tab w:leader="none" w:pos="907"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restatements or significant write-offs;</w:t>
      </w:r>
    </w:p>
    <w:p>
      <w:pPr>
        <w:spacing w:after="0" w:line="116" w:lineRule="exact"/>
        <w:rPr>
          <w:rFonts w:ascii="Times New Roman" w:cs="Times New Roman" w:eastAsia="Times New Roman" w:hAnsi="Times New Roman"/>
          <w:sz w:val="19"/>
          <w:szCs w:val="19"/>
          <w:color w:val="auto"/>
        </w:rPr>
      </w:pPr>
    </w:p>
    <w:p>
      <w:pPr>
        <w:ind w:left="907" w:hanging="289"/>
        <w:spacing w:after="0"/>
        <w:tabs>
          <w:tab w:leader="none" w:pos="907"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layoffs;</w:t>
      </w:r>
    </w:p>
    <w:p>
      <w:pPr>
        <w:spacing w:after="0" w:line="103" w:lineRule="exact"/>
        <w:rPr>
          <w:rFonts w:ascii="Times New Roman" w:cs="Times New Roman" w:eastAsia="Times New Roman" w:hAnsi="Times New Roman"/>
          <w:sz w:val="19"/>
          <w:szCs w:val="19"/>
          <w:color w:val="auto"/>
        </w:rPr>
      </w:pPr>
    </w:p>
    <w:p>
      <w:pPr>
        <w:ind w:left="927" w:hanging="309"/>
        <w:spacing w:after="0" w:line="283" w:lineRule="auto"/>
        <w:tabs>
          <w:tab w:leader="none" w:pos="916"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disruption in the Company’s operations or breach or unauthorized access of its property or assets, including its facilities or information technology infrastructure;</w:t>
      </w:r>
    </w:p>
    <w:p>
      <w:pPr>
        <w:spacing w:after="0" w:line="39" w:lineRule="exact"/>
        <w:rPr>
          <w:rFonts w:ascii="Times New Roman" w:cs="Times New Roman" w:eastAsia="Times New Roman" w:hAnsi="Times New Roman"/>
          <w:sz w:val="19"/>
          <w:szCs w:val="19"/>
          <w:color w:val="auto"/>
        </w:rPr>
      </w:pPr>
    </w:p>
    <w:p>
      <w:pPr>
        <w:ind w:left="907" w:hanging="289"/>
        <w:spacing w:after="0"/>
        <w:tabs>
          <w:tab w:leader="none" w:pos="907"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proxy fights;</w:t>
      </w:r>
    </w:p>
    <w:p>
      <w:pPr>
        <w:spacing w:after="0" w:line="110" w:lineRule="exact"/>
        <w:rPr>
          <w:rFonts w:ascii="Times New Roman" w:cs="Times New Roman" w:eastAsia="Times New Roman" w:hAnsi="Times New Roman"/>
          <w:sz w:val="19"/>
          <w:szCs w:val="19"/>
          <w:color w:val="auto"/>
        </w:rPr>
      </w:pPr>
    </w:p>
    <w:p>
      <w:pPr>
        <w:ind w:left="927" w:hanging="309"/>
        <w:spacing w:after="0" w:line="289" w:lineRule="auto"/>
        <w:tabs>
          <w:tab w:leader="none" w:pos="916"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threatened major litigation, U.S. Securities and Exchange Commission (“</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or other investigations, or a major development in or the resolution of any such litigation or investigation;</w:t>
      </w:r>
    </w:p>
    <w:p>
      <w:pPr>
        <w:spacing w:after="0" w:line="34" w:lineRule="exact"/>
        <w:rPr>
          <w:rFonts w:ascii="Times New Roman" w:cs="Times New Roman" w:eastAsia="Times New Roman" w:hAnsi="Times New Roman"/>
          <w:sz w:val="19"/>
          <w:szCs w:val="19"/>
          <w:color w:val="auto"/>
        </w:rPr>
      </w:pPr>
    </w:p>
    <w:p>
      <w:pPr>
        <w:ind w:left="907" w:hanging="289"/>
        <w:spacing w:after="0"/>
        <w:tabs>
          <w:tab w:leader="none" w:pos="907"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impending bankruptcy;</w:t>
      </w:r>
    </w:p>
    <w:p>
      <w:pPr>
        <w:spacing w:after="0" w:line="116" w:lineRule="exact"/>
        <w:rPr>
          <w:rFonts w:ascii="Times New Roman" w:cs="Times New Roman" w:eastAsia="Times New Roman" w:hAnsi="Times New Roman"/>
          <w:sz w:val="19"/>
          <w:szCs w:val="19"/>
          <w:color w:val="auto"/>
        </w:rPr>
      </w:pPr>
    </w:p>
    <w:p>
      <w:pPr>
        <w:ind w:left="907" w:hanging="289"/>
        <w:spacing w:after="0"/>
        <w:tabs>
          <w:tab w:leader="none" w:pos="907"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communications with government agencies; and</w:t>
      </w:r>
    </w:p>
    <w:p>
      <w:pPr>
        <w:spacing w:after="0" w:line="103" w:lineRule="exact"/>
        <w:rPr>
          <w:rFonts w:ascii="Times New Roman" w:cs="Times New Roman" w:eastAsia="Times New Roman" w:hAnsi="Times New Roman"/>
          <w:sz w:val="19"/>
          <w:szCs w:val="19"/>
          <w:color w:val="auto"/>
        </w:rPr>
      </w:pPr>
    </w:p>
    <w:p>
      <w:pPr>
        <w:ind w:left="907" w:hanging="289"/>
        <w:spacing w:after="0"/>
        <w:tabs>
          <w:tab w:leader="none" w:pos="907"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 of issuance of patents.</w:t>
      </w:r>
    </w:p>
    <w:p>
      <w:pPr>
        <w:spacing w:after="0" w:line="1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color w:val="auto"/>
        </w:rPr>
        <w:t>Q: When is information considered public?</w:t>
      </w:r>
    </w:p>
    <w:p>
      <w:pPr>
        <w:spacing w:after="0" w:line="121" w:lineRule="exact"/>
        <w:rPr>
          <w:sz w:val="20"/>
          <w:szCs w:val="20"/>
          <w:color w:val="auto"/>
        </w:rPr>
      </w:pPr>
    </w:p>
    <w:p>
      <w:pPr>
        <w:jc w:val="both"/>
        <w:ind w:left="627" w:hanging="627"/>
        <w:spacing w:after="0" w:line="254" w:lineRule="auto"/>
        <w:tabs>
          <w:tab w:leader="none" w:pos="620" w:val="left"/>
        </w:tabs>
        <w:numPr>
          <w:ilvl w:val="0"/>
          <w:numId w:val="10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w:t>
      </w:r>
    </w:p>
    <w:p>
      <w:pPr>
        <w:sectPr>
          <w:pgSz w:w="11900" w:h="16838" w:orient="portrait"/>
          <w:cols w:equalWidth="0" w:num="1">
            <w:col w:w="10927"/>
          </w:cols>
          <w:pgMar w:left="633" w:top="58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627"/>
        <w:spacing w:after="0" w:line="254" w:lineRule="auto"/>
        <w:rPr>
          <w:sz w:val="20"/>
          <w:szCs w:val="20"/>
          <w:color w:val="auto"/>
        </w:rPr>
      </w:pPr>
      <w:r>
        <w:rPr>
          <w:rFonts w:ascii="Times New Roman" w:cs="Times New Roman" w:eastAsia="Times New Roman" w:hAnsi="Times New Roman"/>
          <w:sz w:val="19"/>
          <w:szCs w:val="19"/>
          <w:color w:val="auto"/>
        </w:rPr>
        <w:t>elapsed since the information was publicly disclosed. For example, if we announce material nonpublic information before trading begins on Wednesday, then information would be considered to be publicly disseminated by the time trading begins on Friday; if we announce material nonpublic information after trading ends on Wednesday, then information would be considered to be publicly disseminated by the time trading ends on Friday. Depending on the particular circumstances, the Company may determine that a longer or shorter waiting period should apply to the release of specific material nonpublic information. Any disclosure of nonpublic information, material or otherwise, must be done in accordance with the Company’s Corporate Disclosure Policy.</w:t>
      </w:r>
    </w:p>
    <w:p>
      <w:pPr>
        <w:spacing w:after="0" w:line="6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color w:val="auto"/>
        </w:rPr>
        <w:t>Q: Who can be guilty of insider trading?</w:t>
      </w:r>
    </w:p>
    <w:p>
      <w:pPr>
        <w:spacing w:after="0" w:line="121" w:lineRule="exact"/>
        <w:rPr>
          <w:sz w:val="20"/>
          <w:szCs w:val="20"/>
          <w:color w:val="auto"/>
        </w:rPr>
      </w:pPr>
    </w:p>
    <w:p>
      <w:pPr>
        <w:jc w:val="both"/>
        <w:ind w:left="627" w:hanging="627"/>
        <w:spacing w:after="0" w:line="254" w:lineRule="auto"/>
        <w:tabs>
          <w:tab w:leader="none" w:pos="620" w:val="left"/>
        </w:tabs>
        <w:numPr>
          <w:ilvl w:val="0"/>
          <w:numId w:val="10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the Company. Regardless of who you are, if you know something material about the value of a security that not everyone knows and you trade (or convince someone else to trade) in that security, you may be found guilty of insider trading.</w:t>
      </w:r>
    </w:p>
    <w:p>
      <w:pPr>
        <w:spacing w:after="0" w:line="78" w:lineRule="exact"/>
        <w:rPr>
          <w:sz w:val="20"/>
          <w:szCs w:val="20"/>
          <w:color w:val="auto"/>
        </w:rPr>
      </w:pPr>
    </w:p>
    <w:p>
      <w:pPr>
        <w:ind w:left="627" w:right="3720" w:hanging="627"/>
        <w:spacing w:after="0" w:line="273" w:lineRule="auto"/>
        <w:tabs>
          <w:tab w:leader="none" w:pos="404" w:val="left"/>
        </w:tabs>
        <w:numPr>
          <w:ilvl w:val="0"/>
          <w:numId w:val="10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if I am aware of material nonpublic information when I trade, but the reason I trade is because of something else, like to pay medical bills?</w:t>
      </w:r>
    </w:p>
    <w:p>
      <w:pPr>
        <w:spacing w:after="0" w:line="61" w:lineRule="exact"/>
        <w:rPr>
          <w:sz w:val="20"/>
          <w:szCs w:val="20"/>
          <w:color w:val="auto"/>
        </w:rPr>
      </w:pPr>
    </w:p>
    <w:p>
      <w:pPr>
        <w:jc w:val="both"/>
        <w:ind w:left="627" w:hanging="627"/>
        <w:spacing w:after="0" w:line="259" w:lineRule="auto"/>
        <w:tabs>
          <w:tab w:leader="none" w:pos="620" w:val="left"/>
        </w:tabs>
        <w:numPr>
          <w:ilvl w:val="0"/>
          <w:numId w:val="10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the Company at the time of the transaction.</w:t>
      </w:r>
    </w:p>
    <w:p>
      <w:pPr>
        <w:spacing w:after="0" w:line="58" w:lineRule="exact"/>
        <w:rPr>
          <w:sz w:val="20"/>
          <w:szCs w:val="20"/>
          <w:color w:val="auto"/>
        </w:rPr>
      </w:pPr>
    </w:p>
    <w:p>
      <w:pPr>
        <w:ind w:left="627" w:hanging="627"/>
        <w:spacing w:after="0" w:line="287" w:lineRule="auto"/>
        <w:tabs>
          <w:tab w:leader="none" w:pos="450" w:val="left"/>
        </w:tabs>
        <w:numPr>
          <w:ilvl w:val="0"/>
          <w:numId w:val="1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Do the U.S. securities laws take into account mitigating circumstance, like avoiding a loss or planning a transaction before I had material nonpublic information?</w:t>
      </w:r>
    </w:p>
    <w:p>
      <w:pPr>
        <w:spacing w:after="0" w:line="36" w:lineRule="exact"/>
        <w:rPr>
          <w:sz w:val="20"/>
          <w:szCs w:val="20"/>
          <w:color w:val="auto"/>
        </w:rPr>
      </w:pPr>
    </w:p>
    <w:p>
      <w:pPr>
        <w:jc w:val="both"/>
        <w:ind w:left="627" w:hanging="627"/>
        <w:spacing w:after="0" w:line="258" w:lineRule="auto"/>
        <w:tabs>
          <w:tab w:leader="none" w:pos="620" w:val="left"/>
        </w:tabs>
        <w:numPr>
          <w:ilvl w:val="0"/>
          <w:numId w:val="1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 The U.S. federal securities laws do not recognize any mitigating circumstances to insider trading. In addition, even the appearance of an improper transaction must be avoided to preserve the Company’s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59" w:lineRule="exact"/>
        <w:rPr>
          <w:sz w:val="20"/>
          <w:szCs w:val="20"/>
          <w:color w:val="auto"/>
        </w:rPr>
      </w:pPr>
    </w:p>
    <w:p>
      <w:pPr>
        <w:ind w:left="7"/>
        <w:spacing w:after="0"/>
        <w:tabs>
          <w:tab w:leader="none" w:pos="367" w:val="left"/>
        </w:tabs>
        <w:rPr>
          <w:sz w:val="20"/>
          <w:szCs w:val="20"/>
          <w:color w:val="auto"/>
        </w:rPr>
      </w:pPr>
      <w:r>
        <w:rPr>
          <w:rFonts w:ascii="Times New Roman" w:cs="Times New Roman" w:eastAsia="Times New Roman" w:hAnsi="Times New Roman"/>
          <w:sz w:val="19"/>
          <w:szCs w:val="19"/>
          <w:b w:val="1"/>
          <w:bCs w:val="1"/>
          <w:color w:val="auto"/>
        </w:rPr>
        <w:t>Q:</w:t>
      </w:r>
      <w:r>
        <w:rPr>
          <w:sz w:val="20"/>
          <w:szCs w:val="20"/>
          <w:color w:val="auto"/>
        </w:rPr>
        <w:tab/>
      </w:r>
      <w:r>
        <w:rPr>
          <w:rFonts w:ascii="Times New Roman" w:cs="Times New Roman" w:eastAsia="Times New Roman" w:hAnsi="Times New Roman"/>
          <w:sz w:val="18"/>
          <w:szCs w:val="18"/>
          <w:b w:val="1"/>
          <w:bCs w:val="1"/>
          <w:color w:val="auto"/>
        </w:rPr>
        <w:t>What if I don’t buy or sell anything, but I tell someone else material nonpublic information and he or she buys or sells?</w:t>
      </w:r>
    </w:p>
    <w:p>
      <w:pPr>
        <w:spacing w:after="0" w:line="121" w:lineRule="exact"/>
        <w:rPr>
          <w:sz w:val="20"/>
          <w:szCs w:val="20"/>
          <w:color w:val="auto"/>
        </w:rPr>
      </w:pPr>
    </w:p>
    <w:p>
      <w:pPr>
        <w:jc w:val="both"/>
        <w:ind w:left="627" w:hanging="627"/>
        <w:spacing w:after="0" w:line="254" w:lineRule="auto"/>
        <w:tabs>
          <w:tab w:leader="none" w:pos="620" w:val="left"/>
        </w:tabs>
        <w:numPr>
          <w:ilvl w:val="0"/>
          <w:numId w:val="1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the Company, including spouses, family members, friends, or business associates (unless the disclosure is made in accordance with the Company’s policies regarding the protection or authorized external disclosure of information regarding the Company). This includes anonymous discussions on the internet about the Company or companies with which the Company does business.</w:t>
      </w:r>
    </w:p>
    <w:p>
      <w:pPr>
        <w:spacing w:after="0" w:line="70" w:lineRule="exact"/>
        <w:rPr>
          <w:rFonts w:ascii="Times New Roman" w:cs="Times New Roman" w:eastAsia="Times New Roman" w:hAnsi="Times New Roman"/>
          <w:sz w:val="19"/>
          <w:szCs w:val="19"/>
          <w:b w:val="1"/>
          <w:bCs w:val="1"/>
          <w:color w:val="auto"/>
        </w:rPr>
      </w:pPr>
    </w:p>
    <w:p>
      <w:pPr>
        <w:ind w:left="627"/>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You can be held liable for your own transactions, as well as the transactions by a tippee and even the transactions of a tippee’s tippee.</w:t>
      </w:r>
    </w:p>
    <w:p>
      <w:pPr>
        <w:spacing w:after="0" w:line="25" w:lineRule="exact"/>
        <w:rPr>
          <w:rFonts w:ascii="Times New Roman" w:cs="Times New Roman" w:eastAsia="Times New Roman" w:hAnsi="Times New Roman"/>
          <w:sz w:val="19"/>
          <w:szCs w:val="19"/>
          <w:b w:val="1"/>
          <w:bCs w:val="1"/>
          <w:color w:val="auto"/>
        </w:rPr>
      </w:pPr>
    </w:p>
    <w:p>
      <w:pPr>
        <w:jc w:val="both"/>
        <w:ind w:left="627"/>
        <w:spacing w:after="0" w:line="255"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For these and other reasons, no employee, director or consultant of the Company (or any other person subject to this Policy) may either (a) recommend to another person that they buy, hold or sell the Company’s securities at any time or (b) disclose material nonpublic information to persons within the Company whose jobs do not require them to have that</w:t>
      </w:r>
    </w:p>
    <w:p>
      <w:pPr>
        <w:sectPr>
          <w:pgSz w:w="11900" w:h="16838" w:orient="portrait"/>
          <w:cols w:equalWidth="0" w:num="1">
            <w:col w:w="10927"/>
          </w:cols>
          <w:pgMar w:left="633" w:top="587" w:right="339" w:bottom="1440" w:gutter="0" w:footer="0" w:header="0"/>
        </w:sectPr>
      </w:pPr>
    </w:p>
    <w:bookmarkStart w:id="132" w:name="page133"/>
    <w:bookmarkEnd w:id="132"/>
    <w:p>
      <w:pPr>
        <w:ind w:left="10060"/>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20"/>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material nonpublic information, or outside of the Company to other persons (unless the disclosure is made in accordance with the Company’s policies regarding the protection or authorized external disclosure of information regarding the Company).</w:t>
      </w:r>
    </w:p>
    <w:p>
      <w:pPr>
        <w:spacing w:after="0" w:line="56" w:lineRule="exact"/>
        <w:rPr>
          <w:sz w:val="20"/>
          <w:szCs w:val="20"/>
          <w:color w:val="auto"/>
        </w:rPr>
      </w:pPr>
    </w:p>
    <w:p>
      <w:pPr>
        <w:ind w:left="200"/>
        <w:spacing w:after="0"/>
        <w:tabs>
          <w:tab w:leader="none" w:pos="560" w:val="left"/>
        </w:tabs>
        <w:rPr>
          <w:sz w:val="20"/>
          <w:szCs w:val="20"/>
          <w:color w:val="auto"/>
        </w:rPr>
      </w:pPr>
      <w:r>
        <w:rPr>
          <w:rFonts w:ascii="Times New Roman" w:cs="Times New Roman" w:eastAsia="Times New Roman" w:hAnsi="Times New Roman"/>
          <w:sz w:val="19"/>
          <w:szCs w:val="19"/>
          <w:b w:val="1"/>
          <w:bCs w:val="1"/>
          <w:color w:val="auto"/>
        </w:rPr>
        <w:t>Q:</w:t>
      </w:r>
      <w:r>
        <w:rPr>
          <w:sz w:val="20"/>
          <w:szCs w:val="20"/>
          <w:color w:val="auto"/>
        </w:rPr>
        <w:tab/>
      </w:r>
      <w:r>
        <w:rPr>
          <w:rFonts w:ascii="Times New Roman" w:cs="Times New Roman" w:eastAsia="Times New Roman" w:hAnsi="Times New Roman"/>
          <w:sz w:val="18"/>
          <w:szCs w:val="18"/>
          <w:b w:val="1"/>
          <w:bCs w:val="1"/>
          <w:color w:val="auto"/>
        </w:rPr>
        <w:t>What if I don’t tell someone inside information itself; I just tell him or her whether to buy or sell?</w:t>
      </w:r>
    </w:p>
    <w:p>
      <w:pPr>
        <w:spacing w:after="0" w:line="108" w:lineRule="exact"/>
        <w:rPr>
          <w:sz w:val="20"/>
          <w:szCs w:val="20"/>
          <w:color w:val="auto"/>
        </w:rPr>
      </w:pPr>
    </w:p>
    <w:p>
      <w:pPr>
        <w:jc w:val="both"/>
        <w:ind w:left="820" w:hanging="627"/>
        <w:spacing w:after="0" w:line="269" w:lineRule="auto"/>
        <w:tabs>
          <w:tab w:leader="none" w:pos="813" w:val="left"/>
        </w:tabs>
        <w:numPr>
          <w:ilvl w:val="0"/>
          <w:numId w:val="11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That is still tipping, and you can still be responsible for insider trading. You may never recommend to another person that they buy, hold or sell the Company’s Class A ordinary shares or any derivative security related to the Company’s Class A ordinary shares, since that could be a form of tipping.</w:t>
      </w:r>
    </w:p>
    <w:p>
      <w:pPr>
        <w:spacing w:after="0" w:line="48" w:lineRule="exact"/>
        <w:rPr>
          <w:sz w:val="20"/>
          <w:szCs w:val="20"/>
          <w:color w:val="auto"/>
        </w:rPr>
      </w:pPr>
    </w:p>
    <w:p>
      <w:pPr>
        <w:ind w:left="600" w:hanging="407"/>
        <w:spacing w:after="0"/>
        <w:tabs>
          <w:tab w:leader="none" w:pos="600" w:val="left"/>
        </w:tabs>
        <w:numPr>
          <w:ilvl w:val="0"/>
          <w:numId w:val="11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Does this Policy or the insider trading laws apply to me if I work outside the U.S.?</w:t>
      </w:r>
    </w:p>
    <w:p>
      <w:pPr>
        <w:spacing w:after="0" w:line="121" w:lineRule="exact"/>
        <w:rPr>
          <w:sz w:val="20"/>
          <w:szCs w:val="20"/>
          <w:color w:val="auto"/>
        </w:rPr>
      </w:pPr>
    </w:p>
    <w:p>
      <w:pPr>
        <w:jc w:val="both"/>
        <w:ind w:left="820" w:hanging="627"/>
        <w:spacing w:after="0" w:line="259" w:lineRule="auto"/>
        <w:tabs>
          <w:tab w:leader="none" w:pos="813" w:val="left"/>
        </w:tabs>
        <w:numPr>
          <w:ilvl w:val="0"/>
          <w:numId w:val="11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Yes. The same rules apply to U.S. and foreign employees and consultants. The SEC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director, employee or consultant of the Company, our policies apply to you no matter where you work.</w:t>
      </w:r>
    </w:p>
    <w:p>
      <w:pPr>
        <w:spacing w:after="0" w:line="58" w:lineRule="exact"/>
        <w:rPr>
          <w:sz w:val="20"/>
          <w:szCs w:val="20"/>
          <w:color w:val="auto"/>
        </w:rPr>
      </w:pPr>
    </w:p>
    <w:p>
      <w:pPr>
        <w:ind w:left="820" w:hanging="627"/>
        <w:spacing w:after="0" w:line="287" w:lineRule="auto"/>
        <w:tabs>
          <w:tab w:leader="none" w:pos="641" w:val="left"/>
        </w:tabs>
        <w:numPr>
          <w:ilvl w:val="0"/>
          <w:numId w:val="1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Am I restricted from trading securities of any companies other than the Company, for example a customer or competitor of the Company?</w:t>
      </w:r>
    </w:p>
    <w:p>
      <w:pPr>
        <w:spacing w:after="0" w:line="36" w:lineRule="exact"/>
        <w:rPr>
          <w:sz w:val="20"/>
          <w:szCs w:val="20"/>
          <w:color w:val="auto"/>
        </w:rPr>
      </w:pPr>
    </w:p>
    <w:p>
      <w:pPr>
        <w:jc w:val="both"/>
        <w:ind w:left="820" w:hanging="627"/>
        <w:spacing w:after="0" w:line="258" w:lineRule="auto"/>
        <w:tabs>
          <w:tab w:leader="none" w:pos="816"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you should not trade in that company’s securities. You should be particularly conscious of this restriction if, through your position at the Company, you sometimes obtain sensitive, material information about other companies and their business dealings with the Company.</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Q: So when can I buy or sell the Company securities?</w:t>
      </w:r>
    </w:p>
    <w:p>
      <w:pPr>
        <w:spacing w:after="0" w:line="121" w:lineRule="exact"/>
        <w:rPr>
          <w:sz w:val="20"/>
          <w:szCs w:val="20"/>
          <w:color w:val="auto"/>
        </w:rPr>
      </w:pPr>
    </w:p>
    <w:p>
      <w:pPr>
        <w:jc w:val="both"/>
        <w:ind w:left="820" w:hanging="627"/>
        <w:spacing w:after="0" w:line="253" w:lineRule="auto"/>
        <w:tabs>
          <w:tab w:leader="none" w:pos="813" w:val="left"/>
        </w:tabs>
        <w:numPr>
          <w:ilvl w:val="0"/>
          <w:numId w:val="11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you are aware of material nonpublic information, you may not buy or sell Class A ordinary shares of the Company’s until two (2) full trading days have elapsed since the information was publicly disclosed. At that point, the information is considered publicly disseminated for purposes of this Policy. For example, if we announce material nonpublic information before trading begins on Wednesday, then you may execute a transaction in securities of the Company on Friday; if we announce material nonpublic information after trading ends on Wednesday, then you may execute a transaction in securities of the Company on Monday. As discussed further below, even if you are not aware of any material nonpublic information, you may not trade Class A ordinary shares of the Company during any trading “blackout” period that applies to you. This Policy describes the quarterly trading blackout period, and additional event-driven trading blackout periods (which may apply to you even if the quarterly trading blackout periods do not) may be announced by email.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Blackout Periods</w:t>
      </w:r>
    </w:p>
    <w:p>
      <w:pPr>
        <w:spacing w:after="0" w:line="150" w:lineRule="exact"/>
        <w:rPr>
          <w:sz w:val="20"/>
          <w:szCs w:val="20"/>
          <w:color w:val="auto"/>
        </w:rPr>
      </w:pPr>
    </w:p>
    <w:p>
      <w:pPr>
        <w:ind w:left="200"/>
        <w:spacing w:after="0"/>
        <w:tabs>
          <w:tab w:leader="none" w:pos="560" w:val="left"/>
        </w:tabs>
        <w:rPr>
          <w:sz w:val="20"/>
          <w:szCs w:val="20"/>
          <w:color w:val="auto"/>
        </w:rPr>
      </w:pPr>
      <w:r>
        <w:rPr>
          <w:rFonts w:ascii="Times New Roman" w:cs="Times New Roman" w:eastAsia="Times New Roman" w:hAnsi="Times New Roman"/>
          <w:sz w:val="19"/>
          <w:szCs w:val="19"/>
          <w:b w:val="1"/>
          <w:bCs w:val="1"/>
          <w:color w:val="auto"/>
        </w:rPr>
        <w:t>Q:</w:t>
      </w:r>
      <w:r>
        <w:rPr>
          <w:sz w:val="20"/>
          <w:szCs w:val="20"/>
          <w:color w:val="auto"/>
        </w:rPr>
        <w:tab/>
      </w:r>
      <w:r>
        <w:rPr>
          <w:rFonts w:ascii="Times New Roman" w:cs="Times New Roman" w:eastAsia="Times New Roman" w:hAnsi="Times New Roman"/>
          <w:sz w:val="18"/>
          <w:szCs w:val="18"/>
          <w:b w:val="1"/>
          <w:bCs w:val="1"/>
          <w:color w:val="auto"/>
        </w:rPr>
        <w:t>What is a quarterly trading blackout period?</w:t>
      </w:r>
    </w:p>
    <w:p>
      <w:pPr>
        <w:spacing w:after="0" w:line="121" w:lineRule="exact"/>
        <w:rPr>
          <w:sz w:val="20"/>
          <w:szCs w:val="20"/>
          <w:color w:val="auto"/>
        </w:rPr>
      </w:pPr>
    </w:p>
    <w:p>
      <w:pPr>
        <w:jc w:val="both"/>
        <w:ind w:left="820" w:hanging="627"/>
        <w:spacing w:after="0" w:line="254" w:lineRule="auto"/>
        <w:tabs>
          <w:tab w:leader="none" w:pos="813" w:val="left"/>
        </w:tabs>
        <w:numPr>
          <w:ilvl w:val="0"/>
          <w:numId w:val="11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To minimize the appearance of insider trading by the Company’s officers, directors, Specified Persons, and their Related Persons, we have established “quarterly trading blackout periods” during which they—regardless of whether they are aware of material nonpublic information or not—may not conduct any trades in the Company securities. That means that, except as described in this Policy, all officers, directors, Specified Persons, and their Related Persons will be able to trade in the Company securities only during limited open trading window periods that generally will begin after two (2) full trading days have has elapsed since the public dissemination of the Company’s annual or quarterly</w:t>
      </w:r>
    </w:p>
    <w:p>
      <w:pPr>
        <w:sectPr>
          <w:pgSz w:w="11900" w:h="16838" w:orient="portrait"/>
          <w:cols w:equalWidth="0" w:num="1">
            <w:col w:w="11120"/>
          </w:cols>
          <w:pgMar w:left="440" w:top="58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627"/>
        <w:spacing w:after="0" w:line="262" w:lineRule="auto"/>
        <w:rPr>
          <w:sz w:val="20"/>
          <w:szCs w:val="20"/>
          <w:color w:val="auto"/>
        </w:rPr>
      </w:pPr>
      <w:r>
        <w:rPr>
          <w:rFonts w:ascii="Times New Roman" w:cs="Times New Roman" w:eastAsia="Times New Roman" w:hAnsi="Times New Roman"/>
          <w:sz w:val="19"/>
          <w:szCs w:val="19"/>
          <w:color w:val="auto"/>
        </w:rPr>
        <w:t>financial results and end at the beginning of the next quarterly trading blackout period. Of course, even during an open trading window period, you may not (unless an exception applies) conduct any trades in the Company securities if you are otherwise in possession of material nonpublic information.</w:t>
      </w:r>
    </w:p>
    <w:p>
      <w:pPr>
        <w:spacing w:after="0" w:line="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color w:val="auto"/>
        </w:rPr>
        <w:t>Q: What are the Company’s quarterly trading blackout periods?</w:t>
      </w:r>
    </w:p>
    <w:p>
      <w:pPr>
        <w:spacing w:after="0" w:line="115" w:lineRule="exact"/>
        <w:rPr>
          <w:sz w:val="20"/>
          <w:szCs w:val="20"/>
          <w:color w:val="auto"/>
        </w:rPr>
      </w:pPr>
    </w:p>
    <w:p>
      <w:pPr>
        <w:ind w:left="627" w:hanging="627"/>
        <w:spacing w:after="0" w:line="319" w:lineRule="auto"/>
        <w:tabs>
          <w:tab w:leader="none" w:pos="6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w:t>
      </w:r>
      <w:r>
        <w:rPr>
          <w:rFonts w:ascii="Times New Roman" w:cs="Times New Roman" w:eastAsia="Times New Roman" w:hAnsi="Times New Roman"/>
          <w:sz w:val="18"/>
          <w:szCs w:val="18"/>
          <w:b w:val="1"/>
          <w:bCs w:val="1"/>
          <w:i w:val="1"/>
          <w:iCs w:val="1"/>
          <w:color w:val="auto"/>
        </w:rPr>
        <w:t>quarterly trading blackout period</w:t>
      </w:r>
      <w:r>
        <w:rPr>
          <w:rFonts w:ascii="Times New Roman" w:cs="Times New Roman" w:eastAsia="Times New Roman" w:hAnsi="Times New Roman"/>
          <w:sz w:val="18"/>
          <w:szCs w:val="18"/>
          <w:color w:val="auto"/>
        </w:rPr>
        <w:t>” will generally begin at the end of the day that is 15 days prior to the end of each fiscal quarter and end after two (2) full trading days have elapsed since the public dissemination of the Company’s financial results for that quarter.</w:t>
      </w:r>
    </w:p>
    <w:p>
      <w:pPr>
        <w:spacing w:after="0" w:line="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color w:val="auto"/>
        </w:rPr>
        <w:t>Q: Can the Company’s quarterly trading blackout periods change?</w:t>
      </w:r>
    </w:p>
    <w:p>
      <w:pPr>
        <w:spacing w:after="0" w:line="121" w:lineRule="exact"/>
        <w:rPr>
          <w:sz w:val="20"/>
          <w:szCs w:val="20"/>
          <w:color w:val="auto"/>
        </w:rPr>
      </w:pPr>
    </w:p>
    <w:p>
      <w:pPr>
        <w:jc w:val="both"/>
        <w:ind w:left="627" w:hanging="627"/>
        <w:spacing w:after="0" w:line="254" w:lineRule="auto"/>
        <w:tabs>
          <w:tab w:leader="none" w:pos="620" w:val="left"/>
        </w:tabs>
        <w:numPr>
          <w:ilvl w:val="0"/>
          <w:numId w:val="1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quarterly trading blackout period may commence early or may be extended if, in the judgment of the Chief Executive Officer, Chief Financial Officer or General Counsel, there exists undisclosed information that would make trades by the Company officers, directors, Specified Persons or their Related Persons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78" w:lineRule="exact"/>
        <w:rPr>
          <w:sz w:val="20"/>
          <w:szCs w:val="20"/>
          <w:color w:val="auto"/>
        </w:rPr>
      </w:pPr>
    </w:p>
    <w:p>
      <w:pPr>
        <w:ind w:left="407" w:hanging="407"/>
        <w:spacing w:after="0"/>
        <w:tabs>
          <w:tab w:leader="none" w:pos="407" w:val="left"/>
        </w:tabs>
        <w:numPr>
          <w:ilvl w:val="0"/>
          <w:numId w:val="1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Does the Company have blackout periods other than quarterly trading blackout periods?</w:t>
      </w:r>
    </w:p>
    <w:p>
      <w:pPr>
        <w:spacing w:after="0" w:line="108" w:lineRule="exact"/>
        <w:rPr>
          <w:sz w:val="20"/>
          <w:szCs w:val="20"/>
          <w:color w:val="auto"/>
        </w:rPr>
      </w:pPr>
    </w:p>
    <w:p>
      <w:pPr>
        <w:jc w:val="both"/>
        <w:ind w:left="627" w:hanging="627"/>
        <w:spacing w:after="0" w:line="276" w:lineRule="auto"/>
        <w:tabs>
          <w:tab w:leader="none" w:pos="6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From time to time, an event may occur that is material to the Company and is known by only a few officers, directors and/or employees. So long as the event remains material and nonpublic, the persons designated by the Chief Executive Officer, Chief Financial Officer or General Counsel may not trade in the Company’s securities. In that situation, the Company will notify the designated individuals that neither they nor their Related Persons may trade in the Company’s securities. The existence of an event-specific trading blackout should also be considered material nonpublic information and should not be communicated to any other person.</w:t>
      </w:r>
    </w:p>
    <w:p>
      <w:pPr>
        <w:spacing w:after="0" w:line="43" w:lineRule="exact"/>
        <w:rPr>
          <w:sz w:val="20"/>
          <w:szCs w:val="20"/>
          <w:color w:val="auto"/>
        </w:rPr>
      </w:pPr>
    </w:p>
    <w:p>
      <w:pPr>
        <w:ind w:left="627" w:hanging="627"/>
        <w:spacing w:after="0" w:line="287" w:lineRule="auto"/>
        <w:tabs>
          <w:tab w:leader="none" w:pos="430" w:val="left"/>
        </w:tabs>
        <w:numPr>
          <w:ilvl w:val="0"/>
          <w:numId w:val="1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If I am subject to a blackout period and I have an open order to buy or sell the Company securities on the date a blackout period commences, can I leave it to my broker to cancel the open order and avoid executing the trade?</w:t>
      </w:r>
    </w:p>
    <w:p>
      <w:pPr>
        <w:spacing w:after="0" w:line="36" w:lineRule="exact"/>
        <w:rPr>
          <w:sz w:val="20"/>
          <w:szCs w:val="20"/>
          <w:color w:val="auto"/>
        </w:rPr>
      </w:pPr>
    </w:p>
    <w:p>
      <w:pPr>
        <w:jc w:val="both"/>
        <w:ind w:left="627" w:hanging="627"/>
        <w:spacing w:after="0" w:line="259" w:lineRule="auto"/>
        <w:tabs>
          <w:tab w:leader="none" w:pos="620" w:val="left"/>
        </w:tabs>
        <w:numPr>
          <w:ilvl w:val="0"/>
          <w:numId w:val="1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 unless it is in connection with a 10b5-1 Trading Plan (as defined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this Policy and may also have violated insider trading laws.</w:t>
      </w:r>
    </w:p>
    <w:p>
      <w:pPr>
        <w:spacing w:after="0" w:line="71" w:lineRule="exact"/>
        <w:rPr>
          <w:sz w:val="20"/>
          <w:szCs w:val="20"/>
          <w:color w:val="auto"/>
        </w:rPr>
      </w:pPr>
    </w:p>
    <w:p>
      <w:pPr>
        <w:ind w:left="7"/>
        <w:spacing w:after="0"/>
        <w:tabs>
          <w:tab w:leader="none" w:pos="367" w:val="left"/>
        </w:tabs>
        <w:rPr>
          <w:sz w:val="20"/>
          <w:szCs w:val="20"/>
          <w:color w:val="auto"/>
        </w:rPr>
      </w:pPr>
      <w:r>
        <w:rPr>
          <w:rFonts w:ascii="Times New Roman" w:cs="Times New Roman" w:eastAsia="Times New Roman" w:hAnsi="Times New Roman"/>
          <w:sz w:val="19"/>
          <w:szCs w:val="19"/>
          <w:b w:val="1"/>
          <w:bCs w:val="1"/>
          <w:color w:val="auto"/>
        </w:rPr>
        <w:t>Q:</w:t>
      </w:r>
      <w:r>
        <w:rPr>
          <w:sz w:val="20"/>
          <w:szCs w:val="20"/>
          <w:color w:val="auto"/>
        </w:rPr>
        <w:tab/>
      </w:r>
      <w:r>
        <w:rPr>
          <w:rFonts w:ascii="Times New Roman" w:cs="Times New Roman" w:eastAsia="Times New Roman" w:hAnsi="Times New Roman"/>
          <w:sz w:val="18"/>
          <w:szCs w:val="18"/>
          <w:b w:val="1"/>
          <w:bCs w:val="1"/>
          <w:color w:val="auto"/>
        </w:rPr>
        <w:t>Am I subject to trading blackout periods if I am no longer an employee, director or consultant of the Company?</w:t>
      </w:r>
    </w:p>
    <w:p>
      <w:pPr>
        <w:spacing w:after="0" w:line="108" w:lineRule="exact"/>
        <w:rPr>
          <w:sz w:val="20"/>
          <w:szCs w:val="20"/>
          <w:color w:val="auto"/>
        </w:rPr>
      </w:pPr>
    </w:p>
    <w:p>
      <w:pPr>
        <w:jc w:val="both"/>
        <w:ind w:left="627" w:hanging="627"/>
        <w:spacing w:after="0" w:line="258" w:lineRule="auto"/>
        <w:tabs>
          <w:tab w:leader="none" w:pos="620" w:val="left"/>
        </w:tabs>
        <w:numPr>
          <w:ilvl w:val="0"/>
          <w:numId w:val="1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It depends. If your employment with the Company ends during a trading blackout period, you will be subject to the remainder of that trading blackout period. If your employment with the Company ends on a day that the trading window is open, you will not be subject to the next trading blackout period. However, even if you are not subject to the trading blackout period after you leave the Company, you should not trade in the Company securities if you are aware of material nonpublic information. That restriction stays with you as long as the information you possess is material and not publicly disseminated within the meaning of this Policy.</w:t>
      </w:r>
    </w:p>
    <w:p>
      <w:pPr>
        <w:spacing w:after="0" w:line="59" w:lineRule="exact"/>
        <w:rPr>
          <w:sz w:val="20"/>
          <w:szCs w:val="20"/>
          <w:color w:val="auto"/>
        </w:rPr>
      </w:pPr>
    </w:p>
    <w:p>
      <w:pPr>
        <w:ind w:left="7"/>
        <w:spacing w:after="0"/>
        <w:tabs>
          <w:tab w:leader="none" w:pos="367" w:val="left"/>
        </w:tabs>
        <w:rPr>
          <w:sz w:val="20"/>
          <w:szCs w:val="20"/>
          <w:color w:val="auto"/>
        </w:rPr>
      </w:pPr>
      <w:r>
        <w:rPr>
          <w:rFonts w:ascii="Times New Roman" w:cs="Times New Roman" w:eastAsia="Times New Roman" w:hAnsi="Times New Roman"/>
          <w:sz w:val="19"/>
          <w:szCs w:val="19"/>
          <w:b w:val="1"/>
          <w:bCs w:val="1"/>
          <w:color w:val="auto"/>
        </w:rPr>
        <w:t>Q:</w:t>
      </w:r>
      <w:r>
        <w:rPr>
          <w:sz w:val="20"/>
          <w:szCs w:val="20"/>
          <w:color w:val="auto"/>
        </w:rPr>
        <w:tab/>
      </w:r>
      <w:r>
        <w:rPr>
          <w:rFonts w:ascii="Times New Roman" w:cs="Times New Roman" w:eastAsia="Times New Roman" w:hAnsi="Times New Roman"/>
          <w:sz w:val="18"/>
          <w:szCs w:val="18"/>
          <w:b w:val="1"/>
          <w:bCs w:val="1"/>
          <w:color w:val="auto"/>
        </w:rPr>
        <w:t>Are there any exceptions to this policy?</w:t>
      </w:r>
    </w:p>
    <w:p>
      <w:pPr>
        <w:spacing w:after="0" w:line="121" w:lineRule="exact"/>
        <w:rPr>
          <w:sz w:val="20"/>
          <w:szCs w:val="20"/>
          <w:color w:val="auto"/>
        </w:rPr>
      </w:pPr>
    </w:p>
    <w:p>
      <w:pPr>
        <w:ind w:left="607" w:hanging="607"/>
        <w:spacing w:after="0"/>
        <w:tabs>
          <w:tab w:leader="none" w:pos="607" w:val="left"/>
        </w:tabs>
        <w:numPr>
          <w:ilvl w:val="0"/>
          <w:numId w:val="1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There are no exceptions to this Policy, except as specifically noted below.</w:t>
      </w:r>
    </w:p>
    <w:p>
      <w:pPr>
        <w:spacing w:after="0" w:line="113" w:lineRule="exact"/>
        <w:rPr>
          <w:sz w:val="20"/>
          <w:szCs w:val="20"/>
          <w:color w:val="auto"/>
        </w:rPr>
      </w:pPr>
    </w:p>
    <w:p>
      <w:pPr>
        <w:ind w:left="627" w:hanging="627"/>
        <w:spacing w:after="0" w:line="273" w:lineRule="auto"/>
        <w:tabs>
          <w:tab w:leader="none" w:pos="506" w:val="left"/>
        </w:tabs>
        <w:numPr>
          <w:ilvl w:val="0"/>
          <w:numId w:val="1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Can I exercise options granted to me by the Company, or participate in a Company employee stock purchase plan, during a trading blackout period or when I possess material nonpublic information?</w:t>
      </w:r>
    </w:p>
    <w:p>
      <w:pPr>
        <w:sectPr>
          <w:pgSz w:w="11900" w:h="16838" w:orient="portrait"/>
          <w:cols w:equalWidth="0" w:num="1">
            <w:col w:w="10927"/>
          </w:cols>
          <w:pgMar w:left="633" w:top="587" w:right="339" w:bottom="1440" w:gutter="0" w:footer="0" w:header="0"/>
        </w:sectPr>
      </w:pPr>
    </w:p>
    <w:bookmarkStart w:id="134" w:name="page135"/>
    <w:bookmarkEnd w:id="134"/>
    <w:p>
      <w:pPr>
        <w:ind w:left="9867"/>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627" w:hanging="627"/>
        <w:spacing w:after="0" w:line="254" w:lineRule="auto"/>
        <w:tabs>
          <w:tab w:leader="none" w:pos="620" w:val="left"/>
        </w:tabs>
        <w:numPr>
          <w:ilvl w:val="0"/>
          <w:numId w:val="1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Yes. You may purchase shares by exercising your options or participating in a Company employee stock purchase plan, but you may not sell the shares (even to pay the exercise price or any taxes due) during a trading blackout period or any time that you are aware of material nonpublic information. To be clear, you may </w:t>
      </w:r>
      <w:r>
        <w:rPr>
          <w:rFonts w:ascii="Times New Roman" w:cs="Times New Roman" w:eastAsia="Times New Roman" w:hAnsi="Times New Roman"/>
          <w:sz w:val="19"/>
          <w:szCs w:val="19"/>
          <w:u w:val="single" w:color="auto"/>
          <w:color w:val="auto"/>
        </w:rPr>
        <w:t>not</w:t>
      </w:r>
      <w:r>
        <w:rPr>
          <w:rFonts w:ascii="Times New Roman" w:cs="Times New Roman" w:eastAsia="Times New Roman" w:hAnsi="Times New Roman"/>
          <w:sz w:val="19"/>
          <w:szCs w:val="19"/>
          <w:color w:val="auto"/>
        </w:rPr>
        <w:t xml:space="preserve"> effect a broker-assisted cashless exercise (because these cashless exercise transactions include a market sale) during a trading blackout period or any time that you are aware of material nonpublic information.</w:t>
      </w:r>
    </w:p>
    <w:p>
      <w:pPr>
        <w:spacing w:after="0" w:line="7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color w:val="auto"/>
        </w:rPr>
        <w:t>Q: What tax withholding transactions are not restricted by this Policy?</w:t>
      </w:r>
    </w:p>
    <w:p>
      <w:pPr>
        <w:spacing w:after="0" w:line="121" w:lineRule="exact"/>
        <w:rPr>
          <w:sz w:val="20"/>
          <w:szCs w:val="20"/>
          <w:color w:val="auto"/>
        </w:rPr>
      </w:pPr>
    </w:p>
    <w:p>
      <w:pPr>
        <w:jc w:val="both"/>
        <w:ind w:left="627" w:hanging="627"/>
        <w:spacing w:after="0" w:line="254" w:lineRule="auto"/>
        <w:tabs>
          <w:tab w:leader="none" w:pos="620" w:val="left"/>
        </w:tabs>
        <w:numPr>
          <w:ilvl w:val="0"/>
          <w:numId w:val="1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This Policy does not apply to the surrender of shares directly to the Company to satisfy tax withholding obligations as a result of the issuance of shares upon exercise of options or settlement of restricted stock units issued by the Company. Of course, any market sale of the stock received upon exercise or settlement of any such equity awards remains subject to all provisions of this Policy whether or not for the purpose of generating the cash needed to pay the exercise price or pay taxes.</w:t>
      </w:r>
    </w:p>
    <w:p>
      <w:pPr>
        <w:spacing w:after="0" w:line="77" w:lineRule="exact"/>
        <w:rPr>
          <w:sz w:val="20"/>
          <w:szCs w:val="20"/>
          <w:color w:val="auto"/>
        </w:rPr>
      </w:pPr>
    </w:p>
    <w:p>
      <w:pPr>
        <w:ind w:left="7"/>
        <w:spacing w:after="0"/>
        <w:tabs>
          <w:tab w:leader="none" w:pos="367" w:val="left"/>
        </w:tabs>
        <w:rPr>
          <w:sz w:val="20"/>
          <w:szCs w:val="20"/>
          <w:color w:val="auto"/>
        </w:rPr>
      </w:pPr>
      <w:r>
        <w:rPr>
          <w:rFonts w:ascii="Times New Roman" w:cs="Times New Roman" w:eastAsia="Times New Roman" w:hAnsi="Times New Roman"/>
          <w:sz w:val="19"/>
          <w:szCs w:val="19"/>
          <w:b w:val="1"/>
          <w:bCs w:val="1"/>
          <w:color w:val="auto"/>
        </w:rPr>
        <w:t>Q:</w:t>
      </w:r>
      <w:r>
        <w:rPr>
          <w:sz w:val="20"/>
          <w:szCs w:val="20"/>
          <w:color w:val="auto"/>
        </w:rPr>
        <w:tab/>
      </w:r>
      <w:r>
        <w:rPr>
          <w:rFonts w:ascii="Times New Roman" w:cs="Times New Roman" w:eastAsia="Times New Roman" w:hAnsi="Times New Roman"/>
          <w:sz w:val="18"/>
          <w:szCs w:val="18"/>
          <w:b w:val="1"/>
          <w:bCs w:val="1"/>
          <w:color w:val="auto"/>
        </w:rPr>
        <w:t>Are mutual funds holding the Company’s Class A ordinary shares subject to the trading blackout periods?</w:t>
      </w:r>
    </w:p>
    <w:p>
      <w:pPr>
        <w:spacing w:after="0" w:line="121" w:lineRule="exact"/>
        <w:rPr>
          <w:sz w:val="20"/>
          <w:szCs w:val="20"/>
          <w:color w:val="auto"/>
        </w:rPr>
      </w:pPr>
    </w:p>
    <w:p>
      <w:pPr>
        <w:ind w:left="607" w:hanging="607"/>
        <w:spacing w:after="0"/>
        <w:tabs>
          <w:tab w:leader="none" w:pos="607" w:val="left"/>
        </w:tabs>
        <w:numPr>
          <w:ilvl w:val="0"/>
          <w:numId w:val="1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 You may trade in mutual funds holding the Company stock at any time.</w:t>
      </w:r>
    </w:p>
    <w:p>
      <w:pPr>
        <w:spacing w:after="0" w:line="99" w:lineRule="exact"/>
        <w:rPr>
          <w:rFonts w:ascii="Times New Roman" w:cs="Times New Roman" w:eastAsia="Times New Roman" w:hAnsi="Times New Roman"/>
          <w:sz w:val="19"/>
          <w:szCs w:val="19"/>
          <w:b w:val="1"/>
          <w:bCs w:val="1"/>
          <w:color w:val="auto"/>
        </w:rPr>
      </w:pPr>
    </w:p>
    <w:p>
      <w:pPr>
        <w:ind w:left="247" w:hanging="247"/>
        <w:spacing w:after="0"/>
        <w:tabs>
          <w:tab w:leader="none" w:pos="247" w:val="left"/>
        </w:tabs>
        <w:numPr>
          <w:ilvl w:val="0"/>
          <w:numId w:val="13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are the rules that apply to 10b5-1 Automatic Trading Programs?</w:t>
      </w:r>
    </w:p>
    <w:p>
      <w:pPr>
        <w:spacing w:after="0" w:line="115" w:lineRule="exact"/>
        <w:rPr>
          <w:sz w:val="20"/>
          <w:szCs w:val="20"/>
          <w:color w:val="auto"/>
        </w:rPr>
      </w:pPr>
    </w:p>
    <w:p>
      <w:pPr>
        <w:jc w:val="both"/>
        <w:ind w:left="627" w:hanging="627"/>
        <w:spacing w:after="0" w:line="252" w:lineRule="auto"/>
        <w:tabs>
          <w:tab w:leader="none" w:pos="620" w:val="left"/>
        </w:tabs>
        <w:numPr>
          <w:ilvl w:val="0"/>
          <w:numId w:val="1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Under Rule 10b5-1 of the Securities Exchange Act of 1934, as amended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any person may establish a trading plan under which a broker is instructed to buy and sell Company securities based on pre-determined criteria (a “</w:t>
      </w:r>
      <w:r>
        <w:rPr>
          <w:rFonts w:ascii="Times New Roman" w:cs="Times New Roman" w:eastAsia="Times New Roman" w:hAnsi="Times New Roman"/>
          <w:sz w:val="19"/>
          <w:szCs w:val="19"/>
          <w:b w:val="1"/>
          <w:bCs w:val="1"/>
          <w:i w:val="1"/>
          <w:iCs w:val="1"/>
          <w:color w:val="auto"/>
        </w:rPr>
        <w:t>Trading Plan</w:t>
      </w:r>
      <w:r>
        <w:rPr>
          <w:rFonts w:ascii="Times New Roman" w:cs="Times New Roman" w:eastAsia="Times New Roman" w:hAnsi="Times New Roman"/>
          <w:sz w:val="19"/>
          <w:szCs w:val="19"/>
          <w:color w:val="auto"/>
        </w:rPr>
        <w:t>”). So long as a Trading Plan is properly established, purchases and sales of Company securities pursuant to that Trading Plan are not subject to this Policy. To be properly established, a person’s Trading Plan must be established in compliance with the requirements of Rule 10b5-1 of the Exchange Act and any applicable 10b5- 1 trading plan guidelines of the Company at a time when they were unaware of any material nonpublic information relating to the Company and when you were not otherwise subject to a trading blackout period. Moreover, all Trading Plans to be adopted by officers, directors, Specified Persons and their Related Persons must be reviewed and approved by the Company in accordance with the Company’s Section 16 Compliance Program before being established to confirm that the Trading Plan complies with all pertinent company policies and applicable securities laws. See “Pre-Clearance of Transactions in the Company Stock” below.</w:t>
      </w:r>
    </w:p>
    <w:p>
      <w:pPr>
        <w:spacing w:after="0" w:line="80" w:lineRule="exact"/>
        <w:rPr>
          <w:sz w:val="20"/>
          <w:szCs w:val="20"/>
          <w:color w:val="auto"/>
        </w:rPr>
      </w:pPr>
    </w:p>
    <w:p>
      <w:pPr>
        <w:ind w:left="407" w:hanging="407"/>
        <w:spacing w:after="0"/>
        <w:tabs>
          <w:tab w:leader="none" w:pos="407" w:val="left"/>
        </w:tabs>
        <w:numPr>
          <w:ilvl w:val="0"/>
          <w:numId w:val="1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Can I gift stock while I possess material nonpublic information or during a trading blackout period?</w:t>
      </w:r>
    </w:p>
    <w:p>
      <w:pPr>
        <w:spacing w:after="0" w:line="108" w:lineRule="exact"/>
        <w:rPr>
          <w:sz w:val="20"/>
          <w:szCs w:val="20"/>
          <w:color w:val="auto"/>
        </w:rPr>
      </w:pPr>
    </w:p>
    <w:p>
      <w:pPr>
        <w:jc w:val="both"/>
        <w:ind w:left="627" w:hanging="627"/>
        <w:spacing w:after="0" w:line="252" w:lineRule="auto"/>
        <w:tabs>
          <w:tab w:leader="none" w:pos="620" w:val="left"/>
        </w:tabs>
        <w:numPr>
          <w:ilvl w:val="0"/>
          <w:numId w:val="13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Because of the potential for the appearance of impropriety, as a general matter gifts should only be made when you are not in possession of material nonpublic information and not subject to a trading blackout period. For example, charities that receive gifted stock typically immediately sell the stock into the public market, potentially subjecting you to “tipper” liability if you were in possession of material nonpublic information at the time of the gift. You may only make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gifts of Company stock when you are aware of material nonpublic information or during a trading blackout period applicable to you if the gift has been pre-cleared by the Compliance Coordinator (as identified in the Company’s Section 16 Compliance Program). Pre-clearance must be obtained at least two (2) business days in advance of the proposed gift, and pre-cleared gifts not completed within five (5) business days will require new pre-clearance. The Company may choose to shorten this period.</w:t>
      </w:r>
    </w:p>
    <w:p>
      <w:pPr>
        <w:spacing w:after="0" w:line="8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color w:val="auto"/>
        </w:rPr>
        <w:t>Q: Are purchases of the Company stock in a 401(k) plan allowed by this Policy?</w:t>
      </w:r>
    </w:p>
    <w:p>
      <w:pPr>
        <w:spacing w:after="0" w:line="121" w:lineRule="exact"/>
        <w:rPr>
          <w:sz w:val="20"/>
          <w:szCs w:val="20"/>
          <w:color w:val="auto"/>
        </w:rPr>
      </w:pPr>
    </w:p>
    <w:p>
      <w:pPr>
        <w:jc w:val="both"/>
        <w:ind w:left="627" w:hanging="627"/>
        <w:spacing w:after="0" w:line="262" w:lineRule="auto"/>
        <w:tabs>
          <w:tab w:leader="none" w:pos="623"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Policy does not apply to purchases of the Company’s securities in the Company’s 401(k) plan resulting from your periodic contribution of money to the plan pursuant to your payroll deduction election. This Policy does apply, however, to certain elections you may make under the 401(k) plan,</w:t>
      </w:r>
    </w:p>
    <w:p>
      <w:pPr>
        <w:sectPr>
          <w:pgSz w:w="11900" w:h="16838" w:orient="portrait"/>
          <w:cols w:equalWidth="0" w:num="1">
            <w:col w:w="10927"/>
          </w:cols>
          <w:pgMar w:left="633" w:top="587" w:right="339" w:bottom="1440" w:gutter="0" w:footer="0" w:header="0"/>
        </w:sectPr>
      </w:pPr>
    </w:p>
    <w:bookmarkStart w:id="135" w:name="page136"/>
    <w:bookmarkEnd w:id="135"/>
    <w:p>
      <w:pPr>
        <w:ind w:left="10060"/>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9"/>
          <w:szCs w:val="19"/>
          <w:color w:val="auto"/>
        </w:rPr>
        <w:t>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an election to pre-pay a plan loan if the pre-payment will result in allocation of loan proceeds to the Company stock fund.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Margin Accounts, Pledging Shares, Hedging and Other Speculation in Company Stock</w:t>
      </w:r>
    </w:p>
    <w:p>
      <w:pPr>
        <w:spacing w:after="0" w:line="150" w:lineRule="exact"/>
        <w:rPr>
          <w:sz w:val="20"/>
          <w:szCs w:val="20"/>
          <w:color w:val="auto"/>
        </w:rPr>
      </w:pPr>
    </w:p>
    <w:p>
      <w:pPr>
        <w:ind w:left="600" w:hanging="407"/>
        <w:spacing w:after="0"/>
        <w:tabs>
          <w:tab w:leader="none" w:pos="600" w:val="left"/>
        </w:tabs>
        <w:numPr>
          <w:ilvl w:val="0"/>
          <w:numId w:val="1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Can I purchase Company securities on margin or hold them in a margin account?</w:t>
      </w:r>
    </w:p>
    <w:p>
      <w:pPr>
        <w:spacing w:after="0" w:line="108" w:lineRule="exact"/>
        <w:rPr>
          <w:sz w:val="20"/>
          <w:szCs w:val="20"/>
          <w:color w:val="auto"/>
        </w:rPr>
      </w:pPr>
    </w:p>
    <w:p>
      <w:pPr>
        <w:jc w:val="both"/>
        <w:ind w:left="820" w:hanging="627"/>
        <w:spacing w:after="0" w:line="269" w:lineRule="auto"/>
        <w:tabs>
          <w:tab w:leader="none" w:pos="813" w:val="left"/>
        </w:tabs>
        <w:numPr>
          <w:ilvl w:val="0"/>
          <w:numId w:val="1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 “Purchasing on margin” is the use of borrowed money from a brokerage firm to purchase Company securities. Holding the Company’s securities in a margin account includes holding the securities in an account in which the shares can be sold to pay a loan to the brokerage firm. You may not purchase Company Class A ordinary shares on margin or hold it in a margin account at any time.</w:t>
      </w: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Q: Can I pledge my Company shares as collateral for a loan?</w:t>
      </w:r>
    </w:p>
    <w:p>
      <w:pPr>
        <w:spacing w:after="0" w:line="121" w:lineRule="exact"/>
        <w:rPr>
          <w:sz w:val="20"/>
          <w:szCs w:val="20"/>
          <w:color w:val="auto"/>
        </w:rPr>
      </w:pPr>
    </w:p>
    <w:p>
      <w:pPr>
        <w:ind w:left="820" w:hanging="627"/>
        <w:spacing w:after="0" w:line="269" w:lineRule="auto"/>
        <w:tabs>
          <w:tab w:leader="none" w:pos="813" w:val="left"/>
        </w:tabs>
        <w:numPr>
          <w:ilvl w:val="0"/>
          <w:numId w:val="1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 Pledging your shares as collateral for a loan could cause the pledgee to transfer your shares during a trading blackout period or when you are otherwise aware of material nonpublic information. As a result, you may not pledge your shares as collateral for a loan.</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Q: What is problematic about margin accounts and pledged securities?</w:t>
      </w:r>
    </w:p>
    <w:p>
      <w:pPr>
        <w:spacing w:after="0" w:line="121" w:lineRule="exact"/>
        <w:rPr>
          <w:sz w:val="20"/>
          <w:szCs w:val="20"/>
          <w:color w:val="auto"/>
        </w:rPr>
      </w:pPr>
    </w:p>
    <w:p>
      <w:pPr>
        <w:jc w:val="both"/>
        <w:ind w:left="820" w:hanging="627"/>
        <w:spacing w:after="0" w:line="254" w:lineRule="auto"/>
        <w:tabs>
          <w:tab w:leader="none" w:pos="813" w:val="left"/>
        </w:tabs>
        <w:numPr>
          <w:ilvl w:val="0"/>
          <w:numId w:val="1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Covered Persons are prohibited from holding Company securities in a margin account or otherwise pledging the Company’s securities as collateral for a loan.</w:t>
      </w:r>
    </w:p>
    <w:p>
      <w:pPr>
        <w:spacing w:after="0" w:line="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Q: Can I hedge my ownership position in the Company?</w:t>
      </w:r>
    </w:p>
    <w:p>
      <w:pPr>
        <w:spacing w:after="0" w:line="121" w:lineRule="exact"/>
        <w:rPr>
          <w:sz w:val="20"/>
          <w:szCs w:val="20"/>
          <w:color w:val="auto"/>
        </w:rPr>
      </w:pPr>
    </w:p>
    <w:p>
      <w:pPr>
        <w:ind w:left="820" w:hanging="627"/>
        <w:spacing w:after="0" w:line="283" w:lineRule="auto"/>
        <w:tabs>
          <w:tab w:leader="none" w:pos="813" w:val="left"/>
        </w:tabs>
        <w:numPr>
          <w:ilvl w:val="0"/>
          <w:numId w:val="14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 Hedging or monetization transactions, including through the use of financial instruments such as prepaid variable forwards, equity swaps, collars and exchange funds are prohibited by this Policy.</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Q: Why are hedging transactions prohibited?</w:t>
      </w:r>
    </w:p>
    <w:p>
      <w:pPr>
        <w:spacing w:after="0" w:line="121" w:lineRule="exact"/>
        <w:rPr>
          <w:sz w:val="20"/>
          <w:szCs w:val="20"/>
          <w:color w:val="auto"/>
        </w:rPr>
      </w:pPr>
    </w:p>
    <w:p>
      <w:pPr>
        <w:jc w:val="both"/>
        <w:ind w:left="820" w:hanging="627"/>
        <w:spacing w:after="0" w:line="259" w:lineRule="auto"/>
        <w:tabs>
          <w:tab w:leader="none" w:pos="813" w:val="left"/>
        </w:tabs>
        <w:numPr>
          <w:ilvl w:val="0"/>
          <w:numId w:val="1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Such transactions may permit a person subject to this Policy to continue to own Company securities obtained through employee benefit plans or otherwise, but without the full risks and rewards of ownership. When that occurs, the person may no longer have the same objectives as the Company’s other stockholders. Therefore, all persons subject to this Policy are prohibited from engaging in any such transactions.</w:t>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Q: Am I allowed to trade derivative securities of the Company’s Class A ordinary shares?</w:t>
      </w:r>
    </w:p>
    <w:p>
      <w:pPr>
        <w:spacing w:after="0" w:line="121" w:lineRule="exact"/>
        <w:rPr>
          <w:sz w:val="20"/>
          <w:szCs w:val="20"/>
          <w:color w:val="auto"/>
        </w:rPr>
      </w:pPr>
    </w:p>
    <w:p>
      <w:pPr>
        <w:ind w:left="820" w:hanging="627"/>
        <w:spacing w:after="0" w:line="269" w:lineRule="auto"/>
        <w:tabs>
          <w:tab w:leader="none" w:pos="813" w:val="left"/>
        </w:tabs>
        <w:numPr>
          <w:ilvl w:val="0"/>
          <w:numId w:val="1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 You may not trade in derivative securities related to the Company’s Class A ordinary shares, which include publicly traded call and put options. In addition, you may not engage in short selling of Company Class A ordinary shares at any time.</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Q: What are derivative securities?</w:t>
      </w:r>
    </w:p>
    <w:p>
      <w:pPr>
        <w:spacing w:after="0" w:line="121" w:lineRule="exact"/>
        <w:rPr>
          <w:sz w:val="20"/>
          <w:szCs w:val="20"/>
          <w:color w:val="auto"/>
        </w:rPr>
      </w:pPr>
    </w:p>
    <w:p>
      <w:pPr>
        <w:jc w:val="both"/>
        <w:ind w:left="820" w:hanging="627"/>
        <w:spacing w:after="0" w:line="262" w:lineRule="auto"/>
        <w:tabs>
          <w:tab w:leader="none" w:pos="813" w:val="left"/>
        </w:tabs>
        <w:numPr>
          <w:ilvl w:val="0"/>
          <w:numId w:val="1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“Derivative securities” are securities other than Class A ordinary shares that are speculative in nature because they permit a person to leverage their investment using a relatively small amount of money. Examples of derivative securities include “put options” and “call options.” These are different from</w:t>
      </w:r>
    </w:p>
    <w:p>
      <w:pPr>
        <w:sectPr>
          <w:pgSz w:w="11900" w:h="16838" w:orient="portrait"/>
          <w:cols w:equalWidth="0" w:num="1">
            <w:col w:w="11120"/>
          </w:cols>
          <w:pgMar w:left="440" w:top="58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820"/>
        <w:spacing w:after="0" w:line="269" w:lineRule="auto"/>
        <w:rPr>
          <w:sz w:val="20"/>
          <w:szCs w:val="20"/>
          <w:color w:val="auto"/>
        </w:rPr>
      </w:pPr>
      <w:r>
        <w:rPr>
          <w:rFonts w:ascii="Times New Roman" w:cs="Times New Roman" w:eastAsia="Times New Roman" w:hAnsi="Times New Roman"/>
          <w:sz w:val="19"/>
          <w:szCs w:val="19"/>
          <w:color w:val="auto"/>
        </w:rPr>
        <w:t>employee options and other equity awards granted under the Company’s equity compensation plans, which are not derivative securities for purposes of this Policy.</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Q: What is short selling?</w:t>
      </w:r>
    </w:p>
    <w:p>
      <w:pPr>
        <w:spacing w:after="0" w:line="108" w:lineRule="exact"/>
        <w:rPr>
          <w:sz w:val="20"/>
          <w:szCs w:val="20"/>
          <w:color w:val="auto"/>
        </w:rPr>
      </w:pPr>
    </w:p>
    <w:p>
      <w:pPr>
        <w:jc w:val="both"/>
        <w:ind w:left="820" w:hanging="627"/>
        <w:spacing w:after="0" w:line="269" w:lineRule="auto"/>
        <w:tabs>
          <w:tab w:leader="none" w:pos="813" w:val="left"/>
        </w:tabs>
        <w:numPr>
          <w:ilvl w:val="0"/>
          <w:numId w:val="1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Q: Why does the Company prohibit trading in derivative securities and short selling?</w:t>
      </w:r>
    </w:p>
    <w:p>
      <w:pPr>
        <w:spacing w:after="0" w:line="121" w:lineRule="exact"/>
        <w:rPr>
          <w:sz w:val="20"/>
          <w:szCs w:val="20"/>
          <w:color w:val="auto"/>
        </w:rPr>
      </w:pPr>
    </w:p>
    <w:p>
      <w:pPr>
        <w:jc w:val="both"/>
        <w:ind w:left="820" w:hanging="627"/>
        <w:spacing w:after="0" w:line="259" w:lineRule="auto"/>
        <w:tabs>
          <w:tab w:leader="none" w:pos="813" w:val="left"/>
        </w:tabs>
        <w:numPr>
          <w:ilvl w:val="0"/>
          <w:numId w:val="1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Many companies with volatile stock prices have adopted similar policies because of the temptation it represents to try to benefit from a relatively low-cost method of trading on short-term swings in stock prices, without actually holding the underlying Class A ordinary shares, and encourages speculative trading. The Company is dedicated to building stockholder value; short selling the Company’s Class A ordinary shares conflicts with its values and would not be well-received by its stockholders.</w:t>
      </w:r>
    </w:p>
    <w:p>
      <w:pPr>
        <w:spacing w:after="0" w:line="58" w:lineRule="exact"/>
        <w:rPr>
          <w:sz w:val="20"/>
          <w:szCs w:val="20"/>
          <w:color w:val="auto"/>
        </w:rPr>
      </w:pPr>
    </w:p>
    <w:p>
      <w:pPr>
        <w:ind w:left="200"/>
        <w:spacing w:after="0"/>
        <w:tabs>
          <w:tab w:leader="none" w:pos="560" w:val="left"/>
        </w:tabs>
        <w:rPr>
          <w:sz w:val="20"/>
          <w:szCs w:val="20"/>
          <w:color w:val="auto"/>
        </w:rPr>
      </w:pPr>
      <w:r>
        <w:rPr>
          <w:rFonts w:ascii="Times New Roman" w:cs="Times New Roman" w:eastAsia="Times New Roman" w:hAnsi="Times New Roman"/>
          <w:sz w:val="19"/>
          <w:szCs w:val="19"/>
          <w:b w:val="1"/>
          <w:bCs w:val="1"/>
          <w:color w:val="auto"/>
        </w:rPr>
        <w:t>Q:</w:t>
      </w:r>
      <w:r>
        <w:rPr>
          <w:sz w:val="20"/>
          <w:szCs w:val="20"/>
          <w:color w:val="auto"/>
        </w:rPr>
        <w:tab/>
      </w:r>
      <w:r>
        <w:rPr>
          <w:rFonts w:ascii="Times New Roman" w:cs="Times New Roman" w:eastAsia="Times New Roman" w:hAnsi="Times New Roman"/>
          <w:sz w:val="18"/>
          <w:szCs w:val="18"/>
          <w:b w:val="1"/>
          <w:bCs w:val="1"/>
          <w:color w:val="auto"/>
        </w:rPr>
        <w:t>What if I purchased publicly traded options or other derivative securities before I became subject to this Policy?</w:t>
      </w:r>
    </w:p>
    <w:p>
      <w:pPr>
        <w:spacing w:after="0" w:line="121" w:lineRule="exact"/>
        <w:rPr>
          <w:sz w:val="20"/>
          <w:szCs w:val="20"/>
          <w:color w:val="auto"/>
        </w:rPr>
      </w:pPr>
    </w:p>
    <w:p>
      <w:pPr>
        <w:ind w:left="820" w:hanging="627"/>
        <w:spacing w:after="0" w:line="269" w:lineRule="auto"/>
        <w:tabs>
          <w:tab w:leader="none" w:pos="813" w:val="left"/>
        </w:tabs>
        <w:numPr>
          <w:ilvl w:val="0"/>
          <w:numId w:val="1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same rules apply as for employee stock options. You may exercise the publicly traded options at any time, but you may not sell the securities during a trading blackout period or at any time that you are aware of material nonpublic information.</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Q: What are the concerns about standing and limit orders?</w:t>
      </w:r>
    </w:p>
    <w:p>
      <w:pPr>
        <w:spacing w:after="0" w:line="121" w:lineRule="exact"/>
        <w:rPr>
          <w:sz w:val="20"/>
          <w:szCs w:val="20"/>
          <w:color w:val="auto"/>
        </w:rPr>
      </w:pPr>
    </w:p>
    <w:p>
      <w:pPr>
        <w:jc w:val="both"/>
        <w:ind w:left="820" w:hanging="627"/>
        <w:spacing w:after="0" w:line="252" w:lineRule="auto"/>
        <w:tabs>
          <w:tab w:leader="none" w:pos="813" w:val="left"/>
        </w:tabs>
        <w:numPr>
          <w:ilvl w:val="0"/>
          <w:numId w:val="1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Covered Person is in possession of material nonpublic information. The Company therefore discourages placing standing or limit orders on the Company’s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Pre-Clearance of Transactions in Company Stock</w:t>
      </w:r>
    </w:p>
    <w:p>
      <w:pPr>
        <w:spacing w:after="0" w:line="150" w:lineRule="exact"/>
        <w:rPr>
          <w:sz w:val="20"/>
          <w:szCs w:val="20"/>
          <w:color w:val="auto"/>
        </w:rPr>
      </w:pPr>
    </w:p>
    <w:p>
      <w:pPr>
        <w:ind w:left="200"/>
        <w:spacing w:after="0"/>
        <w:tabs>
          <w:tab w:leader="none" w:pos="560" w:val="left"/>
        </w:tabs>
        <w:rPr>
          <w:sz w:val="20"/>
          <w:szCs w:val="20"/>
          <w:color w:val="auto"/>
        </w:rPr>
      </w:pPr>
      <w:r>
        <w:rPr>
          <w:rFonts w:ascii="Times New Roman" w:cs="Times New Roman" w:eastAsia="Times New Roman" w:hAnsi="Times New Roman"/>
          <w:sz w:val="19"/>
          <w:szCs w:val="19"/>
          <w:b w:val="1"/>
          <w:bCs w:val="1"/>
          <w:color w:val="auto"/>
        </w:rPr>
        <w:t>Q:</w:t>
      </w:r>
      <w:r>
        <w:rPr>
          <w:sz w:val="20"/>
          <w:szCs w:val="20"/>
          <w:color w:val="auto"/>
        </w:rPr>
        <w:tab/>
      </w:r>
      <w:r>
        <w:rPr>
          <w:rFonts w:ascii="Times New Roman" w:cs="Times New Roman" w:eastAsia="Times New Roman" w:hAnsi="Times New Roman"/>
          <w:sz w:val="18"/>
          <w:szCs w:val="18"/>
          <w:b w:val="1"/>
          <w:bCs w:val="1"/>
          <w:color w:val="auto"/>
        </w:rPr>
        <w:t>Who is required to pre-clear and provide advance notice of transactions?</w:t>
      </w:r>
    </w:p>
    <w:p>
      <w:pPr>
        <w:spacing w:after="0" w:line="121" w:lineRule="exact"/>
        <w:rPr>
          <w:sz w:val="20"/>
          <w:szCs w:val="20"/>
          <w:color w:val="auto"/>
        </w:rPr>
      </w:pPr>
    </w:p>
    <w:p>
      <w:pPr>
        <w:jc w:val="both"/>
        <w:ind w:left="820" w:hanging="627"/>
        <w:spacing w:after="0" w:line="252" w:lineRule="auto"/>
        <w:tabs>
          <w:tab w:leader="none" w:pos="813" w:val="left"/>
        </w:tabs>
        <w:numPr>
          <w:ilvl w:val="0"/>
          <w:numId w:val="1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 addition to the requirements above, officers, directors and other applicable members of management who have been notified that they are subject to pre-clearance requirements face a further restriction: Even during an open trading window, they may not engage in any transaction in the Company’s securities without first obtaining pre-clearance of the transaction from the Compliance Coordinator (as identified in the Company’s Section 16 Compliance Program) at least two (2) business days in advance of the proposed transaction. He or she will then determine whether the transaction may proceed and, if so, will direct the Compliance Coordinator (as identified in the Company’s Section 16 Compliance Program) to help comply with any required reporting requirements under Section 16(a) of the Exchange Act. Pre-cleared transactions (other than gifts) not completed within two (2) business days will require new pre-clearance. The Company may choose to shorten this period.</w:t>
      </w:r>
    </w:p>
    <w:p>
      <w:pPr>
        <w:sectPr>
          <w:pgSz w:w="11900" w:h="16838" w:orient="portrait"/>
          <w:cols w:equalWidth="0" w:num="1">
            <w:col w:w="11120"/>
          </w:cols>
          <w:pgMar w:left="440" w:top="587" w:right="339" w:bottom="1440" w:gutter="0" w:footer="0" w:header="0"/>
        </w:sectPr>
      </w:pPr>
    </w:p>
    <w:bookmarkStart w:id="137" w:name="page138"/>
    <w:bookmarkEnd w:id="137"/>
    <w:p>
      <w:pPr>
        <w:ind w:left="10180"/>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9"/>
          <w:szCs w:val="19"/>
          <w:b w:val="1"/>
          <w:bCs w:val="1"/>
          <w:color w:val="auto"/>
        </w:rPr>
        <w:t>Q:</w:t>
      </w:r>
      <w:r>
        <w:rPr>
          <w:sz w:val="20"/>
          <w:szCs w:val="20"/>
          <w:color w:val="auto"/>
        </w:rPr>
        <w:tab/>
      </w:r>
      <w:r>
        <w:rPr>
          <w:rFonts w:ascii="Times New Roman" w:cs="Times New Roman" w:eastAsia="Times New Roman" w:hAnsi="Times New Roman"/>
          <w:sz w:val="18"/>
          <w:szCs w:val="18"/>
          <w:b w:val="1"/>
          <w:bCs w:val="1"/>
          <w:color w:val="auto"/>
        </w:rPr>
        <w:t>Are individuals subject to pre-clearance required to provide advanced notice of stock option exercises?</w:t>
      </w:r>
    </w:p>
    <w:p>
      <w:pPr>
        <w:spacing w:after="0" w:line="108" w:lineRule="exact"/>
        <w:rPr>
          <w:sz w:val="20"/>
          <w:szCs w:val="20"/>
          <w:color w:val="auto"/>
        </w:rPr>
      </w:pPr>
    </w:p>
    <w:p>
      <w:pPr>
        <w:jc w:val="both"/>
        <w:ind w:left="940" w:hanging="627"/>
        <w:spacing w:after="0" w:line="262" w:lineRule="auto"/>
        <w:tabs>
          <w:tab w:leader="none" w:pos="933" w:val="left"/>
        </w:tabs>
        <w:numPr>
          <w:ilvl w:val="0"/>
          <w:numId w:val="15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Yes. Persons subject to pre-clearance must also give advance notice of their plans to exercise an outstanding stock option to the Compliance Coordinator. Once any transaction takes place, the officer, director or applicable member of management must immediately notify the Compliance Coordinator so that the Company may assist in any Section 16 reporting obligations.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b w:val="1"/>
          <w:bCs w:val="1"/>
          <w:color w:val="auto"/>
        </w:rPr>
        <w:t>Q: What additional requirements apply to individuals subject to Section 16?</w:t>
      </w:r>
    </w:p>
    <w:p>
      <w:pPr>
        <w:spacing w:after="0" w:line="121" w:lineRule="exact"/>
        <w:rPr>
          <w:sz w:val="20"/>
          <w:szCs w:val="20"/>
          <w:color w:val="auto"/>
        </w:rPr>
      </w:pPr>
    </w:p>
    <w:p>
      <w:pPr>
        <w:jc w:val="both"/>
        <w:ind w:left="940" w:hanging="627"/>
        <w:spacing w:after="0" w:line="254" w:lineRule="auto"/>
        <w:tabs>
          <w:tab w:leader="none" w:pos="933" w:val="left"/>
        </w:tabs>
        <w:numPr>
          <w:ilvl w:val="0"/>
          <w:numId w:val="1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Officers and directors, who are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the Company’s Section 16 Compliance Program, and any notices of sale required by Rule 144.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Sanctions and Other Information</w:t>
      </w:r>
    </w:p>
    <w:p>
      <w:pPr>
        <w:spacing w:after="0" w:line="150"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9"/>
          <w:szCs w:val="19"/>
          <w:b w:val="1"/>
          <w:bCs w:val="1"/>
          <w:color w:val="auto"/>
        </w:rPr>
        <w:t>Q:</w:t>
      </w:r>
      <w:r>
        <w:rPr>
          <w:sz w:val="20"/>
          <w:szCs w:val="20"/>
          <w:color w:val="auto"/>
        </w:rPr>
        <w:tab/>
      </w:r>
      <w:r>
        <w:rPr>
          <w:rFonts w:ascii="Times New Roman" w:cs="Times New Roman" w:eastAsia="Times New Roman" w:hAnsi="Times New Roman"/>
          <w:sz w:val="18"/>
          <w:szCs w:val="18"/>
          <w:b w:val="1"/>
          <w:bCs w:val="1"/>
          <w:color w:val="auto"/>
        </w:rPr>
        <w:t>What happens if I violate this Policy?</w:t>
      </w:r>
    </w:p>
    <w:p>
      <w:pPr>
        <w:spacing w:after="0" w:line="121" w:lineRule="exact"/>
        <w:rPr>
          <w:sz w:val="20"/>
          <w:szCs w:val="20"/>
          <w:color w:val="auto"/>
        </w:rPr>
      </w:pPr>
    </w:p>
    <w:p>
      <w:pPr>
        <w:ind w:left="940" w:hanging="627"/>
        <w:spacing w:after="0" w:line="269" w:lineRule="auto"/>
        <w:tabs>
          <w:tab w:leader="none" w:pos="933" w:val="left"/>
        </w:tabs>
        <w:numPr>
          <w:ilvl w:val="0"/>
          <w:numId w:val="15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Violating the Company’s policies may result in disciplinary action, which may include termination of your employment or other relationship with the Company.</w:t>
      </w:r>
    </w:p>
    <w:p>
      <w:pPr>
        <w:spacing w:after="0" w:line="61"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9"/>
          <w:szCs w:val="19"/>
          <w:b w:val="1"/>
          <w:bCs w:val="1"/>
          <w:color w:val="auto"/>
        </w:rPr>
        <w:t>Q:</w:t>
      </w:r>
      <w:r>
        <w:rPr>
          <w:sz w:val="20"/>
          <w:szCs w:val="20"/>
          <w:color w:val="auto"/>
        </w:rPr>
        <w:tab/>
      </w:r>
      <w:r>
        <w:rPr>
          <w:rFonts w:ascii="Times New Roman" w:cs="Times New Roman" w:eastAsia="Times New Roman" w:hAnsi="Times New Roman"/>
          <w:sz w:val="18"/>
          <w:szCs w:val="18"/>
          <w:b w:val="1"/>
          <w:bCs w:val="1"/>
          <w:color w:val="auto"/>
        </w:rPr>
        <w:t>What are the sanctions if I trade on material nonpublic information or tip off someone else?</w:t>
      </w:r>
    </w:p>
    <w:p>
      <w:pPr>
        <w:spacing w:after="0" w:line="121" w:lineRule="exact"/>
        <w:rPr>
          <w:sz w:val="20"/>
          <w:szCs w:val="20"/>
          <w:color w:val="auto"/>
        </w:rPr>
      </w:pPr>
    </w:p>
    <w:p>
      <w:pPr>
        <w:jc w:val="both"/>
        <w:ind w:left="940" w:hanging="627"/>
        <w:spacing w:after="0" w:line="252" w:lineRule="auto"/>
        <w:tabs>
          <w:tab w:leader="none" w:pos="933" w:val="left"/>
        </w:tabs>
        <w:numPr>
          <w:ilvl w:val="0"/>
          <w:numId w:val="1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 addition to disciplinary action by the Company—which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76"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9"/>
          <w:szCs w:val="19"/>
          <w:b w:val="1"/>
          <w:bCs w:val="1"/>
          <w:color w:val="auto"/>
        </w:rPr>
        <w:t>Q:</w:t>
        <w:tab/>
        <w:t>What is “loss avoided”?</w:t>
      </w:r>
    </w:p>
    <w:p>
      <w:pPr>
        <w:spacing w:after="0" w:line="121" w:lineRule="exact"/>
        <w:rPr>
          <w:sz w:val="20"/>
          <w:szCs w:val="20"/>
          <w:color w:val="auto"/>
        </w:rPr>
      </w:pPr>
    </w:p>
    <w:p>
      <w:pPr>
        <w:ind w:left="940" w:hanging="627"/>
        <w:spacing w:after="0" w:line="269" w:lineRule="auto"/>
        <w:tabs>
          <w:tab w:leader="none" w:pos="933" w:val="left"/>
        </w:tabs>
        <w:numPr>
          <w:ilvl w:val="0"/>
          <w:numId w:val="1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you sell Class A ordinary shares or a related derivative security before negative news is publicly announced, and as a result of the announcement the stock price declines, you have avoided the loss caused by the negative news.</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b w:val="1"/>
          <w:bCs w:val="1"/>
          <w:color w:val="auto"/>
        </w:rPr>
        <w:t>Q: Who should I contact if I have questions about this Policy or specific trades?</w:t>
      </w:r>
    </w:p>
    <w:p>
      <w:pPr>
        <w:spacing w:after="0" w:line="108" w:lineRule="exact"/>
        <w:rPr>
          <w:sz w:val="20"/>
          <w:szCs w:val="20"/>
          <w:color w:val="auto"/>
        </w:rPr>
      </w:pPr>
    </w:p>
    <w:p>
      <w:pPr>
        <w:ind w:left="920" w:hanging="607"/>
        <w:spacing w:after="0"/>
        <w:tabs>
          <w:tab w:leader="none" w:pos="920" w:val="left"/>
        </w:tabs>
        <w:numPr>
          <w:ilvl w:val="0"/>
          <w:numId w:val="1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You should email the Company’s Compliance Officer at </w:t>
      </w:r>
      <w:r>
        <w:rPr>
          <w:rFonts w:ascii="Times New Roman" w:cs="Times New Roman" w:eastAsia="Times New Roman" w:hAnsi="Times New Roman"/>
          <w:sz w:val="19"/>
          <w:szCs w:val="19"/>
          <w:color w:val="0000FF"/>
        </w:rPr>
        <w:t>bcamire@weedmaps.com.</w:t>
      </w:r>
    </w:p>
    <w:p>
      <w:pPr>
        <w:spacing w:after="0" w:line="112" w:lineRule="exact"/>
        <w:rPr>
          <w:rFonts w:ascii="Times New Roman" w:cs="Times New Roman" w:eastAsia="Times New Roman" w:hAnsi="Times New Roman"/>
          <w:sz w:val="19"/>
          <w:szCs w:val="19"/>
          <w:b w:val="1"/>
          <w:bCs w:val="1"/>
          <w:color w:val="auto"/>
        </w:rPr>
      </w:pPr>
    </w:p>
    <w:p>
      <w:pPr>
        <w:ind w:left="32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Q: Do changes to this Policy require approval by the Company’s Board of Directors?</w:t>
      </w:r>
    </w:p>
    <w:p>
      <w:pPr>
        <w:spacing w:after="0" w:line="121" w:lineRule="exact"/>
        <w:rPr>
          <w:sz w:val="20"/>
          <w:szCs w:val="20"/>
          <w:color w:val="auto"/>
        </w:rPr>
      </w:pPr>
    </w:p>
    <w:p>
      <w:pPr>
        <w:ind w:left="940" w:hanging="627"/>
        <w:spacing w:after="0" w:line="269" w:lineRule="auto"/>
        <w:tabs>
          <w:tab w:leader="none" w:pos="933" w:val="left"/>
        </w:tabs>
        <w:numPr>
          <w:ilvl w:val="0"/>
          <w:numId w:val="15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Yes. Changes to this Policy require approval by the Company’s Board of Directors or a duly appointed committee of the Board of Directors.</w:t>
      </w:r>
    </w:p>
    <w:p>
      <w:pPr>
        <w:sectPr>
          <w:pgSz w:w="11900" w:h="16838" w:orient="portrait"/>
          <w:cols w:equalWidth="0" w:num="1">
            <w:col w:w="11240"/>
          </w:cols>
          <w:pgMar w:left="320" w:top="58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1"/>
          <w:szCs w:val="21"/>
          <w:b w:val="1"/>
          <w:bCs w:val="1"/>
          <w:color w:val="auto"/>
        </w:rPr>
        <w:t>Appendix A</w:t>
      </w:r>
    </w:p>
    <w:p>
      <w:pPr>
        <w:spacing w:after="0" w:line="1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b w:val="1"/>
          <w:bCs w:val="1"/>
          <w:color w:val="auto"/>
        </w:rPr>
        <w:t>Specified Persons</w:t>
      </w:r>
    </w:p>
    <w:p>
      <w:pPr>
        <w:spacing w:after="0" w:line="1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b w:val="1"/>
          <w:bCs w:val="1"/>
          <w:color w:val="auto"/>
        </w:rPr>
        <w:t>(Non-Officer Employees and Designated Consultants Subject to Quarterly Trading Blackout Periods)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employees.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Designated Consultants</w:t>
      </w:r>
      <w:r>
        <w:rPr>
          <w:rFonts w:ascii="Times New Roman" w:cs="Times New Roman" w:eastAsia="Times New Roman" w:hAnsi="Times New Roman"/>
          <w:sz w:val="21"/>
          <w:szCs w:val="21"/>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Alvarez &amp; Masrsal Taxand, LLC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Cooley LLP</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Baker Tilly US, LLP</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Chord Advisors, LLC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Gibson, Dunn &amp; Crutcher LLP</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Dentons US LLP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King &amp; Spalding LLP</w:t>
      </w:r>
    </w:p>
    <w:p>
      <w:pPr>
        <w:sectPr>
          <w:pgSz w:w="11900" w:h="16838" w:orient="portrait"/>
          <w:cols w:equalWidth="0" w:num="1">
            <w:col w:w="11240"/>
          </w:cols>
          <w:pgMar w:left="320" w:top="58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A-1</w:t>
      </w:r>
    </w:p>
    <w:p>
      <w:pPr>
        <w:sectPr>
          <w:pgSz w:w="11900" w:h="16838" w:orient="portrait"/>
          <w:cols w:equalWidth="0" w:num="1">
            <w:col w:w="10120"/>
          </w:cols>
          <w:pgMar w:left="1440" w:top="58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0" w:lineRule="exact"/>
        <w:rPr>
          <w:sz w:val="20"/>
          <w:szCs w:val="20"/>
          <w:color w:val="auto"/>
        </w:rPr>
      </w:pPr>
    </w:p>
    <w:p>
      <w:pPr>
        <w:spacing w:after="0" w:line="27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1"/>
          <w:szCs w:val="21"/>
          <w:b w:val="1"/>
          <w:bCs w:val="1"/>
          <w:color w:val="auto"/>
        </w:rPr>
        <w:t>List of 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Legal Name</w:t>
            </w:r>
          </w:p>
        </w:tc>
        <w:tc>
          <w:tcPr>
            <w:tcW w:w="52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Holding Company,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Weedmaps Spain, S.L.U.</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Spain</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Ghost Management Group,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GMG Holdco, Inc.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Weedmaps Media,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Discovery Opco,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Enterprise,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Marketplace,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Canada Holdings, Inc.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British Columbia</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Museum,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Teal,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Retail,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Grow One Software (Canada), Inc.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British Columbia</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Transport Logistics Holding Company,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Loyalty,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In-Store Solutions,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Canncurrent,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Deliver Green,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Livery Desk,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10300"/>
          </w:cols>
          <w:pgMar w:left="1260" w:top="119"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00" w:lineRule="exact"/>
        <w:rPr>
          <w:sz w:val="20"/>
          <w:szCs w:val="20"/>
          <w:color w:val="auto"/>
        </w:rPr>
      </w:pPr>
    </w:p>
    <w:p>
      <w:pPr>
        <w:spacing w:after="0" w:line="3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We consent to the incorporation by reference in the Registration Statements on Form S-8 (No. 333-259072, No. 333-267744, No. 333-270647 and No. 333-281087) of WM Technology, Inc. (the “Company”), of our report dated March 13, 2025, relating to the consolidated financial statements of the Company and the effectiveness of internal control over financial reporting of the Company (which report expresses an unqualified opinion on the consolidated financial statements and an adverse opinion on the effectiveness of internal control over financial reporting due to material weaknesses), appearing in this Annual Report on Form 10-K of the Company for the year ended December 31,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Moss Adams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Irvine, California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 13, 2025</w:t>
      </w:r>
    </w:p>
    <w:p>
      <w:pPr>
        <w:sectPr>
          <w:pgSz w:w="11900" w:h="16838" w:orient="portrait"/>
          <w:cols w:equalWidth="0" w:num="1">
            <w:col w:w="11240"/>
          </w:cols>
          <w:pgMar w:left="320" w:top="119"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PURSUANT TO RULES 13a-14(a) AND 15d-14(a)</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 AS AMENDED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Douglas Francis, certify that: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have reviewed this Annual Report on Form 10-K of WM Technology, Inc.;</w:t>
      </w:r>
    </w:p>
    <w:p>
      <w:pPr>
        <w:spacing w:after="0" w:line="15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sz w:val="20"/>
          <w:szCs w:val="20"/>
          <w:color w:val="auto"/>
        </w:rPr>
      </w:pPr>
    </w:p>
    <w:p>
      <w:pPr>
        <w:jc w:val="both"/>
        <w:ind w:left="320" w:hanging="317"/>
        <w:spacing w:after="0" w:line="270" w:lineRule="auto"/>
        <w:tabs>
          <w:tab w:leader="none" w:pos="317"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Times New Roman" w:cs="Times New Roman" w:eastAsia="Times New Roman" w:hAnsi="Times New Roman"/>
          <w:sz w:val="17"/>
          <w:szCs w:val="17"/>
          <w:color w:val="auto"/>
        </w:rPr>
      </w:pPr>
    </w:p>
    <w:p>
      <w:pPr>
        <w:ind w:left="320" w:right="300" w:hanging="317"/>
        <w:spacing w:after="0" w:line="270" w:lineRule="auto"/>
        <w:tabs>
          <w:tab w:leader="none" w:pos="314"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320" w:right="300" w:hanging="317"/>
        <w:spacing w:after="0" w:line="287" w:lineRule="auto"/>
        <w:tabs>
          <w:tab w:leader="none" w:pos="317"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14"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sz w:val="20"/>
          <w:szCs w:val="20"/>
          <w:color w:val="auto"/>
        </w:rPr>
      </w:pPr>
    </w:p>
    <w:p>
      <w:pPr>
        <w:ind w:left="320" w:hanging="317"/>
        <w:spacing w:after="0" w:line="287" w:lineRule="auto"/>
        <w:tabs>
          <w:tab w:leader="none" w:pos="488"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Times New Roman" w:cs="Times New Roman" w:eastAsia="Times New Roman" w:hAnsi="Times New Roman"/>
          <w:sz w:val="17"/>
          <w:szCs w:val="17"/>
          <w:color w:val="auto"/>
        </w:rPr>
      </w:pPr>
    </w:p>
    <w:p>
      <w:pPr>
        <w:ind w:left="320" w:hanging="317"/>
        <w:spacing w:after="0" w:line="287" w:lineRule="auto"/>
        <w:tabs>
          <w:tab w:leader="none" w:pos="531"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100"/>
        <w:spacing w:after="0"/>
        <w:tabs>
          <w:tab w:leader="none" w:pos="820" w:val="left"/>
          <w:tab w:leader="none" w:pos="6860" w:val="left"/>
          <w:tab w:leader="none" w:pos="75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13,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4799330</wp:posOffset>
            </wp:positionH>
            <wp:positionV relativeFrom="paragraph">
              <wp:posOffset>123825</wp:posOffset>
            </wp:positionV>
            <wp:extent cx="23247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19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7"/>
          <w:szCs w:val="17"/>
          <w:color w:val="auto"/>
        </w:rPr>
        <w:t>Douglas Francis</w:t>
      </w:r>
    </w:p>
    <w:p>
      <w:pPr>
        <w:spacing w:after="0" w:line="16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7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35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PURSUANT TO RULES 13a-14(a) AND 15d-14(a)</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 AS AMENDED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Susan Echard, certify that: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have reviewed this Annual Report on Form 10-K of WM Technology, Inc.;</w:t>
      </w:r>
    </w:p>
    <w:p>
      <w:pPr>
        <w:spacing w:after="0" w:line="15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sz w:val="20"/>
          <w:szCs w:val="20"/>
          <w:color w:val="auto"/>
        </w:rPr>
      </w:pPr>
    </w:p>
    <w:p>
      <w:pPr>
        <w:jc w:val="both"/>
        <w:ind w:left="320" w:hanging="317"/>
        <w:spacing w:after="0" w:line="270" w:lineRule="auto"/>
        <w:tabs>
          <w:tab w:leader="none" w:pos="317"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Times New Roman" w:cs="Times New Roman" w:eastAsia="Times New Roman" w:hAnsi="Times New Roman"/>
          <w:sz w:val="17"/>
          <w:szCs w:val="17"/>
          <w:color w:val="auto"/>
        </w:rPr>
      </w:pPr>
    </w:p>
    <w:p>
      <w:pPr>
        <w:ind w:left="320" w:right="300" w:hanging="317"/>
        <w:spacing w:after="0" w:line="270" w:lineRule="auto"/>
        <w:tabs>
          <w:tab w:leader="none" w:pos="314"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320" w:right="300" w:hanging="317"/>
        <w:spacing w:after="0" w:line="287" w:lineRule="auto"/>
        <w:tabs>
          <w:tab w:leader="none" w:pos="317"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14"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sz w:val="20"/>
          <w:szCs w:val="20"/>
          <w:color w:val="auto"/>
        </w:rPr>
      </w:pPr>
    </w:p>
    <w:p>
      <w:pPr>
        <w:ind w:left="320" w:hanging="317"/>
        <w:spacing w:after="0" w:line="287" w:lineRule="auto"/>
        <w:tabs>
          <w:tab w:leader="none" w:pos="488"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Times New Roman" w:cs="Times New Roman" w:eastAsia="Times New Roman" w:hAnsi="Times New Roman"/>
          <w:sz w:val="17"/>
          <w:szCs w:val="17"/>
          <w:color w:val="auto"/>
        </w:rPr>
      </w:pPr>
    </w:p>
    <w:p>
      <w:pPr>
        <w:ind w:left="320" w:hanging="317"/>
        <w:spacing w:after="0" w:line="287" w:lineRule="auto"/>
        <w:tabs>
          <w:tab w:leader="none" w:pos="531"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120"/>
        <w:spacing w:after="0"/>
        <w:tabs>
          <w:tab w:leader="none" w:pos="840" w:val="left"/>
          <w:tab w:leader="none" w:pos="6880" w:val="left"/>
          <w:tab w:leader="none" w:pos="76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13,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123825</wp:posOffset>
            </wp:positionV>
            <wp:extent cx="23247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19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color w:val="auto"/>
        </w:rPr>
        <w:t>Susan Echard</w:t>
      </w:r>
    </w:p>
    <w:p>
      <w:pPr>
        <w:spacing w:after="0" w:line="165"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7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w:t>
      </w:r>
    </w:p>
    <w:p>
      <w:pPr>
        <w:spacing w:after="0" w:line="3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i w:val="1"/>
          <w:iCs w:val="1"/>
          <w:color w:val="auto"/>
        </w:rPr>
        <w:t>Accounting Officer)</w:t>
      </w:r>
    </w:p>
    <w:p>
      <w:pPr>
        <w:sectPr>
          <w:pgSz w:w="11900" w:h="16838" w:orient="portrait"/>
          <w:cols w:equalWidth="0" w:num="1">
            <w:col w:w="11240"/>
          </w:cols>
          <w:pgMar w:left="320" w:top="1357" w:right="339" w:bottom="1440" w:gutter="0" w:footer="0" w:header="0"/>
        </w:sectPr>
      </w:pPr>
    </w:p>
    <w:bookmarkStart w:id="144" w:name="page145"/>
    <w:bookmarkEnd w:id="144"/>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OF CHIEF EXECUTIVE OFFICER AND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 Douglas Francis, the Chief Executive Officer of WM Technology, Inc., certify, pursuant to 18 U.S.C. Section 1350, as adopted pursuant to Section 906 of the Sarbanes-Oxley Act of 2002, that the Annual Report on Form 10-K of WM Technology, Inc. for the annual period ended December 31, 2024, fully complies with the requirements of Section 13(a) or 15(d) of the Securities Exchange Act of 1934 and that information contained in such Annual Report on Form 10-K fairly presents, in all material respects, the financial condition and results of operations of WM Technology, Inc.</w:t>
      </w:r>
    </w:p>
    <w:p>
      <w:pPr>
        <w:spacing w:after="0" w:line="133" w:lineRule="exact"/>
        <w:rPr>
          <w:sz w:val="20"/>
          <w:szCs w:val="20"/>
          <w:color w:val="auto"/>
        </w:rPr>
      </w:pPr>
    </w:p>
    <w:p>
      <w:pPr>
        <w:ind w:left="120"/>
        <w:spacing w:after="0"/>
        <w:tabs>
          <w:tab w:leader="none" w:pos="840" w:val="left"/>
          <w:tab w:leader="none" w:pos="6880" w:val="left"/>
          <w:tab w:leader="none" w:pos="75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13,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58420</wp:posOffset>
            </wp:positionV>
            <wp:extent cx="23247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9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7"/>
          <w:szCs w:val="17"/>
          <w:color w:val="auto"/>
        </w:rPr>
        <w:t>Douglas Francis</w:t>
      </w:r>
    </w:p>
    <w:p>
      <w:pPr>
        <w:spacing w:after="0" w:line="10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9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 Susan Echard, the Chief Financial Officer of WM Technology, Inc., certify, pursuant to 18 U.S.C. Section 1350, as adopted pursuant to Section 906 of the Sarbanes-Oxley Act of 2002, that the Annual Report on Form 10-K of WM Technology, Inc. for the annual period ended December 31, 2024, fully complies with the requirements of Section 13(a) or 15(d) of the Securities Exchange Act of 1934, and that information contained in such Annual Report on Form 10-K fairly presents, in all material respects, the financial condition and results of operations of WM Technology, Inc.</w:t>
      </w:r>
    </w:p>
    <w:p>
      <w:pPr>
        <w:spacing w:after="0" w:line="133" w:lineRule="exact"/>
        <w:rPr>
          <w:sz w:val="20"/>
          <w:szCs w:val="20"/>
          <w:color w:val="auto"/>
        </w:rPr>
      </w:pPr>
    </w:p>
    <w:p>
      <w:pPr>
        <w:ind w:left="120"/>
        <w:spacing w:after="0"/>
        <w:tabs>
          <w:tab w:leader="none" w:pos="840" w:val="left"/>
          <w:tab w:leader="none" w:pos="6880" w:val="left"/>
          <w:tab w:leader="none" w:pos="76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13,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58420</wp:posOffset>
            </wp:positionV>
            <wp:extent cx="23247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9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color w:val="auto"/>
        </w:rPr>
        <w:t>Susan Echard</w:t>
      </w:r>
    </w:p>
    <w:p>
      <w:pPr>
        <w:spacing w:after="0" w:line="10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9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w:t>
      </w:r>
    </w:p>
    <w:p>
      <w:pPr>
        <w:spacing w:after="0" w:line="3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i w:val="1"/>
          <w:iCs w:val="1"/>
          <w:color w:val="auto"/>
        </w:rPr>
        <w:t>Accounting Officer)</w:t>
      </w:r>
    </w:p>
    <w:p>
      <w:pPr>
        <w:spacing w:after="0" w:line="200" w:lineRule="exact"/>
        <w:rPr>
          <w:sz w:val="20"/>
          <w:szCs w:val="20"/>
          <w:color w:val="auto"/>
        </w:rPr>
      </w:pPr>
    </w:p>
    <w:p>
      <w:pPr>
        <w:spacing w:after="0" w:line="374" w:lineRule="exact"/>
        <w:rPr>
          <w:sz w:val="20"/>
          <w:szCs w:val="20"/>
          <w:color w:val="auto"/>
        </w:rPr>
      </w:pPr>
    </w:p>
    <w:p>
      <w:pPr>
        <w:jc w:val="both"/>
        <w:ind w:left="60"/>
        <w:spacing w:after="0" w:line="264" w:lineRule="auto"/>
        <w:rPr>
          <w:sz w:val="20"/>
          <w:szCs w:val="20"/>
          <w:color w:val="auto"/>
        </w:rPr>
      </w:pPr>
      <w:r>
        <w:rPr>
          <w:rFonts w:ascii="Times New Roman" w:cs="Times New Roman" w:eastAsia="Times New Roman" w:hAnsi="Times New Roman"/>
          <w:sz w:val="17"/>
          <w:szCs w:val="17"/>
          <w:color w:val="auto"/>
        </w:rPr>
        <w:t>This certification accompanies the Annual Report on Form 10-K of WM Technology, Inc. for the annual period ended December 31, 2024, is not deemed filed with the Securities and Exchange Commission and is not to be incorporated by reference into any filing of WM Technology, Inc. under the Securities Act of 1933, as amended, or the Securities Exchange Act of 1934, as amended (whether made before or after the date of such Annual Report on Form 10-K), irrespective of any general incorporation language contained in such filing.</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
      <w:numFmt w:val="bullet"/>
      <w:start w:val="1"/>
    </w:lvl>
  </w:abstractNum>
  <w:abstractNum w:abstractNumId="4">
    <w:nsid w:val="7FFFCA11"/>
    <w:multiLevelType w:val="hybridMultilevel"/>
    <w:lvl w:ilvl="0">
      <w:lvlJc w:val="left"/>
      <w:lvlText w:val="•"/>
      <w:numFmt w:val="bullet"/>
      <w:start w:val="1"/>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1)"/>
      <w:numFmt w:val="lowerRoman"/>
      <w:start w:val="2"/>
    </w:lvl>
  </w:abstractNum>
  <w:abstractNum w:abstractNumId="7">
    <w:nsid w:val="100F59DC"/>
    <w:multiLevelType w:val="hybridMultilevel"/>
    <w:lvl w:ilvl="0">
      <w:lvlJc w:val="left"/>
      <w:lvlText w:val="(%1)"/>
      <w:numFmt w:val="lowerRoman"/>
      <w:start w:val="4"/>
    </w:lvl>
  </w:abstractNum>
  <w:abstractNum w:abstractNumId="8">
    <w:nsid w:val="7FB7E0AA"/>
    <w:multiLevelType w:val="hybridMultilevel"/>
    <w:lvl w:ilvl="0">
      <w:lvlJc w:val="left"/>
      <w:lvlText w:val="(%1)"/>
      <w:numFmt w:val="lowerRoman"/>
      <w:start w:val="2"/>
    </w:lvl>
  </w:abstractNum>
  <w:abstractNum w:abstractNumId="9">
    <w:nsid w:val="6EB5BD4"/>
    <w:multiLevelType w:val="hybridMultilevel"/>
    <w:lvl w:ilvl="0">
      <w:lvlJc w:val="left"/>
      <w:lvlText w:val="•"/>
      <w:numFmt w:val="bullet"/>
      <w:start w:val="1"/>
    </w:lvl>
  </w:abstractNum>
  <w:abstractNum w:abstractNumId="10">
    <w:nsid w:val="6F6DD9AC"/>
    <w:multiLevelType w:val="hybridMultilevel"/>
    <w:lvl w:ilvl="0">
      <w:lvlJc w:val="left"/>
      <w:lvlText w:val="•"/>
      <w:numFmt w:val="bullet"/>
      <w:start w:val="1"/>
    </w:lvl>
    <w:lvl w:ilvl="1">
      <w:lvlJc w:val="left"/>
      <w:lvlText w:val="◦"/>
      <w:numFmt w:val="bullet"/>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
      <w:numFmt w:val="bullet"/>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1."/>
      <w:numFmt w:val="decimal"/>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abstractNum>
  <w:abstractNum w:abstractNumId="30">
    <w:nsid w:val="49DA307D"/>
    <w:multiLevelType w:val="hybridMultilevel"/>
    <w:lvl w:ilvl="0">
      <w:lvlJc w:val="left"/>
      <w:lvlText w:val="•"/>
      <w:numFmt w:val="bullet"/>
      <w:start w:val="1"/>
    </w:lvl>
  </w:abstractNum>
  <w:abstractNum w:abstractNumId="31">
    <w:nsid w:val="7055A5F5"/>
    <w:multiLevelType w:val="hybridMultilevel"/>
    <w:lvl w:ilvl="0">
      <w:lvlJc w:val="left"/>
      <w:lvlText w:val="•"/>
      <w:numFmt w:val="bullet"/>
      <w:start w:val="1"/>
    </w:lvl>
  </w:abstractNum>
  <w:abstractNum w:abstractNumId="32">
    <w:nsid w:val="5FB8370B"/>
    <w:multiLevelType w:val="hybridMultilevel"/>
    <w:lvl w:ilvl="0">
      <w:lvlJc w:val="left"/>
      <w:lvlText w:val="(%1)"/>
      <w:numFmt w:val="decimal"/>
      <w:start w:val="1"/>
    </w:lvl>
  </w:abstractNum>
  <w:abstractNum w:abstractNumId="33">
    <w:nsid w:val="50801EE1"/>
    <w:multiLevelType w:val="hybridMultilevel"/>
    <w:lvl w:ilvl="0">
      <w:lvlJc w:val="left"/>
      <w:lvlText w:val="•"/>
      <w:numFmt w:val="bullet"/>
      <w:start w:val="1"/>
    </w:lvl>
  </w:abstractNum>
  <w:abstractNum w:abstractNumId="34">
    <w:nsid w:val="488AC1A"/>
    <w:multiLevelType w:val="hybridMultilevel"/>
    <w:lvl w:ilvl="0">
      <w:lvlJc w:val="left"/>
      <w:lvlText w:val="1"/>
      <w:numFmt w:val="bullet"/>
      <w:start w:val="1"/>
    </w:lvl>
  </w:abstractNum>
  <w:abstractNum w:abstractNumId="35">
    <w:nsid w:val="5FB8011C"/>
    <w:multiLevelType w:val="hybridMultilevel"/>
    <w:lvl w:ilvl="0">
      <w:lvlJc w:val="left"/>
      <w:lvlText w:val="•"/>
      <w:numFmt w:val="bullet"/>
      <w:start w:val="1"/>
    </w:lvl>
  </w:abstractNum>
  <w:abstractNum w:abstractNumId="36">
    <w:nsid w:val="6AA78F7F"/>
    <w:multiLevelType w:val="hybridMultilevel"/>
    <w:lvl w:ilvl="0">
      <w:lvlJc w:val="left"/>
      <w:lvlText w:val="%1."/>
      <w:numFmt w:val="decimal"/>
      <w:start w:val="1"/>
    </w:lvl>
  </w:abstractNum>
  <w:abstractNum w:abstractNumId="37">
    <w:nsid w:val="7672BD23"/>
    <w:multiLevelType w:val="hybridMultilevel"/>
    <w:lvl w:ilvl="0">
      <w:lvlJc w:val="left"/>
      <w:lvlText w:val="%1."/>
      <w:numFmt w:val="decimal"/>
      <w:start w:val="2"/>
    </w:lvl>
  </w:abstractNum>
  <w:abstractNum w:abstractNumId="38">
    <w:nsid w:val="6FC75AF8"/>
    <w:multiLevelType w:val="hybridMultilevel"/>
    <w:lvl w:ilvl="0">
      <w:lvlJc w:val="left"/>
      <w:lvlText w:val="•"/>
      <w:numFmt w:val="bullet"/>
      <w:start w:val="1"/>
    </w:lvl>
  </w:abstractNum>
  <w:abstractNum w:abstractNumId="39">
    <w:nsid w:val="6A5F7029"/>
    <w:multiLevelType w:val="hybridMultilevel"/>
    <w:lvl w:ilvl="0">
      <w:lvlJc w:val="left"/>
      <w:lvlText w:val="1"/>
      <w:numFmt w:val="bullet"/>
      <w:start w:val="1"/>
    </w:lvl>
  </w:abstractNum>
  <w:abstractNum w:abstractNumId="40">
    <w:nsid w:val="7D5E18F8"/>
    <w:multiLevelType w:val="hybridMultilevel"/>
    <w:lvl w:ilvl="0">
      <w:lvlJc w:val="left"/>
      <w:lvlText w:val="2"/>
      <w:numFmt w:val="bullet"/>
      <w:start w:val="1"/>
    </w:lvl>
  </w:abstractNum>
  <w:abstractNum w:abstractNumId="41">
    <w:nsid w:val="5F3534A4"/>
    <w:multiLevelType w:val="hybridMultilevel"/>
    <w:lvl w:ilvl="0">
      <w:lvlJc w:val="left"/>
      <w:lvlText w:val="(%1)"/>
      <w:numFmt w:val="lowerLetter"/>
      <w:start w:val="1"/>
    </w:lvl>
  </w:abstractNum>
  <w:abstractNum w:abstractNumId="42">
    <w:nsid w:val="73A1821B"/>
    <w:multiLevelType w:val="hybridMultilevel"/>
    <w:lvl w:ilvl="0">
      <w:lvlJc w:val="left"/>
      <w:lvlText w:val="%1"/>
      <w:numFmt w:val="decimal"/>
      <w:start w:val="104"/>
    </w:lvl>
  </w:abstractNum>
  <w:abstractNum w:abstractNumId="43">
    <w:nsid w:val="7DE67713"/>
    <w:multiLevelType w:val="hybridMultilevel"/>
    <w:lvl w:ilvl="0">
      <w:lvlJc w:val="left"/>
      <w:lvlText w:val="+"/>
      <w:numFmt w:val="bullet"/>
      <w:start w:val="1"/>
    </w:lvl>
  </w:abstractNum>
  <w:abstractNum w:abstractNumId="44">
    <w:nsid w:val="555C55B5"/>
    <w:multiLevelType w:val="hybridMultilevel"/>
    <w:lvl w:ilvl="0">
      <w:lvlJc w:val="left"/>
      <w:lvlText w:val="#"/>
      <w:numFmt w:val="bullet"/>
      <w:start w:val="1"/>
    </w:lvl>
  </w:abstractNum>
  <w:abstractNum w:abstractNumId="45">
    <w:nsid w:val="3FA62ACA"/>
    <w:multiLevelType w:val="hybridMultilevel"/>
    <w:lvl w:ilvl="0">
      <w:lvlJc w:val="left"/>
      <w:lvlText w:val="*"/>
      <w:numFmt w:val="bullet"/>
      <w:start w:val="1"/>
    </w:lvl>
  </w:abstractNum>
  <w:abstractNum w:abstractNumId="46">
    <w:nsid w:val="14FCE74E"/>
    <w:multiLevelType w:val="hybridMultilevel"/>
    <w:lvl w:ilvl="0">
      <w:lvlJc w:val="left"/>
      <w:lvlText w:val="•"/>
      <w:numFmt w:val="bullet"/>
      <w:start w:val="1"/>
    </w:lvl>
  </w:abstractNum>
  <w:abstractNum w:abstractNumId="47">
    <w:nsid w:val="6A3DD3E8"/>
    <w:multiLevelType w:val="hybridMultilevel"/>
    <w:lvl w:ilvl="0">
      <w:lvlJc w:val="left"/>
      <w:lvlText w:val="•"/>
      <w:numFmt w:val="bullet"/>
      <w:start w:val="1"/>
    </w:lvl>
  </w:abstractNum>
  <w:abstractNum w:abstractNumId="48">
    <w:nsid w:val="71C91298"/>
    <w:multiLevelType w:val="hybridMultilevel"/>
    <w:lvl w:ilvl="0">
      <w:lvlJc w:val="left"/>
      <w:lvlText w:val="•"/>
      <w:numFmt w:val="bullet"/>
      <w:start w:val="1"/>
    </w:lvl>
    <w:lvl w:ilvl="1">
      <w:lvlJc w:val="left"/>
      <w:lvlText w:val="◦"/>
      <w:numFmt w:val="bullet"/>
      <w:start w:val="1"/>
    </w:lvl>
  </w:abstractNum>
  <w:abstractNum w:abstractNumId="49">
    <w:nsid w:val="9DAF632"/>
    <w:multiLevelType w:val="hybridMultilevel"/>
    <w:lvl w:ilvl="0">
      <w:lvlJc w:val="left"/>
      <w:lvlText w:val="•"/>
      <w:numFmt w:val="bullet"/>
      <w:start w:val="1"/>
    </w:lvl>
  </w:abstractNum>
  <w:abstractNum w:abstractNumId="50">
    <w:nsid w:val="53299938"/>
    <w:multiLevelType w:val="hybridMultilevel"/>
    <w:lvl w:ilvl="0">
      <w:lvlJc w:val="left"/>
      <w:lvlText w:val="•"/>
      <w:numFmt w:val="bullet"/>
      <w:start w:val="1"/>
    </w:lvl>
  </w:abstractNum>
  <w:abstractNum w:abstractNumId="51">
    <w:nsid w:val="1FBFE8E0"/>
    <w:multiLevelType w:val="hybridMultilevel"/>
    <w:lvl w:ilvl="0">
      <w:lvlJc w:val="left"/>
      <w:lvlText w:val="•"/>
      <w:numFmt w:val="bullet"/>
      <w:start w:val="1"/>
    </w:lvl>
    <w:lvl w:ilvl="1">
      <w:lvlJc w:val="left"/>
      <w:lvlText w:val="◦"/>
      <w:numFmt w:val="bullet"/>
      <w:start w:val="1"/>
    </w:lvl>
  </w:abstractNum>
  <w:abstractNum w:abstractNumId="52">
    <w:nsid w:val="5092CA79"/>
    <w:multiLevelType w:val="hybridMultilevel"/>
    <w:lvl w:ilvl="0">
      <w:lvlJc w:val="left"/>
      <w:lvlText w:val="1"/>
      <w:numFmt w:val="bullet"/>
      <w:start w:val="1"/>
    </w:lvl>
  </w:abstractNum>
  <w:abstractNum w:abstractNumId="53">
    <w:nsid w:val="1D545C4D"/>
    <w:multiLevelType w:val="hybridMultilevel"/>
    <w:lvl w:ilvl="0">
      <w:lvlJc w:val="left"/>
      <w:lvlText w:val="%1."/>
      <w:numFmt w:val="decimal"/>
      <w:start w:val="4"/>
    </w:lvl>
  </w:abstractNum>
  <w:abstractNum w:abstractNumId="54">
    <w:nsid w:val="59ADEA3D"/>
    <w:multiLevelType w:val="hybridMultilevel"/>
    <w:lvl w:ilvl="0">
      <w:lvlJc w:val="left"/>
      <w:lvlText w:val="1"/>
      <w:numFmt w:val="bullet"/>
      <w:start w:val="1"/>
    </w:lvl>
  </w:abstractNum>
  <w:abstractNum w:abstractNumId="55">
    <w:nsid w:val="288F1A34"/>
    <w:multiLevelType w:val="hybridMultilevel"/>
    <w:lvl w:ilvl="0">
      <w:lvlJc w:val="left"/>
      <w:lvlText w:val="•"/>
      <w:numFmt w:val="bullet"/>
      <w:start w:val="1"/>
    </w:lvl>
  </w:abstractNum>
  <w:abstractNum w:abstractNumId="56">
    <w:nsid w:val="2A155DBC"/>
    <w:multiLevelType w:val="hybridMultilevel"/>
    <w:lvl w:ilvl="0">
      <w:lvlJc w:val="left"/>
      <w:lvlText w:val="%1."/>
      <w:numFmt w:val="decimal"/>
      <w:start w:val="8"/>
    </w:lvl>
  </w:abstractNum>
  <w:abstractNum w:abstractNumId="57">
    <w:nsid w:val="1D9F6E5F"/>
    <w:multiLevelType w:val="hybridMultilevel"/>
    <w:lvl w:ilvl="0">
      <w:lvlJc w:val="left"/>
      <w:lvlText w:val="%1."/>
      <w:numFmt w:val="decimal"/>
      <w:start w:val="9"/>
    </w:lvl>
  </w:abstractNum>
  <w:abstractNum w:abstractNumId="58">
    <w:nsid w:val="97E1B4E"/>
    <w:multiLevelType w:val="hybridMultilevel"/>
    <w:lvl w:ilvl="0">
      <w:lvlJc w:val="left"/>
      <w:lvlText w:val="%1."/>
      <w:numFmt w:val="decimal"/>
      <w:start w:val="10"/>
    </w:lvl>
  </w:abstractNum>
  <w:abstractNum w:abstractNumId="59">
    <w:nsid w:val="51088277"/>
    <w:multiLevelType w:val="hybridMultilevel"/>
    <w:lvl w:ilvl="0">
      <w:lvlJc w:val="left"/>
      <w:lvlText w:val="%1."/>
      <w:numFmt w:val="decimal"/>
      <w:start w:val="11"/>
    </w:lvl>
  </w:abstractNum>
  <w:abstractNum w:abstractNumId="60">
    <w:nsid w:val="1CA0C5FA"/>
    <w:multiLevelType w:val="hybridMultilevel"/>
    <w:lvl w:ilvl="0">
      <w:lvlJc w:val="left"/>
      <w:lvlText w:val="%1."/>
      <w:numFmt w:val="decimal"/>
      <w:start w:val="12"/>
    </w:lvl>
  </w:abstractNum>
  <w:abstractNum w:abstractNumId="61">
    <w:nsid w:val="53584BCB"/>
    <w:multiLevelType w:val="hybridMultilevel"/>
    <w:lvl w:ilvl="0">
      <w:lvlJc w:val="left"/>
      <w:lvlText w:val="%1."/>
      <w:numFmt w:val="decimal"/>
      <w:start w:val="13"/>
    </w:lvl>
  </w:abstractNum>
  <w:abstractNum w:abstractNumId="62">
    <w:nsid w:val="415E286C"/>
    <w:multiLevelType w:val="hybridMultilevel"/>
    <w:lvl w:ilvl="0">
      <w:lvlJc w:val="left"/>
      <w:lvlText w:val="%1."/>
      <w:numFmt w:val="decimal"/>
      <w:start w:val="15"/>
    </w:lvl>
  </w:abstractNum>
  <w:abstractNum w:abstractNumId="63">
    <w:nsid w:val="7C58FD05"/>
    <w:multiLevelType w:val="hybridMultilevel"/>
    <w:lvl w:ilvl="0">
      <w:lvlJc w:val="left"/>
      <w:lvlText w:val="%1."/>
      <w:numFmt w:val="decimal"/>
      <w:start w:val="16"/>
    </w:lvl>
  </w:abstractNum>
  <w:abstractNum w:abstractNumId="64">
    <w:nsid w:val="23D86AAC"/>
    <w:multiLevelType w:val="hybridMultilevel"/>
    <w:lvl w:ilvl="0">
      <w:lvlJc w:val="left"/>
      <w:lvlText w:val="%1"/>
      <w:numFmt w:val="decimal"/>
      <w:start w:val="41"/>
    </w:lvl>
  </w:abstractNum>
  <w:abstractNum w:abstractNumId="65">
    <w:nsid w:val="45E6D486"/>
    <w:multiLevelType w:val="hybridMultilevel"/>
    <w:lvl w:ilvl="0">
      <w:lvlJc w:val="left"/>
      <w:lvlText w:val="%1)"/>
      <w:numFmt w:val="decimal"/>
      <w:start w:val="1"/>
    </w:lvl>
  </w:abstractNum>
  <w:abstractNum w:abstractNumId="66">
    <w:nsid w:val="5C10FE21"/>
    <w:multiLevelType w:val="hybridMultilevel"/>
    <w:lvl w:ilvl="0">
      <w:lvlJc w:val="left"/>
      <w:lvlText w:val="%1)"/>
      <w:numFmt w:val="decimal"/>
      <w:start w:val="4"/>
    </w:lvl>
    <w:lvl w:ilvl="1">
      <w:lvlJc w:val="left"/>
      <w:lvlText w:val="%2."/>
      <w:numFmt w:val="lowerLetter"/>
      <w:start w:val="1"/>
    </w:lvl>
  </w:abstractNum>
  <w:abstractNum w:abstractNumId="67">
    <w:nsid w:val="E7FFA2B"/>
    <w:multiLevelType w:val="hybridMultilevel"/>
    <w:lvl w:ilvl="0">
      <w:lvlJc w:val="left"/>
      <w:lvlText w:val="%1"/>
      <w:numFmt w:val="decimal"/>
      <w:start w:val="1"/>
    </w:lvl>
    <w:lvl w:ilvl="1">
      <w:lvlJc w:val="left"/>
      <w:lvlText w:val="%2."/>
      <w:numFmt w:val="lowerLetter"/>
      <w:start w:val="6"/>
    </w:lvl>
  </w:abstractNum>
  <w:abstractNum w:abstractNumId="68">
    <w:nsid w:val="3C5991AA"/>
    <w:multiLevelType w:val="hybridMultilevel"/>
    <w:lvl w:ilvl="0">
      <w:lvlJc w:val="left"/>
      <w:lvlText w:val="%1)"/>
      <w:numFmt w:val="decimal"/>
      <w:start w:val="5"/>
    </w:lvl>
    <w:lvl w:ilvl="1">
      <w:lvlJc w:val="left"/>
      <w:lvlText w:val="%2."/>
      <w:numFmt w:val="lowerLetter"/>
      <w:start w:val="1"/>
    </w:lvl>
  </w:abstractNum>
  <w:abstractNum w:abstractNumId="69">
    <w:nsid w:val="4BD8591A"/>
    <w:multiLevelType w:val="hybridMultilevel"/>
    <w:lvl w:ilvl="0">
      <w:lvlJc w:val="left"/>
      <w:lvlText w:val="%1."/>
      <w:numFmt w:val="lowerLetter"/>
      <w:start w:val="3"/>
    </w:lvl>
  </w:abstractNum>
  <w:abstractNum w:abstractNumId="70">
    <w:nsid w:val="78DF6A55"/>
    <w:multiLevelType w:val="hybridMultilevel"/>
    <w:lvl w:ilvl="0">
      <w:lvlJc w:val="left"/>
      <w:lvlText w:val="%1."/>
      <w:numFmt w:val="decimal"/>
      <w:start w:val="1"/>
    </w:lvl>
  </w:abstractNum>
  <w:abstractNum w:abstractNumId="71">
    <w:nsid w:val="39B7AAA2"/>
    <w:multiLevelType w:val="hybridMultilevel"/>
    <w:lvl w:ilvl="0">
      <w:lvlJc w:val="left"/>
      <w:lvlText w:val="%1."/>
      <w:numFmt w:val="decimal"/>
      <w:start w:val="2"/>
    </w:lvl>
  </w:abstractNum>
  <w:abstractNum w:abstractNumId="72">
    <w:nsid w:val="2B0D8DBE"/>
    <w:multiLevelType w:val="hybridMultilevel"/>
    <w:lvl w:ilvl="0">
      <w:lvlJc w:val="left"/>
      <w:lvlText w:val="%1."/>
      <w:numFmt w:val="decimal"/>
      <w:start w:val="3"/>
    </w:lvl>
  </w:abstractNum>
  <w:abstractNum w:abstractNumId="73">
    <w:nsid w:val="6C80EC70"/>
    <w:multiLevelType w:val="hybridMultilevel"/>
    <w:lvl w:ilvl="0">
      <w:lvlJc w:val="left"/>
      <w:lvlText w:val="%1."/>
      <w:numFmt w:val="decimal"/>
      <w:start w:val="4"/>
    </w:lvl>
  </w:abstractNum>
  <w:abstractNum w:abstractNumId="74">
    <w:nsid w:val="379E21B5"/>
    <w:multiLevelType w:val="hybridMultilevel"/>
    <w:lvl w:ilvl="0">
      <w:lvlJc w:val="left"/>
      <w:lvlText w:val="%1."/>
      <w:numFmt w:val="decimal"/>
      <w:start w:val="5"/>
    </w:lvl>
  </w:abstractNum>
  <w:abstractNum w:abstractNumId="75">
    <w:nsid w:val="69E373"/>
    <w:multiLevelType w:val="hybridMultilevel"/>
    <w:lvl w:ilvl="0">
      <w:lvlJc w:val="left"/>
      <w:lvlText w:val="(%1)"/>
      <w:numFmt w:val="decimal"/>
      <w:start w:val="1"/>
    </w:lvl>
  </w:abstractNum>
  <w:abstractNum w:abstractNumId="76">
    <w:nsid w:val="2C27173B"/>
    <w:multiLevelType w:val="hybridMultilevel"/>
    <w:lvl w:ilvl="0">
      <w:lvlJc w:val="left"/>
      <w:lvlText w:val="%1."/>
      <w:numFmt w:val="decimal"/>
      <w:start w:val="6"/>
    </w:lvl>
  </w:abstractNum>
  <w:abstractNum w:abstractNumId="77">
    <w:nsid w:val="4C9B0904"/>
    <w:multiLevelType w:val="hybridMultilevel"/>
    <w:lvl w:ilvl="0">
      <w:lvlJc w:val="left"/>
      <w:lvlText w:val="%1."/>
      <w:numFmt w:val="decimal"/>
      <w:start w:val="7"/>
    </w:lvl>
  </w:abstractNum>
  <w:abstractNum w:abstractNumId="78">
    <w:nsid w:val="6AA7B75C"/>
    <w:multiLevelType w:val="hybridMultilevel"/>
    <w:lvl w:ilvl="0">
      <w:lvlJc w:val="left"/>
      <w:lvlText w:val="%1."/>
      <w:numFmt w:val="decimal"/>
      <w:start w:val="1"/>
    </w:lvl>
    <w:lvl w:ilvl="1">
      <w:lvlJc w:val="left"/>
      <w:lvlText w:val="(%2)"/>
      <w:numFmt w:val="lowerLetter"/>
      <w:start w:val="1"/>
    </w:lvl>
  </w:abstractNum>
  <w:abstractNum w:abstractNumId="79">
    <w:nsid w:val="1DF029D3"/>
    <w:multiLevelType w:val="hybridMultilevel"/>
    <w:lvl w:ilvl="0">
      <w:lvlJc w:val="left"/>
      <w:lvlText w:val="(%1)"/>
      <w:numFmt w:val="lowerLetter"/>
      <w:start w:val="6"/>
    </w:lvl>
  </w:abstractNum>
  <w:abstractNum w:abstractNumId="80">
    <w:nsid w:val="5675FF36"/>
    <w:multiLevelType w:val="hybridMultilevel"/>
    <w:lvl w:ilvl="0">
      <w:lvlJc w:val="left"/>
      <w:lvlText w:val="(%1)"/>
      <w:numFmt w:val="lowerLetter"/>
      <w:start w:val="2"/>
    </w:lvl>
  </w:abstractNum>
  <w:abstractNum w:abstractNumId="81">
    <w:nsid w:val="3DD15094"/>
    <w:multiLevelType w:val="hybridMultilevel"/>
    <w:lvl w:ilvl="0">
      <w:lvlJc w:val="left"/>
      <w:lvlText w:val="%1"/>
      <w:numFmt w:val="lowerLetter"/>
      <w:start w:val="1"/>
    </w:lvl>
    <w:lvl w:ilvl="1">
      <w:lvlJc w:val="left"/>
      <w:lvlText w:val="(%2)"/>
      <w:numFmt w:val="decimal"/>
      <w:start w:val="2"/>
    </w:lvl>
  </w:abstractNum>
  <w:abstractNum w:abstractNumId="82">
    <w:nsid w:val="3DB012B3"/>
    <w:multiLevelType w:val="hybridMultilevel"/>
    <w:lvl w:ilvl="0">
      <w:lvlJc w:val="left"/>
      <w:lvlText w:val="(%1)"/>
      <w:numFmt w:val="lowerLetter"/>
      <w:start w:val="3"/>
    </w:lvl>
    <w:lvl w:ilvl="1">
      <w:lvlJc w:val="left"/>
      <w:lvlText w:val="%2"/>
      <w:numFmt w:val="decimal"/>
      <w:start w:val="1"/>
    </w:lvl>
  </w:abstractNum>
  <w:abstractNum w:abstractNumId="83">
    <w:nsid w:val="2708C9AF"/>
    <w:multiLevelType w:val="hybridMultilevel"/>
    <w:lvl w:ilvl="0">
      <w:lvlJc w:val="left"/>
      <w:lvlText w:val="%1."/>
      <w:numFmt w:val="decimal"/>
      <w:start w:val="2"/>
    </w:lvl>
    <w:lvl w:ilvl="1">
      <w:lvlJc w:val="left"/>
      <w:lvlText w:val="(%2)"/>
      <w:numFmt w:val="lowerLetter"/>
      <w:start w:val="1"/>
    </w:lvl>
  </w:abstractNum>
  <w:abstractNum w:abstractNumId="84">
    <w:nsid w:val="5B25ACE2"/>
    <w:multiLevelType w:val="hybridMultilevel"/>
    <w:lvl w:ilvl="0">
      <w:lvlJc w:val="left"/>
      <w:lvlText w:val="(%1)"/>
      <w:numFmt w:val="lowerLetter"/>
      <w:start w:val="9"/>
    </w:lvl>
    <w:lvl w:ilvl="1">
      <w:lvlJc w:val="left"/>
      <w:lvlText w:val="(%2)"/>
      <w:numFmt w:val="lowerLetter"/>
      <w:start w:val="3"/>
    </w:lvl>
  </w:abstractNum>
  <w:abstractNum w:abstractNumId="85">
    <w:nsid w:val="175DFCF0"/>
    <w:multiLevelType w:val="hybridMultilevel"/>
    <w:lvl w:ilvl="0">
      <w:lvlJc w:val="left"/>
      <w:lvlText w:val="%1"/>
      <w:numFmt w:val="lowerLetter"/>
      <w:start w:val="1"/>
    </w:lvl>
    <w:lvl w:ilvl="1">
      <w:lvlJc w:val="left"/>
      <w:lvlText w:val="(%2)"/>
      <w:numFmt w:val="decimal"/>
      <w:start w:val="1"/>
    </w:lvl>
  </w:abstractNum>
  <w:abstractNum w:abstractNumId="86">
    <w:nsid w:val="4F97E3E4"/>
    <w:multiLevelType w:val="hybridMultilevel"/>
    <w:lvl w:ilvl="0">
      <w:lvlJc w:val="left"/>
      <w:lvlText w:val="(%1)"/>
      <w:numFmt w:val="lowerLetter"/>
      <w:start w:val="2"/>
    </w:lvl>
    <w:lvl w:ilvl="1">
      <w:lvlJc w:val="left"/>
      <w:lvlText w:val="%2"/>
      <w:numFmt w:val="decimal"/>
      <w:start w:val="1"/>
    </w:lvl>
  </w:abstractNum>
  <w:abstractNum w:abstractNumId="87">
    <w:nsid w:val="53B0A9E"/>
    <w:multiLevelType w:val="hybridMultilevel"/>
    <w:lvl w:ilvl="0">
      <w:lvlJc w:val="left"/>
      <w:lvlText w:val="%1"/>
      <w:numFmt w:val="decimal"/>
      <w:start w:val="1"/>
    </w:lvl>
    <w:lvl w:ilvl="1">
      <w:lvlJc w:val="left"/>
      <w:lvlText w:val="(%2)"/>
      <w:numFmt w:val="lowerLetter"/>
      <w:start w:val="5"/>
    </w:lvl>
  </w:abstractNum>
  <w:abstractNum w:abstractNumId="88">
    <w:nsid w:val="34FD6B4F"/>
    <w:multiLevelType w:val="hybridMultilevel"/>
    <w:lvl w:ilvl="0">
      <w:lvlJc w:val="left"/>
      <w:lvlText w:val="%1."/>
      <w:numFmt w:val="decimal"/>
      <w:start w:val="3"/>
    </w:lvl>
    <w:lvl w:ilvl="1">
      <w:lvlJc w:val="left"/>
      <w:lvlText w:val="%2"/>
      <w:numFmt w:val="lowerLetter"/>
      <w:start w:val="1"/>
    </w:lvl>
  </w:abstractNum>
  <w:abstractNum w:abstractNumId="89">
    <w:nsid w:val="5915FF32"/>
    <w:multiLevelType w:val="hybridMultilevel"/>
    <w:lvl w:ilvl="0">
      <w:lvlJc w:val="left"/>
      <w:lvlText w:val="%1."/>
      <w:numFmt w:val="decimal"/>
      <w:start w:val="4"/>
    </w:lvl>
    <w:lvl w:ilvl="1">
      <w:lvlJc w:val="left"/>
      <w:lvlText w:val="(%2)"/>
      <w:numFmt w:val="lowerLetter"/>
      <w:start w:val="1"/>
    </w:lvl>
  </w:abstractNum>
  <w:abstractNum w:abstractNumId="90">
    <w:nsid w:val="56438D15"/>
    <w:multiLevelType w:val="hybridMultilevel"/>
    <w:lvl w:ilvl="0">
      <w:lvlJc w:val="left"/>
      <w:lvlText w:val="%1"/>
      <w:numFmt w:val="decimal"/>
      <w:start w:val="1"/>
    </w:lvl>
    <w:lvl w:ilvl="1">
      <w:lvlJc w:val="left"/>
      <w:lvlText w:val="(%2)"/>
      <w:numFmt w:val="lowerLetter"/>
      <w:start w:val="3"/>
    </w:lvl>
  </w:abstractNum>
  <w:abstractNum w:abstractNumId="91">
    <w:nsid w:val="519E3149"/>
    <w:multiLevelType w:val="hybridMultilevel"/>
    <w:lvl w:ilvl="0">
      <w:lvlJc w:val="left"/>
      <w:lvlText w:val="%1."/>
      <w:numFmt w:val="decimal"/>
      <w:start w:val="5"/>
    </w:lvl>
    <w:lvl w:ilvl="1">
      <w:lvlJc w:val="left"/>
      <w:lvlText w:val="%2"/>
      <w:numFmt w:val="lowerLetter"/>
      <w:start w:val="1"/>
    </w:lvl>
  </w:abstractNum>
  <w:abstractNum w:abstractNumId="92">
    <w:nsid w:val="2C6E4AFD"/>
    <w:multiLevelType w:val="hybridMultilevel"/>
    <w:lvl w:ilvl="0">
      <w:lvlJc w:val="left"/>
      <w:lvlText w:val="%1."/>
      <w:numFmt w:val="decimal"/>
      <w:start w:val="6"/>
    </w:lvl>
  </w:abstractNum>
  <w:abstractNum w:abstractNumId="93">
    <w:nsid w:val="17A1B582"/>
    <w:multiLevelType w:val="hybridMultilevel"/>
    <w:lvl w:ilvl="0">
      <w:lvlJc w:val="left"/>
      <w:lvlText w:val="%1."/>
      <w:numFmt w:val="decimal"/>
      <w:start w:val="7"/>
    </w:lvl>
  </w:abstractNum>
  <w:abstractNum w:abstractNumId="94">
    <w:nsid w:val="4DF72E4E"/>
    <w:multiLevelType w:val="hybridMultilevel"/>
    <w:lvl w:ilvl="0">
      <w:lvlJc w:val="left"/>
      <w:lvlText w:val="%1."/>
      <w:numFmt w:val="decimal"/>
      <w:start w:val="8"/>
    </w:lvl>
    <w:lvl w:ilvl="1">
      <w:lvlJc w:val="left"/>
      <w:lvlText w:val="(%2)"/>
      <w:numFmt w:val="lowerLetter"/>
      <w:start w:val="1"/>
    </w:lvl>
  </w:abstractNum>
  <w:abstractNum w:abstractNumId="95">
    <w:nsid w:val="5046B5A9"/>
    <w:multiLevelType w:val="hybridMultilevel"/>
    <w:lvl w:ilvl="0">
      <w:lvlJc w:val="left"/>
      <w:lvlText w:val="(%1)"/>
      <w:numFmt w:val="lowerLetter"/>
      <w:start w:val="6"/>
    </w:lvl>
  </w:abstractNum>
  <w:abstractNum w:abstractNumId="96">
    <w:nsid w:val="5D888A08"/>
    <w:multiLevelType w:val="hybridMultilevel"/>
    <w:lvl w:ilvl="0">
      <w:lvlJc w:val="left"/>
      <w:lvlText w:val="•"/>
      <w:numFmt w:val="bullet"/>
      <w:start w:val="1"/>
    </w:lvl>
  </w:abstractNum>
  <w:abstractNum w:abstractNumId="97">
    <w:nsid w:val="2A082C70"/>
    <w:multiLevelType w:val="hybridMultilevel"/>
    <w:lvl w:ilvl="0">
      <w:lvlJc w:val="left"/>
      <w:lvlText w:val="%1:"/>
      <w:numFmt w:val="upperLetter"/>
      <w:start w:val="1"/>
    </w:lvl>
  </w:abstractNum>
  <w:abstractNum w:abstractNumId="98">
    <w:nsid w:val="5EC6AFD4"/>
    <w:multiLevelType w:val="hybridMultilevel"/>
    <w:lvl w:ilvl="0">
      <w:lvlJc w:val="left"/>
      <w:lvlText w:val="%1:"/>
      <w:numFmt w:val="upperLetter"/>
      <w:start w:val="1"/>
    </w:lvl>
  </w:abstractNum>
  <w:abstractNum w:abstractNumId="99">
    <w:nsid w:val="19E21BB2"/>
    <w:multiLevelType w:val="hybridMultilevel"/>
    <w:lvl w:ilvl="0">
      <w:lvlJc w:val="left"/>
      <w:lvlText w:val="%1:"/>
      <w:numFmt w:val="upperLetter"/>
      <w:start w:val="1"/>
    </w:lvl>
  </w:abstractNum>
  <w:abstractNum w:abstractNumId="100">
    <w:nsid w:val="75E0858A"/>
    <w:multiLevelType w:val="hybridMultilevel"/>
    <w:lvl w:ilvl="0">
      <w:lvlJc w:val="left"/>
      <w:lvlText w:val="%1:"/>
      <w:numFmt w:val="upperLetter"/>
      <w:start w:val="1"/>
    </w:lvl>
  </w:abstractNum>
  <w:abstractNum w:abstractNumId="101">
    <w:nsid w:val="57A61A29"/>
    <w:multiLevelType w:val="hybridMultilevel"/>
    <w:lvl w:ilvl="0">
      <w:lvlJc w:val="left"/>
      <w:lvlText w:val="%1:"/>
      <w:numFmt w:val="upperLetter"/>
      <w:start w:val="1"/>
    </w:lvl>
  </w:abstractNum>
  <w:abstractNum w:abstractNumId="102">
    <w:nsid w:val="5399C654"/>
    <w:multiLevelType w:val="hybridMultilevel"/>
    <w:lvl w:ilvl="0">
      <w:lvlJc w:val="left"/>
      <w:lvlText w:val="%1:"/>
      <w:numFmt w:val="upperLetter"/>
      <w:start w:val="1"/>
    </w:lvl>
  </w:abstractNum>
  <w:abstractNum w:abstractNumId="103">
    <w:nsid w:val="20EE1348"/>
    <w:multiLevelType w:val="hybridMultilevel"/>
    <w:lvl w:ilvl="0">
      <w:lvlJc w:val="left"/>
      <w:lvlText w:val="%1:"/>
      <w:numFmt w:val="upperLetter"/>
      <w:start w:val="1"/>
    </w:lvl>
  </w:abstractNum>
  <w:abstractNum w:abstractNumId="104">
    <w:nsid w:val="4427069A"/>
    <w:multiLevelType w:val="hybridMultilevel"/>
    <w:lvl w:ilvl="0">
      <w:lvlJc w:val="left"/>
      <w:lvlText w:val="%1:"/>
      <w:numFmt w:val="upperLetter"/>
      <w:start w:val="1"/>
    </w:lvl>
    <w:lvl w:ilvl="1">
      <w:lvlJc w:val="left"/>
      <w:lvlText w:val="•"/>
      <w:numFmt w:val="bullet"/>
      <w:start w:val="1"/>
    </w:lvl>
  </w:abstractNum>
  <w:abstractNum w:abstractNumId="105">
    <w:nsid w:val="B37E80A"/>
    <w:multiLevelType w:val="hybridMultilevel"/>
    <w:lvl w:ilvl="0">
      <w:lvlJc w:val="left"/>
      <w:lvlText w:val="%1:"/>
      <w:numFmt w:val="upperLetter"/>
      <w:start w:val="1"/>
    </w:lvl>
  </w:abstractNum>
  <w:abstractNum w:abstractNumId="106">
    <w:nsid w:val="2157F6BC"/>
    <w:multiLevelType w:val="hybridMultilevel"/>
    <w:lvl w:ilvl="0">
      <w:lvlJc w:val="left"/>
      <w:lvlText w:val="%1:"/>
      <w:numFmt w:val="upperLetter"/>
      <w:start w:val="1"/>
    </w:lvl>
  </w:abstractNum>
  <w:abstractNum w:abstractNumId="107">
    <w:nsid w:val="704E1DD5"/>
    <w:multiLevelType w:val="hybridMultilevel"/>
    <w:lvl w:ilvl="0">
      <w:lvlJc w:val="left"/>
      <w:lvlText w:val="%1:"/>
      <w:numFmt w:val="upperLetter"/>
      <w:start w:val="17"/>
    </w:lvl>
  </w:abstractNum>
  <w:abstractNum w:abstractNumId="108">
    <w:nsid w:val="57D2F10E"/>
    <w:multiLevelType w:val="hybridMultilevel"/>
    <w:lvl w:ilvl="0">
      <w:lvlJc w:val="left"/>
      <w:lvlText w:val="%1:"/>
      <w:numFmt w:val="upperLetter"/>
      <w:start w:val="1"/>
    </w:lvl>
  </w:abstractNum>
  <w:abstractNum w:abstractNumId="109">
    <w:nsid w:val="BFFAE18"/>
    <w:multiLevelType w:val="hybridMultilevel"/>
    <w:lvl w:ilvl="0">
      <w:lvlJc w:val="left"/>
      <w:lvlText w:val="%1:"/>
      <w:numFmt w:val="upperLetter"/>
      <w:start w:val="17"/>
    </w:lvl>
  </w:abstractNum>
  <w:abstractNum w:abstractNumId="110">
    <w:nsid w:val="E3E47A8"/>
    <w:multiLevelType w:val="hybridMultilevel"/>
    <w:lvl w:ilvl="0">
      <w:lvlJc w:val="left"/>
      <w:lvlText w:val="%1:"/>
      <w:numFmt w:val="upperLetter"/>
      <w:start w:val="1"/>
    </w:lvl>
  </w:abstractNum>
  <w:abstractNum w:abstractNumId="111">
    <w:nsid w:val="2E48F044"/>
    <w:multiLevelType w:val="hybridMultilevel"/>
    <w:lvl w:ilvl="0">
      <w:lvlJc w:val="left"/>
      <w:lvlText w:val="%1:"/>
      <w:numFmt w:val="upperLetter"/>
      <w:start w:val="1"/>
    </w:lvl>
  </w:abstractNum>
  <w:abstractNum w:abstractNumId="112">
    <w:nsid w:val="49D0FEAC"/>
    <w:multiLevelType w:val="hybridMultilevel"/>
    <w:lvl w:ilvl="0">
      <w:lvlJc w:val="left"/>
      <w:lvlText w:val="%1:"/>
      <w:numFmt w:val="upperLetter"/>
      <w:start w:val="1"/>
    </w:lvl>
  </w:abstractNum>
  <w:abstractNum w:abstractNumId="113">
    <w:nsid w:val="4BEE5A5B"/>
    <w:multiLevelType w:val="hybridMultilevel"/>
    <w:lvl w:ilvl="0">
      <w:lvlJc w:val="left"/>
      <w:lvlText w:val="%1:"/>
      <w:numFmt w:val="upperLetter"/>
      <w:start w:val="17"/>
    </w:lvl>
  </w:abstractNum>
  <w:abstractNum w:abstractNumId="114">
    <w:nsid w:val="5551B9F3"/>
    <w:multiLevelType w:val="hybridMultilevel"/>
    <w:lvl w:ilvl="0">
      <w:lvlJc w:val="left"/>
      <w:lvlText w:val="%1:"/>
      <w:numFmt w:val="upperLetter"/>
      <w:start w:val="1"/>
    </w:lvl>
  </w:abstractNum>
  <w:abstractNum w:abstractNumId="115">
    <w:nsid w:val="24F6AB8E"/>
    <w:multiLevelType w:val="hybridMultilevel"/>
    <w:lvl w:ilvl="0">
      <w:lvlJc w:val="left"/>
      <w:lvlText w:val="%1:"/>
      <w:numFmt w:val="upperLetter"/>
      <w:start w:val="17"/>
    </w:lvl>
  </w:abstractNum>
  <w:abstractNum w:abstractNumId="116">
    <w:nsid w:val="634C574C"/>
    <w:multiLevelType w:val="hybridMultilevel"/>
    <w:lvl w:ilvl="0">
      <w:lvlJc w:val="left"/>
      <w:lvlText w:val="%1:"/>
      <w:numFmt w:val="upperLetter"/>
      <w:start w:val="1"/>
    </w:lvl>
  </w:abstractNum>
  <w:abstractNum w:abstractNumId="117">
    <w:nsid w:val="24E99DD7"/>
    <w:multiLevelType w:val="hybridMultilevel"/>
    <w:lvl w:ilvl="0">
      <w:lvlJc w:val="left"/>
      <w:lvlText w:val="%1:"/>
      <w:numFmt w:val="upperLetter"/>
      <w:start w:val="1"/>
    </w:lvl>
  </w:abstractNum>
  <w:abstractNum w:abstractNumId="118">
    <w:nsid w:val="2A31B62D"/>
    <w:multiLevelType w:val="hybridMultilevel"/>
    <w:lvl w:ilvl="0">
      <w:lvlJc w:val="left"/>
      <w:lvlText w:val="%1:"/>
      <w:numFmt w:val="upperLetter"/>
      <w:start w:val="1"/>
    </w:lvl>
  </w:abstractNum>
  <w:abstractNum w:abstractNumId="119">
    <w:nsid w:val="1849C29B"/>
    <w:multiLevelType w:val="hybridMultilevel"/>
    <w:lvl w:ilvl="0">
      <w:lvlJc w:val="left"/>
      <w:lvlText w:val="%1:"/>
      <w:numFmt w:val="upperLetter"/>
      <w:start w:val="1"/>
    </w:lvl>
  </w:abstractNum>
  <w:abstractNum w:abstractNumId="120">
    <w:nsid w:val="7DFF9D09"/>
    <w:multiLevelType w:val="hybridMultilevel"/>
    <w:lvl w:ilvl="0">
      <w:lvlJc w:val="left"/>
      <w:lvlText w:val="%1:"/>
      <w:numFmt w:val="upperLetter"/>
      <w:start w:val="1"/>
    </w:lvl>
  </w:abstractNum>
  <w:abstractNum w:abstractNumId="121">
    <w:nsid w:val="754342"/>
    <w:multiLevelType w:val="hybridMultilevel"/>
    <w:lvl w:ilvl="0">
      <w:lvlJc w:val="left"/>
      <w:lvlText w:val="%1:"/>
      <w:numFmt w:val="upperLetter"/>
      <w:start w:val="17"/>
    </w:lvl>
  </w:abstractNum>
  <w:abstractNum w:abstractNumId="122">
    <w:nsid w:val="69E7F3E5"/>
    <w:multiLevelType w:val="hybridMultilevel"/>
    <w:lvl w:ilvl="0">
      <w:lvlJc w:val="left"/>
      <w:lvlText w:val="%1:"/>
      <w:numFmt w:val="upperLetter"/>
      <w:start w:val="1"/>
    </w:lvl>
  </w:abstractNum>
  <w:abstractNum w:abstractNumId="123">
    <w:nsid w:val="2A6DE806"/>
    <w:multiLevelType w:val="hybridMultilevel"/>
    <w:lvl w:ilvl="0">
      <w:lvlJc w:val="left"/>
      <w:lvlText w:val="%1:"/>
      <w:numFmt w:val="upperLetter"/>
      <w:start w:val="17"/>
    </w:lvl>
  </w:abstractNum>
  <w:abstractNum w:abstractNumId="124">
    <w:nsid w:val="1816F8C4"/>
    <w:multiLevelType w:val="hybridMultilevel"/>
    <w:lvl w:ilvl="0">
      <w:lvlJc w:val="left"/>
      <w:lvlText w:val="%1:"/>
      <w:numFmt w:val="upperLetter"/>
      <w:start w:val="1"/>
    </w:lvl>
  </w:abstractNum>
  <w:abstractNum w:abstractNumId="125">
    <w:nsid w:val="37DF2233"/>
    <w:multiLevelType w:val="hybridMultilevel"/>
    <w:lvl w:ilvl="0">
      <w:lvlJc w:val="left"/>
      <w:lvlText w:val="%1:"/>
      <w:numFmt w:val="upperLetter"/>
      <w:start w:val="1"/>
    </w:lvl>
  </w:abstractNum>
  <w:abstractNum w:abstractNumId="126">
    <w:nsid w:val="7AB49DAF"/>
    <w:multiLevelType w:val="hybridMultilevel"/>
    <w:lvl w:ilvl="0">
      <w:lvlJc w:val="left"/>
      <w:lvlText w:val="%1:"/>
      <w:numFmt w:val="upperLetter"/>
      <w:start w:val="1"/>
    </w:lvl>
  </w:abstractNum>
  <w:abstractNum w:abstractNumId="127">
    <w:nsid w:val="759F82CD"/>
    <w:multiLevelType w:val="hybridMultilevel"/>
    <w:lvl w:ilvl="0">
      <w:lvlJc w:val="left"/>
      <w:lvlText w:val="%1:"/>
      <w:numFmt w:val="upperLetter"/>
      <w:start w:val="17"/>
    </w:lvl>
  </w:abstractNum>
  <w:abstractNum w:abstractNumId="128">
    <w:nsid w:val="61E74EA3"/>
    <w:multiLevelType w:val="hybridMultilevel"/>
    <w:lvl w:ilvl="0">
      <w:lvlJc w:val="left"/>
      <w:lvlText w:val="%1:"/>
      <w:numFmt w:val="upperLetter"/>
      <w:start w:val="1"/>
    </w:lvl>
  </w:abstractNum>
  <w:abstractNum w:abstractNumId="129">
    <w:nsid w:val="597B4D84"/>
    <w:multiLevelType w:val="hybridMultilevel"/>
    <w:lvl w:ilvl="0">
      <w:lvlJc w:val="left"/>
      <w:lvlText w:val="%1:"/>
      <w:numFmt w:val="upperLetter"/>
      <w:start w:val="1"/>
    </w:lvl>
  </w:abstractNum>
  <w:abstractNum w:abstractNumId="130">
    <w:nsid w:val="F819E7F"/>
    <w:multiLevelType w:val="hybridMultilevel"/>
    <w:lvl w:ilvl="0">
      <w:lvlJc w:val="left"/>
      <w:lvlText w:val="%1:"/>
      <w:numFmt w:val="upperLetter"/>
      <w:start w:val="1"/>
    </w:lvl>
  </w:abstractNum>
  <w:abstractNum w:abstractNumId="131">
    <w:nsid w:val="57C7D42D"/>
    <w:multiLevelType w:val="hybridMultilevel"/>
    <w:lvl w:ilvl="0">
      <w:lvlJc w:val="left"/>
      <w:lvlText w:val="%1:"/>
      <w:numFmt w:val="upperLetter"/>
      <w:start w:val="17"/>
    </w:lvl>
  </w:abstractNum>
  <w:abstractNum w:abstractNumId="132">
    <w:nsid w:val="312167AD"/>
    <w:multiLevelType w:val="hybridMultilevel"/>
    <w:lvl w:ilvl="0">
      <w:lvlJc w:val="left"/>
      <w:lvlText w:val="%1:"/>
      <w:numFmt w:val="upperLetter"/>
      <w:start w:val="1"/>
    </w:lvl>
  </w:abstractNum>
  <w:abstractNum w:abstractNumId="133">
    <w:nsid w:val="631B64D4"/>
    <w:multiLevelType w:val="hybridMultilevel"/>
    <w:lvl w:ilvl="0">
      <w:lvlJc w:val="left"/>
      <w:lvlText w:val="%1:"/>
      <w:numFmt w:val="upperLetter"/>
      <w:start w:val="17"/>
    </w:lvl>
  </w:abstractNum>
  <w:abstractNum w:abstractNumId="134">
    <w:nsid w:val="78B5E776"/>
    <w:multiLevelType w:val="hybridMultilevel"/>
    <w:lvl w:ilvl="0">
      <w:lvlJc w:val="left"/>
      <w:lvlText w:val="%1:"/>
      <w:numFmt w:val="upperLetter"/>
      <w:start w:val="1"/>
    </w:lvl>
  </w:abstractNum>
  <w:abstractNum w:abstractNumId="135">
    <w:nsid w:val="75486E47"/>
    <w:multiLevelType w:val="hybridMultilevel"/>
    <w:lvl w:ilvl="0">
      <w:lvlJc w:val="left"/>
      <w:lvlText w:val="%1:"/>
      <w:numFmt w:val="upperLetter"/>
      <w:start w:val="1"/>
    </w:lvl>
  </w:abstractNum>
  <w:abstractNum w:abstractNumId="136">
    <w:nsid w:val="6E534CDE"/>
    <w:multiLevelType w:val="hybridMultilevel"/>
    <w:lvl w:ilvl="0">
      <w:lvlJc w:val="left"/>
      <w:lvlText w:val="%1:"/>
      <w:numFmt w:val="upperLetter"/>
      <w:start w:val="17"/>
    </w:lvl>
  </w:abstractNum>
  <w:abstractNum w:abstractNumId="137">
    <w:nsid w:val="1A0DDE32"/>
    <w:multiLevelType w:val="hybridMultilevel"/>
    <w:lvl w:ilvl="0">
      <w:lvlJc w:val="left"/>
      <w:lvlText w:val="%1:"/>
      <w:numFmt w:val="upperLetter"/>
      <w:start w:val="1"/>
    </w:lvl>
  </w:abstractNum>
  <w:abstractNum w:abstractNumId="138">
    <w:nsid w:val="65968C1C"/>
    <w:multiLevelType w:val="hybridMultilevel"/>
    <w:lvl w:ilvl="0">
      <w:lvlJc w:val="left"/>
      <w:lvlText w:val="%1:"/>
      <w:numFmt w:val="upperLetter"/>
      <w:start w:val="1"/>
    </w:lvl>
  </w:abstractNum>
  <w:abstractNum w:abstractNumId="139">
    <w:nsid w:val="46263DEC"/>
    <w:multiLevelType w:val="hybridMultilevel"/>
    <w:lvl w:ilvl="0">
      <w:lvlJc w:val="left"/>
      <w:lvlText w:val="%1:"/>
      <w:numFmt w:val="upperLetter"/>
      <w:start w:val="1"/>
    </w:lvl>
  </w:abstractNum>
  <w:abstractNum w:abstractNumId="140">
    <w:nsid w:val="260D8C4A"/>
    <w:multiLevelType w:val="hybridMultilevel"/>
    <w:lvl w:ilvl="0">
      <w:lvlJc w:val="left"/>
      <w:lvlText w:val="%1:"/>
      <w:numFmt w:val="upperLetter"/>
      <w:start w:val="1"/>
    </w:lvl>
  </w:abstractNum>
  <w:abstractNum w:abstractNumId="141">
    <w:nsid w:val="73D4D3C4"/>
    <w:multiLevelType w:val="hybridMultilevel"/>
    <w:lvl w:ilvl="0">
      <w:lvlJc w:val="left"/>
      <w:lvlText w:val="%1:"/>
      <w:numFmt w:val="upperLetter"/>
      <w:start w:val="1"/>
    </w:lvl>
  </w:abstractNum>
  <w:abstractNum w:abstractNumId="142">
    <w:nsid w:val="746F2E30"/>
    <w:multiLevelType w:val="hybridMultilevel"/>
    <w:lvl w:ilvl="0">
      <w:lvlJc w:val="left"/>
      <w:lvlText w:val="%1:"/>
      <w:numFmt w:val="upperLetter"/>
      <w:start w:val="1"/>
    </w:lvl>
  </w:abstractNum>
  <w:abstractNum w:abstractNumId="143">
    <w:nsid w:val="6FDE8AF6"/>
    <w:multiLevelType w:val="hybridMultilevel"/>
    <w:lvl w:ilvl="0">
      <w:lvlJc w:val="left"/>
      <w:lvlText w:val="%1:"/>
      <w:numFmt w:val="upperLetter"/>
      <w:start w:val="1"/>
    </w:lvl>
  </w:abstractNum>
  <w:abstractNum w:abstractNumId="144">
    <w:nsid w:val="3FC32E20"/>
    <w:multiLevelType w:val="hybridMultilevel"/>
    <w:lvl w:ilvl="0">
      <w:lvlJc w:val="left"/>
      <w:lvlText w:val="%1:"/>
      <w:numFmt w:val="upperLetter"/>
      <w:start w:val="1"/>
    </w:lvl>
  </w:abstractNum>
  <w:abstractNum w:abstractNumId="145">
    <w:nsid w:val="49C0E823"/>
    <w:multiLevelType w:val="hybridMultilevel"/>
    <w:lvl w:ilvl="0">
      <w:lvlJc w:val="left"/>
      <w:lvlText w:val="%1:"/>
      <w:numFmt w:val="upperLetter"/>
      <w:start w:val="1"/>
    </w:lvl>
  </w:abstractNum>
  <w:abstractNum w:abstractNumId="146">
    <w:nsid w:val="14D53685"/>
    <w:multiLevelType w:val="hybridMultilevel"/>
    <w:lvl w:ilvl="0">
      <w:lvlJc w:val="left"/>
      <w:lvlText w:val="%1:"/>
      <w:numFmt w:val="upperLetter"/>
      <w:start w:val="1"/>
    </w:lvl>
  </w:abstractNum>
  <w:abstractNum w:abstractNumId="147">
    <w:nsid w:val="230F856C"/>
    <w:multiLevelType w:val="hybridMultilevel"/>
    <w:lvl w:ilvl="0">
      <w:lvlJc w:val="left"/>
      <w:lvlText w:val="%1:"/>
      <w:numFmt w:val="upperLetter"/>
      <w:start w:val="1"/>
    </w:lvl>
  </w:abstractNum>
  <w:abstractNum w:abstractNumId="148">
    <w:nsid w:val="6EAA85FB"/>
    <w:multiLevelType w:val="hybridMultilevel"/>
    <w:lvl w:ilvl="0">
      <w:lvlJc w:val="left"/>
      <w:lvlText w:val="%1:"/>
      <w:numFmt w:val="upperLetter"/>
      <w:start w:val="1"/>
    </w:lvl>
  </w:abstractNum>
  <w:abstractNum w:abstractNumId="149">
    <w:nsid w:val="3F06ECB2"/>
    <w:multiLevelType w:val="hybridMultilevel"/>
    <w:lvl w:ilvl="0">
      <w:lvlJc w:val="left"/>
      <w:lvlText w:val="%1:"/>
      <w:numFmt w:val="upperLetter"/>
      <w:start w:val="1"/>
    </w:lvl>
  </w:abstractNum>
  <w:abstractNum w:abstractNumId="150">
    <w:nsid w:val="3B594807"/>
    <w:multiLevelType w:val="hybridMultilevel"/>
    <w:lvl w:ilvl="0">
      <w:lvlJc w:val="left"/>
      <w:lvlText w:val="%1:"/>
      <w:numFmt w:val="upperLetter"/>
      <w:start w:val="1"/>
    </w:lvl>
  </w:abstractNum>
  <w:abstractNum w:abstractNumId="151">
    <w:nsid w:val="6CAA2304"/>
    <w:multiLevelType w:val="hybridMultilevel"/>
    <w:lvl w:ilvl="0">
      <w:lvlJc w:val="left"/>
      <w:lvlText w:val="%1:"/>
      <w:numFmt w:val="upperLetter"/>
      <w:start w:val="1"/>
    </w:lvl>
  </w:abstractNum>
  <w:abstractNum w:abstractNumId="152">
    <w:nsid w:val="3F7C2FF4"/>
    <w:multiLevelType w:val="hybridMultilevel"/>
    <w:lvl w:ilvl="0">
      <w:lvlJc w:val="left"/>
      <w:lvlText w:val="%1:"/>
      <w:numFmt w:val="upperLetter"/>
      <w:start w:val="1"/>
    </w:lvl>
  </w:abstractNum>
  <w:abstractNum w:abstractNumId="153">
    <w:nsid w:val="25413BEC"/>
    <w:multiLevelType w:val="hybridMultilevel"/>
    <w:lvl w:ilvl="0">
      <w:lvlJc w:val="left"/>
      <w:lvlText w:val="%1:"/>
      <w:numFmt w:val="upperLetter"/>
      <w:start w:val="1"/>
    </w:lvl>
  </w:abstractNum>
  <w:abstractNum w:abstractNumId="154">
    <w:nsid w:val="17180B0B"/>
    <w:multiLevelType w:val="hybridMultilevel"/>
    <w:lvl w:ilvl="0">
      <w:lvlJc w:val="left"/>
      <w:lvlText w:val="%1."/>
      <w:numFmt w:val="upperLetter"/>
      <w:start w:val="1"/>
    </w:lvl>
  </w:abstractNum>
  <w:abstractNum w:abstractNumId="155">
    <w:nsid w:val="579328B9"/>
    <w:multiLevelType w:val="hybridMultilevel"/>
    <w:lvl w:ilvl="0">
      <w:lvlJc w:val="left"/>
      <w:lvlText w:val="%1:"/>
      <w:numFmt w:val="upperLetter"/>
      <w:start w:val="1"/>
    </w:lvl>
  </w:abstractNum>
  <w:abstractNum w:abstractNumId="156">
    <w:nsid w:val="5D205E20"/>
    <w:multiLevelType w:val="hybridMultilevel"/>
    <w:lvl w:ilvl="0">
      <w:lvlJc w:val="left"/>
      <w:lvlText w:val="(%1)"/>
      <w:numFmt w:val="lowerLetter"/>
      <w:start w:val="1"/>
    </w:lvl>
  </w:abstractNum>
  <w:abstractNum w:abstractNumId="157">
    <w:nsid w:val="11CCA8BA"/>
    <w:multiLevelType w:val="hybridMultilevel"/>
    <w:lvl w:ilvl="0">
      <w:lvlJc w:val="left"/>
      <w:lvlText w:val="(%1)"/>
      <w:numFmt w:val="lowerLetter"/>
      <w:start w:val="1"/>
    </w:lvl>
  </w:abstractNum>
  <w:abstractNum w:abstractNumId="158">
    <w:nsid w:val="4D32AB86"/>
    <w:multiLevelType w:val="hybridMultilevel"/>
    <w:lvl w:ilvl="0">
      <w:lvlJc w:val="left"/>
      <w:lvlText w:val="(%1)"/>
      <w:numFmt w:val="lowerLetter"/>
      <w:start w:val="1"/>
    </w:lvl>
  </w:abstractNum>
  <w:abstractNum w:abstractNumId="159">
    <w:nsid w:val="3F07ACC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84" Type="http://schemas.openxmlformats.org/officeDocument/2006/relationships/hyperlink" Target="https://www.sec.gov/Archives/edgar/data/1779474/000095010320024045/dp142700_ex0201.htm" TargetMode="External"/><Relationship Id="rId85" Type="http://schemas.openxmlformats.org/officeDocument/2006/relationships/hyperlink" Target="https://www.sec.gov/Archives/edgar/data/1779474/000114036121021785/brhc10025756_ex3-1.htm" TargetMode="External"/><Relationship Id="rId86" Type="http://schemas.openxmlformats.org/officeDocument/2006/relationships/hyperlink" Target="https://www.sec.gov/Archives/edgar/data/1779474/000114036121021785/brhc10025756_ex3-2.htm" TargetMode="External"/><Relationship Id="rId87" Type="http://schemas.openxmlformats.org/officeDocument/2006/relationships/hyperlink" Target="https://www.sec.gov/Archives/edgar/data/1779474/000114036121021785/brhc10025756_ex4-1.htm" TargetMode="External"/><Relationship Id="rId88" Type="http://schemas.openxmlformats.org/officeDocument/2006/relationships/hyperlink" Target="https://www.sec.gov/Archives/edgar/data/1779474/000114036121021785/brhc10025756_ex4-2.htm" TargetMode="External"/><Relationship Id="rId89" Type="http://schemas.openxmlformats.org/officeDocument/2006/relationships/hyperlink" Target="https://www.sec.gov/Archives/edgar/data/1779474/000095010319010751/dp111173_ex0401.htm" TargetMode="External"/><Relationship Id="rId90" Type="http://schemas.openxmlformats.org/officeDocument/2006/relationships/hyperlink" Target="https://www.sec.gov/Archives/edgar/data/1779474/000177947422000010/exhibit45descriptionofsecu.htm" TargetMode="External"/><Relationship Id="rId91" Type="http://schemas.openxmlformats.org/officeDocument/2006/relationships/hyperlink" Target="https://www.sec.gov/Archives/edgar/data/1779474/000114036121021785/brhc10025756_ex10-1.htm" TargetMode="External"/><Relationship Id="rId92" Type="http://schemas.openxmlformats.org/officeDocument/2006/relationships/hyperlink" Target="https://www.sec.gov/Archives/edgar/data/1779474/000114036121021785/brhc10025756_ex10-2.htm" TargetMode="External"/><Relationship Id="rId93" Type="http://schemas.openxmlformats.org/officeDocument/2006/relationships/hyperlink" Target="https://www.sec.gov/Archives/edgar/data/1779474/000114036121021785/brhc10025756_ex10-3.htm" TargetMode="External"/><Relationship Id="rId94" Type="http://schemas.openxmlformats.org/officeDocument/2006/relationships/hyperlink" Target="https://www.sec.gov/Archives/edgar/data/1779474/000095010320024045/dp142700_ex1001.htm" TargetMode="External"/><Relationship Id="rId95" Type="http://schemas.openxmlformats.org/officeDocument/2006/relationships/hyperlink" Target="https://www.sec.gov/Archives/edgar/data/1779474/000114036121021785/brhc10025756_ex10-5.htm" TargetMode="External"/><Relationship Id="rId96" Type="http://schemas.openxmlformats.org/officeDocument/2006/relationships/hyperlink" Target="https://www.sec.gov/Archives/edgar/data/1779474/000114036121021785/brhc10025756_ex10-6.htm" TargetMode="External"/><Relationship Id="rId97" Type="http://schemas.openxmlformats.org/officeDocument/2006/relationships/hyperlink" Target="https://www.sec.gov/Archives/edgar/data/1779474/000114036121021785/brhc10025756_ex10-7.htm" TargetMode="External"/><Relationship Id="rId98" Type="http://schemas.openxmlformats.org/officeDocument/2006/relationships/hyperlink" Target="https://www.sec.gov/Archives/edgar/data/1779474/000114036121021785/brhc10025756_ex10-7a.htm" TargetMode="External"/><Relationship Id="rId99" Type="http://schemas.openxmlformats.org/officeDocument/2006/relationships/hyperlink" Target="https://www.sec.gov/Archives/edgar/data/1779474/000114036121021785/brhc10025756_ex10-7b.htm" TargetMode="External"/><Relationship Id="rId102" Type="http://schemas.openxmlformats.org/officeDocument/2006/relationships/hyperlink" Target="https://www.sec.gov/Archives/edgar/data/1779474/000114036121021785/brhc10025756_ex10-8.htm" TargetMode="External"/><Relationship Id="rId103" Type="http://schemas.openxmlformats.org/officeDocument/2006/relationships/hyperlink" Target="https://www.sec.gov/Archives/edgar/data/1779474/000114036121021785/brhc10025756_ex10-12.htm" TargetMode="External"/><Relationship Id="rId104" Type="http://schemas.openxmlformats.org/officeDocument/2006/relationships/hyperlink" Target="https://www.sec.gov/Archives/edgar/data/1779474/000114036121021785/brhc10025756_ex10-13.htm" TargetMode="External"/><Relationship Id="rId105" Type="http://schemas.openxmlformats.org/officeDocument/2006/relationships/hyperlink" Target="https://www.sec.gov/Archives/edgar/data/1779474/000114036121021785/brhc10025756_ex10-14.htm" TargetMode="External"/><Relationship Id="rId106" Type="http://schemas.openxmlformats.org/officeDocument/2006/relationships/hyperlink" Target="https://www.sec.gov/Archives/edgar/data/1779474/000114036121021785/brhc10025756_ex10-15.htm" TargetMode="External"/><Relationship Id="rId107" Type="http://schemas.openxmlformats.org/officeDocument/2006/relationships/hyperlink" Target="https://www.sec.gov/Archives/edgar/data/1779474/000114036121021785/brhc10025756_ex10-16.htm" TargetMode="External"/><Relationship Id="rId108" Type="http://schemas.openxmlformats.org/officeDocument/2006/relationships/hyperlink" Target="https://www.sec.gov/Archives/edgar/data/1779474/000177947424000062/a102fifthamendmenttoleaseb.htm" TargetMode="External"/><Relationship Id="rId109" Type="http://schemas.openxmlformats.org/officeDocument/2006/relationships/hyperlink" Target="https://www.sec.gov/Archives/edgar/data/1779474/000177947423000072/exhibit102amendedandrestat.htm" TargetMode="External"/><Relationship Id="rId110" Type="http://schemas.openxmlformats.org/officeDocument/2006/relationships/hyperlink" Target="https://www.sec.gov/Archives/edgar/data/1779474/000177947424000062/a101separationandreleaseag.htm" TargetMode="External"/><Relationship Id="rId111" Type="http://schemas.openxmlformats.org/officeDocument/2006/relationships/hyperlink" Target="https://www.sec.gov/Archives/edgar/data/1779474/000177947423000023/exhibit1019dgrazier_offerl.htm" TargetMode="External"/><Relationship Id="rId112" Type="http://schemas.openxmlformats.org/officeDocument/2006/relationships/hyperlink" Target="https://www.sec.gov/Archives/edgar/data/1779474/000177947424000062/a103offerofemployment-fran.htm" TargetMode="External"/><Relationship Id="rId113" Type="http://schemas.openxmlformats.org/officeDocument/2006/relationships/hyperlink" Target="https://www.sec.gov/Archives/edgar/data/1779474/000177947424000023/exhibit1020briancamiresoff.htm" TargetMode="External"/><Relationship Id="rId114" Type="http://schemas.openxmlformats.org/officeDocument/2006/relationships/hyperlink" Target="https://www.sec.gov/Archives/edgar/data/1779474/000177947423000062/exhibit101q223.htm" TargetMode="External"/><Relationship Id="rId115" Type="http://schemas.openxmlformats.org/officeDocument/2006/relationships/hyperlink" Target="https://www.sec.gov/Archives/edgar/data/1779474/000177947424000023/exhibit1023seatonhillresou.htm" TargetMode="External"/><Relationship Id="rId118" Type="http://schemas.openxmlformats.org/officeDocument/2006/relationships/hyperlink" Target="https://www.sec.gov/Archives/edgar/data/1779474/000177947424000023/exhibit97incentivecompens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2025-03-13T15:41:05Z</dcterms:created>
  <dcterms:modified xsi:type="dcterms:W3CDTF">2025-03-13T15:41:05Z</dcterms:modified>
</cp:coreProperties>
</file>