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WM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MAPS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05/23/2024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05/23/2024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58,594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767,569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satisfaction of certain vesting conditions of performance restricted stock units previously granted to the Reporting Person on December 11, 2021. On May 23, 2024, the Issuer's Compensation Committee certified the achievement of performance conditions.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Ron A. Metzger, Attorney-  </w:t>
      </w:r>
      <w:r>
        <w:rPr>
          <w:rFonts w:ascii="Times New Roman" w:cs="Times New Roman" w:eastAsia="Times New Roman" w:hAnsi="Times New Roman"/>
          <w:sz w:val="33"/>
          <w:szCs w:val="33"/>
          <w:color w:val="0000FF"/>
          <w:vertAlign w:val="subscript"/>
        </w:rPr>
        <w:t>05/28/2024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2024-05-28T18:04:27Z</dcterms:created>
  <dcterms:modified xsi:type="dcterms:W3CDTF">2024-05-28T18:04:27Z</dcterms:modified>
</cp:coreProperties>
</file>