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11/21/2022</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190,681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18,716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1.1971</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171,965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$1.22 to $1.25.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$1.19 to $1.22.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60"/>
        <w:spacing w:after="0" w:line="249" w:lineRule="auto"/>
        <w:rPr>
          <w:sz w:val="20"/>
          <w:szCs w:val="20"/>
          <w:color w:val="auto"/>
        </w:rPr>
      </w:pPr>
      <w:r>
        <w:rPr>
          <w:rFonts w:ascii="Times New Roman" w:cs="Times New Roman" w:eastAsia="Times New Roman" w:hAnsi="Times New Roman"/>
          <w:sz w:val="13"/>
          <w:szCs w:val="13"/>
          <w:color w:val="008000"/>
        </w:rPr>
        <w:t>This amendment to Form 4 is being filed solely to reflect the breakdown of 18,716 shares sold to cover a tax withholding obligation and 10,000 shares sold under the Reporting Person's 10b5-1 trading plan. This breakdown of shares was inadvertently not reflected in Reporting Person's Form 4 filed on November 21, 2022, where all 28,716 shares were reflected as having been sold to cover a tax withholding obligation.</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Brian Camire, by /s/ Ron A.</w:t>
      </w:r>
      <w:r>
        <w:rPr>
          <w:sz w:val="20"/>
          <w:szCs w:val="20"/>
          <w:color w:val="auto"/>
        </w:rPr>
        <w:tab/>
      </w:r>
      <w:r>
        <w:rPr>
          <w:rFonts w:ascii="Times New Roman" w:cs="Times New Roman" w:eastAsia="Times New Roman" w:hAnsi="Times New Roman"/>
          <w:sz w:val="26"/>
          <w:szCs w:val="26"/>
          <w:color w:val="0000FF"/>
          <w:vertAlign w:val="subscript"/>
        </w:rPr>
        <w:t>11/22/2022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2022-11-22T16:29:56Z</dcterms:created>
  <dcterms:modified xsi:type="dcterms:W3CDTF">2022-11-22T16:29:56Z</dcterms:modified>
</cp:coreProperties>
</file>