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500380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p>
      <w:pPr>
        <w:ind w:left="4160" w:right="1620" w:hanging="2696"/>
        <w:spacing w:after="0" w:line="222" w:lineRule="auto"/>
        <w:tabs>
          <w:tab w:leader="none" w:pos="2068"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2022</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0" w:lineRule="exact"/>
        <w:rPr>
          <w:sz w:val="24"/>
          <w:szCs w:val="24"/>
          <w:color w:val="auto"/>
        </w:rPr>
      </w:pPr>
    </w:p>
    <w:p>
      <w:pPr>
        <w:ind w:left="1920" w:hanging="323"/>
        <w:spacing w:after="0"/>
        <w:tabs>
          <w:tab w:leader="none" w:pos="1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83" w:lineRule="exact"/>
        <w:rPr>
          <w:rFonts w:ascii="MS PGothic" w:cs="MS PGothic" w:eastAsia="MS PGothic" w:hAnsi="MS PGothic"/>
          <w:sz w:val="17"/>
          <w:szCs w:val="17"/>
          <w:color w:val="auto"/>
        </w:rPr>
      </w:pPr>
    </w:p>
    <w:p>
      <w:pPr>
        <w:ind w:left="43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p>
      <w:pPr>
        <w:spacing w:after="0" w:line="2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30"/>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41 Discovery</w:t>
            </w:r>
          </w:p>
        </w:tc>
        <w:tc>
          <w:tcPr>
            <w:tcW w:w="24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Irvine, California</w:t>
            </w:r>
          </w:p>
        </w:tc>
        <w:tc>
          <w:tcPr>
            <w:tcW w:w="2420" w:type="dxa"/>
            <w:vAlign w:val="bottom"/>
          </w:tcPr>
          <w:p>
            <w:pPr>
              <w:spacing w:after="0"/>
              <w:rPr>
                <w:sz w:val="15"/>
                <w:szCs w:val="15"/>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r>
      <w:tr>
        <w:trPr>
          <w:trHeight w:val="178"/>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3760" w:type="dxa"/>
            <w:vAlign w:val="bottom"/>
          </w:tcPr>
          <w:p>
            <w:pPr>
              <w:spacing w:after="0"/>
              <w:rPr>
                <w:sz w:val="15"/>
                <w:szCs w:val="15"/>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A Common Stock, $0.0001 par value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9"/>
              </w:rPr>
              <w:t>MAPS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exercise price of $11.50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MAPSW</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3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0"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p>
      <w:pPr>
        <w:ind w:left="20"/>
        <w:spacing w:after="0" w:line="161" w:lineRule="exact"/>
        <w:tabs>
          <w:tab w:leader="none" w:pos="3080" w:val="left"/>
          <w:tab w:leader="none" w:pos="3740" w:val="left"/>
          <w:tab w:leader="none" w:pos="68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1"/>
          <w:szCs w:val="11"/>
          <w:color w:val="auto"/>
        </w:rPr>
        <w:t>☒</w:t>
      </w:r>
    </w:p>
    <w:p>
      <w:pPr>
        <w:spacing w:after="0" w:line="55" w:lineRule="exact"/>
        <w:rPr>
          <w:sz w:val="24"/>
          <w:szCs w:val="24"/>
          <w:color w:val="auto"/>
        </w:rPr>
      </w:pPr>
    </w:p>
    <w:p>
      <w:pPr>
        <w:ind w:left="20"/>
        <w:spacing w:after="0" w:line="161" w:lineRule="exact"/>
        <w:tabs>
          <w:tab w:leader="none" w:pos="3080" w:val="left"/>
          <w:tab w:leader="none" w:pos="3740" w:val="left"/>
          <w:tab w:leader="none" w:pos="6840" w:val="left"/>
          <w:tab w:leader="none" w:pos="7500" w:val="left"/>
          <w:tab w:leader="none" w:pos="10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8"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9"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6" w:lineRule="exact"/>
        <w:rPr>
          <w:sz w:val="24"/>
          <w:szCs w:val="24"/>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0"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2022, the last business day of the registrant’s most recently completed second fiscal quarter, was approximately $258,781,507 based upon the closing price reported for such date on the Nasdaq Global Select Market.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10, 2023, there were 92,573,466 shares of the registrant’s Class A common stock outstanding and 55,486,361 shares of Class V common stock outstanding.</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ectPr>
          <w:pgSz w:w="11900" w:h="16838" w:orient="portrait"/>
          <w:cols w:equalWidth="0" w:num="1">
            <w:col w:w="11240"/>
          </w:cols>
          <w:pgMar w:left="320" w:top="226" w:right="339" w:bottom="1440" w:gutter="0" w:footer="0" w:header="0"/>
        </w:sectPr>
      </w:pP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2023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554355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40" w:type="dxa"/>
            <w:vAlign w:val="bottom"/>
            <w:gridSpan w:val="9"/>
          </w:tcPr>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9"/>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Forward-Looking Statements</w:t>
            </w: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25"/>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Risk Factor Summary</w:t>
            </w:r>
          </w:p>
        </w:tc>
        <w:tc>
          <w:tcPr>
            <w:tcW w:w="7240" w:type="dxa"/>
            <w:vAlign w:val="bottom"/>
            <w:gridSpan w:val="17"/>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Part I</w:t>
            </w:r>
          </w:p>
        </w:tc>
        <w:tc>
          <w:tcPr>
            <w:tcW w:w="1500" w:type="dxa"/>
            <w:vAlign w:val="bottom"/>
            <w:tcBorders>
              <w:top w:val="single" w:sz="8" w:color="0000FF"/>
            </w:tcBorders>
            <w:gridSpan w:val="4"/>
          </w:tcPr>
          <w:p>
            <w:pPr>
              <w:spacing w:after="0"/>
              <w:rPr>
                <w:sz w:val="24"/>
                <w:szCs w:val="24"/>
                <w:color w:val="auto"/>
              </w:rPr>
            </w:pPr>
          </w:p>
        </w:tc>
        <w:tc>
          <w:tcPr>
            <w:tcW w:w="7740" w:type="dxa"/>
            <w:vAlign w:val="bottom"/>
            <w:gridSpan w:val="20"/>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1320" w:type="dxa"/>
            <w:vAlign w:val="bottom"/>
            <w:tcBorders>
              <w:top w:val="single" w:sz="8" w:color="0000FF"/>
            </w:tcBorders>
            <w:gridSpan w:val="9"/>
          </w:tcPr>
          <w:p>
            <w:pPr>
              <w:spacing w:after="0"/>
              <w:rPr>
                <w:sz w:val="17"/>
                <w:szCs w:val="17"/>
                <w:color w:val="auto"/>
              </w:rPr>
            </w:pPr>
          </w:p>
        </w:tc>
        <w:tc>
          <w:tcPr>
            <w:tcW w:w="666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736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Part II</w:t>
            </w:r>
          </w:p>
        </w:tc>
        <w:tc>
          <w:tcPr>
            <w:tcW w:w="2200" w:type="dxa"/>
            <w:vAlign w:val="bottom"/>
            <w:tcBorders>
              <w:top w:val="single" w:sz="8" w:color="0000FF"/>
            </w:tcBorders>
            <w:gridSpan w:val="9"/>
          </w:tcPr>
          <w:p>
            <w:pPr>
              <w:spacing w:after="0"/>
              <w:rPr>
                <w:sz w:val="17"/>
                <w:szCs w:val="17"/>
                <w:color w:val="auto"/>
              </w:rPr>
            </w:pPr>
          </w:p>
        </w:tc>
        <w:tc>
          <w:tcPr>
            <w:tcW w:w="70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6340" w:type="dxa"/>
            <w:vAlign w:val="bottom"/>
            <w:tcBorders>
              <w:top w:val="single" w:sz="8" w:color="0000FF"/>
            </w:tcBorders>
            <w:gridSpan w:val="17"/>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25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44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55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4380" w:type="dxa"/>
            <w:vAlign w:val="bottom"/>
            <w:tcBorders>
              <w:top w:val="single" w:sz="8" w:color="0000FF"/>
            </w:tcBorders>
            <w:gridSpan w:val="10"/>
          </w:tcPr>
          <w:p>
            <w:pPr>
              <w:spacing w:after="0"/>
              <w:rPr>
                <w:sz w:val="17"/>
                <w:szCs w:val="17"/>
                <w:color w:val="auto"/>
              </w:rPr>
            </w:pPr>
          </w:p>
        </w:tc>
        <w:tc>
          <w:tcPr>
            <w:tcW w:w="25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Part III</w:t>
            </w:r>
          </w:p>
        </w:tc>
        <w:tc>
          <w:tcPr>
            <w:tcW w:w="5300" w:type="dxa"/>
            <w:vAlign w:val="bottom"/>
            <w:tcBorders>
              <w:top w:val="single" w:sz="8" w:color="0000FF"/>
            </w:tcBorders>
            <w:gridSpan w:val="18"/>
          </w:tcPr>
          <w:p>
            <w:pPr>
              <w:spacing w:after="0"/>
              <w:rPr>
                <w:sz w:val="17"/>
                <w:szCs w:val="17"/>
                <w:color w:val="auto"/>
              </w:rPr>
            </w:pPr>
          </w:p>
        </w:tc>
        <w:tc>
          <w:tcPr>
            <w:tcW w:w="39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2180" w:type="dxa"/>
            <w:vAlign w:val="bottom"/>
            <w:tcBorders>
              <w:top w:val="single" w:sz="8" w:color="0000FF"/>
            </w:tcBorders>
            <w:gridSpan w:val="6"/>
          </w:tcPr>
          <w:p>
            <w:pPr>
              <w:spacing w:after="0"/>
              <w:rPr>
                <w:sz w:val="17"/>
                <w:szCs w:val="17"/>
                <w:color w:val="auto"/>
              </w:rPr>
            </w:pPr>
          </w:p>
        </w:tc>
        <w:tc>
          <w:tcPr>
            <w:tcW w:w="47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34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Part IV</w:t>
            </w:r>
          </w:p>
        </w:tc>
        <w:tc>
          <w:tcPr>
            <w:tcW w:w="3340" w:type="dxa"/>
            <w:vAlign w:val="bottom"/>
            <w:tcBorders>
              <w:top w:val="single" w:sz="8" w:color="0000FF"/>
            </w:tcBorders>
            <w:gridSpan w:val="13"/>
          </w:tcPr>
          <w:p>
            <w:pPr>
              <w:spacing w:after="0"/>
              <w:rPr>
                <w:sz w:val="17"/>
                <w:szCs w:val="17"/>
                <w:color w:val="auto"/>
              </w:rPr>
            </w:pPr>
          </w:p>
        </w:tc>
        <w:tc>
          <w:tcPr>
            <w:tcW w:w="59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56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Signatures</w:t>
            </w:r>
          </w:p>
        </w:tc>
        <w:tc>
          <w:tcPr>
            <w:tcW w:w="2100" w:type="dxa"/>
            <w:vAlign w:val="bottom"/>
            <w:tcBorders>
              <w:top w:val="single" w:sz="8" w:color="0000FF"/>
            </w:tcBorders>
            <w:gridSpan w:val="8"/>
          </w:tcPr>
          <w:p>
            <w:pPr>
              <w:spacing w:after="0"/>
              <w:rPr>
                <w:sz w:val="17"/>
                <w:szCs w:val="17"/>
                <w:color w:val="auto"/>
              </w:rPr>
            </w:pPr>
          </w:p>
        </w:tc>
        <w:tc>
          <w:tcPr>
            <w:tcW w:w="714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1"/>
        </w:trPr>
        <w:tc>
          <w:tcPr>
            <w:tcW w:w="2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76"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clients and retain existing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material weakness in our internal controls and our ability to remediate this material weakness on the timing we anticipate, or at all;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spacing w:after="0" w:line="101" w:lineRule="exact"/>
        <w:rPr>
          <w:rFonts w:ascii="Times New Roman" w:cs="Times New Roman" w:eastAsia="Times New Roman" w:hAnsi="Times New Roman"/>
          <w:sz w:val="17"/>
          <w:szCs w:val="17"/>
          <w:color w:val="auto"/>
        </w:rPr>
      </w:pPr>
    </w:p>
    <w:p>
      <w:pPr>
        <w:jc w:val="both"/>
        <w:ind w:left="620" w:hanging="307"/>
        <w:spacing w:after="0" w:line="241"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of macroeconomic conditions, including but not limited to the COVID-19 pandemic, inflation, uncertain credit and global financial markets, recent and potential future disruptions in access to bank deposits or lending commitments due to bank failures and geopolitical events, including the military conflict between Russia and Ukraine;</w:t>
      </w:r>
    </w:p>
    <w:p>
      <w:pPr>
        <w:spacing w:after="0" w:line="35"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anticipate and address changes in the end-user market in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two-sided digital network, including our ability to acquire and retain paying clients;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security vulnerabilities;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114"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pacing w:after="0" w:line="7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While we believe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584835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534035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0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Annual Report and our other filings with the U.S. Securities and Exchange Commission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72"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costs increase, we may not be able to generate sufficient revenue to achieve profitability in the future.</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our existing clients and consumers or to acquire new clients and consumers in a cost-effective manner, our revenue may decrease and our business may be harmed.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offer the optimal pricing of our products and solutions.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expand effectively into new markets, our revenue and business will be adversely affected.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illicit cannabis market could impact our ability to succeed.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concentrated in California, and, as a result, our performance may be affected by factors unique to the California market.</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U.S. state laws and regulations and Canadian federal and provincial laws and regulations pertaining to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our business is dependent, in part, upon continued market acceptance of cannabis by consumers, any negative trends could adversely affect our business operations.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business is dependent on the continued legalization of cannabis.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clients and consumers using our platform fail to provide high-quality content that attracts consumers, we may not be able to generate sufficient consumer traffic to remain competitive.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upon our brand recognition and reputation, and the erosion or degradation of our brand recognition or reputation would likely adversely affect our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face intense competition in the cannabis information market, and we expect competition to further intensify as the cannabis industry continues to evolve.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growth effectively, our brand, business and operating results could be harmed.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recruit, train, retain and motivate key personnel, we may not achieve our business objectives.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engines and paid digital advertising, or increase the profile of our company brand through social media engagement, our ability to attract new clients may be impaired.</w:t>
      </w:r>
    </w:p>
    <w:p>
      <w:pPr>
        <w:spacing w:after="0" w:line="1" w:lineRule="exact"/>
        <w:rPr>
          <w:sz w:val="20"/>
          <w:szCs w:val="20"/>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 system and the payment systems of our clients depend on third-party providers and are subject to evolving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rFonts w:ascii="Times New Roman" w:cs="Times New Roman" w:eastAsia="Times New Roman" w:hAnsi="Times New Roman"/>
          <w:sz w:val="17"/>
          <w:szCs w:val="17"/>
          <w:color w:val="auto"/>
        </w:rPr>
      </w:pPr>
    </w:p>
    <w:p>
      <w:pPr>
        <w:ind w:left="620" w:hanging="307"/>
        <w:spacing w:after="0" w:line="26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drive engagement on our platform, as well as changes to our user engagement and advertising strategy and practices, pose risks to our business.</w:t>
      </w:r>
    </w:p>
    <w:p>
      <w:pPr>
        <w:jc w:val="both"/>
        <w:ind w:left="62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 of the internet continues to develop, and unfavorable changes could substantially harm our business and operating results.</w:t>
      </w:r>
    </w:p>
    <w:p>
      <w:pPr>
        <w:spacing w:after="0" w:line="10"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Class A Common Stock and certain of our Public Warrants have been, and may continue to be, volatile, and the value of our Class A Common Stock and such Warrants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563245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United States, U.S. territories and Canadian legalized cannabis markets. Our comprehensive business-to-consumer (“B2C”) and business-to-business (“B2B”)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of our user base is highly valuable to our clients and results in clients paying for our services.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8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Strategically reach prospective cannabis consumers;</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73"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 and by extending that functionality in-store with kiosks;</w:t>
      </w:r>
    </w:p>
    <w:p>
      <w:pPr>
        <w:spacing w:after="0" w:line="49"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7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 and</w:t>
      </w:r>
    </w:p>
    <w:p>
      <w:pPr>
        <w:spacing w:after="0" w:line="7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8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a customizable menus for brands, retailers and delivery operators to embed on their website, (iv) access to our APIs, including real-time connectivity between Weedmaps for Business to a point-of-sale system (“POS”) to streamline workflows and promote compliance through accuracy and (v) analytics dashboards. We also offer add-on and a la carte products and services for additional fees, including advertising and customer relationship management (“CRM”) software, among other things (see below for a description of these services). Finally, we offer a growing set of offerings for brands to reach consumers and retailers as well as manage their brand catalog information.</w:t>
      </w:r>
    </w:p>
    <w:p>
      <w:pPr>
        <w:spacing w:after="0" w:line="76" w:lineRule="exact"/>
        <w:rPr>
          <w:sz w:val="20"/>
          <w:szCs w:val="20"/>
          <w:color w:val="auto"/>
        </w:rPr>
      </w:pPr>
    </w:p>
    <w:p>
      <w:pPr>
        <w:jc w:val="both"/>
        <w:ind w:firstLine="464"/>
        <w:spacing w:after="0" w:line="243" w:lineRule="auto"/>
        <w:rPr>
          <w:sz w:val="20"/>
          <w:szCs w:val="20"/>
          <w:color w:val="auto"/>
        </w:rPr>
      </w:pPr>
      <w:r>
        <w:rPr>
          <w:rFonts w:ascii="Times New Roman" w:cs="Times New Roman" w:eastAsia="Times New Roman" w:hAnsi="Times New Roman"/>
          <w:sz w:val="17"/>
          <w:szCs w:val="17"/>
          <w:color w:val="auto"/>
        </w:rPr>
        <w:t>The state-legal cannabis industry in the United States has grown consistently in recent years was estimated to be between approximately $25-$30 billion in 2022, according to Wall Street analyst estimates, and by some estimates is expected to be in excess of $70 billion by 2030, assuming a continued pace of new state legalization, with 68%</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U.S. adults since 2020 in support of having legal access to cannabis. Currently, thirty-eight states, the District of Columbia, Puerto Rico, the Virgin Islands, Guam and the Northern Mariana have legalized some form of cannabis use for certain medical purposes. Twenty-one of those states, the District of Columbia, Guam and Northern Mariana have legalized cannabis for adults for non-medical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1637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1" w:lineRule="exact"/>
        <w:rPr>
          <w:sz w:val="20"/>
          <w:szCs w:val="20"/>
          <w:color w:val="auto"/>
        </w:rPr>
      </w:pPr>
    </w:p>
    <w:p>
      <w:pPr>
        <w:ind w:left="100" w:hanging="97"/>
        <w:spacing w:after="0"/>
        <w:tabs>
          <w:tab w:leader="none" w:pos="1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news.gallup.com - Marijuana Views Linked to Ideology, Religiosity, Age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as well (sometimes referred to as adult or recreational use). Nine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Cannabis users (as defined by adults who have consumed cannabis in the past year) within the United States represent less than 19% of the U.S. adult, ages 21 and above, population today</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(and less than 14% for those that consumed in the past month)</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On the client side, as of December 31, 2022, there were approximately 10,800 retail licenses across the United States with medical and/or adult-use regulations in place, which is an effective retail density of approximately one retail license per 22,470 residents across these markets in the aggregate, based on data available from individual governmental cannabis license databases and the U.S. Census Bureau estimates for both licenses and population.</w:t>
      </w:r>
    </w:p>
    <w:p>
      <w:pPr>
        <w:spacing w:after="0" w:line="85"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85090</wp:posOffset>
            </wp:positionV>
            <wp:extent cx="4854575" cy="2734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545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3" w:lineRule="exact"/>
        <w:rPr>
          <w:sz w:val="20"/>
          <w:szCs w:val="20"/>
          <w:color w:val="auto"/>
        </w:rPr>
      </w:pPr>
    </w:p>
    <w:p>
      <w:pPr>
        <w:ind w:right="320" w:firstLine="3"/>
        <w:spacing w:after="0" w:line="221" w:lineRule="auto"/>
        <w:tabs>
          <w:tab w:leader="none" w:pos="9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Numbers of users 21 and above are from the 2021 National Survey on Drug Use and Health, number of 21 and above adults in the United States are from a study conducted in 2019 by Statista.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retailers to comply with state law. We sell a monthly subscription offering to storefront, delivery and brand clients as well as upsell and add-on offerings to licensed clients. Our current subscription package includes:</w:t>
      </w:r>
    </w:p>
    <w:p>
      <w:pPr>
        <w:spacing w:after="0" w:line="48" w:lineRule="exact"/>
        <w:rPr>
          <w:sz w:val="20"/>
          <w:szCs w:val="20"/>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orders and menu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 and</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offer other add-on products for additional fees, including:</w:t>
      </w:r>
    </w:p>
    <w:p>
      <w:pPr>
        <w:spacing w:after="0" w:line="114" w:lineRule="exact"/>
        <w:rPr>
          <w:sz w:val="20"/>
          <w:szCs w:val="20"/>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62"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CRM: Customer relationship management software allowing clients to reach new consumers, build loyalty, and grow revenue with our compliant app, text and marketing tools. The tools also allow for retargeting and re-engagement of cannabis consumers;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4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We charge a monthly fee to retailer, delivery and brand clients for access to our subscription package, which includes WM Listings, WM Orders, WM Store, WM Connectors and WM Insights. Depending on the market, the other add-on products are available for additional fees.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currently offer some of our Weedmaps for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national law. As of December 31, 2022, we actively operated in over 30 U.S. states and territories that have adult-use and/or medical-use regulations in place. We define actively operated markets as those U.S. states or territories with greater than $1,000 monthly revenue.</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6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While the cannabis industry is still in the early innings of what could be decades of growth, we have established a leading position and a recognized brand given our 14-year operating history. Over the coming years, we plan to continue expanding our solutions and service offerings.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Challenges in Our End-Markets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Despite cannabis being a large and growing sector in the United States, we believe that cannabis is unlike many other consumer goods and retail categories for a number of reasons:</w:t>
      </w:r>
    </w:p>
    <w:p>
      <w:pPr>
        <w:spacing w:after="0" w:line="48"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as a regulated industry is still in a nascent stage of development.</w:t>
      </w:r>
    </w:p>
    <w:p>
      <w:pPr>
        <w:spacing w:after="0" w:line="62" w:lineRule="exact"/>
        <w:rPr>
          <w:rFonts w:ascii="Times New Roman" w:cs="Times New Roman" w:eastAsia="Times New Roman" w:hAnsi="Times New Roman"/>
          <w:sz w:val="17"/>
          <w:szCs w:val="17"/>
          <w:color w:val="auto"/>
        </w:rPr>
      </w:pPr>
    </w:p>
    <w:p>
      <w:pPr>
        <w:ind w:left="620" w:hanging="307"/>
        <w:spacing w:after="0" w:line="25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users (as defined as adults, ages 21 and above, who have consumed cannabis in the past year) are less than 19% of the U.S. adult, ages 21 and above, population today</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(and less than 14% for those that consumed in the past month)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without a “typical” user profile</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governing cannabis are complex and vary state-by-state and by city and county within states.</w:t>
      </w:r>
    </w:p>
    <w:p>
      <w:pPr>
        <w:spacing w:after="0" w:line="4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has wide variance in characteristics that make it complex for consumers to make an informed purchase decision.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is a perishable good with a lack of product homogeneity.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Brands are only in the early innings of establishing a consumer presence.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the illicit market is still an issue, particularly in states like California.</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has experienced periods of price deflation, including over the past year, impacting the financial performance of businesses across the value chain.</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6" w:lineRule="exact"/>
        <w:rPr>
          <w:sz w:val="20"/>
          <w:szCs w:val="20"/>
          <w:color w:val="auto"/>
        </w:rPr>
      </w:pPr>
    </w:p>
    <w:p>
      <w:pPr>
        <w:ind w:right="320" w:firstLine="3"/>
        <w:spacing w:after="0" w:line="214" w:lineRule="auto"/>
        <w:tabs>
          <w:tab w:leader="none" w:pos="94"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Numbers of users 21 and above are from the 2021 National Survey on Drug Use and Health, number of 21 and above adults in the United States are from a study conducted in 2019 by Statista.</w:t>
      </w:r>
    </w:p>
    <w:p>
      <w:pPr>
        <w:spacing w:after="0" w:line="44" w:lineRule="exact"/>
        <w:rPr>
          <w:sz w:val="20"/>
          <w:szCs w:val="20"/>
          <w:color w:val="auto"/>
        </w:rPr>
      </w:pPr>
    </w:p>
    <w:p>
      <w:pPr>
        <w:ind w:left="100" w:hanging="97"/>
        <w:spacing w:after="0"/>
        <w:tabs>
          <w:tab w:leader="none" w:pos="1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Per 2021 National Survey of Drug Use and Health and U.S. Census data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Since our founding in 2008, we have grown to become a leading provider of technology solutions to the cannabis industry by leveraging our competitive strengths, including:</w:t>
      </w:r>
    </w:p>
    <w:p>
      <w:pPr>
        <w:spacing w:after="0" w:line="42" w:lineRule="exact"/>
        <w:rPr>
          <w:sz w:val="20"/>
          <w:szCs w:val="20"/>
          <w:color w:val="auto"/>
        </w:rPr>
      </w:pPr>
    </w:p>
    <w:p>
      <w:pPr>
        <w:jc w:val="both"/>
        <w:ind w:left="620" w:hanging="307"/>
        <w:spacing w:after="0" w:line="26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Long History as a Technology Leader Serving the Cannabis Industry. </w:t>
      </w:r>
      <w:r>
        <w:rPr>
          <w:rFonts w:ascii="Times New Roman" w:cs="Times New Roman" w:eastAsia="Times New Roman" w:hAnsi="Times New Roman"/>
          <w:sz w:val="17"/>
          <w:szCs w:val="17"/>
          <w:color w:val="auto"/>
        </w:rPr>
        <w:t>Founded in 2008, we have a long history and established relationships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cannabis businesses and consumers across the United States. This has given us several competitive strengths,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6"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Largest Two-Sided Platform for Cannabis Businesses and Consumers. </w:t>
      </w:r>
      <w:r>
        <w:rPr>
          <w:rFonts w:ascii="Times New Roman" w:cs="Times New Roman" w:eastAsia="Times New Roman" w:hAnsi="Times New Roman"/>
          <w:sz w:val="17"/>
          <w:szCs w:val="17"/>
          <w:color w:val="auto"/>
        </w:rPr>
        <w:t>With $215.5 million in revenue and 5,457 average monthly paying clients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2022, we believe we are the largest two 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13" w:lineRule="exact"/>
        <w:rPr>
          <w:rFonts w:ascii="Times New Roman" w:cs="Times New Roman" w:eastAsia="Times New Roman" w:hAnsi="Times New Roman"/>
          <w:sz w:val="17"/>
          <w:szCs w:val="17"/>
          <w:color w:val="auto"/>
        </w:rPr>
      </w:pPr>
    </w:p>
    <w:p>
      <w:pPr>
        <w:jc w:val="both"/>
        <w:ind w:left="620" w:hanging="307"/>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7"/>
          <w:szCs w:val="17"/>
          <w:color w:val="auto"/>
        </w:rPr>
        <w:t>We believe our Weedmaps for Business is the industry’s only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a scaled marketplace and software - most other technology providers offer software solutions without the marketplace or marketplace without software. We believe we offer the most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14"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Unique and Growing Data Asset. </w:t>
      </w:r>
      <w:r>
        <w:rPr>
          <w:rFonts w:ascii="Times New Roman" w:cs="Times New Roman" w:eastAsia="Times New Roman" w:hAnsi="Times New Roman"/>
          <w:sz w:val="17"/>
          <w:szCs w:val="17"/>
          <w:color w:val="auto"/>
        </w:rPr>
        <w:t>Given our established presence, scale and the breadth of product 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Innovate Rapidly and Launch New Products Efficiently at Scale. </w:t>
      </w:r>
      <w:r>
        <w:rPr>
          <w:rFonts w:ascii="Times New Roman" w:cs="Times New Roman" w:eastAsia="Times New Roman" w:hAnsi="Times New Roman"/>
          <w:sz w:val="17"/>
          <w:szCs w:val="17"/>
          <w:color w:val="auto"/>
        </w:rPr>
        <w:t>We have an agile product innovation and deployment process. Our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policy,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14"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7"/>
          <w:szCs w:val="17"/>
          <w:color w:val="auto"/>
        </w:rPr>
        <w:t>We operate a 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(cash flows defined as operating cash flows less capital expenditures).</w:t>
      </w:r>
    </w:p>
    <w:p>
      <w:pPr>
        <w:spacing w:after="0" w:line="13"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Operationally-Focused Management Team with Deep Experience. </w:t>
      </w:r>
      <w:r>
        <w:rPr>
          <w:rFonts w:ascii="Times New Roman" w:cs="Times New Roman" w:eastAsia="Times New Roman" w:hAnsi="Times New Roman"/>
          <w:sz w:val="17"/>
          <w:szCs w:val="17"/>
          <w:color w:val="auto"/>
        </w:rPr>
        <w:t>Our executive leadership team has extensive and relevant professional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believe our deep knowledge of our end-markets and broad-based operational expertise spanning several industry sectors provides a key competitive advantage in executing against our growth strategy.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a leading marketplace and software platform, our goal is not only to grow our market share but to grow the entire market by influencing policy promoting wider access to licensed cannabis, educating consumers on how to shop for cannabis and providing licensed operators with the tools they need to access users and grow their businesses. Given our share of cannabis businesses, we believe we are well-positioned to capitalize on underlying growth across our end-markets by executing against our strategy as follows:</w:t>
      </w:r>
    </w:p>
    <w:p>
      <w:pPr>
        <w:spacing w:after="0" w:line="62" w:lineRule="exact"/>
        <w:rPr>
          <w:sz w:val="20"/>
          <w:szCs w:val="20"/>
          <w:color w:val="auto"/>
        </w:rPr>
      </w:pPr>
    </w:p>
    <w:p>
      <w:pPr>
        <w:jc w:val="both"/>
        <w:ind w:left="620" w:hanging="307"/>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Our Two-Sided Marketplace. </w:t>
      </w:r>
      <w:r>
        <w:rPr>
          <w:rFonts w:ascii="Times New Roman" w:cs="Times New Roman" w:eastAsia="Times New Roman" w:hAnsi="Times New Roman"/>
          <w:sz w:val="17"/>
          <w:szCs w:val="17"/>
          <w:color w:val="auto"/>
        </w:rPr>
        <w:t>Our goal is to be the center of commerce for consumers seeking cannabis. To support this goal, we intend to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Existing Markets and Enter New Markets. </w:t>
      </w:r>
      <w:r>
        <w:rPr>
          <w:rFonts w:ascii="Times New Roman" w:cs="Times New Roman" w:eastAsia="Times New Roman" w:hAnsi="Times New Roman"/>
          <w:sz w:val="17"/>
          <w:szCs w:val="17"/>
          <w:color w:val="auto"/>
        </w:rPr>
        <w:t>We have a significant opportunity to grow our client base both within existing markets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continuing to grow and new markets as they become open to regulated cannabis. We are increasingly becoming a more nationally-recognized brand, and we are monetizing our platform in over 30 U.S. states and territories, as of December 31, 2022.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p>
    <w:p>
      <w:pPr>
        <w:spacing w:after="0" w:line="62"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17"/>
          <w:szCs w:val="17"/>
          <w:color w:val="auto"/>
        </w:rPr>
        <w:t>We believe that there are tremendous growth opportunities for us within our existing markets as retail licenses continue to be issued, and states move towards, and eventually beyond, the one retail license per 10,000 people ratio. As of December 31, 2022, there were approximately 10,800 existing retail and delivery licenses across the United States. Assuming no cap on the number of licenses issued or other restrictions on the number of licenses issued, if these same markets were to issue enough licenses to match a ratio of one license per 10,000 residents, over 22,000 new retail licenses would be issued. This may require continued liberalization of license restrictions across cities and counties within certain of our states where we do business today. With continued state legalization (since 2020, states where recreational usage has been legalized include New Jersey, New York, Virginia, Missouri and Maryland), we believe that legalization by additional states and eventually the U.S. government is inevitable. Assuming no other restrictions on the number of licenses issued, if the entire United States reached a minimum level of density of one license per 10,000 residents, we believe the total universe of retail licenses would reach approximately 33,000, which is approximately 3.1 times the current count of retail licenses in the United States and Canada.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1" w:lineRule="exact"/>
        <w:rPr>
          <w:sz w:val="20"/>
          <w:szCs w:val="20"/>
          <w:color w:val="auto"/>
        </w:rPr>
      </w:pPr>
    </w:p>
    <w:p>
      <w:pPr>
        <w:jc w:val="both"/>
        <w:ind w:left="620" w:hanging="307"/>
        <w:spacing w:after="0" w:line="259"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continue expanding our suite of valuable advertising and software solutions and the functionality of our Weedmaps for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14"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Strategic Acquisitions. </w:t>
      </w:r>
      <w:r>
        <w:rPr>
          <w:rFonts w:ascii="Times New Roman" w:cs="Times New Roman" w:eastAsia="Times New Roman" w:hAnsi="Times New Roman"/>
          <w:sz w:val="17"/>
          <w:szCs w:val="17"/>
          <w:color w:val="auto"/>
        </w:rPr>
        <w:t>We take a measured approach to acquisition-related growth. We intend to continue selectively pursuing opportunities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 in and acquire technology offerings that either complement our existing products and services or allow us to accelerate our growth.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direct competitors for individual components or parts of our platform include cannabis-focused, technology companies like Leafly, Dutchie and Jane Technologies, SpringBig (CRM)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7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For additional information about the risks to our business related to competition, see the section entitled “Risk Factors-Risks Related to our Business and Industry—</w:t>
      </w:r>
      <w:r>
        <w:rPr>
          <w:rFonts w:ascii="Times New Roman" w:cs="Times New Roman" w:eastAsia="Times New Roman" w:hAnsi="Times New Roman"/>
          <w:sz w:val="17"/>
          <w:szCs w:val="17"/>
          <w:i w:val="1"/>
          <w:iCs w:val="1"/>
          <w:color w:val="auto"/>
        </w:rPr>
        <w:t>We currently face intense competition in the market and we expect competition to further intensify as the cannabis industry continues to evolve</w:t>
      </w:r>
      <w:r>
        <w:rPr>
          <w:rFonts w:ascii="Times New Roman" w:cs="Times New Roman" w:eastAsia="Times New Roman" w:hAnsi="Times New Roman"/>
          <w:sz w:val="17"/>
          <w:szCs w:val="17"/>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believe the quality and strength of our platform is our most valuable marketing asset. Our marketing strategy, across both consumers and businesses, consists of user acquisition, brand marketing, communications and field marketing.</w:t>
      </w:r>
    </w:p>
    <w:p>
      <w:pPr>
        <w:spacing w:after="0" w:line="4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to increase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February 2022 “Brock Ollie” digital spot around the Super Bowl in order to raise awareness around the ongoing marketing restrictions for cannabis businesses, our April 2022 Tumbleweeds with Killer Mike series and our partnership on the June 2022 music video - “Taste So Good”.</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business marketing focus is to drive awareness of the value and breadth of our offering among cannabis retailers and brands.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Social Impact</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advocates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our product development costs to remain the same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As of December 31, 2022, we have been issued trademark registrations in the United States, Canada, Japan, the European Union, the United Kingdom, Mexico and Australia. We have also been issued an international trademark registration with designation in Australia and the European Union for “Weedmaps.” As of December 31, 2022,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Circumstances outside our control could pose a threat to our intellectual property rights. For more information, see the section entitled “Risk Factors—Risks Related to our Business and Industry.”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 Operations and Human Capital Resources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December 31, 2022, we had 580 full-time employees and 3 temporary employees, including 224 in engineering, product and design, 245 in sales and marketing and 114 in general and administrative. Of these employees, 573 are located in the United States and 10 are located in Canada.</w:t>
      </w:r>
    </w:p>
    <w:p>
      <w:pPr>
        <w:spacing w:after="0" w:line="4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 &amp; 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and Territories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6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While the Obama and Trump administrations had different stated policies, including the latter’s less friendly position on the industry, the U.S. federal government has not prioritized the enforcement of the CSA’s prohibition on cannabis against cannabis companies complying with the state law and their vendors for over eight years. 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72"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7"/>
          <w:szCs w:val="17"/>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314" w:lineRule="exact"/>
        <w:rPr>
          <w:sz w:val="20"/>
          <w:szCs w:val="20"/>
          <w:color w:val="auto"/>
        </w:rPr>
      </w:pPr>
    </w:p>
    <w:p>
      <w:pPr>
        <w:jc w:val="both"/>
        <w:ind w:firstLine="464"/>
        <w:spacing w:after="0" w:line="276" w:lineRule="auto"/>
        <w:rPr>
          <w:sz w:val="20"/>
          <w:szCs w:val="20"/>
          <w:color w:val="auto"/>
        </w:rPr>
      </w:pPr>
      <w:r>
        <w:rPr>
          <w:rFonts w:ascii="Times New Roman" w:cs="Times New Roman" w:eastAsia="Times New Roman" w:hAnsi="Times New Roman"/>
          <w:sz w:val="17"/>
          <w:szCs w:val="17"/>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w:t>
      </w: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w:t>
      </w:r>
    </w:p>
    <w:p>
      <w:pPr>
        <w:jc w:val="both"/>
        <w:spacing w:after="0" w:line="303" w:lineRule="auto"/>
        <w:rPr>
          <w:sz w:val="20"/>
          <w:szCs w:val="20"/>
          <w:color w:val="auto"/>
        </w:rPr>
      </w:pPr>
      <w:r>
        <w:rPr>
          <w:rFonts w:ascii="Times New Roman" w:cs="Times New Roman" w:eastAsia="Times New Roman" w:hAnsi="Times New Roman"/>
          <w:sz w:val="17"/>
          <w:szCs w:val="17"/>
          <w:color w:val="auto"/>
        </w:rPr>
        <w:t>classification under the CSA. This process could, but is not guaranteed to, change the legal status of cannabis on a federal level. Regardless of the ultimate outcome on CSA scheduling, both actions represent significant milestones in the evolution of federal cannabis policy.</w:t>
      </w:r>
    </w:p>
    <w:p>
      <w:pPr>
        <w:spacing w:after="0" w:line="3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Although the U.S. Attorney General, Merrick Garland, is expected to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As recently as March 1, 2023, Attorney General Garland confirmed that his Department is continuing work on a new cannabis enforcement guidance, which he states would be “very close to what was done in the Cole memorandum.” Therefore, the status quo of federal non-enforcement is likely to continue for the foreseeable future, though of course that is not certain.</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Members of the U.S. Congress from both parties have introduced bills to end the federal cannabis prohibition, by de-scheduling cannabis completely and regulating it. In the 117th Congress, Senators Cory Booker (D-NJ), Ron Wyden (D-OR) and Chuck Schumer (D-NY) filed the Cannabis Administration And Opportunity Act, a bill that would regulate cannabis and expunge prior cannabis convictions; and Rep. Nancy Mace (R-SC) filed the States Reform Act, which would repeal the federal prohibition of and further regulate cannabis on the federal level. This session has seen additional incremental reform bills, including a bill that would direct the Attorney General of the United States to amend the CSA to move cannabis from schedule I to schedule III of the Act (the “Marijuana 1 to 3 Act”), and a bill to allow medical cannabis patients to purchase and possess firearms (the “Second Amendment Protection Act”). While the timing of federal reform remains unknown, it is expected that federal policy on cannabis will continue becoming more, rather than less, permissive and legislative efforts to legalize cannabis or cannabis banking at the national level are likely to continue in 2023.</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Some of our retail clients sell products with CBD derived from hemp with and without THC from non-hemp cannabis. In December 2018, the U.S. government removed hemp and extracts of hemp, including CBD, from the CSA schedules through the Agriculture Improvement Act of 2018, Pub. L. 115-334 (the “2018 Farm Bill”). Accordingly, the production, sale and possession of hemp or extracts of hemp, including certain CBD products, no longer violate the CSA. The states have implemented a patchwork of different laws on hemp and its extracts, including CBD.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7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certain provinces and territories, the provincial distributor is solely responsible for online sales. With respect to retail sales of cannabis, other than online sales, the certain provincial and territorial regulations allow only for government-run cannabis stores, while the provincial and territorial regulations in other jurisdictions leave the retail sale of cannabis, other than online sales, to the private sector. Other provincial and territorial regulations allow for a hybrid model in which both public and private stores can operate.</w:t>
      </w:r>
    </w:p>
    <w:p>
      <w:pPr>
        <w:spacing w:after="0" w:line="7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regulations promulgated under the Cannabis Act (“the Cannabis Regulations”), provide more detail on the medical and adult-use regulatory regimes for cannabis, including regarding licensing, security clearances and physical security requirements, product practices, outdoor growing, security, packaging and labeling, cannabis-containing compounds, document retention requirements, reporting and disclosure requirements and new access to cannabis for medical purposes regime and industrial hemp regulations.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micro-processing and sales licenses.</w:t>
      </w:r>
    </w:p>
    <w:p>
      <w:pPr>
        <w:spacing w:after="0" w:line="7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Cannabis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As discussed elsewhere in this Annual Report,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For additional information about content, see the section entitled “— Government Regulations— United States and Territories.”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As our costs increase, we may not be able to generate sufficient revenue to achieve profitability in the future.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68"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including continued investment in our current marketing efforts and future marketing initiatives;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additional employees, including in our product and engineering teams;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domestically and internationally in an effort to increase our consumer and client usage, client base and our sales to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products, and increased investment in the ongoing development of our existing products;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our acquired companies into our operations; and</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4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takes time to build and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76"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have customers with past due balances and our failure to collect a significant portion of such balances could adversely affect our cash and provision for doubtful accounts. As of December 31, 2022, accounts receivable, net was $17.4 million, which is net of an allowance for doubtful accounts of $12.2 million. As of December 31, 2022, a receivable due from one customer accounted for approximately 11% of the total gross accounts receivable outstanding.</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offer the optimal pricing of our products and solutions.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Weedmaps for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fail to expand effectively into new markets, our revenue and business will be adversely affected.</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212529"/>
        </w:rPr>
        <w:t xml:space="preserve">Competition </w:t>
      </w:r>
      <w:r>
        <w:rPr>
          <w:rFonts w:ascii="Times New Roman" w:cs="Times New Roman" w:eastAsia="Times New Roman" w:hAnsi="Times New Roman"/>
          <w:sz w:val="17"/>
          <w:szCs w:val="17"/>
          <w:b w:val="1"/>
          <w:bCs w:val="1"/>
          <w:i w:val="1"/>
          <w:iCs w:val="1"/>
          <w:color w:val="000000"/>
        </w:rPr>
        <w:t>from the illicit cannabis market could impact our ability to succeed.</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212529"/>
        </w:rPr>
        <w:t>Our clients face competition from illegal market operators that are unlicensed and unregulated including illegal dispensaries and illicit market suppliers selling cannabis and cannabis-based products, particularly in states like California. As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12529"/>
        </w:rPr>
        <w:t>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w:t>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concentrated in California, and, as a result, our performance may be affected by factors unique to the California market.</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California represents one of the largest state legal cannabis markets in the United States, and approximately 56% of our revenue for the year ended December 31, 2022,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 or business.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From time to time, we may be party to various claims and legal proceedings. For example, in August 2022, our board of directors determined to voluntarily report an internal complaint and subsequent internal investigation to the SEC. Since that date, we have received two subpoenas from the SEC’s Division of Enforcement requesting additional information and documents. See Part I, Item 3. Legal Proceedings to this Form 10-K for more information. We evaluate these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Even when not merited, the defense of these lawsuits or legal proceedings, including potential securities litigation, is expensive and may divert management’s attention, and we may incur significant expenses in defending these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56"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61"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66"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62"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have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5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on U.S. state laws and regulations and Canadian federal and provincial laws and regulations pertaining to the cannabis industry.</w:t>
      </w:r>
    </w:p>
    <w:p>
      <w:pPr>
        <w:spacing w:after="0" w:line="4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enactment of the Cannabis Act is relatively recent there is a lack of available interpretation, application and enforcement of the provisions that may be relevant to digital platforms such as ours, and as a result, it is difficult to assess our potential exposure under the Cannabis Act.</w:t>
      </w:r>
    </w:p>
    <w:p>
      <w:pPr>
        <w:spacing w:after="0" w:line="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6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4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62"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rapidly evolving trends in the cannabis industry and the way consumers and cannabis industry businesses interact with technology;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increasing our base of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preserve and build our brand while upgrading our existing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attracting, hiring and retaining qualified personnel to manage operations;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changes in the cannabis industry if sales of cannabis expands significantly beyond a regulated model, and commodification of the cannabis industry;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executing our business and marketing strategies;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expanding our business into new and existing cannabis markets.</w:t>
      </w:r>
    </w:p>
    <w:p>
      <w:pPr>
        <w:spacing w:after="0" w:line="114"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dependent, in part, upon continued market acceptance of cannabis by consumers, any negative trends could adversely affect our business operations.</w:t>
      </w:r>
    </w:p>
    <w:p>
      <w:pPr>
        <w:spacing w:after="0" w:line="4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are dependent on public support, continued market acceptance and the proliferation of consumers in the U.S. state-legal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Expansion of our business is dependent on the continued legalization of cannabis.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some ballot measures in 2020 were delayed due to the COVID-19 pandemic. In addition, in 2022, ballot measures to allow for adult use succeeded in Maryland and Missouri, but failed in Arkansas, North Dakota and South Dakota.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72" w:lineRule="exact"/>
        <w:rPr>
          <w:sz w:val="20"/>
          <w:szCs w:val="20"/>
          <w:color w:val="auto"/>
        </w:rPr>
      </w:pPr>
    </w:p>
    <w:p>
      <w:pPr>
        <w:jc w:val="both"/>
        <w:ind w:firstLine="464"/>
        <w:spacing w:after="0" w:line="249" w:lineRule="auto"/>
        <w:rPr>
          <w:sz w:val="20"/>
          <w:szCs w:val="20"/>
          <w:color w:val="auto"/>
        </w:rPr>
      </w:pPr>
      <w:r>
        <w:rPr>
          <w:rFonts w:ascii="Times New Roman" w:cs="Times New Roman" w:eastAsia="Times New Roman" w:hAnsi="Times New Roman"/>
          <w:sz w:val="17"/>
          <w:szCs w:val="17"/>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will require local governments to allow delivery of medical cannabis to patients in certain instances by January 2024, adult-use cannabis sales and deliveries may continue to be restricted by some cities and counties. The imposition or potential enforcement of local jurisdiction delivery bans may negatively impact the viability and attractiveness of our offerings in California going forward. We generated approximately 56% of our revenue for the year ended December 31, 2022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82"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Our paying clients face challenges including, among other factors, limited access to capital (relative to other industries) and the impact of Section 280E of the Code (which, as applied to certain cannabis businesses disallows the deduction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6" w:lineRule="exact"/>
        <w:rPr>
          <w:sz w:val="20"/>
          <w:szCs w:val="20"/>
          <w:color w:val="auto"/>
        </w:rPr>
      </w:pPr>
    </w:p>
    <w:p>
      <w:pPr>
        <w:ind w:right="300" w:firstLine="3"/>
        <w:spacing w:after="0" w:line="214" w:lineRule="auto"/>
        <w:tabs>
          <w:tab w:leader="none" w:pos="94"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2021, the Bureau of Cannabis Control merged with two other state agencies regulating California cannabis to form the Department of Cannabis Control (the “DCC”), which presently regulates all California commercial cannabis businesses.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2022 further pressuring many of our paying clients. This resulted in financial hardship for certain cannabis companies, including some of our paying clients which caused elevated churn and bad debt expense in 2022. If our clients struggle financially or do not remain viable, it can negatively impact our ability to generate new revenue, maintain existing revenue or collect on outstanding receivables.</w:t>
      </w:r>
    </w:p>
    <w:p>
      <w:pPr>
        <w:spacing w:after="0" w:line="6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4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64"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4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6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marketing efforts;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high-quality, innovative and error- and bug-free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high satisfaction among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perceived value of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developing new features, including alternative revenue streams;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trademarks and other indicia of origin that are valuable to our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differentiate our platform from competitors’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laws and regulations, including those applicable to any political action committees affiliated with us and to our registered lobbying activities;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client support;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perceived data breach or data loss, or misuse or perceived misuse of our platform.</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addition, our brand recognition and reputation may be affected by factors that are outside our control, such as:</w:t>
      </w:r>
    </w:p>
    <w:p>
      <w:pPr>
        <w:spacing w:after="0" w:line="62"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competitors or other third parties;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timeliness of our clients’ delivery businesses;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experiences with clients or products identified through our platform;</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attacks on our platform;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developments.</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face intense competition in the cannabis information market, and we expect competition to further intensify as the cannabis industry continues to evolve.</w:t>
      </w:r>
    </w:p>
    <w:p>
      <w:pPr>
        <w:spacing w:after="0" w:line="43"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SpringBig (CRM)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and June of 2022, Leafly and SpringBig became public companies and began trading on Nasdaq via SPAC business combination. Our competitors may be able to use such capital infusions to more successfully enter new markets opening up.</w:t>
      </w:r>
    </w:p>
    <w:p>
      <w:pPr>
        <w:spacing w:after="0" w:line="28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7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employee operations and organization effectively, our brand, business and operating results could be harmed.</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and experienced significant executive departures during 2022. As a result of these changes, many of our current employees have been with us for less than 24 months. To execute on our growth strategy, we will need to continue to increase the productivity of our current employees as well as hire, train and manage new employee,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platform, efficiency of our operations, and management of our expenses could suffer, which could negatively impact our brand, business, profitability and operating results.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train, retain and motivate key personnel, we may not achieve our business objectives.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future success depends on our ability to recruit, train, retain and motivate key personnel, including Doug Francis, our Executive Chair and Principal Executive Officer, Arden Lee, our Chief Financial Officer; Brian Camire, our General Counsel; Duncan Grazier, our Chief Technology Officer and Randa McMinn, our Chief Marketing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particular, our former chief executive officer, Chris Beals, resigned effective November 7, 2022. Doug Francis, co-founder and Executive Chair, has been and will continue to take a more active role in leading WM Technology until we appoint our next chief executive officer. If we are unable to recruit and retain a qualified replacement in a timely manner it could result in management, operating and financial reporting difficulties, which could have an adverse effect on our business.</w:t>
      </w:r>
    </w:p>
    <w:p>
      <w:pPr>
        <w:spacing w:after="0" w:line="62"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Visits to our website could also decline if our accounts on Facebook, Instagram, Twitter,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and again in March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279"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6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4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change its fee structure, add fees associated with access to and use of its platform, or restrict how users can access the platform, which would similarly be unfavorable.</w:t>
      </w:r>
    </w:p>
    <w:p>
      <w:pPr>
        <w:spacing w:after="0" w:line="4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70"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4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7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payment system and the payment systems of our clients depend on third-party providers and are subject to evolving laws and regulations.</w:t>
      </w:r>
    </w:p>
    <w:p>
      <w:pPr>
        <w:spacing w:after="0" w:line="120"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regulations and other legal obligations, particularly related to privacy, data protection and information security and any actual or perceived failure to comply with such obligations could harm our business” below.</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6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3"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6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drive engagement on our platform, as well as changes to our user engagement and advertising strategy and practices, pose risks to our business.</w:t>
      </w:r>
    </w:p>
    <w:p>
      <w:pPr>
        <w:spacing w:after="0" w:line="4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72" w:lineRule="exact"/>
        <w:rPr>
          <w:sz w:val="20"/>
          <w:szCs w:val="20"/>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to entice consumers to use our products and services, or our consumers don’t have the ability to maximize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convince consumers and clients of the value and usefulness of our platform and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find cost-effective marketing channels or other strategies to drive traffic to our website, including replacing any pop-under advertisements that we have decreased our usage of or discontinued;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fail to operate effectively on the iOS or Android mobile operating systems;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continue to develop products that work with a variety of mobile operating systems, networks and smartphones;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engage more with competing platforms or products at the expense of ours or those of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manner in which we promote engagement or traffic is seen by consumers or clients as unappealing or harm our brand image or reputation;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concerns about the privacy implications, safety, or security of our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reduce consumer activity on our website or our applications by making it easier for our consumers to interact directly with our clients.</w:t>
      </w:r>
    </w:p>
    <w:p>
      <w:pPr>
        <w:spacing w:after="0" w:line="48" w:lineRule="exact"/>
        <w:rPr>
          <w:sz w:val="20"/>
          <w:szCs w:val="20"/>
          <w:color w:val="auto"/>
        </w:rPr>
      </w:pPr>
    </w:p>
    <w:p>
      <w:pPr>
        <w:ind w:right="460" w:firstLine="464"/>
        <w:spacing w:after="0" w:line="287" w:lineRule="auto"/>
        <w:rPr>
          <w:sz w:val="20"/>
          <w:szCs w:val="20"/>
          <w:color w:val="auto"/>
        </w:rPr>
      </w:pPr>
      <w:r>
        <w:rPr>
          <w:rFonts w:ascii="Times New Roman" w:cs="Times New Roman" w:eastAsia="Times New Roman" w:hAnsi="Times New Roman"/>
          <w:sz w:val="17"/>
          <w:szCs w:val="17"/>
          <w:color w:val="auto"/>
        </w:rPr>
        <w:t>Any decrease to consumer retention, growth, or engagement could render our products less attractive to consumers, advertisers, or partners, and could seriously harm our business.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prevent others from aggregating or misappropriating data from our websites.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or bugs in our platform could adversely affect our operating results and growth prospects.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7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64"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may rely upon third parties (such as service providers) for our data processing-related activities. We may share or receive sensitive data with or from third parties. We may become subject to DDoS attacks, a technique used by hackers to take an internet service offline by overloading its servers. In addition, ransomware attacks against businesses of all sizes are becoming increasingly common. Further,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76"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keystroke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keystroke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64"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problems with these systems, technologies and networks may adversely affect our business and operating results.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6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4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Macroeconomic conditions, including but not limited to the COVID-19 pandemic, inflation, uncertain credit and global financial markets, recent and potential future disruptions in access to bank deposits or lending commitments due to bank failures and geopolitical events, including the military conflict between Russia and Ukraine and the occurrence of a catastrophic event, including but not limited to disease, a weather event, war, or terrorist attack, could adversely impact our business, financial condition and operating results. We also face risks related to health epidemics, outbreaks of contagious disease and other adverse health developments. In connection with the COVID-19 pandemic, governments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7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Shelter-in-place orders and similar regulations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pandemic or outbreak of disease. Further, these conditions may impact our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ability to access financial markets to obtain the necessary funding to expand our business, which may adversely affect our liquidity and working capital.</w:t>
      </w:r>
    </w:p>
    <w:p>
      <w:pPr>
        <w:spacing w:after="0" w:line="11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Even if a virus or other disease does not spread significantly and such measures are not implemented, the perceived risk of infection or significant health risk may adversely affect our business and may result in permanent changes to our users’ behaviors, all of which are highly uncertain and cannot be predicted. Our clients may be perceived as unsafe during such public health threats, even for order delivery or pickup. If the services offered through our platform or at other businesses in our industry become a significant risk for transmitting disease or similar public health threats, or if there is a public perception that such risk exists, demand for the use of our platform would be adversely affected.</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addition, the CARES Act and FFCRA were enacted to provide economic relief to businesses in response to the COVID-19 pandemic. Pursuant to the relief related to federal employment taxes provided in such legislation, we (i) elected to defer eligible payroll taxes, which were due in two equal installments in 2021 and 2022 and (ii) claimed certain employment-related tax credits under the legislation. While we may be eligible to receive some economic relief pursuant to legislation enacted in connection with any future pandemic or outbreak of disease, cannabis businesses may not be eligible to take full advantage of the government-sponsored relief packages. As a result, we may not benefit from these relief efforts to the same extent other businesses do in different industries.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extent of effect of any future pandemic or outbreak of a disease on our operational and financial performance will depend on future developments, including the duration, spread and intensity of the pandemic, the rate of vaccinations, all of which are uncertain and difficult to predict. As a result, it is not currently possible to ascertain the overall impact of such an event on our business. However, if a pandemic or as a severe worldwide health crisis occurs, the event may harm our business, and may also have the effect of heightening many of the other risks described in this “Risk Factors” section.</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our quarterly and annual operating results may adversely affect our business and prospects.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clients and consumers and retain existing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changes in search engine placement and prominence;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on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 existing markets and successfully enter new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regional or economic conditions;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licensed cannabis markets to successfully grow and out compete illegal cannabis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effectively manage an adequate rate of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traffic to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defending claims, including intellectual property infringement claims and related judgments or settlements;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or other regulation affecting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platform availability and any related impact on our business, reputation or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personnel;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natural or man-made catastrophic events;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internal controls, including the material weakness that we have identified.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improve our products and solutions in ways that forego short-term gains.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than planned or the changes mentioned above may not produce the long-term benefits that we expect, in which case our business and operating results could be adversely affected.</w:t>
      </w:r>
    </w:p>
    <w:p>
      <w:pPr>
        <w:spacing w:after="0" w:line="42"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6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4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sell our Weedmaps for Business offering in the United States, currently offer some of our Weedmaps for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6"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levels of credit risk and payment fraud;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tax requirements of multiple jurisdictions;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difficulties of integrating any foreign acquisitions;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present our content effectively in foreign languages;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global operations and the increased travel, infrastructure and compliance costs associated with multiple foreign locations;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that might add difficulties in repatriating cash earned outside the United States and otherwise preventing us from freely moving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restrictions and changes in trade regulation;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statutory equity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4"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U.S. Foreign Corrupt Practices Act of 1977, as amended, the U.K. Bribery Act 2010, the Corruption of Public Officials Act (Canada), and similar laws in other jurisdictions;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controls and economic sanctions administered by the U.S. Department of Commerce Bureau of Industry and Security and the U.S. Treasury Department’s Office of Foreign Assets Control.</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4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are subject to regulation by various U.S. and Canadian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6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7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Further, Virginia enacted the Virginia Consumer Data Protection Act (the “VCDPA”), which became effective January 1, 2023, Colorado passed the Colorado Privacy Rights Act (the “CPA”), which became effective July 1, 2023, Connecticut passed the Connecticut Data Privacy Act (“CDPA”), which will become effective July 1, 2023, and Utah passed the Utah Consumer Privacy Act (the “UCPA”), which will become effective December 31, 2023. A number of other proposals exist for new federal and state privacy legislation that could increase our potential liability, increase our compliance costs, and affect our ability to collect personal information.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77"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6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7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28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Governmental regulation of the internet continues to develop, and unfavorable changes could substantially harm our business and operating results.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brought against us as a result of content we provide.</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legal claims based on the content published to our platform.</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70"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investments in alternative revenue streams or acquisitions could disrupt our business and adversely affect our operating results, financial condition and cash flows.</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48" w:lineRule="exact"/>
        <w:rPr>
          <w:sz w:val="20"/>
          <w:szCs w:val="20"/>
          <w:color w:val="auto"/>
        </w:rPr>
      </w:pPr>
    </w:p>
    <w:p>
      <w:pPr>
        <w:jc w:val="both"/>
        <w:ind w:left="620" w:hanging="307"/>
        <w:spacing w:after="0" w:line="26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disrupt our ongoing business, divert resources, increase our expenses and distract our management;</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in, or may be unable to, successfully sell any acquired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involve the entry into geographic or business markets in which we have little or no prior experience or where competitors have stronger market positions;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strain on our financial and managerial controls and reporting systems and procedures;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known and unknown liabilities associated with an acquired company;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such acquisitions, such debt may subject us to material restrictions on our ability to conduct our business as well as financial maintenance covenants;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charges related to potential write-downs of acquired assets or goodwill in future acquisitions;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4"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varying intellectual property protection strategies and other activities of an acquired company.</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5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43"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67"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43"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and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potential adverse tax consequences both domestically and in foreign jurisdictions.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other factors could negatively impact our future effective tax rate.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4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7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56" w:lineRule="exact"/>
        <w:rPr>
          <w:sz w:val="20"/>
          <w:szCs w:val="20"/>
          <w:color w:val="auto"/>
        </w:rPr>
      </w:pPr>
    </w:p>
    <w:p>
      <w:pPr>
        <w:jc w:val="both"/>
        <w:ind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 in our internal control over financial reporting as of December 31, 2022.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62"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2022,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a material weakness in internal control during the year ended December 31, 2022. See the section entitled “Item 9A. Controls and Procedures.”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81"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Management has been implementing and continues to implement measures to remediate the material weakness. These remediation measures may be time consuming and costly and there is no assurance that these initiatives will ultimately have the intended effects.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Organizational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this discussion of risks related to our organizational structure, references to “we,” “us” and “our” generally refer to WM Technology Inc.</w:t>
      </w:r>
    </w:p>
    <w:p>
      <w:pPr>
        <w:spacing w:after="0" w:line="241"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4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6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8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Additionally, although WMH LLC generally will not be subject to any entity-level U.S. federal income tax, it may be liable under U.S.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70"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4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WMH LLC equity holders would benefit from any value attributable to such cash balances as a result of their ownership of Class A Common Stock following a redemption or exchange of their WMH Units.</w:t>
      </w:r>
    </w:p>
    <w:p>
      <w:pPr>
        <w:spacing w:after="0" w:line="70"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Acquisitions by us of Legacy WMH common units in the Business Combination (as defined in Note 1 to our consolidated financial statements included herein) and subsequent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the tax receivable agreement with WMH Class A equity holders and their representative.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6"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payments we will be required to make under the tax receivable agreement may be substantial. Potential payments will depend on the future tax savings that we will be realize (or, in certain circumstances, are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 See Note 15 to our consolidated financial statements included herein.</w:t>
      </w:r>
    </w:p>
    <w:p>
      <w:pPr>
        <w:spacing w:after="0" w:line="64"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Payments under the tax receivable agreement will be based on the tax reporting positions we determine, and the U.S. Internal Revenue Service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2"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w:t>
      </w:r>
    </w:p>
    <w:p>
      <w:pPr>
        <w:spacing w:after="0" w:line="1" w:lineRule="exact"/>
        <w:rPr>
          <w:sz w:val="20"/>
          <w:szCs w:val="20"/>
          <w:color w:val="auto"/>
        </w:rPr>
      </w:pPr>
    </w:p>
    <w:p>
      <w:pPr>
        <w:jc w:val="both"/>
        <w:ind w:firstLine="3"/>
        <w:spacing w:after="0" w:line="254" w:lineRule="auto"/>
        <w:tabs>
          <w:tab w:leader="none" w:pos="25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holders of our Class A Common Stock.</w:t>
      </w:r>
    </w:p>
    <w:p>
      <w:pPr>
        <w:spacing w:after="0" w:line="7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tax receivable agreement depends on the ability of WMH LLC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Risks Related to the Cannabis Industry</w:t>
      </w:r>
    </w:p>
    <w:p>
      <w:pPr>
        <w:spacing w:after="0" w:line="11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Cannabis remains illegal under federal law, and therefore, strict enforcement of federal laws regarding cannabis would likely result in our inability to execute our business plan.</w:t>
      </w:r>
    </w:p>
    <w:p>
      <w:pPr>
        <w:spacing w:after="0" w:line="3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 xml:space="preserve">Cannabis, other than hemp (defined by the U.S. government as </w:t>
      </w:r>
      <w:r>
        <w:rPr>
          <w:rFonts w:ascii="Times New Roman" w:cs="Times New Roman" w:eastAsia="Times New Roman" w:hAnsi="Times New Roman"/>
          <w:sz w:val="17"/>
          <w:szCs w:val="17"/>
          <w:i w:val="1"/>
          <w:iCs w:val="1"/>
          <w:color w:val="auto"/>
        </w:rPr>
        <w:t>Cannabis sativa</w:t>
      </w:r>
      <w:r>
        <w:rPr>
          <w:rFonts w:ascii="Times New Roman" w:cs="Times New Roman" w:eastAsia="Times New Roman" w:hAnsi="Times New Roman"/>
          <w:sz w:val="17"/>
          <w:szCs w:val="17"/>
          <w:color w:val="auto"/>
        </w:rPr>
        <w:t xml:space="preserve">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eight years,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recent statements of Attorney General Merrick Garland discussed further below, although prosecutions against state-legal entities cannot be ruled out entirely at this time.</w:t>
      </w:r>
    </w:p>
    <w:p>
      <w:pPr>
        <w:spacing w:after="0" w:line="72"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w:t>
      </w:r>
    </w:p>
    <w:p>
      <w:pPr>
        <w:spacing w:after="0" w:line="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was most recently extended on December 23, 2022, and is effective through September 30, 2023. There is no assurance that Congress will approve inclusion of a similar prohibition on DOJ spending in the appropriations bills for future years.</w:t>
      </w:r>
    </w:p>
    <w:p>
      <w:pPr>
        <w:spacing w:after="0" w:line="27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USA vs. McIntosh</w:t>
      </w:r>
      <w:r>
        <w:rPr>
          <w:rFonts w:ascii="Times New Roman" w:cs="Times New Roman" w:eastAsia="Times New Roman" w:hAnsi="Times New Roman"/>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76"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This process could, but is not guaranteed to, change the legal status of cannabis on a federal level. Regardless of the ultimate outcome on CSA scheduling, both actions represent significant milestones in the evolution of federal cannabis policy, and President Biden’s promise to decriminalize likely would mean that the federal government would not criminally enforce the Schedule II status against state legal entities, nonetheless, the implications of the potential re-scheduling are not entirely clear for state legal commercial cannabis operators.</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Although the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6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Furthermore, while industry observers are hopeful that there will continue to be incremental federal cannabis policy reform under a Biden Presidency, we cannot provide assurances about the content, timing or chances of passage of a bill legalizing cannabis. Members of the U.S. Congress from both parties have introduced bills to end the federal cannabis prohibition, by de-scheduling cannabis completely and regulating it. In the 117th Congress, Senators Cory Booker (D-NJ), Ron Wyden (D-OR) and Chuck Schumer (D-NY) filed the Cannabis Administration And Opportunity Act, a bill that would regulate cannabis and expunge prior cannabis convictions; and Rep. Nancy Mace (R-SC) filed the States Reform Act, which would repeal the federal prohibition of and further regulate cannabis on the federal level. This session has seen additional incremental reform bills, including a bill that would direct the Attorney General of the United States to amend the CSA to move cannabis from schedule I to schedule III of the Act (the “Marijuana 1 to 3 Act”), and a bill to allow medical cannabis patients to purchase and possess firearms (the “Second Amendment Protection Act”). While the timing of federal reform remains unknown, it 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expected that federal policy on cannabis will continue becoming more, rather than less, permissive, and legislative efforts to legalize cannabis or cannabis banking at the national level are likely to continue in 2023.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6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6"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7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4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2"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76"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cannabis on their networks, and Mastercard has reportedly stated that it is evaluating the inconsistency between U.S. state and federal cannabis law.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Participating in transactions involving proceeds derived from cannabis may constitute criminal money laundering.</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76"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using bankruptcy courts due to our involvement in the regulated cannabis industry.</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business.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regulatory compliance.</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64"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6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believe that Section 230(c)(1) of the Communications Decency Act (“CDA”) provides immunity from civil and state criminal liability, but it is possible that it does not.</w:t>
      </w:r>
    </w:p>
    <w:p>
      <w:pPr>
        <w:spacing w:after="0" w:line="4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continue to be subject to constraints on marketing our products.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U.S. tax treatment.</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Service providers to cannabis businesses may also be subject to unfavorable U.S. tax treatment.</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may be subject to civil asset forfeiture.</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6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There may be difficulty enforcing certain of our commercial agreements and contracts.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Telephone Consumer Protections Act (“TCPA”) risks for our communications with consumers.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acquisitions of Cannveya and Sprout will continue to put us directly into contact with consumers and their data. Additionally, we are exploring products for our Weedmaps for Business customers that would permit them to directly contact consumers. The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Certain of our directors, officers, employees and investors who are not U.S. citizens may face constraints on cross-border travel into the United States.</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8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11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As of December 31, 2022, our affiliates, executive officers, directors and their respective affiliates as a group beneficially own approximately 36.5%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42"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4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70"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4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43"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48"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interests of our investors;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subordinate the rights of holders of Class A Common Stock if preferred stock is issued with rights senior to those afforded our Class A Common Stock;</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adversely affect prevailing market prices for our Class A Common Stock and/or Warrants.</w:t>
      </w:r>
    </w:p>
    <w:p>
      <w:pPr>
        <w:spacing w:after="0" w:line="108" w:lineRule="exact"/>
        <w:rPr>
          <w:sz w:val="20"/>
          <w:szCs w:val="20"/>
          <w:color w:val="auto"/>
        </w:rPr>
      </w:pPr>
    </w:p>
    <w:p>
      <w:pPr>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43"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market price of our Class A Common Stock and the Public Warrants have been and may continue to be subject to wide fluctuations in response to numerous factors, many of which are beyond our control, including:</w:t>
      </w:r>
    </w:p>
    <w:p>
      <w:pPr>
        <w:spacing w:after="0" w:line="48" w:lineRule="exact"/>
        <w:rPr>
          <w:sz w:val="20"/>
          <w:szCs w:val="20"/>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and operating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projected operational and financial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or conclusion of legal proceedings that involve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services by us or our competitors;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or joint ventures;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capital-raising activities or commitments;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or updated research or reports by securities analysts;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by investors or analysts of third-party data regarding our business that may not reflect our financial performance;</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securities, including short selling of our securities;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civil unrest, war, foreign invasions, terrorism, or public health crises, or responses to such events.</w:t>
      </w:r>
    </w:p>
    <w:p>
      <w:pPr>
        <w:spacing w:after="0" w:line="114"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impact of global, regional or local economic and market conditions may adversely affect our business, operating results and financial condition.</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regulatory restrictions applicable to cannabis businesses. As a result, these clients have been and may be further disproportionately affected by economic downturns.</w:t>
      </w:r>
    </w:p>
    <w:p>
      <w:pPr>
        <w:spacing w:after="0" w:line="301"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56"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4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64"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43"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in a material weakness over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71"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75" w:lineRule="exact"/>
        <w:rPr>
          <w:sz w:val="20"/>
          <w:szCs w:val="20"/>
          <w:color w:val="auto"/>
        </w:rPr>
      </w:pPr>
    </w:p>
    <w:p>
      <w:pPr>
        <w:jc w:val="both"/>
        <w:ind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satisfy indemnification claims of our directors and executive officers.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3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18" w:lineRule="exact"/>
        <w:rPr>
          <w:sz w:val="20"/>
          <w:szCs w:val="20"/>
          <w:color w:val="auto"/>
        </w:rPr>
      </w:pPr>
    </w:p>
    <w:p>
      <w:pPr>
        <w:jc w:val="both"/>
        <w:ind w:firstLine="464"/>
        <w:spacing w:after="0" w:line="280" w:lineRule="auto"/>
        <w:rPr>
          <w:sz w:val="20"/>
          <w:szCs w:val="20"/>
          <w:color w:val="auto"/>
        </w:rPr>
      </w:pPr>
      <w:r>
        <w:rPr>
          <w:rFonts w:ascii="Times New Roman" w:cs="Times New Roman" w:eastAsia="Times New Roman" w:hAnsi="Times New Roman"/>
          <w:sz w:val="17"/>
          <w:szCs w:val="17"/>
          <w:color w:val="auto"/>
        </w:rPr>
        <w:t>We currently maintain our executive offices at 41 Discovery, Irvine, California 92618, pursuant to an operating lease that expires in 2025. We have built out a second headquarter space in Los Angeles, California, pursuant to an operating lease that expires in 2031. We lease or license additional offices in Denver, Colorado.</w:t>
      </w:r>
    </w:p>
    <w:p>
      <w:pPr>
        <w:spacing w:after="0" w:line="26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4 to our consolidated financial statements included in Part II, Item 8 of this Annual Report on Form 10-K is incorporated by reference into this Item 3.</w:t>
      </w:r>
    </w:p>
    <w:p>
      <w:pPr>
        <w:spacing w:after="0" w:line="4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As previously reported,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has issued subpoenas to several of our current and former employees seeking their testimony. We have been fully cooperating with the SEC’s investigation. Such investigations are inherently uncertain and their results cannot be predicted with certainty, but could result in penalties or other sanctions against the company, as well as negative publicity and reputational harm. Regardless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outcome, such proceedings can have an adverse impact on us because of legal costs, diversion of management resources and other factors.</w:t>
      </w:r>
    </w:p>
    <w:p>
      <w:pPr>
        <w:spacing w:after="0" w:line="11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Class A Common Stock and Public Warrants are currently listed on Nasdaq under the symbols “MAPS” and “MAPSW”, respectively. As of March 10, 2023, there were 92,573,466 shares of Class A Common Stock issued and outstanding and 55,486,361 shares of our Class V common stock (the “Class V Common Stock”) issued and outstanding. No market exists for the Class V Common Stock.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March 10, 2023, there were 145 holders of record of our Class A Common Stock, 12 holders of record of our Class V Common Stock and 2 holders of record of our Public Warrants.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Information about our equity compensation plans in Item 12 of Part III of this Annual Report on Form 10-K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following graph compares the cumulative return to stockholders for $100 invested in our common stock relative to the cumulative total return of the Russell 2000 Index and S&amp;P 500 Information Technology Index since October 2019. In calculating total annual stockholder return, reinvestment of dividends, if any, is assumed. The indices are included for comparative purposes only. This graph is not “soliciting material,” is not deemed filed with the SEC and is not to be incorporated by reference in any of our filings under the Securities Act, as amended, or the Exchange Act,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377190</wp:posOffset>
            </wp:positionV>
            <wp:extent cx="5304790" cy="383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04790" cy="383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 from Registered Offerings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 January 1, 2020, we have made sales of the following unregistered securities:</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On January 14, 2022, Ghost Management Group, LLC, a subsidiary of the Company, entered into the Equity Interest Purchase Agreement with Eyechronic LLC, pursuant to which the Company acquired all of the equity interests of Eyechronic LLC for total consideration of approximately $29.4 million, including the issuance by the Company of 5,399,553 shares of Class A Common Stock. The shares were issued in reliance on the exemption from registration in Section 4(a)(2) under the Securities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together with our consolidated financial statements and the related notes to those statements included herein.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On June 16, 2021, WM Holding Company, LLC (when referred to in its pre-Business Combination capacity, “Legacy WMH” and following the Business Combination, “WMH LLC”) completed its previously announced business combination (the “Business Combination”) with Silver Spike Acquisition Corp (“Silver Spike”). In connection with the closing, Silver Spike changed its name to WM Technology, Inc. As used in this Annual Report on Form 10-K, unless the context requires otherwise, references to the “Company,” “we,” “us,” and “our,” and similar references refer to WM Technology, Inc, and its subsidiaries following the Business Combination and to Legacy WMH prior to the Business Combination.</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United States, U.S. territories and Canadian legalized cannabis markets. Our comprehensive business-to-consumer (“B2C”) and business-to-business (“B2B”)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of our user base is highly valuable to our clients and results in clients paying for our services catered towards cannabis retailers, delivery services and brands that streamline front and back-end operations and help manage compliance needs. These tools support cannabis businesses at every stage in the consumer funnel, enabling them to:</w:t>
      </w:r>
    </w:p>
    <w:p>
      <w:pPr>
        <w:spacing w:after="0" w:line="73"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Strategically reach prospective cannabis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 and by extending that functionality in-store with kiosks;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1670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9430" cy="167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storefront, delivery and brand clients as well as upsell and add-on offerings to licensed clients. Our current subscription package includes:</w:t>
      </w:r>
    </w:p>
    <w:p>
      <w:pPr>
        <w:spacing w:after="0" w:line="72" w:lineRule="exact"/>
        <w:rPr>
          <w:sz w:val="20"/>
          <w:szCs w:val="20"/>
          <w:color w:val="auto"/>
        </w:rPr>
      </w:pPr>
    </w:p>
    <w:p>
      <w:pPr>
        <w:jc w:val="both"/>
        <w:ind w:left="620" w:hanging="307"/>
        <w:spacing w:after="0" w:line="270"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orders and menu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 and</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offer other add-on products for additional fees, including:</w:t>
      </w:r>
    </w:p>
    <w:p>
      <w:pPr>
        <w:spacing w:after="0" w:line="114" w:lineRule="exact"/>
        <w:rPr>
          <w:sz w:val="20"/>
          <w:szCs w:val="20"/>
          <w:color w:val="auto"/>
        </w:rPr>
      </w:pPr>
    </w:p>
    <w:p>
      <w:pPr>
        <w:ind w:left="6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7" w:lineRule="auto"/>
        <w:tabs>
          <w:tab w:leader="none" w:pos="124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WM Ads solutions: Includes banner ads and promotion tiles on the Company’s marketplace as well as banner ads that can be tied to keyword searches. These products provide clients with targeted ad solutions in highly visible slots across the Company’s digital surfaces.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62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CRM: Customer relationship management software allowing clients to reach new consumers, build loyalty, and grow revenue with our compliant app, text and marketing tools. The tools also allow for retargeting and re-engagement of cannabis consumers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charge a monthly fee to retailer, delivery and brand clients for access to our subscription package, which includes WM Listings, WM Orders, WM Store, WM Connectors and WM Insights. Depending on the market, the other add-on products are available for additional fees.</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currently offer some of our Weedmaps for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national law. As of December 31, 2022, we actively operated in over 30 U.S. states and territories that have adult-use and/or medical-use regulations in place. We define actively operated markets as those U.S. states or territories with greater than $1,000 monthly revenue.</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6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have grown the Weedmaps marketplace to become the premier destination for cannabis consumers to discover and browse information regarding cannabis and cannabis products with 5,457 average monthly paying business clients during the year ended December 31, 2022, on the supply-side of our marketplace. These paying clients include retailers, brands and other client types (such as doctors). Further, these clients, who can choose to purchase multiple listings solutions for each business, had purchased over 9,500 listing pages as of December 31, 2022.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Our weedmaps.com website,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website, we neither sell (or fulfill purchases of) cannabis products, nor do we process payments for cannabis transactions across our marketplace or SaaS solutions.</w:t>
      </w:r>
    </w:p>
    <w:p>
      <w:pPr>
        <w:spacing w:after="0" w:line="7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118" w:lineRule="exact"/>
        <w:rPr>
          <w:sz w:val="20"/>
          <w:szCs w:val="20"/>
          <w:color w:val="auto"/>
        </w:rPr>
      </w:pPr>
    </w:p>
    <w:p>
      <w:pPr>
        <w:ind w:firstLine="464"/>
        <w:spacing w:after="0" w:line="274"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2"/>
        </w:trPr>
        <w:tc>
          <w:tcPr>
            <w:tcW w:w="5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420" w:type="dxa"/>
            <w:vAlign w:val="bottom"/>
          </w:tcPr>
          <w:p>
            <w:pPr>
              <w:spacing w:after="0"/>
              <w:rPr>
                <w:sz w:val="18"/>
                <w:szCs w:val="18"/>
                <w:color w:val="auto"/>
              </w:rPr>
            </w:pPr>
          </w:p>
        </w:tc>
        <w:tc>
          <w:tcPr>
            <w:tcW w:w="574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revenue per paying client)</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193,146</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161,791</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5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152,218</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3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107,924</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156,042</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42,808</w:t>
            </w:r>
          </w:p>
        </w:tc>
      </w:tr>
      <w:tr>
        <w:trPr>
          <w:trHeight w:val="32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(9,633)</w:t>
            </w:r>
          </w:p>
        </w:tc>
        <w:tc>
          <w:tcPr>
            <w:tcW w:w="5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31,698</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42,808</w:t>
            </w:r>
          </w:p>
        </w:tc>
      </w:tr>
      <w:tr>
        <w:trPr>
          <w:trHeight w:val="3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3,711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r>
      <w:tr>
        <w:trPr>
          <w:trHeight w:val="37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520" w:type="dxa"/>
            <w:vAlign w:val="bottom"/>
          </w:tcPr>
          <w:p>
            <w:pPr>
              <w:spacing w:after="0"/>
              <w:rPr>
                <w:sz w:val="24"/>
                <w:szCs w:val="24"/>
                <w:color w:val="auto"/>
              </w:rPr>
            </w:pP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4,337</w:t>
            </w: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w:t>
            </w:r>
          </w:p>
        </w:tc>
      </w:tr>
      <w:tr>
        <w:trPr>
          <w:trHeight w:val="233"/>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ind w:left="320" w:hanging="317"/>
        <w:spacing w:after="0" w:line="242"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(loss), see “Net Income (Loss) to EBITDA, Adjusted EBITDA and Adjusted EBITDA before Provision for Doubtful Accounts” below.</w:t>
      </w:r>
    </w:p>
    <w:p>
      <w:pPr>
        <w:ind w:left="320" w:hanging="317"/>
        <w:spacing w:after="0" w:line="233"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 per paying client is defined as the average monthly revenue for any particular period divided by the average monthly paying clients in the same respective period.</w:t>
      </w:r>
    </w:p>
    <w:p>
      <w:pPr>
        <w:ind w:left="320" w:hanging="317"/>
        <w:spacing w:after="0"/>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a customizable menus for brands, retailers and delivery operators to embed on their website, (iv) access to our APIs, including real-time connectivity between Weedmaps for Business to a point-of-sale system (“POS”) to streamline workflows and promote compliance through accuracy and (v) analytics dashboards. We also offer add-on and a la carte products and services for additional fees, including advertising and customer relationship management (“CRM”) software, among other things (for a description of these services, see Item</w:t>
      </w:r>
    </w:p>
    <w:p>
      <w:pPr>
        <w:spacing w:after="0" w:line="5" w:lineRule="exact"/>
        <w:rPr>
          <w:sz w:val="20"/>
          <w:szCs w:val="20"/>
          <w:color w:val="auto"/>
        </w:rPr>
      </w:pPr>
    </w:p>
    <w:p>
      <w:pPr>
        <w:ind w:left="180" w:hanging="177"/>
        <w:spacing w:after="0"/>
        <w:tabs>
          <w:tab w:leader="none" w:pos="1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Finally, we offer a growing set of offerings for brands to reach consumers and retailers as well as manage their brand catalog information.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to EBITDA, Adjusted EBITDA and Adjusted EBITDA before Provision for Doubtful Accounts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Our financial statements, including net income (loss), are prepared in accordance with accounting principles generally accepted in the United States of America (“GAAP”). For more information regarding the components within our net income (loss), see “Components of Our Results of Operations” below.</w:t>
      </w:r>
    </w:p>
    <w:p>
      <w:pPr>
        <w:spacing w:after="0" w:line="4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Net loss for the year ended December 31, 2022 was $82.7 million compared to net income of $152.2 million for the year ended December 31, 2021. The decrease in net income of $234.9 million was primarily due to an increase in operating expense of $83.8 million, which includes severance costs of $8.1 million related to the reduction in force and executive departures that occurred in the second half of 2022, a comparatively unfavorable change in fair value of warrant liability of $141.1 million and an increase in provision from income taxes of $179.7 million resulting from the full valuation recorded against our deferred tax assets, offset by an increase in revenue of $22.4 million, an income from the change in tax receivables agreement liability of $142.4 million resulting from the remeasurement of the Tax Receivable Agreement liability and a decrease in other expense of $5.0 million, which primarily relates to the transaction costs incurred in the year ended December 31, 2021, related to the warrant liability.</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Adjusted EBITDA and Adjusted EBITDA before Provision for Doubtful Accounts, all of which are non-GAAP financial measures that we calculate as net income (loss) before interest, taxes and depreciation and amortization expense in the case of EBITDA and further adjusted to exclude stock-based compensation, change in fair value of warrant liability, change in tax receivable agreement liability, impairment charges, transaction related bonuses, transaction costs, legal settlements and other legal costs, reduction in force and executive departures and other non-cash, unusual and/or infrequent costs in the case of Adjusted EBITDA. Adjusted EBITDA is further adjusted to exclude provision for doubtful accounts for the case of Adjusted EBITDA before Provision for Doubtful Accounts. Below we have provided a reconciliation of net (loss) income (the most directly comparable GAAP financial measure) to EBITDA; from EBITDA to Adjusted EBITDA; and from Adjusted EBITDA to Adjusted EBITDA before Provision for Doubtful Accounts.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present EBITDA, Adjusted EBITDA and Adjusted EBITDA before Provision for Doubtful Accounts because these metrics are a key measure used by our management to evaluate our operating performance, generate future operating plans and make strategic decisions regarding the allocation of investment capacity. Accordingly, we believe that EBITDA, Adjusted EBITDA and Adjusted EBITDA before Provision for Doubtful Accounts provide useful information to investors and others in understanding and evaluating our operating results in the same manner as our management.</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Each of EBITDA, Adjusted EBITDA and Adjusted EBITDA before Provision for Doubtful Accounts has limitations as an analytical tool, and you should not consider any of these non-GAAP financial measures in isolation or as a substitute for analysis of our results as reported under GAAP. Some of these limitations are as follows:</w:t>
      </w:r>
    </w:p>
    <w:p>
      <w:pPr>
        <w:spacing w:after="0" w:line="62" w:lineRule="exact"/>
        <w:rPr>
          <w:sz w:val="20"/>
          <w:szCs w:val="20"/>
          <w:color w:val="auto"/>
        </w:rPr>
      </w:pPr>
    </w:p>
    <w:p>
      <w:pPr>
        <w:jc w:val="both"/>
        <w:ind w:left="620" w:hanging="307"/>
        <w:spacing w:after="0" w:line="270"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EBITDA, Adjusted EBITDA and Adjusted EBITDA before Provision for Doubtful Accounts do not reflect cash capital expenditure requirements for such replacements or for new capital expenditure requirements;</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EBITDA before Provision for Doubtful Accounts do not reflect changes in, or cash requirements for, our working capital needs;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EBITDA before Provision for Doubtful Accounts do not reflect tax payments that may represent a reduction in cash available to us.</w:t>
      </w:r>
    </w:p>
    <w:p>
      <w:pPr>
        <w:spacing w:after="0" w:line="4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Adjusted EBITDA and Adjusted EBITDA before Provision for Doubtful Accounts alongside other financial performance measures, including net income (loss) and our other GAAP results.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464"/>
        <w:spacing w:after="0" w:line="274" w:lineRule="auto"/>
        <w:rPr>
          <w:sz w:val="20"/>
          <w:szCs w:val="20"/>
          <w:color w:val="auto"/>
        </w:rPr>
      </w:pPr>
      <w:r>
        <w:rPr>
          <w:rFonts w:ascii="Times New Roman" w:cs="Times New Roman" w:eastAsia="Times New Roman" w:hAnsi="Times New Roman"/>
          <w:sz w:val="17"/>
          <w:szCs w:val="17"/>
          <w:color w:val="auto"/>
        </w:rPr>
        <w:t>A reconciliation of net (loss) income to non-GAAP EBITDA, Adjusted EBITDA and Adjusted EBITDA before Provision for Doubtful Accounts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2"/>
        </w:trPr>
        <w:tc>
          <w:tcPr>
            <w:tcW w:w="55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3,978</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42,808</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transaction costs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Impairment</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 related bonus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Transaction costs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settlements and other legal costs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Reduction in force and executive departures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31,698</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42,808</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w:t>
            </w: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before provision for doubtful accounts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 Per Paying Client</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2"/>
        </w:trPr>
        <w:tc>
          <w:tcPr>
            <w:tcW w:w="5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Average monthly paying clients for the year ended December 31, 2022 increased 26% to 5,457 average monthly paying clients from 4,337 average monthly paying clients in the same period in 2021. The increase in average monthly paying clients in 2022 as compared to the same periods in 2021 was primarily due to new client acquisitions across existing and new states and new clients assumed through acquisitions. This growth was partially offset by a decline in our average monthly revenue per paying client. We expected these pressures given the continued liquidity challenges that clients are facing.</w:t>
      </w:r>
    </w:p>
    <w:p>
      <w:pPr>
        <w:spacing w:after="0" w:line="10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9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p>
        </w:tc>
        <w:tc>
          <w:tcPr>
            <w:tcW w:w="1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Quarterly Key Operating Metrics</w:t>
            </w: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8"/>
        </w:trPr>
        <w:tc>
          <w:tcPr>
            <w:tcW w:w="5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160" w:type="dxa"/>
            <w:vAlign w:val="bottom"/>
            <w:gridSpan w:val="6"/>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1340" w:type="dxa"/>
            <w:vAlign w:val="bottom"/>
          </w:tcPr>
          <w:p>
            <w:pPr>
              <w:spacing w:after="0"/>
              <w:rPr>
                <w:sz w:val="22"/>
                <w:szCs w:val="22"/>
                <w:color w:val="auto"/>
              </w:rPr>
            </w:pPr>
          </w:p>
        </w:tc>
      </w:tr>
      <w:tr>
        <w:trPr>
          <w:trHeight w:val="25"/>
        </w:trPr>
        <w:tc>
          <w:tcPr>
            <w:tcW w:w="55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5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3,863</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the military conflict between Russia and Ukraine. Increasing prices in the component materials for the goods or services of our clients may impact their ability to maintain or increase their spend with us and their ability to pay their invoices on time. Rapid and significant changes in commodity prices, such as fuel,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adult-use and the regulatory environment continues to develop. Thirty-eight states, the District of Columbia, Puerto Rico, the Virgin Islands and Guam have legalized some form of cannabis use for certain medical purposes. Twenty-one of those states, the District of Columbia, Guam and Northern Mariana have legalized cannabis for adults for non-medical purposes as well (sometimes referred to as adult or recreational use). Nine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14-year operating history to enter new markets.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technical and other resources than existing market participants. Our current and future competitors may also enjoy other competitive advantages, such as greater name recognition, more offerings and larger marketing budgets.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January 14, 2022, we acquired Eyechronic LLC (“Eyechronic”) d/b/a Enlighten, a Delaware limited liability company and a provider of software, digital signage services and multi-media offerings to dispensaries and brands.</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29, 2021, we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September 3, 2021, we acquired certain assets of the Sprout business (“Sprout"), a leading, cloud-based customer relationship management (“CRM”) and marketing platform for the cannabis industry.</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a customizable menus for brands, retailers and delivery operators to embed on their website, (iv) access to our APIs, including real-time connectivity between Weedmaps for Business to a point-of-sale system (“POS”) to streamline workflows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and promote compliance through accuracy and (v) analytics dashboards. We also offer add-on and a la carte products and services for additional fees, including advertising and customer relationship management (“CRM”) software, among other things. Finally, we offer a growing set of offerings for brands to reach consumers and retailers as well as manage their brand catalog information. Our subscriptions generally have one-month terms that automatically renew unless notice of cancellation is provided in advance. For clients that pay us in advance for listing and other services, we record deferred revenue and recognized revenue over the applicable subscription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Cost of revenues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Selling and marketing expenses consist of salaries and benefits, stock-based compensation expense,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percentage of revenue as we scale our business and leverage investments in these areas.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Other expense consists primarily of transaction costs related to the warrants, political contributions, interest expense, legal settlements, financing fees and other tax related expenses. Other income (expense) consists primarily of change in fair value of warrant liability and change in tax receivable agreement liability.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15 to our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161,791</w:t>
            </w:r>
          </w:p>
        </w:tc>
        <w:tc>
          <w:tcPr>
            <w:tcW w:w="0" w:type="dxa"/>
            <w:vAlign w:val="bottom"/>
          </w:tcPr>
          <w:p>
            <w:pPr>
              <w:spacing w:after="0"/>
              <w:rPr>
                <w:sz w:val="1"/>
                <w:szCs w:val="1"/>
                <w:color w:val="auto"/>
              </w:rPr>
            </w:pPr>
          </w:p>
        </w:tc>
      </w:tr>
      <w:tr>
        <w:trPr>
          <w:trHeight w:val="245"/>
        </w:trPr>
        <w:tc>
          <w:tcPr>
            <w:tcW w:w="6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 shown separately below)</w:t>
            </w: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7,938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7,630</w:t>
            </w: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30,716</w:t>
            </w:r>
          </w:p>
        </w:tc>
        <w:tc>
          <w:tcPr>
            <w:tcW w:w="0" w:type="dxa"/>
            <w:vAlign w:val="bottom"/>
          </w:tcPr>
          <w:p>
            <w:pPr>
              <w:spacing w:after="0"/>
              <w:rPr>
                <w:sz w:val="1"/>
                <w:szCs w:val="1"/>
                <w:color w:val="auto"/>
              </w:rPr>
            </w:pPr>
          </w:p>
        </w:tc>
      </w:tr>
      <w:tr>
        <w:trPr>
          <w:trHeight w:val="219"/>
        </w:trPr>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51,127</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3,978</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120,593</w:t>
            </w:r>
          </w:p>
        </w:tc>
        <w:tc>
          <w:tcPr>
            <w:tcW w:w="0" w:type="dxa"/>
            <w:vAlign w:val="bottom"/>
          </w:tcPr>
          <w:p>
            <w:pPr>
              <w:spacing w:after="0"/>
              <w:rPr>
                <w:sz w:val="1"/>
                <w:szCs w:val="1"/>
                <w:color w:val="auto"/>
              </w:rPr>
            </w:pPr>
          </w:p>
        </w:tc>
      </w:tr>
      <w:tr>
        <w:trPr>
          <w:trHeight w:val="21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c>
          <w:tcPr>
            <w:tcW w:w="0" w:type="dxa"/>
            <w:vAlign w:val="bottom"/>
          </w:tcPr>
          <w:p>
            <w:pPr>
              <w:spacing w:after="0"/>
              <w:rPr>
                <w:sz w:val="1"/>
                <w:szCs w:val="1"/>
                <w:color w:val="auto"/>
              </w:rPr>
            </w:pP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60,383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38,830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61</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6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12"/>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50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5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 shown separately below)</w:t>
            </w:r>
          </w:p>
        </w:tc>
        <w:tc>
          <w:tcPr>
            <w:tcW w:w="4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4 %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2"/>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104 %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12"/>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5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2"/>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31 %</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2022 and 2021</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0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24"/>
                <w:szCs w:val="24"/>
                <w:color w:val="auto"/>
              </w:rPr>
            </w:pPr>
          </w:p>
        </w:tc>
        <w:tc>
          <w:tcPr>
            <w:tcW w:w="1660" w:type="dxa"/>
            <w:vAlign w:val="bottom"/>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Total revenues increased by $22.4 million, or 12% for the year ended December 31, 2022 compared to the same period in 2021. The increase was primarily driven by a 26% increase in average monthly paying clients. Our growth in average monthly paying clients primarily reflects growth in our featured and deal listings of $11.1 million, Weedmaps for Business and other SaaS subscriptions of $8.1 million and other ad solutions of $3.2 million. For the year ended December 31, 2022, featured and deal listings, Weedmaps for Business and other SaaS subscriptions and other ad solutions represented 69%, 24% and 7% of our total revenues,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w:t>
            </w:r>
          </w:p>
        </w:tc>
        <w:tc>
          <w:tcPr>
            <w:tcW w:w="36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15,407</w:t>
            </w:r>
          </w:p>
        </w:tc>
        <w:tc>
          <w:tcPr>
            <w:tcW w:w="1040" w:type="dxa"/>
            <w:vAlign w:val="bottom"/>
            <w:vMerge w:val="restart"/>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7,938</w:t>
            </w:r>
          </w:p>
        </w:tc>
        <w:tc>
          <w:tcPr>
            <w:tcW w:w="10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0" w:type="dxa"/>
            <w:vAlign w:val="bottom"/>
          </w:tcPr>
          <w:p>
            <w:pPr>
              <w:spacing w:after="0"/>
              <w:rPr>
                <w:sz w:val="1"/>
                <w:szCs w:val="1"/>
                <w:color w:val="auto"/>
              </w:rPr>
            </w:pPr>
          </w:p>
        </w:tc>
      </w:tr>
      <w:tr>
        <w:trPr>
          <w:trHeight w:val="128"/>
        </w:trPr>
        <w:tc>
          <w:tcPr>
            <w:tcW w:w="49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Cost of revenues was $15.4 million for the year ended December 31, 2022 compared to $7.9 million for the same period in 2021. The $7.5 million increase was primarily related to an increase of $5.7 million for cost of revenues associated with WM CRM and WM AdSuite and an increase of $1.7 million for server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793"/>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8"/>
        </w:trPr>
        <w:tc>
          <w:tcPr>
            <w:tcW w:w="1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24"/>
                <w:szCs w:val="24"/>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6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1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82,624</w:t>
            </w:r>
          </w:p>
        </w:tc>
        <w:tc>
          <w:tcPr>
            <w:tcW w:w="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Sales and marketing expenses increased by $26.5 million, or 47% for the year ended December 31, 2022 compared to the same period in 2021. The increase was primarily related to an increase in personnel-related costs of $25.4 million, an increase in outside service of $3.5 million and an increase in travel expense of $0.9 million, offset by decreases in web advertising expense of $2.9 million and events expense of $0.8 million. The $25.4 million personnel-related costs include increases in salaries and wages of $15.1 million and payroll tax of $1.0 million, as a result of increased headcount in 2022, bonus expense of $8.9 million and stock-based compensation expense of $0.4 million. The increase in bonus expense for the year ended December 31, 2022 includes $7.1 million of bonus expense in connection with prior acquisitions.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24"/>
                <w:szCs w:val="24"/>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60" w:type="dxa"/>
            <w:vAlign w:val="bottom"/>
          </w:tcPr>
          <w:p>
            <w:pPr>
              <w:spacing w:after="0"/>
              <w:rPr>
                <w:sz w:val="24"/>
                <w:szCs w:val="24"/>
                <w:color w:val="auto"/>
              </w:rPr>
            </w:pPr>
          </w:p>
        </w:tc>
      </w:tr>
      <w:tr>
        <w:trPr>
          <w:trHeight w:val="212"/>
        </w:trPr>
        <w:tc>
          <w:tcPr>
            <w:tcW w:w="49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 expenses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50,520</w:t>
            </w:r>
          </w:p>
        </w:tc>
        <w:tc>
          <w:tcPr>
            <w:tcW w:w="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16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Product development expenses increased by $15.1 million, or 43% for the year ended December 31, 2022 compared to the same period in 2021. This increase was primarily due to increases in personnel-related costs of $13.4 million and outside services expense of $1.5 million. The increase in personnel-related costs was primarily due to increased headcount and includes increases in salaries and wages of $13.8 million and bonus expense of $5.4 million, offset by an increase in capitalized software development costs of $6.4 million related to certain costs capitalized for the development or enhancement of our Weedmaps platform. The increase in bonus expense for the year ended December 31, 2022 includes $2.6 million of bonus expense in connection with prior acquisitions.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8"/>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24"/>
                <w:szCs w:val="24"/>
                <w:color w:val="auto"/>
              </w:rPr>
            </w:pP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40" w:type="dxa"/>
            <w:vAlign w:val="bottom"/>
          </w:tcPr>
          <w:p>
            <w:pPr>
              <w:spacing w:after="0"/>
              <w:rPr>
                <w:sz w:val="24"/>
                <w:szCs w:val="24"/>
                <w:color w:val="auto"/>
              </w:rPr>
            </w:pPr>
          </w:p>
        </w:tc>
      </w:tr>
      <w:tr>
        <w:trPr>
          <w:trHeight w:val="212"/>
        </w:trPr>
        <w:tc>
          <w:tcPr>
            <w:tcW w:w="50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125,104</w:t>
            </w:r>
          </w:p>
        </w:tc>
        <w:tc>
          <w:tcPr>
            <w:tcW w:w="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97,447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27,657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General and administrative expenses increased by $27.7 million, or 28% for the year ended December 31, 2022 compared to the same period in 2021. This increase was primarily due to an increase in provision for doubtful accounts of $11.7 million, an increase in professional fees of $5.0 million, an increase in salaries and wages of $4.3 million, an increase in insurance costs of $1.6 million as a result of additional insurance coverage as a public company, an increase in software expense of $2.8 million, an increase in employee benefits expense of $2.6 million, an increase in facilities expense of $2.0 million, an increase in severance expense of $7.0 million related to the reduction in force and executive departures in the 2022 period and an increase in impairment loss of $1.9 million. The increase in provision for doubtful accounts included a higher reserve for at-risk customers that indicated financial difficulties due to the impact from macroeconomic factors. These increases were partially offset by decreases in stock-based compensation expense of $6.3 million, rent expense of $2.4 million,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services expense of $1.1 million and bonus expense of $1.4 million. Stock-based compensation expense decreased primarily due to a decrease in expense related to our Class P Units, offset by an increase in expense related to our RSUs.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212"/>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11,498</w:t>
            </w:r>
          </w:p>
        </w:tc>
        <w:tc>
          <w:tcPr>
            <w:tcW w:w="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4,425</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7,073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Depreciation and amortization expense increased by $7.1 million, or 160%, for the year ended December 31, 2022, compared to the same period in 2021. The increase was primarily due to an increase in capitalized software amortization of $5.1 million, an increase in intangible asset amortization of $1.4 million and an increase in fixed asset depreciation of $0.6 million. Capitalized software amortization included accelerated depreciation of $1.1 million related to discontinued product features of WM Retail in the first quarter of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24"/>
                <w:szCs w:val="24"/>
                <w:color w:val="auto"/>
              </w:rPr>
            </w:pPr>
          </w:p>
        </w:tc>
        <w:tc>
          <w:tcPr>
            <w:tcW w:w="1540" w:type="dxa"/>
            <w:vAlign w:val="bottom"/>
            <w:gridSpan w:val="2"/>
          </w:tcPr>
          <w:p>
            <w:pPr>
              <w:ind w:left="8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60" w:type="dxa"/>
            <w:vAlign w:val="bottom"/>
          </w:tcPr>
          <w:p>
            <w:pPr>
              <w:spacing w:after="0"/>
              <w:rPr>
                <w:sz w:val="24"/>
                <w:szCs w:val="24"/>
                <w:color w:val="auto"/>
              </w:rPr>
            </w:pPr>
          </w:p>
        </w:tc>
      </w:tr>
      <w:tr>
        <w:trPr>
          <w:trHeight w:val="212"/>
        </w:trPr>
        <w:tc>
          <w:tcPr>
            <w:tcW w:w="49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25,370</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166,518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(141,148)</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3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142,352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(1,674)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5,049</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2"/>
        </w:trPr>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166,048</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159,795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16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Other income, net increased by $6.3 million for the year ended December 31, 2022 compared to the same period in 2021. The increase in other income was primarily due to comparatively unfavorable changes in fair value of warrant liability of $141.1 million, offset by income from changes in tax receivable agreement liability of $142.4 million. For more information regarding the tax receivable agreement liability remeasurement, see Note 15 to our consolidated financial statements included herein. The decrease in other expense, net of $5.0 million was primarily due to warrant transaction costs of $5.5 million related to the Business Combination incurred during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8"/>
        </w:trPr>
        <w:tc>
          <w:tcPr>
            <w:tcW w:w="50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12"/>
        </w:trPr>
        <w:tc>
          <w:tcPr>
            <w:tcW w:w="5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179,077</w:t>
            </w:r>
          </w:p>
        </w:tc>
        <w:tc>
          <w:tcPr>
            <w:tcW w:w="10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179,678</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N/M</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9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Provision for income taxes increased by $179.7 million for the year ended December 31, 2022 compared to the same period in 2021. The increase was primarily due to a full valuation allowance that was recorded against our deferred tax assets during the year ended December 31, 2022. See Note 15 to our consolidated financial statements included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2021 and 2020</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For a discussion of the Results of Operations for the year ended December 31, 2021 compared to the year ended December 31, 2020, see Part II, Item 7, “Management's Discussion and Analysis of Financial Condition and Results of Operations” of our Form 10-K filed with the SEC on February 25, 2022.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Our rapid growth and recent changes in legislation have historically offset seasonal trends in our business. While seasonality has not had a significant impact on our results in the past, our clients may experience seasonality in their businesses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which in turn can impact the revenue generated from them. Our business may become more seasonal in the future and historical patterns in our business may not be a reliable indicator of future performance.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40" w:type="dxa"/>
            <w:vAlign w:val="bottom"/>
            <w:tcBorders>
              <w:bottom w:val="single" w:sz="8" w:color="auto"/>
            </w:tcBorders>
          </w:tcPr>
          <w:p>
            <w:pPr>
              <w:spacing w:after="0"/>
              <w:rPr>
                <w:sz w:val="19"/>
                <w:szCs w:val="19"/>
                <w:color w:val="auto"/>
              </w:rPr>
            </w:pPr>
          </w:p>
        </w:tc>
      </w:tr>
      <w:tr>
        <w:trPr>
          <w:trHeight w:val="212"/>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4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28,583</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17,438</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8,660</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61,134</w:t>
            </w:r>
          </w:p>
        </w:tc>
      </w:tr>
    </w:tbl>
    <w:p>
      <w:pPr>
        <w:spacing w:after="0" w:line="17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of December 31, 2022 and December 31, 2021, we had cash of $28.6 million and $67.8 million, respectively. During the second quarter of fiscal year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w:t>
      </w:r>
    </w:p>
    <w:p>
      <w:pPr>
        <w:spacing w:after="0" w:line="11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55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2"/>
        </w:trPr>
        <w:tc>
          <w:tcPr>
            <w:tcW w:w="55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w w:val="98"/>
              </w:rPr>
              <w:t>30,190</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39,236</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(17,768)</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center"/>
              <w:ind w:left="794"/>
              <w:spacing w:after="0"/>
              <w:rPr>
                <w:sz w:val="20"/>
                <w:szCs w:val="20"/>
                <w:color w:val="auto"/>
              </w:rPr>
            </w:pPr>
            <w:r>
              <w:rPr>
                <w:rFonts w:ascii="Times New Roman" w:cs="Times New Roman" w:eastAsia="Times New Roman" w:hAnsi="Times New Roman"/>
                <w:sz w:val="17"/>
                <w:szCs w:val="17"/>
                <w:color w:val="auto"/>
              </w:rPr>
              <w:t>(30,435)</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(9,805)</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w w:val="98"/>
              </w:rPr>
              <w:t>48,103</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(22,974)</w:t>
            </w:r>
          </w:p>
        </w:tc>
      </w:tr>
    </w:tbl>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Provided by Operating Activities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Cash from operating activities consists primarily of net (loss) income adjusted for certain non-cash items, including depreciation and amortization, change in fair value of warrant liability, change in tax receivable agreement liability, impairment loss, stock-based compensation, provision for doubtful accounts, deferred taxes and the effect of changes in working capital.</w:t>
      </w:r>
    </w:p>
    <w:p>
      <w:pPr>
        <w:spacing w:after="0" w:line="6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2022 was $11.6 million, which resulted from net loss of $82.7 million, together with a net cash inflows of $3.2 million from changes in operating assets and liabilities and non-cash items of $67.9 million, consisting of depreciation and amortization of $11.5 million, fair value of warrant liability of $25.4 million, impairment loss of $4.3 million, stock-based compensation expense of $23.5 million, tax receivable agreement remeasurement of $142.4 million, changes in deferred tax assets of $179.1 million and provision for doubtful accounts of $17.2 million. The net cash inflows from changes in operating assets and liabilities were primarily due to an increase in accounts receivable of $16.3 million, a decrease in deferred revenue of $1.9 million, partially offset by a decrease in prepaid expenses and other assets of $7.2 million and an increase in accounts payable and accrued expenses of $14.1 million. The changes in operating assets and liabilities are mostly due to fluctuations in timing of cash receipts and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2021 was $30.2 million, which resulted from net income of $152.2 million, together with net cash inflows of $3.7 million from changes in 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inflows from changes in operating assets and liabilities were primarily due to an increase in accounts receivables of $13.6 million, an increase in accounts payable and accrued expenses of $6.6 million, partially offset by a decrease in prepaid expenses and other current assets of $7.9 million and an increase in deferred revenue of $2.8 million. The changes in operating assets and liabilities are mostly due to fluctuations in timing of cash receipts and payments.</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2020 was $39.2 million, which resulted from net income of $38.8 million, together with net cash outflows of $4.8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$0.3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 and payments.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2022 was $17.8 million, which resulted from $0.7 million net cash paid for acquisitions, $16.1 million cash paid for purchases of property and equipment, including certain capitalized software development cost, and $1.0 million cash paid for an acquisition holdback release.</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2021 was $30.4 million, which resulted from $16.0 million net cash paid for acquisitions, $7.9 million cash paid for purchases of property and equipment, including certain capitalized software development cost, and $6.5 million cash paid for other investments.</w:t>
      </w:r>
    </w:p>
    <w:p>
      <w:pPr>
        <w:spacing w:after="0" w:line="62" w:lineRule="exact"/>
        <w:rPr>
          <w:sz w:val="20"/>
          <w:szCs w:val="20"/>
          <w:color w:val="auto"/>
        </w:rPr>
      </w:pPr>
    </w:p>
    <w:p>
      <w:pPr>
        <w:ind w:left="460" w:right="1560"/>
        <w:spacing w:after="0" w:line="379" w:lineRule="auto"/>
        <w:rPr>
          <w:sz w:val="20"/>
          <w:szCs w:val="20"/>
          <w:color w:val="auto"/>
        </w:rPr>
      </w:pPr>
      <w:r>
        <w:rPr>
          <w:rFonts w:ascii="Times New Roman" w:cs="Times New Roman" w:eastAsia="Times New Roman" w:hAnsi="Times New Roman"/>
          <w:sz w:val="17"/>
          <w:szCs w:val="17"/>
          <w:color w:val="auto"/>
        </w:rPr>
        <w:t xml:space="preserve">Net cash used in investing activities for the year ended December 31, 2020 was $1.3 million for purchases of property and equipment. </w:t>
      </w:r>
      <w:r>
        <w:rPr>
          <w:rFonts w:ascii="Times New Roman" w:cs="Times New Roman" w:eastAsia="Times New Roman" w:hAnsi="Times New Roman"/>
          <w:sz w:val="17"/>
          <w:szCs w:val="17"/>
          <w:i w:val="1"/>
          <w:iCs w:val="1"/>
          <w:color w:val="auto"/>
        </w:rPr>
        <w:t>Net Cash (Used in) Provided by Financing Activities</w:t>
      </w:r>
    </w:p>
    <w:p>
      <w:pPr>
        <w:spacing w:after="0" w:line="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2022 was $9.8 million, which resulted from $2.4 million of distribution payments to members of WMH LLC and $7.3 million for repayment of insurance premium financing.</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cash from financing activities for the year ended December 31, 2021 was $48.1 million, which resulted from net proceeds from the Business Combination of $80.0 million, offset by $19.0 million of distribution payments to members of WMH LLC, $7.1 million for repayment of insurance premium financing, $5.6 million paid for the repurchase of Class B Units and $0.2 million for repayments of notes payable to members.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2020 was $23.0 million, which resulted from $22.0 million of distribution payments to members of WMH LLC, $0.6 million for repayment of insurance premium financing and $0.4 million paid for the repurchase of Class B Units.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have non-cancellable contractual agreements primarily related to leases. As of December 31, 2022, future payments on our operating leases were $54.9 million. See Note 3 to our consolidated financial statements included herein.</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December 31, 2022, we have unpaid employee termination costs of $3.6 million related to the severance agreements entered into with former employees in connection with the reduction in force and executive departures that occurred in the third and fourth quarters of 2022.</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2022, our tax receivable agreement liability (“TRA”) was $0.5 million. We expect that the payments we will be required to make under the tax receivable agreement will not be substantial, and therefore, in conjunction with the recording of a full valuation allowance on the related TRA deferred tax assets, we have also written off the remainder of the TRA liabilities as of December 31, 2022.</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Business Combination would aggregate to approximately $166.3 million, as of December 31, 2022, over 15 years from Closing Date. Under this scenario, we would be required to pay to the Class A Unit holders approximately 85% of such amount, or $141.3 million, as of December 31, 2022,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15 to our consolidated financial statements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and additional offerings for access to the Weedmaps marketplace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judgement and estimates.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285"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we have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we determined during the fourth quarter of 2022 that a full valuation allowance is required against our net deferred tax assets. Payment under the tax receivable agreement liability is not probable resulting from the full valuation allowance and accordingly, the liability was reversed. As of December 31, 2022, total net deferred tax assets and TRA liability were zero and $0.5 million, respectively. As a result of the TRA liability remeasurement, we recognized an income of $142.4 million from the change in TRA liability on the accompanying consolidated statement of operations. See Note 15 to our consolidated financial statements included herein.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2022 and 2021, we recognized stock-based compensation expense of $23.5 million and $29.3 million, respectively. See Note 13 to our consolidated financial statements included herein.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years ended December 31, 2022 and 2021, we capitalized $15.5 million and $7.4 million of costs related to the development of software applications.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We measure credit losses on our trade accounts receivable using the current expected credit loss model under Accounting Standards Codification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We had an allowance for doubtful accounts of $12.2 million and $5.2 million as of December 31, 2022 and December 31, 2021, respectively. See Note 2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6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8 to our consolidated financial statements included herein.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2022, 12,499,973 of the Public Warrant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2022 and December 31, 2021, warrant liability was $2.1 million and $27.5 million, respectively. See Note 5 to our consolidated financial statements included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2 to our consolidated financial statements included herein.</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2022, 2021 and 2020. For all periods presented, we believe the exposure to foreign currency fluctuation from operating expenses is immaterial as the related costs do not constitute a significant portion of our total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 As of December 31, 2022, we did not have any cash equivalents.</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2022, 2021 and 2020.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 xml:space="preserve">The information required by this Item 8 appears in a separate section of this annual report on Form 10-K beginning on page </w:t>
      </w:r>
      <w:r>
        <w:rPr>
          <w:rFonts w:ascii="Times New Roman" w:cs="Times New Roman" w:eastAsia="Times New Roman" w:hAnsi="Times New Roman"/>
          <w:sz w:val="17"/>
          <w:szCs w:val="17"/>
          <w:u w:val="single" w:color="auto"/>
          <w:color w:val="0000FF"/>
        </w:rPr>
        <w:t>F-1</w:t>
      </w:r>
      <w:r>
        <w:rPr>
          <w:rFonts w:ascii="Times New Roman" w:cs="Times New Roman" w:eastAsia="Times New Roman" w:hAnsi="Times New Roman"/>
          <w:sz w:val="17"/>
          <w:szCs w:val="17"/>
          <w:color w:val="auto"/>
        </w:rPr>
        <w:t xml:space="preserve"> and is incorporated herein by reference.</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Our executive chair and chief financial officer (“Certifying Officers”) evaluated the effectiveness of our disclosure controls and procedures as of December 31, 2022, pursuant to Rule 13a-15(b) under the Exchange Act. Based on the evaluation, and in light of the material weakness in internal controls described below, our executive chair and chief financial officer have concluded that as of December 31, 2022, our disclosure controls and procedures were not effective due to the material weakness in internal control over financial reporting.</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Except for the material weakness identified during the quarter,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2022,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identified a material weakness in internal control related to ineffective information technology general controls (ITGCs) in the areas of user access and program change-management over certain information technology systems that support our financial reporting processes. As a result, our business process automated and manual controls that were dependent on the affected ITGCs were ineffective because they could have been adversely impacted. These control deficiencies were a result of: IT controls lacked sufficient segregation of duties as developers were granted administrative rights; certain users including developers had accessed other users’ accounts; and our controls over logging and monitoring of system configuration and data changes made by these users were not effectively designed to detect erroneous or unauthorized changes. The material weakness did not result in any identified misstatements in our financial statements for the year ended December 31, 2022 or any quarterly period in fiscal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Management has been implementing and continues to implement measures designed to ensure that control deficiencies contributing to the material weakness are remediated, such that these controls are designed, implemented and operating effectively. The remediation actions include: (i) removing the access from certain users to make changes directly in production systems; (ii) removing privileged access to other user accounts; and (iii) enhancing logging and monitoring of privileged user activities such as data updates in production systems. 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the year ending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Disclosure Controls and Procedures and Internal Controls over Financial Reporting</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10 is incorporated by reference to our definitive Proxy Statement for the 2023 Annual Meeting of Stockholders to be filed with the SEC within 120 days of December 31, 2022.</w:t>
      </w:r>
    </w:p>
    <w:p>
      <w:pPr>
        <w:spacing w:after="0" w:line="1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11 is incorporated by reference to our definitive Proxy Statement for the 2023 Annual Meeting of Stockholders to be filed with the SEC within 120 days of December 31, 2022.</w:t>
      </w:r>
    </w:p>
    <w:p>
      <w:pPr>
        <w:spacing w:after="0" w:line="14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12 is incorporated by reference to our definitive Proxy Statement for the 2023 Annual Meeting of Stockholders to be filed with the SEC within 120 days of December 31, 2022.</w:t>
      </w:r>
    </w:p>
    <w:p>
      <w:pPr>
        <w:spacing w:after="0" w:line="14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13 is incorporated by reference to our definitive Proxy Statement for the 2023 Annual Meeting of Stockholders to be filed with the SEC within 120 days of December 31, 2022.</w:t>
      </w:r>
    </w:p>
    <w:p>
      <w:pPr>
        <w:spacing w:after="0" w:line="14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14 is incorporated by reference to our definitive Proxy Statement for the 2023 Annual Meeting of Stockholders to be filed with the SEC within 120 days of December 31, 2022.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21" w:lineRule="exact"/>
        <w:rPr>
          <w:sz w:val="20"/>
          <w:szCs w:val="20"/>
          <w:color w:val="auto"/>
        </w:rPr>
      </w:pPr>
    </w:p>
    <w:p>
      <w:pPr>
        <w:ind w:left="240" w:hanging="237"/>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Annual Report:</w:t>
      </w:r>
    </w:p>
    <w:p>
      <w:pPr>
        <w:spacing w:after="0" w:line="217" w:lineRule="exact"/>
        <w:rPr>
          <w:rFonts w:ascii="Times New Roman" w:cs="Times New Roman" w:eastAsia="Times New Roman" w:hAnsi="Times New Roman"/>
          <w:sz w:val="17"/>
          <w:szCs w:val="17"/>
          <w:color w:val="auto"/>
        </w:rPr>
      </w:pPr>
    </w:p>
    <w:p>
      <w:pPr>
        <w:ind w:left="480" w:hanging="167"/>
        <w:spacing w:after="0"/>
        <w:tabs>
          <w:tab w:leader="none" w:pos="4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5"/>
        </w:trPr>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73"/>
        </w:trPr>
        <w:tc>
          <w:tcPr>
            <w:tcW w:w="10360" w:type="dxa"/>
            <w:vAlign w:val="bottom"/>
            <w:gridSpan w:val="6"/>
          </w:tcPr>
          <w:p>
            <w:pPr>
              <w:spacing w:after="0" w:line="173"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320" w:type="dxa"/>
            <w:vAlign w:val="bottom"/>
          </w:tcPr>
          <w:p>
            <w:pPr>
              <w:spacing w:after="0"/>
              <w:rPr>
                <w:sz w:val="15"/>
                <w:szCs w:val="15"/>
                <w:color w:val="auto"/>
              </w:rPr>
            </w:pPr>
          </w:p>
        </w:tc>
        <w:tc>
          <w:tcPr>
            <w:tcW w:w="280" w:type="dxa"/>
            <w:vAlign w:val="bottom"/>
            <w:tcBorders>
              <w:bottom w:val="single" w:sz="8" w:color="0000EE"/>
            </w:tcBorders>
          </w:tcPr>
          <w:p>
            <w:pPr>
              <w:jc w:val="center"/>
              <w:spacing w:after="0" w:line="161" w:lineRule="exact"/>
              <w:rPr>
                <w:sz w:val="20"/>
                <w:szCs w:val="20"/>
                <w:color w:val="auto"/>
              </w:rPr>
            </w:pPr>
            <w:r>
              <w:rPr>
                <w:rFonts w:ascii="Times New Roman" w:cs="Times New Roman" w:eastAsia="Times New Roman" w:hAnsi="Times New Roman"/>
                <w:sz w:val="17"/>
                <w:szCs w:val="17"/>
                <w:color w:val="0000EE"/>
              </w:rPr>
              <w:t>F-5</w:t>
            </w:r>
          </w:p>
        </w:tc>
        <w:tc>
          <w:tcPr>
            <w:tcW w:w="260" w:type="dxa"/>
            <w:vAlign w:val="bottom"/>
          </w:tcPr>
          <w:p>
            <w:pPr>
              <w:spacing w:after="0"/>
              <w:rPr>
                <w:sz w:val="15"/>
                <w:szCs w:val="15"/>
                <w:color w:val="auto"/>
              </w:rPr>
            </w:pPr>
          </w:p>
        </w:tc>
      </w:tr>
      <w:tr>
        <w:trPr>
          <w:trHeight w:val="20"/>
        </w:trPr>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5"/>
        </w:trPr>
        <w:tc>
          <w:tcPr>
            <w:tcW w:w="2740" w:type="dxa"/>
            <w:vAlign w:val="bottom"/>
            <w:tcBorders>
              <w:bottom w:val="single" w:sz="8" w:color="0000FF"/>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76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0000EE"/>
            </w:tcBorders>
          </w:tcPr>
          <w:p>
            <w:pPr>
              <w:jc w:val="center"/>
              <w:spacing w:after="0" w:line="185" w:lineRule="exact"/>
              <w:rPr>
                <w:sz w:val="20"/>
                <w:szCs w:val="20"/>
                <w:color w:val="auto"/>
              </w:rPr>
            </w:pPr>
            <w:r>
              <w:rPr>
                <w:rFonts w:ascii="Times New Roman" w:cs="Times New Roman" w:eastAsia="Times New Roman" w:hAnsi="Times New Roman"/>
                <w:sz w:val="17"/>
                <w:szCs w:val="17"/>
                <w:color w:val="0000EE"/>
              </w:rPr>
              <w:t>F-6</w:t>
            </w:r>
          </w:p>
        </w:tc>
        <w:tc>
          <w:tcPr>
            <w:tcW w:w="260" w:type="dxa"/>
            <w:vAlign w:val="bottom"/>
          </w:tcPr>
          <w:p>
            <w:pPr>
              <w:spacing w:after="0"/>
              <w:rPr>
                <w:sz w:val="16"/>
                <w:szCs w:val="16"/>
                <w:color w:val="auto"/>
              </w:rPr>
            </w:pPr>
          </w:p>
        </w:tc>
      </w:tr>
      <w:tr>
        <w:trPr>
          <w:trHeight w:val="225"/>
        </w:trPr>
        <w:tc>
          <w:tcPr>
            <w:tcW w:w="2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F-7</w:t>
            </w:r>
          </w:p>
        </w:tc>
        <w:tc>
          <w:tcPr>
            <w:tcW w:w="260" w:type="dxa"/>
            <w:vAlign w:val="bottom"/>
          </w:tcPr>
          <w:p>
            <w:pPr>
              <w:spacing w:after="0"/>
              <w:rPr>
                <w:sz w:val="19"/>
                <w:szCs w:val="19"/>
                <w:color w:val="auto"/>
              </w:rPr>
            </w:pPr>
          </w:p>
        </w:tc>
      </w:tr>
      <w:tr>
        <w:trPr>
          <w:trHeight w:val="225"/>
        </w:trPr>
        <w:tc>
          <w:tcPr>
            <w:tcW w:w="2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F-8</w:t>
            </w:r>
          </w:p>
        </w:tc>
        <w:tc>
          <w:tcPr>
            <w:tcW w:w="260" w:type="dxa"/>
            <w:vAlign w:val="bottom"/>
          </w:tcPr>
          <w:p>
            <w:pPr>
              <w:spacing w:after="0"/>
              <w:rPr>
                <w:sz w:val="19"/>
                <w:szCs w:val="19"/>
                <w:color w:val="auto"/>
              </w:rPr>
            </w:pPr>
          </w:p>
        </w:tc>
      </w:tr>
      <w:tr>
        <w:trPr>
          <w:trHeight w:val="225"/>
        </w:trPr>
        <w:tc>
          <w:tcPr>
            <w:tcW w:w="1036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w w:val="99"/>
              </w:rPr>
              <w:t>F-10</w:t>
            </w:r>
          </w:p>
        </w:tc>
      </w:tr>
      <w:tr>
        <w:trPr>
          <w:trHeight w:val="20"/>
        </w:trPr>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51" w:lineRule="exact"/>
        <w:rPr>
          <w:sz w:val="20"/>
          <w:szCs w:val="20"/>
          <w:color w:val="auto"/>
        </w:rPr>
      </w:pPr>
    </w:p>
    <w:p>
      <w:pPr>
        <w:ind w:left="480" w:hanging="167"/>
        <w:spacing w:after="0"/>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13"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are filed as part of, or incorporated by reference into, this Annual Report:</w:t>
      </w:r>
    </w:p>
    <w:p>
      <w:pPr>
        <w:sectPr>
          <w:pgSz w:w="11900" w:h="16838" w:orient="portrait"/>
          <w:cols w:equalWidth="0" w:num="1">
            <w:col w:w="11240"/>
          </w:cols>
          <w:pgMar w:left="320" w:top="226"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60"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3.1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7"/>
            <w:szCs w:val="17"/>
            <w:u w:val="single" w:color="auto"/>
            <w:color w:val="0000FF"/>
          </w:rPr>
          <w:t>3.2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4.1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7"/>
            <w:szCs w:val="17"/>
            <w:u w:val="single" w:color="auto"/>
            <w:color w:val="0000FF"/>
          </w:rPr>
          <w:t>4.2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7">
        <w:r>
          <w:rPr>
            <w:rFonts w:ascii="Times New Roman" w:cs="Times New Roman" w:eastAsia="Times New Roman" w:hAnsi="Times New Roman"/>
            <w:sz w:val="17"/>
            <w:szCs w:val="17"/>
            <w:u w:val="single" w:color="auto"/>
            <w:color w:val="0000FF"/>
          </w:rPr>
          <w:t>4.3</w:t>
        </w:r>
      </w:hyperlink>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4.5</w:t>
      </w:r>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8">
        <w:r>
          <w:rPr>
            <w:rFonts w:ascii="Times New Roman" w:cs="Times New Roman" w:eastAsia="Times New Roman" w:hAnsi="Times New Roman"/>
            <w:sz w:val="17"/>
            <w:szCs w:val="17"/>
            <w:u w:val="single" w:color="auto"/>
            <w:color w:val="0000FF"/>
          </w:rPr>
          <w:t>10.1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10.2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10.3</w:t>
        </w:r>
      </w:hyperlink>
    </w:p>
    <w:p>
      <w:pPr>
        <w:spacing w:after="0" w:line="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10.4</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10.5</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7"/>
            <w:szCs w:val="17"/>
            <w:u w:val="single" w:color="auto"/>
            <w:color w:val="0000FF"/>
          </w:rPr>
          <w:t>10.6#</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10.7#</w:t>
        </w:r>
      </w:hyperlink>
    </w:p>
    <w:p>
      <w:pPr>
        <w:spacing w:after="0" w:line="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10.7(a)(#)</w:t>
        </w:r>
      </w:hyperlink>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19685</wp:posOffset>
            </wp:positionV>
            <wp:extent cx="7138670" cy="286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8670" cy="286385"/>
                    </a:xfrm>
                    <a:prstGeom prst="rect">
                      <a:avLst/>
                    </a:prstGeom>
                    <a:noFill/>
                  </pic:spPr>
                </pic:pic>
              </a:graphicData>
            </a:graphic>
          </wp:anchor>
        </w:drawing>
      </w:r>
    </w:p>
    <w:p>
      <w:pPr>
        <w:spacing w:after="0" w:line="21"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Certificate of Incorporation of the Company, dated June 15, 2021 (incorporated by reference to Exhibit 3.1 to the Current Report on Form 8-K</w:t>
        </w:r>
      </w:hyperlink>
      <w:r>
        <w:rPr>
          <w:rFonts w:ascii="Times New Roman" w:cs="Times New Roman" w:eastAsia="Times New Roman" w:hAnsi="Times New Roman"/>
          <w:sz w:val="17"/>
          <w:szCs w:val="17"/>
          <w:u w:val="single" w:color="auto"/>
          <w:color w:val="0000FF"/>
        </w:rPr>
        <w:t xml:space="preserve"> </w:t>
      </w:r>
      <w:hyperlink r:id="rId93">
        <w:r>
          <w:rPr>
            <w:rFonts w:ascii="Times New Roman" w:cs="Times New Roman" w:eastAsia="Times New Roman" w:hAnsi="Times New Roman"/>
            <w:sz w:val="17"/>
            <w:szCs w:val="17"/>
            <w:u w:val="single" w:color="auto"/>
            <w:color w:val="0000FF"/>
          </w:rPr>
          <w:t>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7"/>
            <w:szCs w:val="17"/>
            <w:u w:val="single" w:color="auto"/>
            <w:color w:val="0000FF"/>
          </w:rPr>
          <w:t>Amended and Restated Bylaws of the Company, dated June 16, 2021 (incorporated by reference to Exhibit 3.2 to the Current Report on Form 8-</w:t>
        </w:r>
      </w:hyperlink>
      <w:hyperlink r:id="rId94">
        <w:r>
          <w:rPr>
            <w:rFonts w:ascii="Times New Roman" w:cs="Times New Roman" w:eastAsia="Times New Roman" w:hAnsi="Times New Roman"/>
            <w:sz w:val="17"/>
            <w:szCs w:val="17"/>
            <w:u w:val="single" w:color="auto"/>
            <w:color w:val="0000FF"/>
          </w:rPr>
          <w:t>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Form of Common Stock Certificate of the Company (incorporated by reference to Exhibit 4.1 to the Current Report on Form 8-K filed on June</w:t>
        </w:r>
      </w:hyperlink>
      <w:r>
        <w:rPr>
          <w:rFonts w:ascii="Times New Roman" w:cs="Times New Roman" w:eastAsia="Times New Roman" w:hAnsi="Times New Roman"/>
          <w:sz w:val="17"/>
          <w:szCs w:val="17"/>
          <w:u w:val="single" w:color="auto"/>
          <w:color w:val="0000FF"/>
        </w:rPr>
        <w:t xml:space="preserve"> </w:t>
      </w:r>
      <w:hyperlink r:id="rId95">
        <w:r>
          <w:rPr>
            <w:rFonts w:ascii="Times New Roman" w:cs="Times New Roman" w:eastAsia="Times New Roman" w:hAnsi="Times New Roman"/>
            <w:sz w:val="17"/>
            <w:szCs w:val="17"/>
            <w:u w:val="single" w:color="auto"/>
            <w:color w:val="0000FF"/>
          </w:rPr>
          <w:t>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55" w:lineRule="auto"/>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7"/>
            <w:szCs w:val="17"/>
            <w:u w:val="single" w:color="auto"/>
            <w:color w:val="0000FF"/>
          </w:rPr>
          <w:t>Form of Warrant Certificate of the Company (incorporated by reference to Exhibit 4.2 to the Current Report on Form 8-K filed on June 21,</w:t>
        </w:r>
      </w:hyperlink>
      <w:r>
        <w:rPr>
          <w:rFonts w:ascii="Times New Roman" w:cs="Times New Roman" w:eastAsia="Times New Roman" w:hAnsi="Times New Roman"/>
          <w:sz w:val="17"/>
          <w:szCs w:val="17"/>
          <w:u w:val="single" w:color="auto"/>
          <w:color w:val="0000FF"/>
        </w:rPr>
        <w:t xml:space="preserve"> </w:t>
      </w:r>
      <w:hyperlink r:id="rId96">
        <w:r>
          <w:rPr>
            <w:rFonts w:ascii="Times New Roman" w:cs="Times New Roman" w:eastAsia="Times New Roman" w:hAnsi="Times New Roman"/>
            <w:sz w:val="17"/>
            <w:szCs w:val="17"/>
            <w:u w:val="single" w:color="auto"/>
            <w:color w:val="0000FF"/>
          </w:rPr>
          <w:t>2021).</w:t>
        </w:r>
      </w:hyperlink>
    </w:p>
    <w:p>
      <w:pPr>
        <w:spacing w:after="0" w:line="231"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97">
        <w:r>
          <w:rPr>
            <w:rFonts w:ascii="Times New Roman" w:cs="Times New Roman" w:eastAsia="Times New Roman" w:hAnsi="Times New Roman"/>
            <w:sz w:val="17"/>
            <w:szCs w:val="17"/>
            <w:u w:val="single" w:color="auto"/>
            <w:color w:val="0000FF"/>
          </w:rPr>
          <w:t>Warrant Agreement, dated August 7, 2019, between the Company and Continental Stock Transfer &amp; Trust Company, as warrant agent</w:t>
        </w:r>
      </w:hyperlink>
      <w:r>
        <w:rPr>
          <w:rFonts w:ascii="Times New Roman" w:cs="Times New Roman" w:eastAsia="Times New Roman" w:hAnsi="Times New Roman"/>
          <w:sz w:val="17"/>
          <w:szCs w:val="17"/>
          <w:u w:val="single" w:color="auto"/>
          <w:color w:val="0000FF"/>
        </w:rPr>
        <w:t xml:space="preserve"> </w:t>
      </w:r>
      <w:hyperlink r:id="rId97">
        <w:r>
          <w:rPr>
            <w:rFonts w:ascii="Times New Roman" w:cs="Times New Roman" w:eastAsia="Times New Roman" w:hAnsi="Times New Roman"/>
            <w:sz w:val="17"/>
            <w:szCs w:val="17"/>
            <w:u w:val="single" w:color="auto"/>
            <w:color w:val="0000FF"/>
          </w:rPr>
          <w:t>(incorporated by reference to Exhibit 4.1 filed on Silver Spike’s Current Report on Form 8-K, filed by the Company on August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Description of Securities</w:t>
      </w:r>
    </w:p>
    <w:p>
      <w:pPr>
        <w:spacing w:after="0" w:line="49"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98">
        <w:r>
          <w:rPr>
            <w:rFonts w:ascii="Times New Roman" w:cs="Times New Roman" w:eastAsia="Times New Roman" w:hAnsi="Times New Roman"/>
            <w:sz w:val="17"/>
            <w:szCs w:val="17"/>
            <w:u w:val="single" w:color="auto"/>
            <w:color w:val="0000FF"/>
          </w:rPr>
          <w:t>Exchange Agreement, dated as of June 16, 2021, by and among the Company, Silver Spike Sponsor and the other parties thereto (incorporated by</w:t>
        </w:r>
      </w:hyperlink>
      <w:r>
        <w:rPr>
          <w:rFonts w:ascii="Times New Roman" w:cs="Times New Roman" w:eastAsia="Times New Roman" w:hAnsi="Times New Roman"/>
          <w:sz w:val="17"/>
          <w:szCs w:val="17"/>
          <w:u w:val="single" w:color="auto"/>
          <w:color w:val="0000FF"/>
        </w:rPr>
        <w:t xml:space="preserve"> </w:t>
      </w:r>
      <w:hyperlink r:id="rId98">
        <w:r>
          <w:rPr>
            <w:rFonts w:ascii="Times New Roman" w:cs="Times New Roman" w:eastAsia="Times New Roman" w:hAnsi="Times New Roman"/>
            <w:sz w:val="17"/>
            <w:szCs w:val="17"/>
            <w:u w:val="single" w:color="auto"/>
            <w:color w:val="0000FF"/>
          </w:rPr>
          <w:t>reference to Exhibit 10.1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69" w:lineRule="auto"/>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Tax Receivable Agreement, dated as of June 16, 2021, by and among the Company and the other parties thereto (incorporated by reference to</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Exhibit 10.2 to the Current Report on Form 8-K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Fourth Amended and Restated Operating Agreement of WMH LLC (incorporated by reference to Exhibit 10.3 to the Current Report on Form 8-</w:t>
        </w:r>
      </w:hyperlink>
      <w:hyperlink r:id="rId100">
        <w:r>
          <w:rPr>
            <w:rFonts w:ascii="Times New Roman" w:cs="Times New Roman" w:eastAsia="Times New Roman" w:hAnsi="Times New Roman"/>
            <w:sz w:val="17"/>
            <w:szCs w:val="17"/>
            <w:u w:val="single" w:color="auto"/>
            <w:color w:val="0000FF"/>
          </w:rPr>
          <w:t>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Form of Subscription Agreement (incorporated by reference to Exhibit 10.1 to the Current Report on Form 8-K filed on December 10, 2020).</w:t>
        </w:r>
      </w:hyperlink>
    </w:p>
    <w:p>
      <w:pPr>
        <w:spacing w:after="0" w:line="49"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Amended and Restated Registration Rights Agreement, dated as of June 16, 2021, by and among the Company, Silver Spike Sponsor and the</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other parties thereto (incorporated by reference to Exhibit 10.5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69" w:lineRule="auto"/>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7"/>
            <w:szCs w:val="17"/>
            <w:u w:val="single" w:color="auto"/>
            <w:color w:val="0000FF"/>
          </w:rPr>
          <w:t>Form of Indemnification Agreement by and between the Company and its directors and officers (incorporated by reference to Exhibit 10.6 to the</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Current Report on Form 8-K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WM Technology, Inc. 2021 Equity Incentive Plan (incorporated by reference to Exhibit 10.7 to the Current Report on Form 8-K filed on June 21,</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jc w:val="center"/>
        <w:ind w:right="360"/>
        <w:spacing w:after="0"/>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Form of Stock Option Grant Notice (incorporated by reference to Exhibit 10.7(a) to the Current Report on Form 8-K filed on June 21, 2021).</w:t>
        </w:r>
      </w:hyperlink>
    </w:p>
    <w:p>
      <w:pPr>
        <w:spacing w:after="0" w:line="225" w:lineRule="exact"/>
        <w:rPr>
          <w:sz w:val="20"/>
          <w:szCs w:val="20"/>
          <w:color w:val="auto"/>
        </w:rPr>
      </w:pPr>
    </w:p>
    <w:p>
      <w:pPr>
        <w:sectPr>
          <w:pgSz w:w="11900" w:h="16838" w:orient="portrait"/>
          <w:cols w:equalWidth="0" w:num="2">
            <w:col w:w="860" w:space="340"/>
            <w:col w:w="10040"/>
          </w:cols>
          <w:pgMar w:left="320" w:top="226"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Borders>
              <w:bottom w:val="single" w:sz="8" w:color="CCEEFF"/>
              <w:right w:val="single" w:sz="8" w:color="CCEEFF"/>
            </w:tcBorders>
            <w:gridSpan w:val="6"/>
            <w:vMerge w:val="restart"/>
            <w:shd w:val="clear" w:color="auto" w:fill="CCEEFF"/>
          </w:tcPr>
          <w:p>
            <w:pPr>
              <w:ind w:left="20"/>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7(b)#</w:t>
              </w:r>
            </w:hyperlink>
          </w:p>
        </w:tc>
        <w:tc>
          <w:tcPr>
            <w:tcW w:w="9600" w:type="dxa"/>
            <w:vAlign w:val="bottom"/>
            <w:tcBorders>
              <w:bottom w:val="single" w:sz="8" w:color="0000FF"/>
            </w:tcBorders>
            <w:gridSpan w:val="16"/>
            <w:shd w:val="clear" w:color="auto" w:fill="CCEEFF"/>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Form of RSU Award Grant Notice (incorporated by reference to Exhibit 10.7(b) to the Current Report on Form 8-K filed on June 21, 2021).</w:t>
              </w:r>
            </w:hyperlink>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40" w:type="dxa"/>
            <w:vAlign w:val="bottom"/>
            <w:tcBorders>
              <w:bottom w:val="single" w:sz="8" w:color="CCEEFF"/>
            </w:tcBorders>
            <w:vMerge w:val="restart"/>
            <w:shd w:val="clear" w:color="auto" w:fill="CCEEFF"/>
          </w:tcPr>
          <w:p>
            <w:pPr>
              <w:spacing w:after="0"/>
              <w:rPr>
                <w:sz w:val="18"/>
                <w:szCs w:val="18"/>
                <w:color w:val="auto"/>
              </w:rPr>
            </w:pPr>
          </w:p>
        </w:tc>
        <w:tc>
          <w:tcPr>
            <w:tcW w:w="160" w:type="dxa"/>
            <w:vAlign w:val="bottom"/>
            <w:tcBorders>
              <w:bottom w:val="single" w:sz="8" w:color="CCEEFF"/>
            </w:tcBorders>
            <w:vMerge w:val="restart"/>
            <w:shd w:val="clear" w:color="auto" w:fill="CCEEFF"/>
          </w:tcPr>
          <w:p>
            <w:pPr>
              <w:spacing w:after="0"/>
              <w:rPr>
                <w:sz w:val="18"/>
                <w:szCs w:val="18"/>
                <w:color w:val="auto"/>
              </w:rPr>
            </w:pPr>
          </w:p>
        </w:tc>
        <w:tc>
          <w:tcPr>
            <w:tcW w:w="4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4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20" w:type="dxa"/>
            <w:vAlign w:val="bottom"/>
            <w:tcBorders>
              <w:right w:val="single" w:sz="8" w:color="CCEEFF"/>
            </w:tcBorders>
            <w:gridSpan w:val="6"/>
            <w:vMerge w:val="continue"/>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16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80" w:type="dxa"/>
            <w:vAlign w:val="bottom"/>
            <w:tcBorders>
              <w:top w:val="single" w:sz="8" w:color="CCEEFF"/>
            </w:tcBorders>
            <w:gridSpan w:val="26"/>
          </w:tcPr>
          <w:p>
            <w:pPr>
              <w:spacing w:after="0" w:line="18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WM Technology, Inc. 2021 Employee Stock Purchase Plan (incorporated by reference to Exhibit 10.8 to the Current Report on Form 8-K filed on</w:t>
              </w:r>
            </w:hyperlink>
          </w:p>
        </w:tc>
        <w:tc>
          <w:tcPr>
            <w:tcW w:w="0" w:type="dxa"/>
            <w:vAlign w:val="bottom"/>
          </w:tcPr>
          <w:p>
            <w:pPr>
              <w:spacing w:after="0"/>
              <w:rPr>
                <w:sz w:val="1"/>
                <w:szCs w:val="1"/>
                <w:color w:val="auto"/>
              </w:rPr>
            </w:pPr>
          </w:p>
        </w:tc>
      </w:tr>
      <w:tr>
        <w:trPr>
          <w:trHeight w:val="173"/>
        </w:trPr>
        <w:tc>
          <w:tcPr>
            <w:tcW w:w="400" w:type="dxa"/>
            <w:vAlign w:val="bottom"/>
            <w:gridSpan w:val="3"/>
          </w:tcPr>
          <w:p>
            <w:pPr>
              <w:ind w:left="20"/>
              <w:spacing w:after="0" w:line="173" w:lineRule="exact"/>
              <w:rPr>
                <w:rFonts w:ascii="Times New Roman" w:cs="Times New Roman" w:eastAsia="Times New Roman" w:hAnsi="Times New Roman"/>
                <w:sz w:val="17"/>
                <w:szCs w:val="17"/>
                <w:color w:val="0000FF"/>
                <w:w w:val="93"/>
              </w:rPr>
            </w:pPr>
            <w:hyperlink r:id="rId115">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8#</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7"/>
              </w:rPr>
            </w:pPr>
            <w:hyperlink r:id="rId115">
              <w:r>
                <w:rPr>
                  <w:rFonts w:ascii="Times New Roman" w:cs="Times New Roman" w:eastAsia="Times New Roman" w:hAnsi="Times New Roman"/>
                  <w:sz w:val="17"/>
                  <w:szCs w:val="17"/>
                  <w:color w:val="0000FF"/>
                  <w:w w:val="97"/>
                </w:rPr>
                <w:t>June 21, 2021).</w:t>
              </w:r>
            </w:hyperlink>
          </w:p>
        </w:tc>
        <w:tc>
          <w:tcPr>
            <w:tcW w:w="1160" w:type="dxa"/>
            <w:vAlign w:val="bottom"/>
            <w:tcBorders>
              <w:top w:val="single" w:sz="8" w:color="0000FF"/>
              <w:bottom w:val="single" w:sz="8" w:color="0000FF"/>
            </w:tcBorders>
          </w:tcPr>
          <w:p>
            <w:pPr>
              <w:spacing w:after="0"/>
              <w:rPr>
                <w:sz w:val="15"/>
                <w:szCs w:val="15"/>
                <w:color w:val="auto"/>
              </w:rPr>
            </w:pPr>
          </w:p>
        </w:tc>
        <w:tc>
          <w:tcPr>
            <w:tcW w:w="220" w:type="dxa"/>
            <w:vAlign w:val="bottom"/>
            <w:tcBorders>
              <w:top w:val="single" w:sz="8" w:color="0000FF"/>
              <w:bottom w:val="single" w:sz="8" w:color="0000FF"/>
            </w:tcBorders>
          </w:tcPr>
          <w:p>
            <w:pPr>
              <w:spacing w:after="0"/>
              <w:rPr>
                <w:sz w:val="15"/>
                <w:szCs w:val="15"/>
                <w:color w:val="auto"/>
              </w:rPr>
            </w:pPr>
          </w:p>
        </w:tc>
        <w:tc>
          <w:tcPr>
            <w:tcW w:w="80" w:type="dxa"/>
            <w:vAlign w:val="bottom"/>
            <w:tcBorders>
              <w:top w:val="single" w:sz="8" w:color="0000FF"/>
              <w:bottom w:val="single" w:sz="8" w:color="0000FF"/>
            </w:tcBorders>
          </w:tcPr>
          <w:p>
            <w:pPr>
              <w:spacing w:after="0"/>
              <w:rPr>
                <w:sz w:val="15"/>
                <w:szCs w:val="15"/>
                <w:color w:val="auto"/>
              </w:rPr>
            </w:pPr>
          </w:p>
        </w:tc>
        <w:tc>
          <w:tcPr>
            <w:tcW w:w="740" w:type="dxa"/>
            <w:vAlign w:val="bottom"/>
            <w:tcBorders>
              <w:top w:val="single" w:sz="8" w:color="0000FF"/>
              <w:bottom w:val="single" w:sz="8" w:color="0000FF"/>
            </w:tcBorders>
          </w:tcPr>
          <w:p>
            <w:pPr>
              <w:spacing w:after="0"/>
              <w:rPr>
                <w:sz w:val="15"/>
                <w:szCs w:val="15"/>
                <w:color w:val="auto"/>
              </w:rPr>
            </w:pPr>
          </w:p>
        </w:tc>
        <w:tc>
          <w:tcPr>
            <w:tcW w:w="640" w:type="dxa"/>
            <w:vAlign w:val="bottom"/>
            <w:tcBorders>
              <w:top w:val="single" w:sz="8" w:color="0000FF"/>
              <w:bottom w:val="single" w:sz="8" w:color="0000FF"/>
            </w:tcBorders>
          </w:tcPr>
          <w:p>
            <w:pPr>
              <w:spacing w:after="0"/>
              <w:rPr>
                <w:sz w:val="15"/>
                <w:szCs w:val="15"/>
                <w:color w:val="auto"/>
              </w:rPr>
            </w:pPr>
          </w:p>
        </w:tc>
        <w:tc>
          <w:tcPr>
            <w:tcW w:w="160" w:type="dxa"/>
            <w:vAlign w:val="bottom"/>
            <w:tcBorders>
              <w:top w:val="single" w:sz="8" w:color="0000FF"/>
              <w:bottom w:val="single" w:sz="8" w:color="0000FF"/>
            </w:tcBorders>
          </w:tcPr>
          <w:p>
            <w:pPr>
              <w:spacing w:after="0"/>
              <w:rPr>
                <w:sz w:val="15"/>
                <w:szCs w:val="15"/>
                <w:color w:val="auto"/>
              </w:rPr>
            </w:pPr>
          </w:p>
        </w:tc>
        <w:tc>
          <w:tcPr>
            <w:tcW w:w="1860" w:type="dxa"/>
            <w:vAlign w:val="bottom"/>
            <w:tcBorders>
              <w:top w:val="single" w:sz="8" w:color="0000FF"/>
              <w:bottom w:val="single" w:sz="8" w:color="0000FF"/>
            </w:tcBorders>
          </w:tcPr>
          <w:p>
            <w:pPr>
              <w:spacing w:after="0"/>
              <w:rPr>
                <w:sz w:val="15"/>
                <w:szCs w:val="15"/>
                <w:color w:val="auto"/>
              </w:rPr>
            </w:pPr>
          </w:p>
        </w:tc>
        <w:tc>
          <w:tcPr>
            <w:tcW w:w="200" w:type="dxa"/>
            <w:vAlign w:val="bottom"/>
            <w:tcBorders>
              <w:top w:val="single" w:sz="8" w:color="0000FF"/>
              <w:bottom w:val="single" w:sz="8" w:color="0000FF"/>
            </w:tcBorders>
          </w:tcPr>
          <w:p>
            <w:pPr>
              <w:spacing w:after="0"/>
              <w:rPr>
                <w:sz w:val="15"/>
                <w:szCs w:val="15"/>
                <w:color w:val="auto"/>
              </w:rPr>
            </w:pPr>
          </w:p>
        </w:tc>
        <w:tc>
          <w:tcPr>
            <w:tcW w:w="980" w:type="dxa"/>
            <w:vAlign w:val="bottom"/>
            <w:tcBorders>
              <w:top w:val="single" w:sz="8" w:color="0000FF"/>
              <w:bottom w:val="single" w:sz="8" w:color="0000FF"/>
            </w:tcBorders>
          </w:tcPr>
          <w:p>
            <w:pPr>
              <w:spacing w:after="0"/>
              <w:rPr>
                <w:sz w:val="15"/>
                <w:szCs w:val="15"/>
                <w:color w:val="auto"/>
              </w:rPr>
            </w:pPr>
          </w:p>
        </w:tc>
        <w:tc>
          <w:tcPr>
            <w:tcW w:w="120" w:type="dxa"/>
            <w:vAlign w:val="bottom"/>
            <w:tcBorders>
              <w:top w:val="single" w:sz="8" w:color="0000FF"/>
              <w:bottom w:val="single" w:sz="8" w:color="0000FF"/>
            </w:tcBorders>
          </w:tcPr>
          <w:p>
            <w:pPr>
              <w:spacing w:after="0"/>
              <w:rPr>
                <w:sz w:val="15"/>
                <w:szCs w:val="15"/>
                <w:color w:val="auto"/>
              </w:rPr>
            </w:pPr>
          </w:p>
        </w:tc>
        <w:tc>
          <w:tcPr>
            <w:tcW w:w="760" w:type="dxa"/>
            <w:vAlign w:val="bottom"/>
            <w:tcBorders>
              <w:top w:val="single" w:sz="8" w:color="0000FF"/>
              <w:bottom w:val="single" w:sz="8" w:color="0000FF"/>
            </w:tcBorders>
          </w:tcPr>
          <w:p>
            <w:pPr>
              <w:spacing w:after="0"/>
              <w:rPr>
                <w:sz w:val="15"/>
                <w:szCs w:val="15"/>
                <w:color w:val="auto"/>
              </w:rPr>
            </w:pPr>
          </w:p>
        </w:tc>
        <w:tc>
          <w:tcPr>
            <w:tcW w:w="138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28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16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shd w:val="clear" w:color="auto" w:fill="CCEEFF"/>
          </w:tcPr>
          <w:p>
            <w:pPr>
              <w:spacing w:after="0"/>
              <w:rPr>
                <w:sz w:val="15"/>
                <w:szCs w:val="15"/>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26"/>
            <w:shd w:val="clear" w:color="auto" w:fill="CCEEFF"/>
          </w:tcPr>
          <w:p>
            <w:pPr>
              <w:spacing w:after="0" w:line="183"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Lease by and between the Irvine Company LLC and Ghost Media Group, LLC, dated November 11, 2013, as amended (incorporated by</w:t>
              </w:r>
            </w:hyperlink>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vMerge w:val="continue"/>
            <w:shd w:val="clear" w:color="auto" w:fill="CCEEFF"/>
          </w:tcPr>
          <w:p>
            <w:pPr>
              <w:spacing w:after="0"/>
              <w:rPr>
                <w:sz w:val="13"/>
                <w:szCs w:val="13"/>
                <w:color w:val="auto"/>
              </w:rPr>
            </w:pPr>
          </w:p>
        </w:tc>
        <w:tc>
          <w:tcPr>
            <w:tcW w:w="380" w:type="dxa"/>
            <w:vAlign w:val="bottom"/>
            <w:tcBorders>
              <w:top w:val="single" w:sz="8" w:color="CCEEFF"/>
            </w:tcBorders>
            <w:gridSpan w:val="2"/>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right w:val="single" w:sz="8" w:color="CCEEFF"/>
            </w:tcBorders>
            <w:shd w:val="clear" w:color="auto" w:fill="CCEEFF"/>
          </w:tcPr>
          <w:p>
            <w:pPr>
              <w:spacing w:after="0"/>
              <w:rPr>
                <w:sz w:val="13"/>
                <w:szCs w:val="13"/>
                <w:color w:val="auto"/>
              </w:rPr>
            </w:pPr>
          </w:p>
        </w:tc>
        <w:tc>
          <w:tcPr>
            <w:tcW w:w="9360" w:type="dxa"/>
            <w:vAlign w:val="bottom"/>
            <w:tcBorders>
              <w:top w:val="single" w:sz="8" w:color="0000FF"/>
            </w:tcBorders>
            <w:gridSpan w:val="14"/>
            <w:shd w:val="clear" w:color="auto" w:fill="CCEEFF"/>
          </w:tcPr>
          <w:p>
            <w:pPr>
              <w:spacing w:after="0" w:line="135" w:lineRule="exact"/>
              <w:rPr>
                <w:rFonts w:ascii="Times New Roman" w:cs="Times New Roman" w:eastAsia="Times New Roman" w:hAnsi="Times New Roman"/>
                <w:sz w:val="15"/>
                <w:szCs w:val="15"/>
                <w:color w:val="0000FF"/>
              </w:rPr>
            </w:pPr>
            <w:hyperlink r:id="rId116">
              <w:r>
                <w:rPr>
                  <w:rFonts w:ascii="Times New Roman" w:cs="Times New Roman" w:eastAsia="Times New Roman" w:hAnsi="Times New Roman"/>
                  <w:sz w:val="15"/>
                  <w:szCs w:val="15"/>
                  <w:color w:val="0000FF"/>
                </w:rPr>
                <w:t>reference to Exhibit 10.12 to the Current Report on Form 8-K filed on June 21, 2021).</w:t>
              </w:r>
            </w:hyperlink>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00" w:type="dxa"/>
            <w:vAlign w:val="bottom"/>
            <w:tcBorders>
              <w:bottom w:val="single" w:sz="8" w:color="0000FF"/>
            </w:tcBorders>
            <w:gridSpan w:val="17"/>
          </w:tcPr>
          <w:p>
            <w:pPr>
              <w:spacing w:after="0" w:line="18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First Amendment to Lease and Consent to Assignment by and between Discovery Business Center LLC, as successor-in-interest to the Irvine</w:t>
              </w:r>
            </w:hyperlink>
          </w:p>
        </w:tc>
        <w:tc>
          <w:tcPr>
            <w:tcW w:w="3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17">
              <w:r>
                <w:rPr>
                  <w:rFonts w:ascii="Times New Roman" w:cs="Times New Roman" w:eastAsia="Times New Roman" w:hAnsi="Times New Roman"/>
                  <w:sz w:val="17"/>
                  <w:szCs w:val="17"/>
                  <w:color w:val="0000FF"/>
                  <w:w w:val="93"/>
                </w:rPr>
                <w:t>10.</w:t>
              </w:r>
            </w:hyperlink>
            <w:r>
              <w:rPr>
                <w:rFonts w:ascii="Times New Roman" w:cs="Times New Roman" w:eastAsia="Times New Roman" w:hAnsi="Times New Roman"/>
                <w:sz w:val="17"/>
                <w:szCs w:val="17"/>
                <w:u w:val="single" w:color="auto"/>
                <w:color w:val="0000FF"/>
                <w:w w:val="93"/>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80" w:type="dxa"/>
            <w:vAlign w:val="bottom"/>
            <w:gridSpan w:val="26"/>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Company LLC, and Ghost Management Group, LLC, as successor-in-interest to Ghost Media Group, LLC, dated January 27, 2016 (incorporated</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6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by reference to Exhibit 10.13 to the Current Report on Form 8-K filed on June 21,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w w:val="93"/>
              </w:rPr>
            </w:pPr>
            <w:hyperlink r:id="rId118">
              <w:r>
                <w:rPr>
                  <w:rFonts w:ascii="Times New Roman" w:cs="Times New Roman" w:eastAsia="Times New Roman" w:hAnsi="Times New Roman"/>
                  <w:sz w:val="17"/>
                  <w:szCs w:val="17"/>
                  <w:color w:val="0000FF"/>
                  <w:w w:val="93"/>
                </w:rPr>
                <w:t>10.</w:t>
              </w:r>
            </w:hyperlink>
            <w:r>
              <w:rPr>
                <w:rFonts w:ascii="Times New Roman" w:cs="Times New Roman" w:eastAsia="Times New Roman" w:hAnsi="Times New Roman"/>
                <w:sz w:val="17"/>
                <w:szCs w:val="17"/>
                <w:u w:val="single" w:color="auto"/>
                <w:color w:val="0000FF"/>
                <w:w w:val="93"/>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26"/>
            <w:shd w:val="clear" w:color="auto" w:fill="CCEEFF"/>
          </w:tcPr>
          <w:p>
            <w:pPr>
              <w:spacing w:after="0" w:line="190"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Second Amendment to Lease, by and between Discovery Business Center LLC and Ghost Management Group, LLC, dated April 7, 2017</w:t>
              </w:r>
            </w:hyperlink>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vMerge w:val="continue"/>
            <w:shd w:val="clear" w:color="auto" w:fill="CCEEFF"/>
          </w:tcPr>
          <w:p>
            <w:pPr>
              <w:spacing w:after="0"/>
              <w:rPr>
                <w:sz w:val="13"/>
                <w:szCs w:val="13"/>
                <w:color w:val="auto"/>
              </w:rPr>
            </w:pPr>
          </w:p>
        </w:tc>
        <w:tc>
          <w:tcPr>
            <w:tcW w:w="380" w:type="dxa"/>
            <w:vAlign w:val="bottom"/>
            <w:tcBorders>
              <w:top w:val="single" w:sz="8" w:color="CCEEFF"/>
            </w:tcBorders>
            <w:gridSpan w:val="2"/>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right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5"/>
            <w:shd w:val="clear" w:color="auto" w:fill="CCEEFF"/>
          </w:tcPr>
          <w:p>
            <w:pPr>
              <w:spacing w:after="0" w:line="135" w:lineRule="exact"/>
              <w:rPr>
                <w:rFonts w:ascii="Times New Roman" w:cs="Times New Roman" w:eastAsia="Times New Roman" w:hAnsi="Times New Roman"/>
                <w:sz w:val="15"/>
                <w:szCs w:val="15"/>
                <w:color w:val="0000FF"/>
              </w:rPr>
            </w:pPr>
            <w:hyperlink r:id="rId118">
              <w:r>
                <w:rPr>
                  <w:rFonts w:ascii="Times New Roman" w:cs="Times New Roman" w:eastAsia="Times New Roman" w:hAnsi="Times New Roman"/>
                  <w:sz w:val="15"/>
                  <w:szCs w:val="15"/>
                  <w:color w:val="0000FF"/>
                </w:rPr>
                <w:t>(incorporated by reference to Exhibit 10.14 to the Current Report on Form 8-K filed on June 21, 2021).</w:t>
              </w:r>
            </w:hyperlink>
          </w:p>
        </w:tc>
        <w:tc>
          <w:tcPr>
            <w:tcW w:w="32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19">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12</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80" w:type="dxa"/>
            <w:vAlign w:val="bottom"/>
            <w:gridSpan w:val="26"/>
          </w:tcPr>
          <w:p>
            <w:pPr>
              <w:spacing w:after="0" w:line="181"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Third Amendment to Lease, by and between Discovery Business Center LLC and Ghost Management Group, LLC, dated December 29, 2017</w:t>
              </w:r>
            </w:hyperlink>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8"/>
          </w:tcPr>
          <w:p>
            <w:pPr>
              <w:spacing w:after="0" w:line="135" w:lineRule="exact"/>
              <w:rPr>
                <w:rFonts w:ascii="Times New Roman" w:cs="Times New Roman" w:eastAsia="Times New Roman" w:hAnsi="Times New Roman"/>
                <w:sz w:val="15"/>
                <w:szCs w:val="15"/>
                <w:color w:val="0000FF"/>
              </w:rPr>
            </w:pPr>
            <w:hyperlink r:id="rId119">
              <w:r>
                <w:rPr>
                  <w:rFonts w:ascii="Times New Roman" w:cs="Times New Roman" w:eastAsia="Times New Roman" w:hAnsi="Times New Roman"/>
                  <w:sz w:val="15"/>
                  <w:szCs w:val="15"/>
                  <w:color w:val="0000FF"/>
                </w:rPr>
                <w:t>(incorporated by reference to Exhibit 10.15 to the Current Report on Form 8-K filed on June 21, 2021).</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shd w:val="clear" w:color="auto" w:fill="CCEEFF"/>
          </w:tcPr>
          <w:p>
            <w:pPr>
              <w:spacing w:after="0"/>
              <w:rPr>
                <w:sz w:val="15"/>
                <w:szCs w:val="15"/>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w w:val="93"/>
              </w:rPr>
            </w:pPr>
            <w:hyperlink r:id="rId120">
              <w:r>
                <w:rPr>
                  <w:rFonts w:ascii="Times New Roman" w:cs="Times New Roman" w:eastAsia="Times New Roman" w:hAnsi="Times New Roman"/>
                  <w:sz w:val="17"/>
                  <w:szCs w:val="17"/>
                  <w:color w:val="0000FF"/>
                  <w:w w:val="93"/>
                </w:rPr>
                <w:t>10.</w:t>
              </w:r>
            </w:hyperlink>
            <w:r>
              <w:rPr>
                <w:rFonts w:ascii="Times New Roman" w:cs="Times New Roman" w:eastAsia="Times New Roman" w:hAnsi="Times New Roman"/>
                <w:sz w:val="17"/>
                <w:szCs w:val="17"/>
                <w:u w:val="single" w:color="auto"/>
                <w:color w:val="0000FF"/>
                <w:w w:val="93"/>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Fourth Amendment to Lease, by and between Discovery Business Center LLC and Ghost Management Group, LLC, dated May 3, 2018</w:t>
              </w:r>
            </w:hyperlink>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9340" w:type="dxa"/>
            <w:vAlign w:val="bottom"/>
            <w:tcBorders>
              <w:top w:val="single" w:sz="8" w:color="0000FF"/>
            </w:tcBorders>
            <w:gridSpan w:val="13"/>
            <w:shd w:val="clear" w:color="auto" w:fill="CCEEFF"/>
          </w:tcPr>
          <w:p>
            <w:pPr>
              <w:spacing w:after="0" w:line="135" w:lineRule="exact"/>
              <w:rPr>
                <w:rFonts w:ascii="Times New Roman" w:cs="Times New Roman" w:eastAsia="Times New Roman" w:hAnsi="Times New Roman"/>
                <w:sz w:val="15"/>
                <w:szCs w:val="15"/>
                <w:color w:val="0000FF"/>
              </w:rPr>
            </w:pPr>
            <w:hyperlink r:id="rId120">
              <w:r>
                <w:rPr>
                  <w:rFonts w:ascii="Times New Roman" w:cs="Times New Roman" w:eastAsia="Times New Roman" w:hAnsi="Times New Roman"/>
                  <w:sz w:val="15"/>
                  <w:szCs w:val="15"/>
                  <w:color w:val="0000FF"/>
                </w:rPr>
                <w:t>(incorporated by reference to Exhibit 10.16 to the Current Report on Form 8-K filed on June 21, 2021).</w:t>
              </w:r>
            </w:hyperlink>
          </w:p>
        </w:tc>
        <w:tc>
          <w:tcPr>
            <w:tcW w:w="56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21">
              <w:r>
                <w:rPr>
                  <w:rFonts w:ascii="Times New Roman" w:cs="Times New Roman" w:eastAsia="Times New Roman" w:hAnsi="Times New Roman"/>
                  <w:sz w:val="17"/>
                  <w:szCs w:val="17"/>
                  <w:color w:val="0000FF"/>
                  <w:w w:val="93"/>
                </w:rPr>
                <w:t>10.</w:t>
              </w:r>
            </w:hyperlink>
            <w:r>
              <w:rPr>
                <w:rFonts w:ascii="Times New Roman" w:cs="Times New Roman" w:eastAsia="Times New Roman" w:hAnsi="Times New Roman"/>
                <w:sz w:val="17"/>
                <w:szCs w:val="17"/>
                <w:u w:val="single" w:color="auto"/>
                <w:color w:val="0000FF"/>
                <w:w w:val="93"/>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80" w:type="dxa"/>
            <w:vAlign w:val="bottom"/>
            <w:gridSpan w:val="26"/>
          </w:tcPr>
          <w:p>
            <w:pPr>
              <w:spacing w:after="0" w:line="17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Strategic Advisor Agreement, by and between the Company and Steven Jung, dated June 21, 2021 (incorporated by reference to Exhibit 10.17 to</w:t>
              </w:r>
            </w:hyperlink>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94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the Current Report on Form 8-K filed on June 21, 2021).</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480" w:type="dxa"/>
            <w:vAlign w:val="bottom"/>
            <w:gridSpan w:val="3"/>
            <w:vMerge w:val="restart"/>
            <w:shd w:val="clear" w:color="auto" w:fill="CCEEFF"/>
          </w:tcPr>
          <w:p>
            <w:pPr>
              <w:spacing w:after="0"/>
              <w:rPr>
                <w:rFonts w:ascii="Times New Roman" w:cs="Times New Roman" w:eastAsia="Times New Roman" w:hAnsi="Times New Roman"/>
                <w:sz w:val="17"/>
                <w:szCs w:val="17"/>
                <w:color w:val="0000FF"/>
                <w:w w:val="98"/>
              </w:rPr>
            </w:pPr>
            <w:hyperlink r:id="rId122">
              <w:r>
                <w:rPr>
                  <w:rFonts w:ascii="Times New Roman" w:cs="Times New Roman" w:eastAsia="Times New Roman" w:hAnsi="Times New Roman"/>
                  <w:sz w:val="17"/>
                  <w:szCs w:val="17"/>
                  <w:color w:val="0000FF"/>
                  <w:w w:val="98"/>
                </w:rPr>
                <w:t>10.</w:t>
              </w:r>
            </w:hyperlink>
            <w:r>
              <w:rPr>
                <w:rFonts w:ascii="Times New Roman" w:cs="Times New Roman" w:eastAsia="Times New Roman" w:hAnsi="Times New Roman"/>
                <w:sz w:val="17"/>
                <w:szCs w:val="17"/>
                <w:u w:val="single" w:color="auto"/>
                <w:color w:val="0000FF"/>
                <w:w w:val="98"/>
              </w:rPr>
              <w:t>15#</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26"/>
            <w:shd w:val="clear" w:color="auto" w:fill="CCEEFF"/>
          </w:tcPr>
          <w:p>
            <w:pPr>
              <w:spacing w:after="0" w:line="192"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WM Technology, Inc. Non-Employee Director Compensation Policy (incorporated by reference to Exhibit 10.1 to the Quarterly Report on Form</w:t>
              </w:r>
            </w:hyperlink>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480" w:type="dxa"/>
            <w:vAlign w:val="bottom"/>
            <w:tcBorders>
              <w:top w:val="single" w:sz="8" w:color="CCEEFF"/>
            </w:tcBorders>
            <w:gridSpan w:val="3"/>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19"/>
            <w:shd w:val="clear" w:color="auto" w:fill="CCEEFF"/>
          </w:tcPr>
          <w:p>
            <w:pPr>
              <w:spacing w:after="0" w:line="148"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10-Q filed on November 12, 2021).</w:t>
              </w:r>
            </w:hyperlink>
          </w:p>
        </w:tc>
        <w:tc>
          <w:tcPr>
            <w:tcW w:w="10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8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color w:val="0000FF"/>
                <w:w w:val="98"/>
              </w:rPr>
              <w:t>10.</w:t>
            </w:r>
            <w:r>
              <w:rPr>
                <w:rFonts w:ascii="Times New Roman" w:cs="Times New Roman" w:eastAsia="Times New Roman" w:hAnsi="Times New Roman"/>
                <w:sz w:val="17"/>
                <w:szCs w:val="17"/>
                <w:u w:val="single" w:color="auto"/>
                <w:color w:val="0000FF"/>
                <w:w w:val="98"/>
              </w:rPr>
              <w:t>16#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80" w:type="dxa"/>
            <w:vAlign w:val="bottom"/>
            <w:gridSpan w:val="26"/>
          </w:tcPr>
          <w:p>
            <w:pPr>
              <w:spacing w:after="0" w:line="172" w:lineRule="exact"/>
              <w:rPr>
                <w:sz w:val="20"/>
                <w:szCs w:val="20"/>
                <w:color w:val="auto"/>
              </w:rPr>
            </w:pPr>
            <w:r>
              <w:rPr>
                <w:rFonts w:ascii="Times New Roman" w:cs="Times New Roman" w:eastAsia="Times New Roman" w:hAnsi="Times New Roman"/>
                <w:sz w:val="17"/>
                <w:szCs w:val="17"/>
                <w:color w:val="0000FF"/>
              </w:rPr>
              <w:t>Separation and Release Agreement, by and between Juanjo Feijoo and WM Technology, Inc, dated January 5, 2023.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10.</w:t>
            </w:r>
            <w:r>
              <w:rPr>
                <w:rFonts w:ascii="Times New Roman" w:cs="Times New Roman" w:eastAsia="Times New Roman" w:hAnsi="Times New Roman"/>
                <w:sz w:val="17"/>
                <w:szCs w:val="17"/>
                <w:u w:val="single" w:color="auto"/>
                <w:color w:val="0000FF"/>
                <w:w w:val="98"/>
              </w:rPr>
              <w:t>17#</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2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Separation and Release Agreement, by and between Justin Dean and WM Technology, Inc, dated December 5, 2022.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38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w w:val="98"/>
              </w:rPr>
              <w:t>10.</w:t>
            </w:r>
            <w:r>
              <w:rPr>
                <w:rFonts w:ascii="Times New Roman" w:cs="Times New Roman" w:eastAsia="Times New Roman" w:hAnsi="Times New Roman"/>
                <w:sz w:val="17"/>
                <w:szCs w:val="17"/>
                <w:u w:val="single" w:color="auto"/>
                <w:color w:val="0000FF"/>
                <w:w w:val="98"/>
              </w:rPr>
              <w:t>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8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Separation and Release Agreement, by and between Chris Beals and WM Technology, Inc, dated November 7, 2022.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3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10.</w:t>
            </w:r>
            <w:r>
              <w:rPr>
                <w:rFonts w:ascii="Times New Roman" w:cs="Times New Roman" w:eastAsia="Times New Roman" w:hAnsi="Times New Roman"/>
                <w:sz w:val="17"/>
                <w:szCs w:val="17"/>
                <w:u w:val="single" w:color="auto"/>
                <w:color w:val="0000FF"/>
                <w:w w:val="98"/>
              </w:rPr>
              <w:t>19#</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2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Offer letter by and between Ghost Management Group, LLC and Duncan Grazier, dated August 23, 2019</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8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List of Subsidiaries of the Registrant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2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Consent of Baker Tilly US, LLP</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8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73"/>
        </w:trPr>
        <w:tc>
          <w:tcPr>
            <w:tcW w:w="4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7"/>
          </w:tcPr>
          <w:p>
            <w:pPr>
              <w:spacing w:after="0" w:line="161" w:lineRule="exact"/>
              <w:rPr>
                <w:sz w:val="20"/>
                <w:szCs w:val="20"/>
                <w:color w:val="auto"/>
              </w:rPr>
            </w:pPr>
            <w:r>
              <w:rPr>
                <w:rFonts w:ascii="Times New Roman" w:cs="Times New Roman" w:eastAsia="Times New Roman" w:hAnsi="Times New Roman"/>
                <w:sz w:val="17"/>
                <w:szCs w:val="17"/>
                <w:color w:val="0000FF"/>
                <w:w w:val="99"/>
              </w:rPr>
              <w:t>pursuant to Section 302 of the Sarbanes-Oxley Act of 2002</w:t>
            </w:r>
          </w:p>
        </w:tc>
        <w:tc>
          <w:tcPr>
            <w:tcW w:w="5960" w:type="dxa"/>
            <w:vAlign w:val="bottom"/>
            <w:tcBorders>
              <w:top w:val="single" w:sz="8" w:color="0000FF"/>
              <w:bottom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2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the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23"/>
        </w:trPr>
        <w:tc>
          <w:tcPr>
            <w:tcW w:w="400" w:type="dxa"/>
            <w:vAlign w:val="bottom"/>
            <w:tcBorders>
              <w:top w:val="single" w:sz="8" w:color="CCEEFF"/>
              <w:bottom w:val="single" w:sz="8" w:color="CCEEFF"/>
            </w:tcBorders>
            <w:gridSpan w:val="3"/>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40" w:type="dxa"/>
            <w:vAlign w:val="bottom"/>
            <w:tcBorders>
              <w:top w:val="single" w:sz="8" w:color="0000FF"/>
              <w:bottom w:val="single" w:sz="8" w:color="0000FF"/>
            </w:tcBorders>
            <w:gridSpan w:val="7"/>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w w:val="99"/>
              </w:rPr>
              <w:t>pursuant to Section 302 of the Sarbanes-Oxley Act of 2002</w:t>
            </w:r>
          </w:p>
        </w:tc>
        <w:tc>
          <w:tcPr>
            <w:tcW w:w="5980" w:type="dxa"/>
            <w:vAlign w:val="bottom"/>
            <w:tcBorders>
              <w:top w:val="single" w:sz="8" w:color="0000FF"/>
              <w:bottom w:val="single" w:sz="8" w:color="0000FF"/>
            </w:tcBorders>
            <w:gridSpan w:val="16"/>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80" w:type="dxa"/>
            <w:vAlign w:val="bottom"/>
            <w:tcBorders>
              <w:top w:val="single" w:sz="8" w:color="CCEEFF"/>
            </w:tcBorders>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Certifications of the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73"/>
        </w:trPr>
        <w:tc>
          <w:tcPr>
            <w:tcW w:w="4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5"/>
          </w:tcPr>
          <w:p>
            <w:pPr>
              <w:spacing w:after="0" w:line="161" w:lineRule="exact"/>
              <w:rPr>
                <w:sz w:val="20"/>
                <w:szCs w:val="20"/>
                <w:color w:val="auto"/>
              </w:rPr>
            </w:pPr>
            <w:r>
              <w:rPr>
                <w:rFonts w:ascii="Times New Roman" w:cs="Times New Roman" w:eastAsia="Times New Roman" w:hAnsi="Times New Roman"/>
                <w:sz w:val="17"/>
                <w:szCs w:val="17"/>
                <w:color w:val="0000FF"/>
                <w:w w:val="99"/>
              </w:rPr>
              <w:t>Section 906 of the Sarbanes-Oxley Act of 2002</w:t>
            </w:r>
          </w:p>
        </w:tc>
        <w:tc>
          <w:tcPr>
            <w:tcW w:w="6820" w:type="dxa"/>
            <w:vAlign w:val="bottom"/>
            <w:tcBorders>
              <w:top w:val="single" w:sz="8" w:color="0000FF"/>
              <w:bottom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80" w:type="dxa"/>
            <w:vAlign w:val="bottom"/>
            <w:gridSpan w:val="26"/>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2"/>
        </w:trPr>
        <w:tc>
          <w:tcPr>
            <w:tcW w:w="122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00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Inline XBRL document)</w:t>
            </w:r>
          </w:p>
        </w:tc>
        <w:tc>
          <w:tcPr>
            <w:tcW w:w="0" w:type="dxa"/>
            <w:vAlign w:val="bottom"/>
          </w:tcPr>
          <w:p>
            <w:pPr>
              <w:spacing w:after="0"/>
              <w:rPr>
                <w:sz w:val="1"/>
                <w:szCs w:val="1"/>
                <w:color w:val="auto"/>
              </w:rPr>
            </w:pPr>
          </w:p>
        </w:tc>
      </w:tr>
      <w:tr>
        <w:trPr>
          <w:trHeight w:val="219"/>
        </w:trPr>
        <w:tc>
          <w:tcPr>
            <w:tcW w:w="12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0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19"/>
        </w:trPr>
        <w:tc>
          <w:tcPr>
            <w:tcW w:w="122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00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19"/>
        </w:trPr>
        <w:tc>
          <w:tcPr>
            <w:tcW w:w="12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00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19"/>
        </w:trPr>
        <w:tc>
          <w:tcPr>
            <w:tcW w:w="122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00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9"/>
        </w:trPr>
        <w:tc>
          <w:tcPr>
            <w:tcW w:w="12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00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19"/>
        </w:trPr>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100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Indicates management contract or compensatory plan, contract or agreement.</w:t>
      </w:r>
    </w:p>
    <w:p>
      <w:pPr>
        <w:spacing w:after="0" w:line="49" w:lineRule="exact"/>
        <w:rPr>
          <w:sz w:val="20"/>
          <w:szCs w:val="20"/>
          <w:color w:val="auto"/>
        </w:rPr>
      </w:pPr>
    </w:p>
    <w:p>
      <w:pPr>
        <w:jc w:val="both"/>
        <w:ind w:left="360" w:right="20" w:hanging="202"/>
        <w:spacing w:after="0" w:line="254" w:lineRule="auto"/>
        <w:tabs>
          <w:tab w:leader="none" w:pos="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0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March 16, 2023</w:t>
            </w: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color w:val="auto"/>
              </w:rPr>
              <w:t>By:  /s/ Douglas Francis</w:t>
            </w:r>
          </w:p>
        </w:tc>
      </w:tr>
      <w:tr>
        <w:trPr>
          <w:trHeight w:val="209"/>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Douglas Francis</w:t>
            </w:r>
          </w:p>
        </w:tc>
      </w:tr>
      <w:tr>
        <w:trPr>
          <w:trHeight w:val="215"/>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Chair</w:t>
            </w:r>
          </w:p>
        </w:tc>
      </w:tr>
      <w:tr>
        <w:trPr>
          <w:trHeight w:val="227"/>
        </w:trPr>
        <w:tc>
          <w:tcPr>
            <w:tcW w:w="3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Douglas Francis and Arden Lee,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1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934"/>
        </w:trPr>
        <w:tc>
          <w:tcPr>
            <w:tcW w:w="1220" w:type="dxa"/>
            <w:vAlign w:val="bottom"/>
            <w:tcBorders>
              <w:top w:val="single" w:sz="8" w:color="0000FF"/>
            </w:tcBorders>
          </w:tcPr>
          <w:p>
            <w:pPr>
              <w:spacing w:after="0"/>
              <w:rPr>
                <w:sz w:val="24"/>
                <w:szCs w:val="24"/>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20" w:type="dxa"/>
            <w:vAlign w:val="bottom"/>
          </w:tcPr>
          <w:p>
            <w:pPr>
              <w:ind w:left="27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w w:val="94"/>
              </w:rPr>
              <w:t>Date</w:t>
            </w:r>
          </w:p>
        </w:tc>
      </w:tr>
      <w:tr>
        <w:trPr>
          <w:trHeight w:val="438"/>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Francis</w:t>
            </w: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Chair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Arden Lee</w:t>
            </w: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Arden Lee</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Tony Aquila</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Tony Aquila</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Anthony Bay</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Anthony Bay</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Brenda Freeman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Brenda Freeman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Olga Gonzalez</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Olga Gonzalez</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Scott Gordon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Scott Gordon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Justin Hartfield</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Justin Hartfield</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Fiona Tan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16, 2023</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Fiona Tan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00"/>
          </w:cols>
          <w:pgMar w:left="320" w:top="215" w:right="1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jc w:val="center"/>
              <w:ind w:right="207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3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(PCAOB ID 23)</w:t>
            </w: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1"/>
        </w:trPr>
        <w:tc>
          <w:tcPr>
            <w:tcW w:w="20" w:type="dxa"/>
            <w:vAlign w:val="bottom"/>
          </w:tcPr>
          <w:p>
            <w:pPr>
              <w:spacing w:after="0"/>
              <w:rPr>
                <w:sz w:val="24"/>
                <w:szCs w:val="24"/>
                <w:color w:val="auto"/>
              </w:rPr>
            </w:pPr>
          </w:p>
        </w:tc>
        <w:tc>
          <w:tcPr>
            <w:tcW w:w="10360" w:type="dxa"/>
            <w:vAlign w:val="bottom"/>
            <w:gridSpan w:val="6"/>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03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60" w:type="dxa"/>
            <w:vAlign w:val="bottom"/>
            <w:gridSpan w:val="6"/>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3"/>
          </w:tcPr>
          <w:p>
            <w:pPr>
              <w:jc w:val="center"/>
              <w:ind w:right="300"/>
              <w:spacing w:after="0" w:line="185" w:lineRule="exact"/>
              <w:rPr>
                <w:sz w:val="20"/>
                <w:szCs w:val="20"/>
                <w:color w:val="auto"/>
              </w:rPr>
            </w:pPr>
            <w:r>
              <w:rPr>
                <w:rFonts w:ascii="Times New Roman" w:cs="Times New Roman" w:eastAsia="Times New Roman" w:hAnsi="Times New Roman"/>
                <w:sz w:val="17"/>
                <w:szCs w:val="17"/>
                <w:color w:val="0000EE"/>
              </w:rPr>
              <w:t>F-6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60" w:type="dxa"/>
            <w:vAlign w:val="bottom"/>
            <w:tcBorders>
              <w:bottom w:val="single" w:sz="8" w:color="0000FF"/>
            </w:tcBorders>
          </w:tcPr>
          <w:p>
            <w:pPr>
              <w:spacing w:after="0"/>
              <w:rPr>
                <w:sz w:val="19"/>
                <w:szCs w:val="19"/>
                <w:color w:val="auto"/>
              </w:rPr>
            </w:pPr>
          </w:p>
        </w:tc>
        <w:tc>
          <w:tcPr>
            <w:tcW w:w="76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F-7</w:t>
            </w:r>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76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F-8</w:t>
            </w:r>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36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w w:val="99"/>
              </w:rPr>
              <w:t>F-10</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360" w:type="dxa"/>
            <w:vAlign w:val="bottom"/>
          </w:tcPr>
          <w:p>
            <w:pPr>
              <w:jc w:val="center"/>
              <w:ind w:right="2074"/>
              <w:spacing w:after="0"/>
              <w:rPr>
                <w:sz w:val="20"/>
                <w:szCs w:val="20"/>
                <w:color w:val="auto"/>
              </w:rPr>
            </w:pPr>
            <w:r>
              <w:rPr>
                <w:rFonts w:ascii="Times New Roman" w:cs="Times New Roman" w:eastAsia="Times New Roman" w:hAnsi="Times New Roman"/>
                <w:sz w:val="17"/>
                <w:szCs w:val="17"/>
                <w:color w:val="auto"/>
              </w:rPr>
              <w:t>F-1</w:t>
            </w:r>
          </w:p>
        </w:tc>
        <w:tc>
          <w:tcPr>
            <w:tcW w:w="2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board of directors of WM Technology,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WM Technology, Inc. (the “Company”) as of December 31, 2022 and 2021, the related consolidated statements of operations, changes in stockholders’ equity and cash flows for the three years in the period ended December 31, 2022, and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because of the effect of the material weakness described below on the achievement of the objectives of the control criteria, the Company has not maintained effective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financial statements will not be prevented or detected on a timely basis. The following material weakness has been identified and included in the accompanying Management’s Report on Internal Control Over Financial Reporting appearing under Item 9A.</w:t>
      </w:r>
    </w:p>
    <w:p>
      <w:pPr>
        <w:spacing w:after="0" w:line="62" w:lineRule="exact"/>
        <w:rPr>
          <w:sz w:val="20"/>
          <w:szCs w:val="20"/>
          <w:color w:val="auto"/>
        </w:rPr>
      </w:pPr>
    </w:p>
    <w:p>
      <w:pPr>
        <w:jc w:val="both"/>
        <w:ind w:left="460"/>
        <w:spacing w:after="0" w:line="260" w:lineRule="auto"/>
        <w:rPr>
          <w:sz w:val="20"/>
          <w:szCs w:val="20"/>
          <w:color w:val="auto"/>
        </w:rPr>
      </w:pPr>
      <w:r>
        <w:rPr>
          <w:rFonts w:ascii="Times New Roman" w:cs="Times New Roman" w:eastAsia="Times New Roman" w:hAnsi="Times New Roman"/>
          <w:sz w:val="17"/>
          <w:szCs w:val="17"/>
          <w:color w:val="auto"/>
        </w:rPr>
        <w:t>There were ineffective information technology general controls (ITGCs) in the areas of user access and program change-management over certain information technology (IT) systems that support the Company’s financial reporting processes. As a result, business process automated and manual controls that were dependent on the affected ITGCs were ineffective because they could have been adversely impacted. These control deficiencies were a result of: IT controls lacked sufficient segregation of duties as developers were granted administrative rights; certain users including developers had accessed other users’ accounts; and the Company’s controls over logging and monitoring of system configuration and data changes made by these users were not effectively designed to detect erroneous or unauthorized changes.</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This material weakness was considered in determining the nature, timing and extent of audit tests applied in our audit of the 2022 financial statements, and our opinion regarding the effectiveness of the Company’s internal control over financial reporting does not affect our opinion on those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Emphasis of Matter Related to the Company’s Operations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3"/>
        <w:spacing w:after="0" w:line="259" w:lineRule="auto"/>
        <w:tabs>
          <w:tab w:leader="none" w:pos="24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of Intangible Assets in the acquisition of Eyechronic, LLC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discussed in Note 7 to the consolidated financial statements, on January 14, 2022, the Company acquired all the equity interests of Eyechronic LLC. The transaction was accounted for as a business combination and the assets acquired and liabilities assumed have been recorded based on estimates of fair value and are subject to change based on the finalization of their fair values of the assets acquired and liabilities assumed.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Auditing management’s valuation of the intangible assets in the acquisitions was complex and judgmental due to the significant estimation uncertainty in the Company’s determination of the fair values of intangible assets. In addition, the identification of other potential intangible assets in the acquisition requires complex judgment. The significant estimation uncertainty was primarily due to the sensitivity of the fair value estimates to underlying assumptions including forecasted revenue growth rates, forecasted profit margin, and the discount rates. These significant assumptions are forward looking and could be affected by future operational, economic and market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114" w:lineRule="exact"/>
        <w:rPr>
          <w:sz w:val="20"/>
          <w:szCs w:val="20"/>
          <w:color w:val="auto"/>
        </w:rPr>
      </w:pPr>
    </w:p>
    <w:p>
      <w:pPr>
        <w:jc w:val="both"/>
        <w:ind w:left="620" w:hanging="307"/>
        <w:spacing w:after="0" w:line="270"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 understanding, evaluated the design, and tested the operating effectiveness of controls over the Company's estimation process supporting the recognition and measurement of the customer relationships intangible assets, including controls over management’s evaluation of the methodology and underlying assumptions used in determining the fair value.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1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auditor engaged a valuation specialist to assist with our evaluation of the methodologies used by the Company and significant assumptions included in the fair value estimates.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7700" w:firstLine="313"/>
        <w:spacing w:after="0" w:line="377" w:lineRule="auto"/>
        <w:tabs>
          <w:tab w:leader="none" w:pos="61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Tested the clerical accuracy of the models. Valuation Allowance on Deferred Tax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discussed in Note 15 to the consolidated financial statements, at December 31, 2022 the Company had deferred tax assets of approximately $187 million, for which a full valuation allowance was established. Deferred tax assets are reduced by a valuation allowance if, based on the weight of all available evidence, in management’s judgment it is more likely than not that some portion, or all, of the deferred tax assets will not be realized. Management considers the amounts and timing of expected future deductions or carryforwards and sources of taxable income that may enable utilization. This includes an analysis of the Company’s current financial position, results of operations for the current and prior years, and other currently available information relevant to the Company’s realization of its deferred tax assets.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Auditing management’s analysis of the realizability of deferred tax assets was complex due to the Company’s tax structure. Significant judgments and estimates were made by management to determine that sufficient taxable income will not be generated to realize such deferred tax assets. The assessment process involves significant judgment and subjective evaluation of assumptions which may be affected by the future operations of the Company, market, or economic conditions, which required a high degree of auditor judgment and an increased extent of effort, including the need to involve income tax specialists.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114" w:lineRule="exact"/>
        <w:rPr>
          <w:sz w:val="20"/>
          <w:szCs w:val="20"/>
          <w:color w:val="auto"/>
        </w:rPr>
      </w:pPr>
    </w:p>
    <w:p>
      <w:pPr>
        <w:jc w:val="both"/>
        <w:ind w:left="620" w:hanging="307"/>
        <w:spacing w:after="0" w:line="27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 understanding, evaluated the design, and tested the operating effectiveness of controls that address the risks of material misstatement relating to the realizability of deferred tax assets, including controls over management’s evaluation of the nature of its tax attributes and projections of the future income.</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Company’s assessment of the realizability of its deferred tax assets and its valuation allowance based on our consideration of available positive and negative evidence.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nature of the Company’s tax attributes and tax structure, including evaluating the Company’s analysis of the application of technical tax guidance related to the accounting for deferred tax assets.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compared the projections of future taxable income with the actual results of prior periods and assessed management’s consideration of current industry and economic trends.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our tax professionals with specialized skills and knowledge to evaluate the Company’s assessment of its future utilization of deferred tax assets.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5"/>
        </w:trPr>
        <w:tc>
          <w:tcPr>
            <w:tcW w:w="1220" w:type="dxa"/>
            <w:vAlign w:val="bottom"/>
            <w:tcBorders>
              <w:top w:val="single" w:sz="8" w:color="0000FF"/>
            </w:tcBorders>
          </w:tcPr>
          <w:p>
            <w:pPr>
              <w:spacing w:after="0"/>
              <w:rPr>
                <w:sz w:val="24"/>
                <w:szCs w:val="24"/>
                <w:color w:val="auto"/>
              </w:rPr>
            </w:pPr>
          </w:p>
        </w:tc>
        <w:tc>
          <w:tcPr>
            <w:tcW w:w="7380" w:type="dxa"/>
            <w:vAlign w:val="bottom"/>
            <w:gridSpan w:val="2"/>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22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8,962</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13,607</w:t>
            </w:r>
          </w:p>
        </w:tc>
        <w:tc>
          <w:tcPr>
            <w:tcW w:w="0" w:type="dxa"/>
            <w:vAlign w:val="bottom"/>
          </w:tcPr>
          <w:p>
            <w:pPr>
              <w:spacing w:after="0"/>
              <w:rPr>
                <w:sz w:val="1"/>
                <w:szCs w:val="1"/>
                <w:color w:val="auto"/>
              </w:rPr>
            </w:pP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54,983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98,934</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45,295</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36,549</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152,097</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199,035</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33,635</w:t>
            </w:r>
          </w:p>
        </w:tc>
        <w:tc>
          <w:tcPr>
            <w:tcW w:w="80" w:type="dxa"/>
            <w:vAlign w:val="bottom"/>
          </w:tcPr>
          <w:p>
            <w:pPr>
              <w:spacing w:after="0"/>
              <w:rPr>
                <w:sz w:val="19"/>
                <w:szCs w:val="19"/>
                <w:color w:val="auto"/>
              </w:rPr>
            </w:pP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23,155</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8,057</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46,323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39,377</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233,204</w:t>
            </w:r>
          </w:p>
        </w:tc>
        <w:tc>
          <w:tcPr>
            <w:tcW w:w="0" w:type="dxa"/>
            <w:vAlign w:val="bottom"/>
          </w:tcPr>
          <w:p>
            <w:pPr>
              <w:spacing w:after="0"/>
              <w:rPr>
                <w:sz w:val="1"/>
                <w:szCs w:val="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4)</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44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 at</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December 31, 2022 and December 31, 2021</w:t>
            </w:r>
          </w:p>
        </w:tc>
        <w:tc>
          <w:tcPr>
            <w:tcW w:w="1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92,062,468 shares</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4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December 31, 2022 and 65,677,361 shares issued and outstanding at</w:t>
            </w: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68"/>
        </w:trPr>
        <w:tc>
          <w:tcPr>
            <w:tcW w:w="744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55,486,361 shares issued</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4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outstanding at December 31, 2022 and 65,502,347 shares issued and outstanding at</w:t>
            </w: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deficit) retained earnings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(54,620)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61,369</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63,556</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101,397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68,384</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114,777</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131,940</w:t>
            </w:r>
          </w:p>
        </w:tc>
        <w:tc>
          <w:tcPr>
            <w:tcW w:w="0" w:type="dxa"/>
            <w:vAlign w:val="bottom"/>
          </w:tcPr>
          <w:p>
            <w:pPr>
              <w:spacing w:after="0"/>
              <w:rPr>
                <w:sz w:val="1"/>
                <w:szCs w:val="1"/>
                <w:color w:val="auto"/>
              </w:rPr>
            </w:pPr>
          </w:p>
        </w:tc>
      </w:tr>
      <w:tr>
        <w:trPr>
          <w:trHeight w:val="212"/>
        </w:trPr>
        <w:tc>
          <w:tcPr>
            <w:tcW w:w="74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199,035</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00" w:type="dxa"/>
            <w:vAlign w:val="bottom"/>
            <w:gridSpan w:val="6"/>
          </w:tcPr>
          <w:p>
            <w:pPr>
              <w:jc w:val="center"/>
              <w:ind w:left="201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00" w:type="dxa"/>
            <w:vAlign w:val="bottom"/>
            <w:gridSpan w:val="6"/>
          </w:tcPr>
          <w:p>
            <w:pPr>
              <w:jc w:val="center"/>
              <w:ind w:left="2034"/>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220" w:type="dxa"/>
            <w:vAlign w:val="bottom"/>
            <w:gridSpan w:val="3"/>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161,791</w:t>
            </w:r>
          </w:p>
        </w:tc>
      </w:tr>
      <w:tr>
        <w:trPr>
          <w:trHeight w:val="245"/>
        </w:trPr>
        <w:tc>
          <w:tcPr>
            <w:tcW w:w="414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68"/>
        </w:trPr>
        <w:tc>
          <w:tcPr>
            <w:tcW w:w="5920" w:type="dxa"/>
            <w:vAlign w:val="bottom"/>
            <w:gridSpan w:val="4"/>
          </w:tcPr>
          <w:p>
            <w:pPr>
              <w:ind w:left="120"/>
              <w:spacing w:after="0" w:line="167"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2"/>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separately below)</w:t>
            </w: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7,630</w:t>
            </w:r>
          </w:p>
        </w:tc>
      </w:tr>
      <w:tr>
        <w:trPr>
          <w:trHeight w:val="219"/>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30,716</w:t>
            </w:r>
          </w:p>
        </w:tc>
      </w:tr>
      <w:tr>
        <w:trPr>
          <w:trHeight w:val="219"/>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w:t>
            </w:r>
          </w:p>
        </w:tc>
      </w:tr>
      <w:tr>
        <w:trPr>
          <w:trHeight w:val="219"/>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51,127</w:t>
            </w:r>
          </w:p>
        </w:tc>
      </w:tr>
      <w:tr>
        <w:trPr>
          <w:trHeight w:val="219"/>
        </w:trPr>
        <w:tc>
          <w:tcPr>
            <w:tcW w:w="4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3,978</w:t>
            </w:r>
          </w:p>
        </w:tc>
      </w:tr>
      <w:tr>
        <w:trPr>
          <w:trHeight w:val="212"/>
        </w:trPr>
        <w:tc>
          <w:tcPr>
            <w:tcW w:w="4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3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285,153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201,324</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120,593</w:t>
            </w:r>
          </w:p>
        </w:tc>
      </w:tr>
      <w:tr>
        <w:trPr>
          <w:trHeight w:val="21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41,198</w:t>
            </w:r>
          </w:p>
        </w:tc>
      </w:tr>
      <w:tr>
        <w:trPr>
          <w:trHeight w:val="21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expense, net</w:t>
            </w:r>
          </w:p>
        </w:tc>
        <w:tc>
          <w:tcPr>
            <w:tcW w:w="1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w:t>
            </w:r>
          </w:p>
        </w:tc>
      </w:tr>
      <w:tr>
        <w:trPr>
          <w:trHeight w:val="212"/>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19"/>
        </w:trPr>
        <w:tc>
          <w:tcPr>
            <w:tcW w:w="4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income</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19"/>
        </w:trPr>
        <w:tc>
          <w:tcPr>
            <w:tcW w:w="4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1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1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0"/>
        </w:trPr>
        <w:tc>
          <w:tcPr>
            <w:tcW w:w="41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Basic (loss) income per share</w:t>
            </w:r>
          </w:p>
        </w:tc>
        <w:tc>
          <w:tcPr>
            <w:tcW w:w="178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56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N/A¹</w:t>
            </w:r>
          </w:p>
        </w:tc>
      </w:tr>
      <w:tr>
        <w:trPr>
          <w:trHeight w:val="219"/>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loss per share</w:t>
            </w:r>
          </w:p>
        </w:tc>
        <w:tc>
          <w:tcPr>
            <w:tcW w:w="17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56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N/A¹</w:t>
            </w:r>
          </w:p>
        </w:tc>
      </w:tr>
      <w:tr>
        <w:trPr>
          <w:trHeight w:val="245"/>
        </w:trPr>
        <w:tc>
          <w:tcPr>
            <w:tcW w:w="414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65,013,517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N/A¹</w:t>
            </w:r>
          </w:p>
        </w:tc>
      </w:tr>
      <w:tr>
        <w:trPr>
          <w:trHeight w:val="219"/>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66,813,417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-3985895</wp:posOffset>
            </wp:positionV>
            <wp:extent cx="5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10" w:lineRule="exact"/>
        <w:rPr>
          <w:sz w:val="20"/>
          <w:szCs w:val="20"/>
          <w:color w:val="auto"/>
        </w:rPr>
      </w:pPr>
    </w:p>
    <w:p>
      <w:pPr>
        <w:jc w:val="both"/>
        <w:ind w:firstLine="3"/>
        <w:spacing w:after="0" w:line="253" w:lineRule="auto"/>
        <w:tabs>
          <w:tab w:leader="none" w:pos="7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43"/>
        </w:trPr>
        <w:tc>
          <w:tcPr>
            <w:tcW w:w="2040" w:type="dxa"/>
            <w:vAlign w:val="bottom"/>
          </w:tcPr>
          <w:p>
            <w:pPr>
              <w:spacing w:after="0"/>
              <w:rPr>
                <w:sz w:val="12"/>
                <w:szCs w:val="12"/>
                <w:color w:val="auto"/>
              </w:rPr>
            </w:pPr>
          </w:p>
        </w:tc>
        <w:tc>
          <w:tcPr>
            <w:tcW w:w="1800" w:type="dxa"/>
            <w:vAlign w:val="bottom"/>
            <w:tcBorders>
              <w:top w:val="single" w:sz="8" w:color="auto"/>
            </w:tcBorders>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tcBorders>
              <w:top w:val="single" w:sz="8" w:color="auto"/>
            </w:tcBorders>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Total WM</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40" w:type="dxa"/>
            <w:vAlign w:val="bottom"/>
          </w:tcPr>
          <w:p>
            <w:pPr>
              <w:spacing w:after="0"/>
              <w:rPr>
                <w:sz w:val="6"/>
                <w:szCs w:val="6"/>
                <w:color w:val="auto"/>
              </w:rPr>
            </w:pPr>
          </w:p>
        </w:tc>
        <w:tc>
          <w:tcPr>
            <w:tcW w:w="1800" w:type="dxa"/>
            <w:vAlign w:val="bottom"/>
            <w:gridSpan w:val="4"/>
            <w:vMerge w:val="continue"/>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6"/>
                <w:szCs w:val="6"/>
                <w:color w:val="auto"/>
              </w:rPr>
            </w:pPr>
          </w:p>
        </w:tc>
        <w:tc>
          <w:tcPr>
            <w:tcW w:w="8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120" w:type="dxa"/>
            <w:vAlign w:val="bottom"/>
            <w:gridSpan w:val="3"/>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Technology, Inc.</w:t>
            </w:r>
          </w:p>
        </w:tc>
        <w:tc>
          <w:tcPr>
            <w:tcW w:w="100" w:type="dxa"/>
            <w:vAlign w:val="bottom"/>
          </w:tcPr>
          <w:p>
            <w:pPr>
              <w:spacing w:after="0"/>
              <w:rPr>
                <w:sz w:val="6"/>
                <w:szCs w:val="6"/>
                <w:color w:val="auto"/>
              </w:rPr>
            </w:pPr>
          </w:p>
        </w:tc>
        <w:tc>
          <w:tcPr>
            <w:tcW w:w="800" w:type="dxa"/>
            <w:vAlign w:val="bottom"/>
            <w:gridSpan w:val="2"/>
            <w:vMerge w:val="restart"/>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1720" w:type="dxa"/>
            <w:vAlign w:val="bottom"/>
            <w:gridSpan w:val="3"/>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vMerge w:val="restart"/>
          </w:tcPr>
          <w:p>
            <w:pPr>
              <w:spacing w:after="0"/>
              <w:rPr>
                <w:sz w:val="5"/>
                <w:szCs w:val="5"/>
                <w:color w:val="auto"/>
              </w:rPr>
            </w:pPr>
          </w:p>
        </w:tc>
        <w:tc>
          <w:tcPr>
            <w:tcW w:w="1600" w:type="dxa"/>
            <w:vAlign w:val="bottom"/>
            <w:gridSpan w:val="3"/>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72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12,800</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12,800</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(21,953)</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of Class B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0" w:type="dxa"/>
            <w:vAlign w:val="bottom"/>
          </w:tcPr>
          <w:p>
            <w:pPr>
              <w:spacing w:after="0"/>
              <w:rPr>
                <w:sz w:val="1"/>
                <w:szCs w:val="1"/>
                <w:color w:val="auto"/>
              </w:rPr>
            </w:pPr>
          </w:p>
        </w:tc>
      </w:tr>
      <w:tr>
        <w:trPr>
          <w:trHeight w:val="19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29,271</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29,271</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30,423</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Class B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Proceeds and shares issued in the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(84,721)</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Business Combination (Note 6)</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1,938,798</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29,312</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(Note 7)</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152,218</w:t>
            </w:r>
          </w:p>
        </w:tc>
        <w:tc>
          <w:tcPr>
            <w:tcW w:w="0" w:type="dxa"/>
            <w:vAlign w:val="bottom"/>
          </w:tcPr>
          <w:p>
            <w:pPr>
              <w:spacing w:after="0"/>
              <w:rPr>
                <w:sz w:val="1"/>
                <w:szCs w:val="1"/>
                <w:color w:val="auto"/>
              </w:rPr>
            </w:pPr>
          </w:p>
        </w:tc>
      </w:tr>
      <w:tr>
        <w:trPr>
          <w:trHeight w:val="18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65,677,361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65,502,347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2,173</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61,369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63,556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68,384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131,940</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25,160</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net of shares withheld for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3,447,946</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taxes</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4,721,706</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(Note 7)</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warrants exercised</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10,015,986</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(10,015,986)</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Unit exchange</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8,199,449</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Impact of tax receivable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agreement due to exchanges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Units</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(82,651)</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92,062,468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55,486,361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67,986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(54,620)</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13,380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101,397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114,777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7080" w:type="dxa"/>
            <w:vAlign w:val="bottom"/>
            <w:gridSpan w:val="4"/>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gridSpan w:val="4"/>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5560" w:type="dxa"/>
            <w:vAlign w:val="bottom"/>
          </w:tcPr>
          <w:p>
            <w:pPr>
              <w:jc w:val="center"/>
              <w:ind w:left="31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income to net cash (used in)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3,978</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(6,770)</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rent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212"/>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39,236</w:t>
            </w:r>
          </w:p>
        </w:tc>
      </w:tr>
      <w:tr>
        <w:trPr>
          <w:trHeight w:val="225"/>
        </w:trPr>
        <w:tc>
          <w:tcPr>
            <w:tcW w:w="122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acquisition holdback release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paid for other investments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r>
      <w:tr>
        <w:trPr>
          <w:trHeight w:val="225"/>
        </w:trPr>
        <w:tc>
          <w:tcPr>
            <w:tcW w:w="1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Distributions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(21,952)</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 of insurance premium financing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business combination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Payment of note payable</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12"/>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48,103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(22,974)</w:t>
            </w:r>
          </w:p>
        </w:tc>
      </w:tr>
      <w:tr>
        <w:trPr>
          <w:trHeight w:val="225"/>
        </w:trPr>
        <w:tc>
          <w:tcPr>
            <w:tcW w:w="122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14,951</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r>
      <w:tr>
        <w:trPr>
          <w:trHeight w:val="21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 end of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19,919</w:t>
            </w:r>
          </w:p>
        </w:tc>
      </w:tr>
      <w:tr>
        <w:trPr>
          <w:trHeight w:val="20"/>
        </w:trPr>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-5402580</wp:posOffset>
            </wp:positionV>
            <wp:extent cx="5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440" w:type="dxa"/>
            <w:vAlign w:val="bottom"/>
            <w:gridSpan w:val="2"/>
          </w:tcPr>
          <w:p>
            <w:pPr>
              <w:jc w:val="center"/>
              <w:ind w:left="227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440" w:type="dxa"/>
            <w:vAlign w:val="bottom"/>
            <w:gridSpan w:val="2"/>
          </w:tcPr>
          <w:p>
            <w:pPr>
              <w:jc w:val="center"/>
              <w:ind w:left="227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5560" w:type="dxa"/>
            <w:vAlign w:val="bottom"/>
          </w:tcPr>
          <w:p>
            <w:pPr>
              <w:jc w:val="center"/>
              <w:ind w:left="31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5560" w:type="dxa"/>
            <w:vAlign w:val="bottom"/>
          </w:tcPr>
          <w:p>
            <w:pPr>
              <w:jc w:val="center"/>
              <w:ind w:left="3154"/>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(refunded from) paid for income taxes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r>
      <w:tr>
        <w:trPr>
          <w:trHeight w:val="245"/>
        </w:trPr>
        <w:tc>
          <w:tcPr>
            <w:tcW w:w="6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Issuance of equity for acquisitions</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28,725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premium financing</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Accrued liabilities assumed in connection with acquisition</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Capitalized assets included in accounts payable and accrued expenses</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Holdback liability recognized in connection with acquisition</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Warranty liability assumed from the Business Combination</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193,978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receivable agreement liability recognized in connection with the Business Combination</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Deferred tax assets recognized in connection with the Business Combination</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151,255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assumed from the Business Combination</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-2103120</wp:posOffset>
            </wp:positionV>
            <wp:extent cx="5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United States, U.S. territories and Canadian legalized cannabis markets. The Company’s comprehensive business-to-consumer (“B2C”) and business-to-business (“B2B”)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of its user base is highly valuable to the Company’s clients and results in clients paying for its services.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83" w:lineRule="exact"/>
        <w:rPr>
          <w:sz w:val="20"/>
          <w:szCs w:val="20"/>
          <w:color w:val="auto"/>
        </w:rPr>
      </w:pPr>
    </w:p>
    <w:p>
      <w:pPr>
        <w:ind w:left="620" w:hanging="307"/>
        <w:spacing w:after="0"/>
        <w:tabs>
          <w:tab w:leader="none" w:pos="620"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Strategically reach prospective cannabis consumers;</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73"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 and by extending that functionality in-store with kiosks;</w:t>
      </w:r>
    </w:p>
    <w:p>
      <w:pPr>
        <w:spacing w:after="0" w:line="49" w:lineRule="exact"/>
        <w:rPr>
          <w:rFonts w:ascii="Arial" w:cs="Arial" w:eastAsia="Arial" w:hAnsi="Arial"/>
          <w:sz w:val="21"/>
          <w:szCs w:val="21"/>
          <w:color w:val="auto"/>
        </w:rPr>
      </w:pPr>
    </w:p>
    <w:p>
      <w:pPr>
        <w:ind w:left="620" w:hanging="307"/>
        <w:spacing w:after="0"/>
        <w:tabs>
          <w:tab w:leader="none" w:pos="620"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7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 and</w:t>
      </w:r>
    </w:p>
    <w:p>
      <w:pPr>
        <w:spacing w:after="0" w:line="7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48"/>
        </w:numPr>
        <w:rPr>
          <w:rFonts w:ascii="Arial" w:cs="Arial" w:eastAsia="Arial" w:hAnsi="Arial"/>
          <w:sz w:val="21"/>
          <w:szCs w:val="21"/>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8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Company’s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Company’s current subscription package includes:</w:t>
      </w:r>
    </w:p>
    <w:p>
      <w:pPr>
        <w:spacing w:after="0" w:line="110" w:lineRule="exact"/>
        <w:rPr>
          <w:sz w:val="20"/>
          <w:szCs w:val="20"/>
          <w:color w:val="auto"/>
        </w:rPr>
      </w:pPr>
    </w:p>
    <w:p>
      <w:pPr>
        <w:jc w:val="both"/>
        <w:ind w:left="620" w:hanging="307"/>
        <w:spacing w:after="0" w:line="241" w:lineRule="auto"/>
        <w:tabs>
          <w:tab w:leader="none" w:pos="615" w:val="left"/>
        </w:tabs>
        <w:numPr>
          <w:ilvl w:val="0"/>
          <w:numId w:val="49"/>
        </w:numPr>
        <w:rPr>
          <w:rFonts w:ascii="Arial" w:cs="Arial" w:eastAsia="Arial" w:hAnsi="Arial"/>
          <w:sz w:val="21"/>
          <w:szCs w:val="21"/>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3" w:lineRule="exact"/>
        <w:rPr>
          <w:rFonts w:ascii="Arial" w:cs="Arial" w:eastAsia="Arial" w:hAnsi="Arial"/>
          <w:sz w:val="21"/>
          <w:szCs w:val="21"/>
          <w:color w:val="auto"/>
        </w:rPr>
      </w:pPr>
    </w:p>
    <w:p>
      <w:pPr>
        <w:jc w:val="both"/>
        <w:ind w:left="620" w:hanging="307"/>
        <w:spacing w:after="0" w:line="250" w:lineRule="auto"/>
        <w:tabs>
          <w:tab w:leader="none" w:pos="615" w:val="left"/>
        </w:tabs>
        <w:numPr>
          <w:ilvl w:val="0"/>
          <w:numId w:val="49"/>
        </w:numPr>
        <w:rPr>
          <w:rFonts w:ascii="Arial" w:cs="Arial" w:eastAsia="Arial" w:hAnsi="Arial"/>
          <w:sz w:val="21"/>
          <w:szCs w:val="21"/>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20" w:hanging="307"/>
        <w:spacing w:after="0" w:line="241" w:lineRule="auto"/>
        <w:tabs>
          <w:tab w:leader="none" w:pos="615" w:val="left"/>
        </w:tabs>
        <w:numPr>
          <w:ilvl w:val="0"/>
          <w:numId w:val="50"/>
        </w:numPr>
        <w:rPr>
          <w:rFonts w:ascii="Arial" w:cs="Arial" w:eastAsia="Arial" w:hAnsi="Arial"/>
          <w:sz w:val="21"/>
          <w:szCs w:val="21"/>
          <w:color w:val="auto"/>
        </w:rPr>
      </w:pPr>
      <w:r>
        <w:rPr>
          <w:rFonts w:ascii="Times New Roman" w:cs="Times New Roman" w:eastAsia="Times New Roman" w:hAnsi="Times New Roman"/>
          <w:sz w:val="17"/>
          <w:szCs w:val="17"/>
          <w:color w:val="auto"/>
        </w:rPr>
        <w:t>WM Store: Customizable orders and menu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73" w:lineRule="exact"/>
        <w:rPr>
          <w:rFonts w:ascii="Arial" w:cs="Arial" w:eastAsia="Arial" w:hAnsi="Arial"/>
          <w:sz w:val="21"/>
          <w:szCs w:val="21"/>
          <w:color w:val="auto"/>
        </w:rPr>
      </w:pPr>
    </w:p>
    <w:p>
      <w:pPr>
        <w:jc w:val="both"/>
        <w:ind w:left="620" w:hanging="307"/>
        <w:spacing w:after="0" w:line="245" w:lineRule="auto"/>
        <w:tabs>
          <w:tab w:leader="none" w:pos="615" w:val="left"/>
        </w:tabs>
        <w:numPr>
          <w:ilvl w:val="0"/>
          <w:numId w:val="50"/>
        </w:numPr>
        <w:rPr>
          <w:rFonts w:ascii="Arial" w:cs="Arial" w:eastAsia="Arial" w:hAnsi="Arial"/>
          <w:sz w:val="21"/>
          <w:szCs w:val="21"/>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 and</w:t>
      </w:r>
    </w:p>
    <w:p>
      <w:pPr>
        <w:spacing w:after="0" w:line="70" w:lineRule="exact"/>
        <w:rPr>
          <w:rFonts w:ascii="Arial" w:cs="Arial" w:eastAsia="Arial" w:hAnsi="Arial"/>
          <w:sz w:val="21"/>
          <w:szCs w:val="21"/>
          <w:color w:val="auto"/>
        </w:rPr>
      </w:pPr>
    </w:p>
    <w:p>
      <w:pPr>
        <w:jc w:val="both"/>
        <w:ind w:left="620" w:hanging="307"/>
        <w:spacing w:after="0" w:line="248" w:lineRule="auto"/>
        <w:tabs>
          <w:tab w:leader="none" w:pos="615" w:val="left"/>
        </w:tabs>
        <w:numPr>
          <w:ilvl w:val="0"/>
          <w:numId w:val="50"/>
        </w:numPr>
        <w:rPr>
          <w:rFonts w:ascii="Arial" w:cs="Arial" w:eastAsia="Arial" w:hAnsi="Arial"/>
          <w:sz w:val="21"/>
          <w:szCs w:val="21"/>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offers other add-on products for additional fees, including:</w:t>
      </w:r>
    </w:p>
    <w:p>
      <w:pPr>
        <w:spacing w:after="0" w:line="153" w:lineRule="exact"/>
        <w:rPr>
          <w:sz w:val="20"/>
          <w:szCs w:val="20"/>
          <w:color w:val="auto"/>
        </w:rPr>
      </w:pPr>
    </w:p>
    <w:p>
      <w:pPr>
        <w:ind w:left="620" w:hanging="307"/>
        <w:spacing w:after="0" w:line="235" w:lineRule="auto"/>
        <w:tabs>
          <w:tab w:leader="none" w:pos="61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87" w:lineRule="exact"/>
        <w:rPr>
          <w:rFonts w:ascii="Arial" w:cs="Arial" w:eastAsia="Arial" w:hAnsi="Arial"/>
          <w:sz w:val="21"/>
          <w:szCs w:val="21"/>
          <w:color w:val="auto"/>
        </w:rPr>
      </w:pPr>
    </w:p>
    <w:p>
      <w:pPr>
        <w:ind w:left="1240" w:hanging="309"/>
        <w:spacing w:after="0" w:line="286" w:lineRule="auto"/>
        <w:tabs>
          <w:tab w:leader="none" w:pos="123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the Company’s clients’ businesses and maximize clients’ listings and deal presence.</w:t>
      </w:r>
    </w:p>
    <w:p>
      <w:pPr>
        <w:spacing w:after="0" w:line="36" w:lineRule="exact"/>
        <w:rPr>
          <w:rFonts w:ascii="Times New Roman" w:cs="Times New Roman" w:eastAsia="Times New Roman" w:hAnsi="Times New Roman"/>
          <w:sz w:val="17"/>
          <w:szCs w:val="17"/>
          <w:color w:val="auto"/>
        </w:rPr>
      </w:pPr>
    </w:p>
    <w:p>
      <w:pPr>
        <w:ind w:left="1240" w:hanging="309"/>
        <w:spacing w:after="0" w:line="235" w:lineRule="auto"/>
        <w:tabs>
          <w:tab w:leader="none" w:pos="1236" w:val="left"/>
        </w:tabs>
        <w:numPr>
          <w:ilvl w:val="1"/>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74" w:lineRule="exact"/>
        <w:rPr>
          <w:rFonts w:ascii="Arial" w:cs="Arial" w:eastAsia="Arial" w:hAnsi="Arial"/>
          <w:sz w:val="21"/>
          <w:szCs w:val="21"/>
          <w:color w:val="auto"/>
        </w:rPr>
      </w:pPr>
    </w:p>
    <w:p>
      <w:pPr>
        <w:ind w:left="1240" w:hanging="309"/>
        <w:spacing w:after="0" w:line="235" w:lineRule="auto"/>
        <w:tabs>
          <w:tab w:leader="none" w:pos="1262" w:val="left"/>
        </w:tabs>
        <w:numPr>
          <w:ilvl w:val="1"/>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74" w:lineRule="exact"/>
        <w:rPr>
          <w:rFonts w:ascii="Arial" w:cs="Arial" w:eastAsia="Arial" w:hAnsi="Arial"/>
          <w:sz w:val="21"/>
          <w:szCs w:val="21"/>
          <w:color w:val="auto"/>
        </w:rPr>
      </w:pPr>
    </w:p>
    <w:p>
      <w:pPr>
        <w:jc w:val="both"/>
        <w:ind w:left="620" w:hanging="307"/>
        <w:spacing w:after="0" w:line="241" w:lineRule="auto"/>
        <w:tabs>
          <w:tab w:leader="none" w:pos="61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w:t>
      </w:r>
    </w:p>
    <w:p>
      <w:pPr>
        <w:spacing w:after="0" w:line="35" w:lineRule="exact"/>
        <w:rPr>
          <w:rFonts w:ascii="Arial" w:cs="Arial" w:eastAsia="Arial" w:hAnsi="Arial"/>
          <w:sz w:val="21"/>
          <w:szCs w:val="21"/>
          <w:color w:val="auto"/>
        </w:rPr>
      </w:pPr>
    </w:p>
    <w:p>
      <w:pPr>
        <w:ind w:left="620" w:hanging="307"/>
        <w:spacing w:after="0" w:line="286"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CRM: Customer relationship management software allowing clients to reach new consumers, build loyalty, and grow revenue with our compliant app, text and marketing tools. The tools also allow for retargeting and re-engagement of cannabis consumers</w:t>
      </w:r>
    </w:p>
    <w:p>
      <w:pPr>
        <w:spacing w:after="0" w:line="36" w:lineRule="exact"/>
        <w:rPr>
          <w:rFonts w:ascii="Times New Roman" w:cs="Times New Roman" w:eastAsia="Times New Roman" w:hAnsi="Times New Roman"/>
          <w:sz w:val="17"/>
          <w:szCs w:val="17"/>
          <w:color w:val="auto"/>
        </w:rPr>
      </w:pPr>
    </w:p>
    <w:p>
      <w:pPr>
        <w:ind w:left="620" w:hanging="307"/>
        <w:spacing w:after="0" w:line="246" w:lineRule="auto"/>
        <w:tabs>
          <w:tab w:leader="none" w:pos="61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7"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8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charges a monthly fee to retailer, delivery and brand clients for access to its subscription package, which includes WM Listings, WM Orders, WM Store, WM Connectors and WM Insights. Depending on the market, the other add-on products are available for additional fees.</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sells its Weedmaps for Business suite in the United States, and currently offer some of its Weedmaps for Business solutions in Canada and have a limited number of non-monetized listings in several other countries including Austria, Germany, the Netherlands, Spain and Switzerland. The Company operates in the United States, Canada and other foreign jurisdictions where medical and/or adult cannabis use is legal under state or national law. As of December 31, 2022,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Company actively operated in over 30 U.S. states and territories that have adult-use and/or medical-use regulations in place. The Company defines actively operated markets as those U.S. states or territories with greater than $1,000 monthly revenue.</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Company’s mission is to power a transparent and inclusive global cannabis economy. The Company’s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Company holds a strong belief in the importance of enabling safe, legal access to cannabis for consumers worldwide. The Company believes it offers the only comprehensive software platform that allows cannabis retailers to reach their target audience, quickly and cost effectively, addressing a wide range of needs. The Company is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Accordingly, for accounting purposes, the Reverse Recapitalization was treated as the equivalent of Legacy WMH issuing stock for the net assets of Silver Spike, accompanied by a recapitalization.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Legacy WMH was determined to be the accounting acquirer based on evaluation of the following facts and circumstances:</w:t>
      </w:r>
    </w:p>
    <w:p>
      <w:pPr>
        <w:spacing w:after="0" w:line="28" w:lineRule="exact"/>
        <w:rPr>
          <w:sz w:val="20"/>
          <w:szCs w:val="20"/>
          <w:color w:val="auto"/>
        </w:rPr>
      </w:pPr>
    </w:p>
    <w:p>
      <w:pPr>
        <w:ind w:left="1240" w:hanging="309"/>
        <w:spacing w:after="0" w:line="266" w:lineRule="auto"/>
        <w:tabs>
          <w:tab w:leader="none" w:pos="12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Class A Unit holders, through their ownership of the Class V Common Stock, had the greatest voting interest in the Company with over 50% of the voting interest;</w:t>
      </w:r>
    </w:p>
    <w:p>
      <w:pPr>
        <w:spacing w:after="0" w:line="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selected the majority of the new board of directors of the Company;</w:t>
      </w:r>
    </w:p>
    <w:p>
      <w:pPr>
        <w:spacing w:after="0" w:line="6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senior management was the senior management of the Company; and</w:t>
      </w:r>
    </w:p>
    <w:p>
      <w:pPr>
        <w:spacing w:after="0" w:line="6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was the larger entity based on historical operating activity and had the larger employee base.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Thus, the financial statements included in this annual report reflect (i) the historical operating results of Legacy WMH prior to the Business Combination;</w:t>
      </w:r>
    </w:p>
    <w:p>
      <w:pPr>
        <w:spacing w:after="0" w:line="28" w:lineRule="exact"/>
        <w:rPr>
          <w:sz w:val="20"/>
          <w:szCs w:val="20"/>
          <w:color w:val="auto"/>
        </w:rPr>
      </w:pPr>
    </w:p>
    <w:p>
      <w:pPr>
        <w:ind w:firstLine="3"/>
        <w:spacing w:after="0" w:line="266" w:lineRule="auto"/>
        <w:tabs>
          <w:tab w:leader="none" w:pos="25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2022, 2021 and 2020.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allowance for expected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liability, revenue recognition, stock-based compensation and the recognition and disclosure of contingent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Company operates in a relatively new industry where laws and regulations vary significantly by jurisdiction. Currently, the majority of U.S. states permit medical cannabis, and several permit adult use.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6"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geographic concentration of the Company’s clients makes the Company vulnerable to a downturn in the local market area. Historically, the Company’s business operations have been located primarily in the State of California, and for the year ended December 31, 2022, approximately 56% of the Company’s revenue originated in California.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6" w:lineRule="exact"/>
        <w:rPr>
          <w:sz w:val="20"/>
          <w:szCs w:val="20"/>
          <w:color w:val="auto"/>
        </w:rPr>
      </w:pPr>
    </w:p>
    <w:p>
      <w:pPr>
        <w:jc w:val="both"/>
        <w:ind w:firstLine="464"/>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Accounting Standards Codification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4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 w:lineRule="exact"/>
        <w:rPr>
          <w:sz w:val="20"/>
          <w:szCs w:val="20"/>
          <w:color w:val="auto"/>
        </w:rPr>
      </w:pPr>
    </w:p>
    <w:p>
      <w:pPr>
        <w:ind w:left="620" w:hanging="307"/>
        <w:spacing w:after="0" w:line="284"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Accounts receivable is recorded at the invoiced amount and does not bear interest.</w:t>
      </w:r>
    </w:p>
    <w:p>
      <w:pPr>
        <w:spacing w:after="0" w:line="114"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 xml:space="preserve">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accounting guidance, 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had $12.2 million and $5.2 million of allowance for doubtful accounts as of December 31, 2022 and 2021, respectively. The increase in allowance for doubtful accounts included a higher reserve for at-risk customers that indicated financial difficulties due to the impact from macroeconomic factors.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December 31, 2022, a receivable due from one customer accounted for approximately 11% of the total gross accounts receivable outstanding.</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doubtful accounts: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1340" w:type="dxa"/>
            <w:vAlign w:val="bottom"/>
            <w:tcBorders>
              <w:bottom w:val="single" w:sz="8" w:color="auto"/>
            </w:tcBorders>
          </w:tcPr>
          <w:p>
            <w:pPr>
              <w:spacing w:after="0"/>
              <w:rPr>
                <w:sz w:val="19"/>
                <w:szCs w:val="19"/>
                <w:color w:val="auto"/>
              </w:rPr>
            </w:pPr>
          </w:p>
        </w:tc>
      </w:tr>
      <w:tr>
        <w:trPr>
          <w:trHeight w:val="212"/>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 to allowance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net of recoveries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year</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0"/>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Equity Securities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December 31, 2022 and 2021, the carrying value of the Company’s investments in equity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securities without a readily determinable fair value were $3.5 million and $6.5 million, respectively, which is recorded within other assets on the Company’s consolidated balance sheets.</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 ended December 31, 2022, the Company recorded $3.0 million in impairment charge related to investment in equity securities. The impairment charge is included in general and administrative expenses in the accompanying consolidated statements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28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Goodwill consists of the excess of the purchase price over the fair value of identifiable net assets of businesses acquired. Goodwill is reviewed for impairment each year using a qualitative or quantitative process that is performed at least annually or whenever events or circumstances indicate a likely reduction in the fair value of a reporting unit below its carrying amount. The Company has concluded that it has one reporting unit.</w:t>
      </w:r>
    </w:p>
    <w:p>
      <w:pPr>
        <w:spacing w:after="0" w:line="6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 performs the annual impairment analysis on December 31 in order to provide management time to complete the analysis prior to year-end. Prior to performing the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No goodwill impairment charges have been recorded for the years ended December 31, 2022, 2021 and 2020.</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No intangible asset impairment charges have been recorded for the years ended December 31, 2022, 2021 and 2020.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classifies arrangements meeting the definition of a lease as operating or financing leases, and leases are recorded on the consolidated balance sheet as both a right-of-use asset (“ROU”) and lease liability, calculated by discounting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2022, due to subleasing a portion of the Company’s office facilities in Irvine, California, the Company tested the asset for impairment and recorded an impairment charge of $0.6 million. The fair values of ROU asset were estimated using an income approach based on management’s forecast of future cash flows expected to be derived based on the sublease market rent. The impairment charges are included in general and administrative expenses in the consolidated statements of operations. See Note 3 to these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4"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TRA liability is subject to remeasurement each reporting period, due to various factors, including changes in federal and state income tax rates and assessment of the probability of payment. As these remeasurement changes are subsequent to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initial measurement, the impact of the remeasurement is recorded in other income (loss) on the consolidated statements of operations. See Note 15 for additional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and additional offerings for access to the Company’s Weedmaps marketplace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 offers Weedmaps for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Weedmaps for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For the service contracts that the Company assess are not probable of collection, revenue is not recognized until the contract is completed and payment is received for service.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Weedmaps for Business and other SaaS subscriptions include the Company's WM Pages subscription package as well as subscriptions to the Company's other SaaS products. The WM Pages subscription package includes access to WM Listings, WM Orders, WM Store, WM Connectors and WM Insights. Additional SaaS subscriptions include WM CRM, WM Dispatch and WM Screens. These subscriptions are typically monthly in nature. Featured and deal listings include the Featured Listings and WM Deals products. Other ad solutions include certain advertising products on and off the Weedmaps marketplace, including WM AdSuite. For a description of these solutions, see Note 1.</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net revenue information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1280" w:type="dxa"/>
            <w:vAlign w:val="bottom"/>
            <w:tcBorders>
              <w:bottom w:val="single" w:sz="8" w:color="auto"/>
            </w:tcBorders>
          </w:tcPr>
          <w:p>
            <w:pPr>
              <w:spacing w:after="0"/>
              <w:rPr>
                <w:sz w:val="19"/>
                <w:szCs w:val="19"/>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Weedmaps for Business and other SaaS solutions</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15,939</w:t>
            </w:r>
          </w:p>
        </w:tc>
      </w:tr>
      <w:tr>
        <w:trPr>
          <w:trHeight w:val="219"/>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Featured and deal listings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134,969</w:t>
            </w:r>
          </w:p>
        </w:tc>
      </w:tr>
      <w:tr>
        <w:trPr>
          <w:trHeight w:val="212"/>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150,908</w:t>
            </w:r>
          </w:p>
        </w:tc>
      </w:tr>
      <w:tr>
        <w:trPr>
          <w:trHeight w:val="245"/>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 solutions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10,883</w:t>
            </w:r>
          </w:p>
        </w:tc>
      </w:tr>
      <w:tr>
        <w:trPr>
          <w:trHeight w:val="212"/>
        </w:trPr>
        <w:tc>
          <w:tcPr>
            <w:tcW w:w="6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161,791</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Deferred revenue primarily consists of billings or payments received in advance of revenue recognition from subscription offerings, as described above, and is recognized as the revenue recognition criteria are met. Deferred revenue as of December 31, 2021 and 2020 was $8.1 million and $5.3 million, respectively, and the balances were fully recognized in the first quarter of the following fiscal year. The deferred revenue balance as of December 31, 2022 was $6.3 million and is expected to be fully recognized within the next twelve months. The Company generally invoices customers and receives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payment on an upfront basis and payments do not include significant financing components or variable consideration and there are generally no rights of return or refunds after the subscription period has passed.</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 revenues during the periods presented were recognized over time, as opposed to at a point in time.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U.S. and foreign revenues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2"/>
        </w:trPr>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130,373</w:t>
            </w: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31,418</w:t>
            </w:r>
          </w:p>
        </w:tc>
      </w:tr>
      <w:tr>
        <w:trPr>
          <w:trHeight w:val="237"/>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-466090</wp:posOffset>
            </wp:positionV>
            <wp:extent cx="5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Beginning in fiscal year 2021, substantially all of the revenue has been generated in the United States during the periods presented. All foreign revenues were generated in Canada. During the second half of fiscal 2020, the Company discontinued its services to Canada-based retail operator clients who failed to provide valid license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and credit card processing costs and inventory costs related to multi-media offerings.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Costs</w:t>
      </w:r>
    </w:p>
    <w:p>
      <w:pPr>
        <w:spacing w:after="0" w:line="120" w:lineRule="exact"/>
        <w:rPr>
          <w:sz w:val="20"/>
          <w:szCs w:val="20"/>
          <w:color w:val="auto"/>
        </w:rPr>
      </w:pPr>
    </w:p>
    <w:p>
      <w:pPr>
        <w:jc w:val="both"/>
        <w:ind w:right="260" w:firstLine="464"/>
        <w:spacing w:after="0" w:line="287" w:lineRule="auto"/>
        <w:rPr>
          <w:sz w:val="20"/>
          <w:szCs w:val="20"/>
          <w:color w:val="auto"/>
        </w:rPr>
      </w:pPr>
      <w:r>
        <w:rPr>
          <w:rFonts w:ascii="Times New Roman" w:cs="Times New Roman" w:eastAsia="Times New Roman" w:hAnsi="Times New Roman"/>
          <w:sz w:val="17"/>
          <w:szCs w:val="17"/>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ind w:right="280" w:firstLine="464"/>
        <w:spacing w:after="0" w:line="270"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$14.4 million, $17.7 million and $10.6 million for the years ended December 31, 2022, 2021 and 2020, respectively, and are included in sales and marketing expense in the accompanying consolidated statements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2022, 2021 and 2020, the Company recognized $2.4 million, $1.5 million and $1.3 million, respectively, of expenses related to employer contributions for the 401(k) saving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Other expense consists primarily of transaction costs related to the warrants, political contributions, interest expense, legal settlements, financing fees and other tax related expenses. Other income (income) consists primarily of change in fair value of warrant liability and tax receivable agreement liability remeasurement.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and its subsidiaries operate in one business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14 for additional information on dilutive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(FDIC) limit. As of December 31, 2022, the Company had cash balances that exceeded the FDIC limit with four financial institutions. Management believes that the risk of loss is not significant and has not experienced any losses in such accounts.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Repayments of insurance premium financing in the amount of $7.1 million for the year ended December 31, 2021 and $0.6 million for the year ended December 31, 2020 were previously classified on the consolidated statements of cash flows under cash used in the operating activities. During the year ended December 31, 2022, the Company reclassified the repayments to cash used in financing activities in accordance with ASC 230 - Statement of Cash Flows. There is no impact to the total cash flow activities from this reclassification.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The Company adopted this new guidance on a prospective basis on January 1, 2022. The adoption did not have a material impact on the Company’s consolidated financial statements.</w:t>
      </w:r>
    </w:p>
    <w:p>
      <w:pPr>
        <w:spacing w:after="0" w:line="3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Leases</w:t>
      </w:r>
    </w:p>
    <w:p>
      <w:pPr>
        <w:spacing w:after="0" w:line="114"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color w:val="auto"/>
        </w:rPr>
        <w:t xml:space="preserve">Effective January 1, 2021, the Company adopted ASC 842 -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lease related costs, net for the years ended December 31, 2022 and 2021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r>
      <w:tr>
        <w:trPr>
          <w:trHeight w:val="212"/>
        </w:trPr>
        <w:tc>
          <w:tcPr>
            <w:tcW w:w="70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42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r>
      <w:tr>
        <w:trPr>
          <w:trHeight w:val="212"/>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11,446</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7"/>
        </w:trPr>
        <w:tc>
          <w:tcPr>
            <w:tcW w:w="7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cost, net</w:t>
            </w:r>
          </w:p>
        </w:tc>
        <w:tc>
          <w:tcPr>
            <w:tcW w:w="142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During the years ended December 31, 2022 and 2021, the Company made cash payments of $9.6 million and $8.2 million, respectively, on its operating leases, all of which were included in cash flows from operating activities within the consolidated statements of cash flows. During the year ended December 2021, ROU assets obtained in exchange for operating lease liabilities were $43.3 million. Net rent expense for the years ended December 31, 2022, 2021 and 2020 amounted to $9.1 million, $11.5 million and $11.1 million, respectively, and is included in general and administrative expense in the accompanying consolidated statements of operations. Sublease rental income is recognized as a reduction to the related lease expense on a straight-line basis over the sublease term. For the years ended December 31, 2022 and 2021, the Company recorded contra rent expense related to a sublease of $1.9 million and $0.2 million,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of December 31, 2022, future minimum payments for the next five years and thereafter are as follows (in thousands):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6"/>
        </w:trPr>
        <w:tc>
          <w:tcPr>
            <w:tcW w:w="9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Operating</w:t>
            </w:r>
          </w:p>
        </w:tc>
      </w:tr>
      <w:tr>
        <w:trPr>
          <w:trHeight w:val="230"/>
        </w:trPr>
        <w:tc>
          <w:tcPr>
            <w:tcW w:w="9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Leases</w:t>
            </w:r>
          </w:p>
        </w:tc>
      </w:tr>
      <w:tr>
        <w:trPr>
          <w:trHeight w:val="20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 Ending December 31,</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9,898</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9,405</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5,830</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5,570</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18,753</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54,864</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(15,487)</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39,377</w:t>
            </w: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As of December 31, 2022 and 2021, the Company’s operating leases had a weighted average remaining lease term of 6.8 years and 7.4 years and a weighted-average discount rate of 9.8% .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recognized impairment charges of $0.6 million and $2.4 million during the years ended December 31, 2022 and 2021, respectively, related to certain ROU assets reducing the carrying values of the lease assets to their estimated fair values. The impairment charge is included in general and administrative expenses in the consolidated statements of operations.</w:t>
      </w:r>
    </w:p>
    <w:p>
      <w:pPr>
        <w:spacing w:after="0" w:line="29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Termination Costs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the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 The remainder of the unpaid employee termination costs is expected to be paid in 2023.</w:t>
      </w:r>
    </w:p>
    <w:p>
      <w:pPr>
        <w:sectPr>
          <w:pgSz w:w="11900" w:h="16838" w:orient="portrait"/>
          <w:cols w:equalWidth="0" w:num="1">
            <w:col w:w="11240"/>
          </w:cols>
          <w:pgMar w:left="320" w:top="123" w:right="339" w:bottom="1440" w:gutter="0" w:footer="0" w:header="0"/>
        </w:sectPr>
      </w:pP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a roll forward of employee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47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Unpaid employee termination costs, January 1, 2022</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termination costs - severance and other cash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paid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Unpaid employee termination costs, December 31, 2022</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w:t>
            </w:r>
          </w:p>
        </w:tc>
      </w:tr>
      <w:tr>
        <w:trPr>
          <w:trHeight w:val="223"/>
        </w:trPr>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w:t>
            </w:r>
          </w:p>
        </w:tc>
      </w:tr>
      <w:tr>
        <w:trPr>
          <w:trHeight w:val="212"/>
        </w:trPr>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3,646</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8380" w:space="720"/>
            <w:col w:w="2140"/>
          </w:cols>
          <w:pgMar w:left="320" w:top="123" w:right="339" w:bottom="1440" w:gutter="0" w:footer="0" w:header="0"/>
          <w:type w:val="continuous"/>
        </w:sect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Unpaid employee termination costs are included in accounts payable and accrued expenses on the consolidated balance sheets. Employee termination costs are included in general and administrative expenses on the consolidated statements of operations.</w:t>
      </w:r>
    </w:p>
    <w:p>
      <w:pPr>
        <w:spacing w:after="0" w:line="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Fair Value Measurements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liabilities that are measured at fair value on a recurring basis at December 31, 2022 and 2021, and indicates the fair value hierarchy of the valuation inputs the Company utilized to determine such fair value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2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20" w:type="dxa"/>
            <w:vAlign w:val="bottom"/>
          </w:tcPr>
          <w:p>
            <w:pPr>
              <w:spacing w:after="0"/>
              <w:rPr>
                <w:sz w:val="19"/>
                <w:szCs w:val="19"/>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9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16,750</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27,460</w:t>
            </w:r>
          </w:p>
        </w:tc>
      </w:tr>
      <w:tr>
        <w:trPr>
          <w:trHeight w:val="20"/>
        </w:trPr>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-596900</wp:posOffset>
            </wp:positionV>
            <wp:extent cx="5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-596900</wp:posOffset>
            </wp:positionV>
            <wp:extent cx="5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4"/>
                <w:szCs w:val="14"/>
                <w:color w:val="auto"/>
              </w:rPr>
            </w:pPr>
          </w:p>
        </w:tc>
        <w:tc>
          <w:tcPr>
            <w:tcW w:w="1080" w:type="dxa"/>
            <w:vAlign w:val="bottom"/>
          </w:tcPr>
          <w:p>
            <w:pPr>
              <w:jc w:val="right"/>
              <w:ind w:right="314"/>
              <w:spacing w:after="0" w:line="166"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3"/>
                <w:szCs w:val="13"/>
                <w:color w:val="auto"/>
              </w:rPr>
            </w:pPr>
          </w:p>
        </w:tc>
        <w:tc>
          <w:tcPr>
            <w:tcW w:w="1080" w:type="dxa"/>
            <w:vAlign w:val="bottom"/>
          </w:tcPr>
          <w:p>
            <w:pPr>
              <w:jc w:val="right"/>
              <w:ind w:right="314"/>
              <w:spacing w:after="0" w:line="161"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2"/>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20"/>
                <w:szCs w:val="20"/>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acquired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193,978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0" w:type="dxa"/>
            <w:vAlign w:val="bottom"/>
          </w:tcPr>
          <w:p>
            <w:pPr>
              <w:spacing w:after="0"/>
              <w:rPr>
                <w:sz w:val="1"/>
                <w:szCs w:val="1"/>
                <w:color w:val="auto"/>
              </w:rPr>
            </w:pPr>
          </w:p>
        </w:tc>
      </w:tr>
      <w:tr>
        <w:trPr>
          <w:trHeight w:val="212"/>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-605155</wp:posOffset>
            </wp:positionV>
            <wp:extent cx="5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$1.3 million and $16.8 million as of December 31, 2022 and 2021,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5.98</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fair value of the Private Placement Warrants was $0.8 million and $10.7 million as of December 31, 2022 and 2021, respectively.</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Warrants were accounted for as liabilities in accordance with ASC 815- Derivatives and Hedging and are presented within warrant liability on the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no transfers in or out of Level 3 from other levels in the fair value hierarchy.</w:t>
      </w:r>
    </w:p>
    <w:p>
      <w:pPr>
        <w:spacing w:after="0" w:line="110" w:lineRule="exact"/>
        <w:rPr>
          <w:sz w:val="20"/>
          <w:szCs w:val="20"/>
          <w:color w:val="auto"/>
        </w:rPr>
      </w:pPr>
    </w:p>
    <w:p>
      <w:pPr>
        <w:ind w:left="340" w:hanging="337"/>
        <w:spacing w:after="0"/>
        <w:tabs>
          <w:tab w:leader="none" w:pos="34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discussed in Note 1, on June 16, 2021, the Company consummated the Business Combination pursuant to the Merger Agreement.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Silver Spike was domesticated and continues as a Delaware corporation, changing its name to “WM Technology, Inc.”</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the aggregate amount of transaction expenses incurred by the parties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transferred $455.2 million to the Legacy WMH equity holders as cash consideration.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Legacy WMH equity holders retained an aggregate of 65,502,347 Class A Units and 25,896,042 Class P Units.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65,502,347 shares of Class V Common Stock to Class A Unit holders, representing the same number of Class A Units retained by the Legacy WMH equity holders.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Business Combination</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Silver Spike trust and cash, net of redemptions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254,203</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 PIPE Financing</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cash consideration paid to Legacy WMH equity holders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(455,182)</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transaction costs and advisory fees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(44,052)</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proceeds from the Business Combination</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79,969</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initial fair value of warrant liability recognized in the Business Combination</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(193,978)</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transaction costs allocated to Warrants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non-cash assets assumed from Silver Spike</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deferred tax asset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151,255</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tax receivable agreement liability</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adjustment to total equity from the Business Combination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(84,721)</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The number of shares of common stock issued immediately following the Closing: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outstanding prior to the Business Combination</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24,998,575</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redemption of shares of Silver Spike’s Class A common stock</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10,012</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of Silver Spike’s Class A common stock</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24,988,563</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Class A Common Stock held by Silver Spike’s Sponsor</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6,250,000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Class A Common Stock issued in the PIPE Financing</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32,500,000</w:t>
            </w:r>
          </w:p>
        </w:tc>
        <w:tc>
          <w:tcPr>
            <w:tcW w:w="0" w:type="dxa"/>
            <w:vAlign w:val="bottom"/>
          </w:tcPr>
          <w:p>
            <w:pPr>
              <w:spacing w:after="0"/>
              <w:rPr>
                <w:sz w:val="1"/>
                <w:szCs w:val="1"/>
                <w:color w:val="auto"/>
              </w:rPr>
            </w:pP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Shares of Class A Common Stock issued in the Business Combination</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63,738,563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Class V Common Stock issued to Legacy WMH equity holders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65,502,347</w:t>
            </w:r>
          </w:p>
        </w:tc>
        <w:tc>
          <w:tcPr>
            <w:tcW w:w="0" w:type="dxa"/>
            <w:vAlign w:val="bottom"/>
          </w:tcPr>
          <w:p>
            <w:pPr>
              <w:spacing w:after="0"/>
              <w:rPr>
                <w:sz w:val="1"/>
                <w:szCs w:val="1"/>
                <w:color w:val="auto"/>
              </w:rPr>
            </w:pP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shares of common stock issued in the Business Combination</w:t>
            </w: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129,240,910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7"/>
        <w:spacing w:after="0"/>
        <w:tabs>
          <w:tab w:leader="none" w:pos="34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Eyechronic</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acquired assets and liabilities of Eyechronic were recorded at their acquisition date fair values.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estimated fair value of assets acquired (in thousands):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8"/>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Share consideration </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28,725</w:t>
            </w: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6" w:lineRule="exact"/>
        <w:rPr>
          <w:sz w:val="20"/>
          <w:szCs w:val="20"/>
          <w:color w:val="auto"/>
        </w:rPr>
      </w:pPr>
    </w:p>
    <w:p>
      <w:pPr>
        <w:ind w:left="320" w:hanging="240"/>
        <w:spacing w:after="0" w:line="237" w:lineRule="auto"/>
        <w:tabs>
          <w:tab w:leader="none" w:pos="3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$0.2 million settlement of pre-existing accounts payable with Eyechronic and holdback of $0.1 million recorded within other current liabilities on the Company’s accompanying consolidated balance sheets.</w:t>
      </w:r>
    </w:p>
    <w:p>
      <w:pPr>
        <w:ind w:left="320" w:hanging="240"/>
        <w:spacing w:after="0" w:line="236" w:lineRule="auto"/>
        <w:tabs>
          <w:tab w:leader="none" w:pos="3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Order Backlog</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23,073</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31,658</w:t>
            </w:r>
          </w:p>
        </w:tc>
      </w:tr>
      <w:tr>
        <w:trPr>
          <w:trHeight w:val="225"/>
        </w:trPr>
        <w:tc>
          <w:tcPr>
            <w:tcW w:w="9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Long-term liabilities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w:t>
            </w:r>
          </w:p>
        </w:tc>
      </w:tr>
      <w:tr>
        <w:trPr>
          <w:trHeight w:val="225"/>
        </w:trPr>
        <w:tc>
          <w:tcPr>
            <w:tcW w:w="9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7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6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Transport Logistics Holding</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fair value of assets acquired (in thousands):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(2)</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14,648</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acquired</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4" w:lineRule="exact"/>
        <w:rPr>
          <w:sz w:val="20"/>
          <w:szCs w:val="20"/>
          <w:color w:val="auto"/>
        </w:rPr>
      </w:pPr>
    </w:p>
    <w:p>
      <w:pPr>
        <w:ind w:left="300" w:hanging="297"/>
        <w:spacing w:after="0"/>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holdback of $1.0 million, which was paid during the second quarter of 2022.</w:t>
      </w:r>
    </w:p>
    <w:p>
      <w:pPr>
        <w:ind w:left="320" w:hanging="317"/>
        <w:spacing w:after="0" w:line="249"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79"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Goodwill is primarily attributable to the expected synergies from combining operations. Goodwill recognized was allocated to the Company’s one operating segment and is generally deductible for tax purposes.</w:t>
      </w:r>
    </w:p>
    <w:p>
      <w:pPr>
        <w:spacing w:after="0" w:line="4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fair values of the trade name intangible assets were determined using an “income approach”, specifically, the relief-from royalty approach, as described above. The fair value of the software technology intangible asset was also determined using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 “income approach”, specifically a multi-period excess earnings approach, as described above. The fair value of the customer relationships was determined using an “income approach”, as described above.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Sprout</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fair value of assets acquired (in thousands):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 and Liabilities Assumed: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acquired:</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9"/>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31,286</w:t>
            </w:r>
          </w:p>
        </w:tc>
        <w:tc>
          <w:tcPr>
            <w:tcW w:w="0" w:type="dxa"/>
            <w:vAlign w:val="bottom"/>
          </w:tcPr>
          <w:p>
            <w:pPr>
              <w:spacing w:after="0"/>
              <w:rPr>
                <w:sz w:val="1"/>
                <w:szCs w:val="1"/>
                <w:color w:val="auto"/>
              </w:rPr>
            </w:pPr>
          </w:p>
        </w:tc>
      </w:tr>
      <w:tr>
        <w:trPr>
          <w:trHeight w:val="245"/>
        </w:trPr>
        <w:tc>
          <w:tcPr>
            <w:tcW w:w="9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16" w:lineRule="exact"/>
        <w:rPr>
          <w:sz w:val="20"/>
          <w:szCs w:val="20"/>
          <w:color w:val="auto"/>
        </w:rPr>
      </w:pPr>
    </w:p>
    <w:p>
      <w:pPr>
        <w:ind w:left="320" w:hanging="317"/>
        <w:spacing w:after="0" w:line="249" w:lineRule="auto"/>
        <w:tabs>
          <w:tab w:leader="none" w:pos="31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79"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Goodwill is primarily attributable to the expected synergies from combining operations. Goodwill recognized was allocated to the Company’s one operating segment and is generally deductible for tax purposes.</w:t>
      </w:r>
    </w:p>
    <w:p>
      <w:pPr>
        <w:spacing w:after="0" w:line="4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37"/>
        <w:spacing w:after="0"/>
        <w:tabs>
          <w:tab w:leader="none" w:pos="3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changes in goodwill for the years ended December 31, 2022 and 2021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Sprout</w:t>
            </w:r>
          </w:p>
        </w:tc>
        <w:tc>
          <w:tcPr>
            <w:tcW w:w="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TLH</w:t>
            </w:r>
          </w:p>
        </w:tc>
        <w:tc>
          <w:tcPr>
            <w:tcW w:w="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Eyechronic</w:t>
            </w:r>
          </w:p>
        </w:tc>
        <w:tc>
          <w:tcPr>
            <w:tcW w:w="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gridSpan w:val="8"/>
            <w:vMerge w:val="restart"/>
          </w:tcPr>
          <w:p>
            <w:pPr>
              <w:ind w:left="440"/>
              <w:spacing w:after="0"/>
              <w:rPr>
                <w:sz w:val="20"/>
                <w:szCs w:val="20"/>
                <w:color w:val="auto"/>
              </w:rPr>
            </w:pPr>
            <w:r>
              <w:rPr>
                <w:rFonts w:ascii="Times New Roman" w:cs="Times New Roman" w:eastAsia="Times New Roman" w:hAnsi="Times New Roman"/>
                <w:sz w:val="17"/>
                <w:szCs w:val="17"/>
                <w:color w:val="auto"/>
              </w:rPr>
              <w:t>Intangible assets consisted of the following for the periods presented below (in thousands):</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06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right"/>
              <w:ind w:right="138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4"/>
                <w:szCs w:val="14"/>
                <w:color w:val="auto"/>
              </w:rPr>
            </w:pPr>
          </w:p>
        </w:tc>
        <w:tc>
          <w:tcPr>
            <w:tcW w:w="2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2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20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Order Backlog</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right"/>
              <w:ind w:right="13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(4,081)</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(7,504)</w:t>
            </w:r>
          </w:p>
        </w:tc>
        <w:tc>
          <w:tcPr>
            <w:tcW w:w="8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80" w:firstLine="464"/>
        <w:spacing w:after="0" w:line="287" w:lineRule="auto"/>
        <w:rPr>
          <w:sz w:val="20"/>
          <w:szCs w:val="20"/>
          <w:color w:val="auto"/>
        </w:rPr>
      </w:pPr>
      <w:r>
        <w:rPr>
          <w:rFonts w:ascii="Times New Roman" w:cs="Times New Roman" w:eastAsia="Times New Roman" w:hAnsi="Times New Roman"/>
          <w:sz w:val="17"/>
          <w:szCs w:val="17"/>
          <w:color w:val="auto"/>
        </w:rPr>
        <w:t>Amortization expense for intangible assets was $2.7 million, $1.3 million and $0.9 million for the years ended December 31, 2022, 2021 and 2020, respectively.</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estimated future amortization expense of intangible assets as of December 31, 2022 is as follows (in thousands):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19685</wp:posOffset>
            </wp:positionV>
            <wp:extent cx="6805930" cy="139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Years ended December 31,</w:t>
      </w:r>
    </w:p>
    <w:p>
      <w:pPr>
        <w:spacing w:after="0" w:line="24" w:lineRule="exact"/>
        <w:rPr>
          <w:sz w:val="20"/>
          <w:szCs w:val="20"/>
          <w:color w:val="auto"/>
        </w:rPr>
      </w:pPr>
    </w:p>
    <w:p>
      <w:pPr>
        <w:ind w:left="640"/>
        <w:spacing w:after="0"/>
        <w:tabs>
          <w:tab w:leader="none" w:pos="9780" w:val="left"/>
        </w:tabs>
        <w:rPr>
          <w:sz w:val="20"/>
          <w:szCs w:val="20"/>
          <w:color w:val="auto"/>
        </w:rPr>
      </w:pPr>
      <w:r>
        <w:rPr>
          <w:rFonts w:ascii="Times New Roman" w:cs="Times New Roman" w:eastAsia="Times New Roman" w:hAnsi="Times New Roman"/>
          <w:sz w:val="17"/>
          <w:szCs w:val="17"/>
          <w:color w:val="auto"/>
        </w:rPr>
        <w:t>2023</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2024</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2026</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14605</wp:posOffset>
            </wp:positionV>
            <wp:extent cx="993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13"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17145</wp:posOffset>
            </wp:positionV>
            <wp:extent cx="9937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993775" cy="825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41910</wp:posOffset>
            </wp:positionV>
            <wp:extent cx="9937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37"/>
        <w:spacing w:after="0"/>
        <w:tabs>
          <w:tab w:leader="none" w:pos="3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 as of December 31, 2022 and 2021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marketing</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software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w:t>
            </w:r>
          </w:p>
        </w:tc>
      </w:tr>
      <w:tr>
        <w:trPr>
          <w:trHeight w:val="237"/>
        </w:trPr>
        <w:tc>
          <w:tcPr>
            <w:tcW w:w="7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-744220</wp:posOffset>
            </wp:positionV>
            <wp:extent cx="5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-744220</wp:posOffset>
            </wp:positionV>
            <wp:extent cx="5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7"/>
          <w:szCs w:val="17"/>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2" w:lineRule="exact"/>
        <w:rPr>
          <w:sz w:val="20"/>
          <w:szCs w:val="20"/>
          <w:color w:val="auto"/>
        </w:rPr>
      </w:pPr>
    </w:p>
    <w:p>
      <w:pPr>
        <w:jc w:val="both"/>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Company recognized an impairment charge of $0.8 million during the year ended December 31, 2022, related to certain capitalized implementation costs for a cloud computing arrangement that was abandoned.</w:t>
      </w:r>
    </w:p>
    <w:p>
      <w:pPr>
        <w:spacing w:after="0" w:line="44" w:lineRule="exact"/>
        <w:rPr>
          <w:sz w:val="20"/>
          <w:szCs w:val="20"/>
          <w:color w:val="auto"/>
        </w:rPr>
      </w:pPr>
    </w:p>
    <w:p>
      <w:pPr>
        <w:ind w:left="420" w:hanging="417"/>
        <w:spacing w:after="0"/>
        <w:tabs>
          <w:tab w:leader="none" w:pos="4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Accounts payable and accrued liabilities as of December 31, 2022 and 2021 consisted of the following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w:t>
            </w: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12"/>
        </w:trPr>
        <w:tc>
          <w:tcPr>
            <w:tcW w:w="69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33,635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-605155</wp:posOffset>
            </wp:positionV>
            <wp:extent cx="5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-605155</wp:posOffset>
            </wp:positionV>
            <wp:extent cx="5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4" w:lineRule="exact"/>
        <w:rPr>
          <w:sz w:val="20"/>
          <w:szCs w:val="20"/>
          <w:color w:val="auto"/>
        </w:rPr>
      </w:pPr>
    </w:p>
    <w:p>
      <w:pPr>
        <w:jc w:val="both"/>
        <w:ind w:right="100" w:firstLine="464"/>
        <w:spacing w:after="0" w:line="280" w:lineRule="auto"/>
        <w:rPr>
          <w:sz w:val="20"/>
          <w:szCs w:val="20"/>
          <w:color w:val="auto"/>
        </w:rPr>
      </w:pPr>
      <w:r>
        <w:rPr>
          <w:rFonts w:ascii="Times New Roman" w:cs="Times New Roman" w:eastAsia="Times New Roman" w:hAnsi="Times New Roman"/>
          <w:sz w:val="17"/>
          <w:szCs w:val="17"/>
          <w:color w:val="auto"/>
        </w:rPr>
        <w:t>As of December 31, 2022 and 2021, other accrued liabilities included short-term insurance premium financing of $1.5 million and $4.2 million, respectively. Unpaid employee termination costs of $3.6 million as of December 31, 2022 are included in accrued employee expenses. See Note 4 for additional information.</w:t>
      </w:r>
    </w:p>
    <w:p>
      <w:pPr>
        <w:spacing w:after="0" w:line="262" w:lineRule="exact"/>
        <w:rPr>
          <w:sz w:val="20"/>
          <w:szCs w:val="20"/>
          <w:color w:val="auto"/>
        </w:rPr>
      </w:pPr>
    </w:p>
    <w:p>
      <w:pPr>
        <w:ind w:left="420" w:hanging="417"/>
        <w:spacing w:after="0"/>
        <w:tabs>
          <w:tab w:leader="none" w:pos="4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At December 31, 2022, there were 12,499,973 Public Warrants outstanding and 7,000,000 Private Placement Warrants outstanding.</w:t>
      </w:r>
    </w:p>
    <w:p>
      <w:pPr>
        <w:spacing w:after="0" w:line="114" w:lineRule="exact"/>
        <w:rPr>
          <w:sz w:val="20"/>
          <w:szCs w:val="20"/>
          <w:color w:val="auto"/>
        </w:rPr>
      </w:pPr>
    </w:p>
    <w:p>
      <w:pPr>
        <w:jc w:val="both"/>
        <w:ind w:right="100" w:firstLine="464"/>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ind w:right="100" w:firstLine="464"/>
        <w:spacing w:after="0" w:line="264"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non-cash gains of $25.4 million and $166.5 million in the consolidated statements of operations for the years ended December 31, 2022 and 2021, respectively.</w:t>
      </w:r>
    </w:p>
    <w:p>
      <w:pPr>
        <w:spacing w:after="0" w:line="64" w:lineRule="exact"/>
        <w:rPr>
          <w:sz w:val="20"/>
          <w:szCs w:val="20"/>
          <w:color w:val="auto"/>
        </w:rPr>
      </w:pPr>
    </w:p>
    <w:p>
      <w:pPr>
        <w:ind w:left="440" w:hanging="437"/>
        <w:spacing w:after="0"/>
        <w:tabs>
          <w:tab w:leader="none" w:pos="4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the Company’s assets.</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2022, there were no shares of preferred stock issued or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December 31, 2022, the noncontrolling interests owned 38.6%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278" w:lineRule="exact"/>
        <w:rPr>
          <w:sz w:val="20"/>
          <w:szCs w:val="20"/>
          <w:color w:val="auto"/>
        </w:rPr>
      </w:pPr>
    </w:p>
    <w:p>
      <w:pPr>
        <w:ind w:left="440" w:hanging="437"/>
        <w:spacing w:after="0"/>
        <w:tabs>
          <w:tab w:leader="none" w:pos="4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Company has accounted for the issuance of Class A-3 and Class B Units issued under WM Holding Company, LLC’s Equity Incentive Plan in accordance with ASC 718 - Stock Based Compensation. The Company considers the limitation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the exercisability of the Class A-3 and Class B Units to be a performance condition and records compensation cost when it becomes probable that the performance condition will be met.</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 summary of the Class P Unit activity for the periods presented is as follows:</w:t>
            </w:r>
          </w:p>
        </w:tc>
        <w:tc>
          <w:tcPr>
            <w:tcW w:w="2080" w:type="dxa"/>
            <w:vAlign w:val="bottom"/>
          </w:tcPr>
          <w:p>
            <w:pPr>
              <w:spacing w:after="0"/>
              <w:rPr>
                <w:sz w:val="19"/>
                <w:szCs w:val="19"/>
                <w:color w:val="auto"/>
              </w:rPr>
            </w:pPr>
          </w:p>
        </w:tc>
      </w:tr>
      <w:tr>
        <w:trPr>
          <w:trHeight w:val="245"/>
        </w:trPr>
        <w:tc>
          <w:tcPr>
            <w:tcW w:w="916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25,660,529</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(343,199)</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(10,191,901)</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2022</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15,125,429</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6"/>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December 31, 2022</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14,746,464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of December 31, 2022, unrecognized stock-based compensation expense for non-vested Class P Units were $0.9 million, which is expected to be recognized over a weighted-average period of 1.4 years. For the year ended December 31, 2022 and 2021, the Company recorded stock-based compensation expense for the Class P Units of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2022, 25,768,971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2022, 15,187,179 shares of Class A Common Stock are available for future issuance.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year ended December 31, 2022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21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Weighted-average Grant</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5,829,881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7,490,162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(2,883,723)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(4,166,452)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6,269,868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of December 31, 2022, unrecognized stock-based compensation expense for non-vested RSUs was $41.8 million, which is expected to be recognized over a weighted-average period of 2.6 years. For the years ended December 31, 2022 and 2021, the Company recorded stock-based compensation expense for the RSUs of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 summary of the PRSU activity for the year ended December 31, 2022 is as follows:</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920" w:type="dxa"/>
            <w:vAlign w:val="bottom"/>
          </w:tcPr>
          <w:p>
            <w:pPr>
              <w:spacing w:after="0"/>
              <w:rPr>
                <w:sz w:val="24"/>
                <w:szCs w:val="24"/>
                <w:color w:val="auto"/>
              </w:rPr>
            </w:pPr>
          </w:p>
        </w:tc>
        <w:tc>
          <w:tcPr>
            <w:tcW w:w="21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20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2,437,500</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(1,578,125)</w:t>
            </w:r>
          </w:p>
        </w:tc>
        <w:tc>
          <w:tcPr>
            <w:tcW w:w="2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859,375</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Based on the probability of attainment as of December 31, 2022, the unrecognized stock-based compensation expense for non-vested PRSUs was $0.4 million, which is expected to be recognized over a period of 1.0 year. The Company recorded stock-based compensation credit of less than $0.1 million for the year ended December 31, 2022 and an expense of $0.4 million for the year ended December 31, 2021 related to the PRSUs. Stock-based compensation expense related to these PRSUs decreased in 2022 due to the reassessment of vesting probability and the forfeitures resulting from the executive departures.</w:t>
      </w:r>
    </w:p>
    <w:p>
      <w:pPr>
        <w:spacing w:after="0" w:line="6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Class P Units, RSUs and PRSUs in the following expense categories on the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7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2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7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18,200</w:t>
            </w:r>
          </w:p>
        </w:tc>
      </w:tr>
      <w:tr>
        <w:trPr>
          <w:trHeight w:val="212"/>
        </w:trPr>
        <w:tc>
          <w:tcPr>
            <w:tcW w:w="4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27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2720" w:type="dxa"/>
            <w:vAlign w:val="bottom"/>
          </w:tcPr>
          <w:p>
            <w:pPr>
              <w:spacing w:after="0"/>
              <w:rPr>
                <w:sz w:val="18"/>
                <w:szCs w:val="18"/>
                <w:color w:val="auto"/>
              </w:rPr>
            </w:pPr>
          </w:p>
        </w:tc>
        <w:tc>
          <w:tcPr>
            <w:tcW w:w="1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25,160</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30,423</w:t>
            </w:r>
          </w:p>
        </w:tc>
      </w:tr>
      <w:tr>
        <w:trPr>
          <w:trHeight w:val="20"/>
        </w:trPr>
        <w:tc>
          <w:tcPr>
            <w:tcW w:w="4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9"/>
        </w:trPr>
        <w:tc>
          <w:tcPr>
            <w:tcW w:w="4280" w:type="dxa"/>
            <w:vAlign w:val="bottom"/>
          </w:tcPr>
          <w:p>
            <w:pPr>
              <w:spacing w:after="0"/>
              <w:rPr>
                <w:sz w:val="24"/>
                <w:szCs w:val="24"/>
                <w:color w:val="auto"/>
              </w:rPr>
            </w:pPr>
          </w:p>
        </w:tc>
        <w:tc>
          <w:tcPr>
            <w:tcW w:w="4100" w:type="dxa"/>
            <w:vAlign w:val="bottom"/>
            <w:gridSpan w:val="2"/>
          </w:tcPr>
          <w:p>
            <w:pPr>
              <w:jc w:val="right"/>
              <w:ind w:right="2514"/>
              <w:spacing w:after="0"/>
              <w:rPr>
                <w:sz w:val="20"/>
                <w:szCs w:val="20"/>
                <w:color w:val="auto"/>
              </w:rPr>
            </w:pPr>
            <w:r>
              <w:rPr>
                <w:rFonts w:ascii="Times New Roman" w:cs="Times New Roman" w:eastAsia="Times New Roman" w:hAnsi="Times New Roman"/>
                <w:sz w:val="17"/>
                <w:szCs w:val="17"/>
                <w:color w:val="auto"/>
              </w:rPr>
              <w:t>F-32</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hanging="437"/>
        <w:spacing w:after="0"/>
        <w:tabs>
          <w:tab w:leader="none" w:pos="4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computation of (loss) income per share attributable to WM Technology, Inc. and weighted-average shares of the Company’s Class A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outstanding are as follows for the years ended December 31, 2022 and 2021 (amounts in thousands, except for share and per share amounts):</w:t>
            </w:r>
          </w:p>
        </w:tc>
        <w:tc>
          <w:tcPr>
            <w:tcW w:w="1380" w:type="dxa"/>
            <w:vAlign w:val="bottom"/>
          </w:tcPr>
          <w:p>
            <w:pPr>
              <w:spacing w:after="0"/>
              <w:rPr>
                <w:sz w:val="19"/>
                <w:szCs w:val="19"/>
                <w:color w:val="auto"/>
              </w:rPr>
            </w:pPr>
          </w:p>
        </w:tc>
      </w:tr>
      <w:tr>
        <w:trPr>
          <w:trHeight w:val="331"/>
        </w:trPr>
        <w:tc>
          <w:tcPr>
            <w:tcW w:w="70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7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80" w:type="dxa"/>
            <w:vAlign w:val="bottom"/>
          </w:tcPr>
          <w:p>
            <w:pPr>
              <w:spacing w:after="0"/>
              <w:rPr>
                <w:sz w:val="19"/>
                <w:szCs w:val="19"/>
                <w:color w:val="auto"/>
              </w:rPr>
            </w:pPr>
          </w:p>
        </w:tc>
        <w:tc>
          <w:tcPr>
            <w:tcW w:w="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WMH prior to the Business Combination</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15,078</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 after the Business Combination</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76,757</w:t>
            </w:r>
          </w:p>
        </w:tc>
      </w:tr>
      <w:tr>
        <w:trPr>
          <w:trHeight w:val="212"/>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 - basic</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60,383</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68"/>
        </w:trPr>
        <w:tc>
          <w:tcPr>
            <w:tcW w:w="70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Change in fair value of Public and Private Placement Warrants, net of amounts attributable to</w:t>
            </w: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72,483</w:t>
            </w:r>
          </w:p>
        </w:tc>
      </w:tr>
      <w:tr>
        <w:trPr>
          <w:trHeight w:val="21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attributable to WM Technology, Inc. - diluted</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7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4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65,013,517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effect of dilutive securities: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Public warrants¹</w:t>
            </w:r>
          </w:p>
        </w:tc>
        <w:tc>
          <w:tcPr>
            <w:tcW w:w="4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1,153,782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warrants¹</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646,118</w:t>
            </w:r>
          </w:p>
        </w:tc>
      </w:tr>
      <w:tr>
        <w:trPr>
          <w:trHeight w:val="21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66,813,417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per share of Class A Common Stock:</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per Class A common share - basic</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0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loss per Class A common share - diluted</w:t>
            </w:r>
          </w:p>
        </w:tc>
        <w:tc>
          <w:tcPr>
            <w:tcW w:w="480" w:type="dxa"/>
            <w:vAlign w:val="bottom"/>
            <w:tcBorders>
              <w:bottom w:val="single" w:sz="8" w:color="auto"/>
            </w:tcBorders>
          </w:tcPr>
          <w:p>
            <w:pPr>
              <w:jc w:val="right"/>
              <w:ind w:right="2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4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(0.18)</w:t>
            </w:r>
          </w:p>
        </w:tc>
      </w:tr>
      <w:tr>
        <w:trPr>
          <w:trHeight w:val="20"/>
        </w:trPr>
        <w:tc>
          <w:tcPr>
            <w:tcW w:w="7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¹Calculated using the treasury stock method.</w:t>
      </w:r>
    </w:p>
    <w:p>
      <w:pPr>
        <w:spacing w:after="0" w:line="9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Units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55,486,361</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65,502,347</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15,125,429</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25,660,529</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6,269,868</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6,398,707</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PSUs outstanding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859,375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2,437,500</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holdback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677,847</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73" w:lineRule="exact"/>
        <w:rPr>
          <w:sz w:val="20"/>
          <w:szCs w:val="20"/>
          <w:color w:val="auto"/>
        </w:rPr>
      </w:pPr>
    </w:p>
    <w:p>
      <w:pPr>
        <w:ind w:left="440" w:hanging="437"/>
        <w:spacing w:after="0"/>
        <w:tabs>
          <w:tab w:leader="none" w:pos="4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ind w:firstLine="464"/>
        <w:spacing w:after="0" w:line="276"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taxes. Accordingly, no provision for U.S. federal and state income taxes has been recorded in the financial statements for the period prior to June 16, 2021, as this period was prior to the Business Combination.</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income before taxes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38,878</w:t>
            </w:r>
          </w:p>
        </w:tc>
      </w:tr>
      <w:tr>
        <w:trPr>
          <w:trHeight w:val="21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7"/>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72"/>
        </w:trPr>
        <w:tc>
          <w:tcPr>
            <w:tcW w:w="7460" w:type="dxa"/>
            <w:vAlign w:val="bottom"/>
            <w:gridSpan w:val="6"/>
          </w:tcPr>
          <w:p>
            <w:pPr>
              <w:ind w:left="460"/>
              <w:spacing w:after="0"/>
              <w:rPr>
                <w:sz w:val="20"/>
                <w:szCs w:val="20"/>
                <w:color w:val="auto"/>
              </w:rPr>
            </w:pPr>
            <w:r>
              <w:rPr>
                <w:rFonts w:ascii="Times New Roman" w:cs="Times New Roman" w:eastAsia="Times New Roman" w:hAnsi="Times New Roman"/>
                <w:sz w:val="17"/>
                <w:szCs w:val="17"/>
                <w:color w:val="auto"/>
              </w:rPr>
              <w:t>The components of the provision for (benefit from) income taxes are as follows (in thousands):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8"/>
        </w:trPr>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9"/>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179,418</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464"/>
        <w:spacing w:after="0" w:line="286" w:lineRule="auto"/>
        <w:rPr>
          <w:sz w:val="20"/>
          <w:szCs w:val="20"/>
          <w:color w:val="auto"/>
        </w:rPr>
      </w:pPr>
      <w:r>
        <w:rPr>
          <w:rFonts w:ascii="Times New Roman" w:cs="Times New Roman" w:eastAsia="Times New Roman" w:hAnsi="Times New Roman"/>
          <w:sz w:val="18"/>
          <w:szCs w:val="18"/>
          <w:color w:val="auto"/>
        </w:rPr>
        <w:t xml:space="preserve">The change in the Company’s income tax provision/(benefits) from 2021 to 2022 is due to the recording of a full valuation allowance on our deferred tax assets as of </w:t>
      </w:r>
      <w:r>
        <w:rPr>
          <w:rFonts w:ascii="Times New Roman" w:cs="Times New Roman" w:eastAsia="Times New Roman" w:hAnsi="Times New Roman"/>
          <w:sz w:val="17"/>
          <w:szCs w:val="17"/>
          <w:color w:val="auto"/>
        </w:rPr>
        <w:t>December 31, 2022</w:t>
      </w:r>
      <w:r>
        <w:rPr>
          <w:rFonts w:ascii="Times New Roman" w:cs="Times New Roman" w:eastAsia="Times New Roman" w:hAnsi="Times New Roman"/>
          <w:sz w:val="18"/>
          <w:szCs w:val="18"/>
          <w:color w:val="auto"/>
        </w:rPr>
        <w:t xml:space="preserve"> and remeasurement of the related TRA Liability.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previous periods, the provision/(benefit) was also impacted by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49" w:lineRule="exact"/>
        <w:rPr>
          <w:sz w:val="20"/>
          <w:szCs w:val="20"/>
          <w:color w:val="auto"/>
        </w:rPr>
      </w:pPr>
    </w:p>
    <w:p>
      <w:pPr>
        <w:jc w:val="both"/>
        <w:ind w:firstLine="464"/>
        <w:spacing w:after="0" w:line="286"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12"/>
        </w:trPr>
        <w:tc>
          <w:tcPr>
            <w:tcW w:w="45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rate</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20,249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31,844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8,154</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blended statutory rate</w:t>
            </w:r>
          </w:p>
        </w:tc>
        <w:tc>
          <w:tcPr>
            <w:tcW w:w="130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5,168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8,497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2,176</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LLC flow-through structure</w:t>
            </w:r>
          </w:p>
        </w:tc>
        <w:tc>
          <w:tcPr>
            <w:tcW w:w="1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(10,340)</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taxed to owners of noncontrolling interests</w:t>
            </w:r>
          </w:p>
        </w:tc>
        <w:tc>
          <w:tcPr>
            <w:tcW w:w="130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(11,285)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(21,762)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impact</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30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(3,718)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(19,669)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2,868</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130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(2,514)</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30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186,954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 agreement revaluation</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(20,462)</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130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1,349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179,077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(601)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185.71 %</w:t>
            </w: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394"/>
        </w:trPr>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33"/>
        </w:trPr>
        <w:tc>
          <w:tcPr>
            <w:tcW w:w="4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9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partnership</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112,543</w:t>
            </w:r>
          </w:p>
        </w:tc>
      </w:tr>
      <w:tr>
        <w:trPr>
          <w:trHeight w:val="21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receivable agreement</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34,203</w:t>
            </w:r>
          </w:p>
        </w:tc>
      </w:tr>
      <w:tr>
        <w:trPr>
          <w:trHeight w:val="219"/>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carryovers</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w:t>
            </w:r>
          </w:p>
        </w:tc>
      </w:tr>
      <w:tr>
        <w:trPr>
          <w:trHeight w:val="21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credit carryovers</w:t>
            </w: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 asset</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152,209</w:t>
            </w:r>
          </w:p>
        </w:tc>
      </w:tr>
      <w:tr>
        <w:trPr>
          <w:trHeight w:val="21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(187,066)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1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152,097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2022, the Company had federal and state net operating loss carry forwards of approximately $43.2 million and $53.4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December 31, 2022, the Company had federal and California research credit carryforwards of $3.6 million and $1.3 million, respectively, available to reduce future tax. Federal tax credits begin to expire in 2041 and California credits carry forward indefinitely.</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Company’s deferred tax asset is primarily attributable to future tax amortization deductions of tax basis created from the Business Combination and future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6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6"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the Company determined during the fourth quarter of 2022 that a full valuation allowance is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Accordingly, the valuation allowance increased by $187.0 million during the year ended December 31, 2022.</w:t>
      </w:r>
    </w:p>
    <w:p>
      <w:pPr>
        <w:spacing w:after="0" w:line="27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Payment under the tax receivable agreement liability was not probable resulting from the full valuation allowance and accordingly, substantially all of the tax receivable agreement liability was reversed. As of December 31, 2022, tax receivable agreement liability was $0.5 million, which is attributable to the 2022 taxable income. Resulting from the tax receivable agreement remeasurement, the Company recognized income for the change in tax receivable agreement liability of $142.4 million on the consolidated statements of operations for the year ended December 31, 2022.</w:t>
      </w:r>
    </w:p>
    <w:p>
      <w:pPr>
        <w:spacing w:after="0" w:line="64"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color w:val="auto"/>
        </w:rPr>
        <w:t xml:space="preserve">The Company follows the provisions of FASB ASC 740-10, </w:t>
      </w:r>
      <w:r>
        <w:rPr>
          <w:rFonts w:ascii="Times New Roman" w:cs="Times New Roman" w:eastAsia="Times New Roman" w:hAnsi="Times New Roman"/>
          <w:sz w:val="17"/>
          <w:szCs w:val="17"/>
          <w:i w:val="1"/>
          <w:iCs w:val="1"/>
          <w:color w:val="auto"/>
        </w:rPr>
        <w:t>Accounting for Uncertainty in Income Taxes</w:t>
      </w:r>
      <w:r>
        <w:rPr>
          <w:rFonts w:ascii="Times New Roman" w:cs="Times New Roman" w:eastAsia="Times New Roman" w:hAnsi="Times New Roman"/>
          <w:sz w:val="17"/>
          <w:szCs w:val="17"/>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reflects changes in the unrecognized tax benefits (in thousands):</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8"/>
        </w:trPr>
        <w:tc>
          <w:tcPr>
            <w:tcW w:w="698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beginning of the period</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Decreases related to prior year tax provisions</w:t>
            </w:r>
          </w:p>
        </w:tc>
        <w:tc>
          <w:tcPr>
            <w:tcW w:w="1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Increases related to current year tax provisions</w:t>
            </w:r>
          </w:p>
        </w:tc>
        <w:tc>
          <w:tcPr>
            <w:tcW w:w="1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2"/>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end of the period</w:t>
            </w:r>
          </w:p>
        </w:tc>
        <w:tc>
          <w:tcPr>
            <w:tcW w:w="1740" w:type="dxa"/>
            <w:vAlign w:val="bottom"/>
            <w:tcBorders>
              <w:bottom w:val="single" w:sz="8" w:color="auto"/>
            </w:tcBorders>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6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of December 31, 2022, the Company has unrecognized tax benefits of approximately $0.9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and its subsidiaries file income tax returns with the U.S. federal government, various U.S. states and several foreign jurisdictions. The Company’s U.S. federal and state tax returns remain open to examination for 2019 through 2022. In addition, tax returns remain open to examination in non-U.S. subsidiaries, including Canada.</w:t>
      </w:r>
    </w:p>
    <w:p>
      <w:pPr>
        <w:spacing w:after="0" w:line="58" w:lineRule="exact"/>
        <w:rPr>
          <w:sz w:val="20"/>
          <w:szCs w:val="20"/>
          <w:color w:val="auto"/>
        </w:rPr>
      </w:pPr>
    </w:p>
    <w:p>
      <w:pPr>
        <w:ind w:left="440" w:hanging="437"/>
        <w:spacing w:after="0"/>
        <w:tabs>
          <w:tab w:leader="none" w:pos="4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During the second quarter of 2022, the Company entered into a sublease agreement with an affiliate to a member of the board of directors. The sublease commenced on June 1, 2022, and the term is for the remainder of the original lease and will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expire on February 28, 2025, or sooner in the event that the original lease is cancelled prior to the expiration date. The monthly base rent, after the rent abatement period for the first four months, is $69,000. As of December 31, 2022, the security deposit for the sublease of approximately $0.1 million is included in other long-term liabilities on the consolidated balance sheets. For the year ended December 31, 2022, income on the sublease from the related party transactions was approximately $0.4 million and this amount is netted with rent expense and included in general and administrative expenses on the consolidated statements of operations.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paid certain transaction costs reimbursable by Silver Spike’s sponsor (“Silver Spike Sponsor”), an affiliate to a member of the board of directors. As of December 31, 2022 and December 31, 2021, the outstanding balance of the note receivable was $1.1 million, which is included in other assets at December 31, 2022 and prepaid expenses and other current assets at December 31, 2021 on the consolidated balance sheets. On March 16, 2023, Silver Spike Holdings, an affiliate of Silver Spike Sponsor, entered into a promissory note with the Company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summary of the material terms of our securities is not intended to be a complete summary of the rights and preferences of such securities, and is qualified by reference to our Certificate of Incorporation, our Bylaws and the documents related to our Warrants (defined below)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and Outstanding Stock</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authorizes the issuance of 2,075,000,000 shares of capital stock, consisting of (x) 1,500,000,000 shares of our Class A Common Stock, par value $0.0001 per share (“Class A Common Stock”), (y) 500,000,000 shares of our Class V Common Stock, par value $0.0001 per share (“Class V Common Stock”) and 75,000,000 shares of preferred stock, par value $0.0001 per share. All of our issued and outstanding shares of capital stock are duly authorized, validly issued, fully paid and non-assessable. As of March 10, 2023, there were (1) 92,573,466 shares of Class A Common Stock, (2) 55,486,361 shares of Class V Common Stock and no shares of preferred stock outstanding.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Voting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Dividend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Rights </w:t>
      </w:r>
      <w:r>
        <w:rPr>
          <w:rFonts w:ascii="Times New Roman" w:cs="Times New Roman" w:eastAsia="Times New Roman" w:hAnsi="Times New Roman"/>
          <w:sz w:val="17"/>
          <w:szCs w:val="17"/>
          <w:i w:val="1"/>
          <w:iCs w:val="1"/>
          <w:color w:val="auto"/>
        </w:rPr>
        <w:t>upon Liquidation, Dissolution and Winding-Up</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Preemptive </w:t>
      </w:r>
      <w:r>
        <w:rPr>
          <w:rFonts w:ascii="Times New Roman" w:cs="Times New Roman" w:eastAsia="Times New Roman" w:hAnsi="Times New Roman"/>
          <w:sz w:val="17"/>
          <w:szCs w:val="17"/>
          <w:i w:val="1"/>
          <w:iCs w:val="1"/>
          <w:color w:val="auto"/>
        </w:rPr>
        <w:t>or Other Rights</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ectPr>
          <w:pgSz w:w="11900" w:h="16838" w:orient="portrait"/>
          <w:cols w:equalWidth="0" w:num="1">
            <w:col w:w="11240"/>
          </w:cols>
          <w:pgMar w:left="320" w:top="1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Class V Common Stock</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Voting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Dividend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our board of directors.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Rights </w:t>
      </w:r>
      <w:r>
        <w:rPr>
          <w:rFonts w:ascii="Times New Roman" w:cs="Times New Roman" w:eastAsia="Times New Roman" w:hAnsi="Times New Roman"/>
          <w:sz w:val="17"/>
          <w:szCs w:val="17"/>
          <w:i w:val="1"/>
          <w:iCs w:val="1"/>
          <w:color w:val="auto"/>
        </w:rPr>
        <w:t>upon Liquidation, Dissolution and Winding-Up</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our assets.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Preemptive </w:t>
      </w:r>
      <w:r>
        <w:rPr>
          <w:rFonts w:ascii="Times New Roman" w:cs="Times New Roman" w:eastAsia="Times New Roman" w:hAnsi="Times New Roman"/>
          <w:sz w:val="17"/>
          <w:szCs w:val="17"/>
          <w:i w:val="1"/>
          <w:iCs w:val="1"/>
          <w:color w:val="auto"/>
        </w:rPr>
        <w:t>or Other Rights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Issuance </w:t>
      </w:r>
      <w:r>
        <w:rPr>
          <w:rFonts w:ascii="Times New Roman" w:cs="Times New Roman" w:eastAsia="Times New Roman" w:hAnsi="Times New Roman"/>
          <w:sz w:val="17"/>
          <w:szCs w:val="17"/>
          <w:i w:val="1"/>
          <w:iCs w:val="1"/>
          <w:color w:val="auto"/>
        </w:rPr>
        <w:t>and Retirement of Class V Common Stock</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representing limited liability company interests of WM Holding Company, LLC,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 Holding Company,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provided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ectPr>
          <w:pgSz w:w="11900" w:h="16838" w:orient="portrait"/>
          <w:cols w:equalWidth="0" w:num="1">
            <w:col w:w="11240"/>
          </w:cols>
          <w:pgMar w:left="320" w:top="1357" w:right="339" w:bottom="1440" w:gutter="0" w:footer="0" w:header="0"/>
        </w:sectPr>
      </w:pPr>
    </w:p>
    <w:bookmarkStart w:id="117" w:name="page118"/>
    <w:bookmarkEnd w:id="117"/>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issuance of preferred stock may have the effect of delaying, deferring or preventing a change in control of WM Technology, Inc.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49"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Each whole public warrants originally issued in the initial public offering of Silver Spike Acquisition Corp (“Silver Spike”) (the “Public Warrants”) entitles the registered holder to purchase one share of Class A Common Stock at a price of $11.50 per share, subject to adjustment as discussed below, at any time commencing 30 days after June 16, 2021 (the “Closing Date”), provided that we have an effective registration statement under the Securities Act of 1933, as amended,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(the “Warrant Agreement”), dated August 7, 2019, between the Company and Continental Stock Transfer &amp; Trust Company, as warrant agent (the “Warrant Agent”)).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Date, at 5:00 p.m., New York City time, or earlier upon redemption or liquidation.</w:t>
      </w:r>
    </w:p>
    <w:p>
      <w:pPr>
        <w:spacing w:after="0" w:line="201"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20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filed with the U.S. Securities and Exchange Commission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may redeem the Public Warrants for redemption:</w:t>
      </w:r>
    </w:p>
    <w:p>
      <w:pPr>
        <w:spacing w:after="0" w:line="62" w:lineRule="exact"/>
        <w:rPr>
          <w:sz w:val="20"/>
          <w:szCs w:val="20"/>
          <w:color w:val="auto"/>
        </w:rPr>
      </w:pPr>
    </w:p>
    <w:p>
      <w:pPr>
        <w:ind w:left="620" w:hanging="307"/>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ectPr>
          <w:pgSz w:w="11900" w:h="16838" w:orient="portrait"/>
          <w:cols w:equalWidth="0" w:num="1">
            <w:col w:w="11240"/>
          </w:cols>
          <w:pgMar w:left="320" w:top="1361" w:right="339" w:bottom="1440" w:gutter="0" w:footer="0" w:header="0"/>
        </w:sectPr>
      </w:pPr>
    </w:p>
    <w:bookmarkStart w:id="118" w:name="page119"/>
    <w:bookmarkEnd w:id="118"/>
    <w:p>
      <w:pPr>
        <w:ind w:left="620" w:hanging="30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holder of Public Warrants; and</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19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191"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Spike’s sponsor (“Silver Spike Sponsor”) and its permitted transferees would still be entitled to exercise the warrants that were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209"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19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w:t>
      </w:r>
    </w:p>
    <w:p>
      <w:pPr>
        <w:sectPr>
          <w:pgSz w:w="11900" w:h="16838" w:orient="portrait"/>
          <w:cols w:equalWidth="0" w:num="1">
            <w:col w:w="11240"/>
          </w:cols>
          <w:pgMar w:left="320" w:top="1412" w:right="339" w:bottom="1440" w:gutter="0" w:footer="0" w:header="0"/>
        </w:sectPr>
      </w:pPr>
    </w:p>
    <w:bookmarkStart w:id="119" w:name="page120"/>
    <w:bookmarkEnd w:id="119"/>
    <w:p>
      <w:pPr>
        <w:jc w:val="both"/>
        <w:spacing w:after="0" w:line="259" w:lineRule="auto"/>
        <w:rPr>
          <w:sz w:val="20"/>
          <w:szCs w:val="20"/>
          <w:color w:val="auto"/>
        </w:rPr>
      </w:pPr>
      <w:r>
        <w:rPr>
          <w:rFonts w:ascii="Times New Roman" w:cs="Times New Roman" w:eastAsia="Times New Roman" w:hAnsi="Times New Roman"/>
          <w:sz w:val="17"/>
          <w:szCs w:val="17"/>
          <w:color w:val="auto"/>
        </w:rPr>
        <w:t>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200" w:lineRule="exact"/>
        <w:rPr>
          <w:sz w:val="20"/>
          <w:szCs w:val="20"/>
          <w:color w:val="auto"/>
        </w:rPr>
      </w:pPr>
    </w:p>
    <w:p>
      <w:pPr>
        <w:spacing w:after="0" w:line="21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19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7"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1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w:t>
      </w:r>
    </w:p>
    <w:p>
      <w:pPr>
        <w:sectPr>
          <w:pgSz w:w="11900" w:h="16838" w:orient="portrait"/>
          <w:cols w:equalWidth="0" w:num="1">
            <w:col w:w="11240"/>
          </w:cols>
          <w:pgMar w:left="320" w:top="1361" w:right="339" w:bottom="1440" w:gutter="0" w:footer="0" w:header="0"/>
        </w:sectPr>
      </w:pPr>
    </w:p>
    <w:bookmarkStart w:id="120" w:name="page121"/>
    <w:bookmarkEnd w:id="120"/>
    <w:p>
      <w:pPr>
        <w:jc w:val="both"/>
        <w:spacing w:after="0" w:line="270" w:lineRule="auto"/>
        <w:rPr>
          <w:sz w:val="20"/>
          <w:szCs w:val="20"/>
          <w:color w:val="auto"/>
        </w:rPr>
      </w:pPr>
      <w:r>
        <w:rPr>
          <w:rFonts w:ascii="Times New Roman" w:cs="Times New Roman" w:eastAsia="Times New Roman" w:hAnsi="Times New Roman"/>
          <w:sz w:val="17"/>
          <w:szCs w:val="17"/>
          <w:color w:val="auto"/>
        </w:rPr>
        <w:t>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191"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4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Private Placement Warrants (including the shares of Class A Common Stock issuable upon exercise of the Private Placement Warrants) will not be transferable, assignable or salable until 30 days after the Closing Date,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20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Silver Spike’s then issued and outstanding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our common stock in the foreseeable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Restrictions</w:t>
      </w:r>
    </w:p>
    <w:p>
      <w:pPr>
        <w:spacing w:after="0" w:line="247"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Pursuant to the letter agreement entered into between Silver Spike and Silver Spike Sponsor, after the Closing Date and subject to certain exceptions, the Sponsor is contractually restricted from selling or transferring any of its shares of Class A Common Stock until the earlier of (A) one year after the Closing Date or</w:t>
      </w:r>
    </w:p>
    <w:p>
      <w:pPr>
        <w:spacing w:after="0" w:line="1" w:lineRule="exact"/>
        <w:rPr>
          <w:sz w:val="20"/>
          <w:szCs w:val="20"/>
          <w:color w:val="auto"/>
        </w:rPr>
      </w:pPr>
    </w:p>
    <w:p>
      <w:pPr>
        <w:jc w:val="both"/>
        <w:ind w:firstLine="3"/>
        <w:spacing w:after="0" w:line="259" w:lineRule="auto"/>
        <w:tabs>
          <w:tab w:leader="none" w:pos="27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Closing Date,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Closing Date or (y) the date following the completion of the Closing Date on which we complete a liquidation, merger,</w:t>
      </w:r>
    </w:p>
    <w:p>
      <w:pPr>
        <w:sectPr>
          <w:pgSz w:w="11900" w:h="16838" w:orient="portrait"/>
          <w:cols w:equalWidth="0" w:num="1">
            <w:col w:w="11240"/>
          </w:cols>
          <w:pgMar w:left="320" w:top="1361" w:right="339" w:bottom="1440" w:gutter="0" w:footer="0" w:header="0"/>
        </w:sectPr>
      </w:pPr>
    </w:p>
    <w:bookmarkStart w:id="121" w:name="page122"/>
    <w:bookmarkEnd w:id="121"/>
    <w:p>
      <w:pPr>
        <w:jc w:val="both"/>
        <w:spacing w:after="0" w:line="260" w:lineRule="auto"/>
        <w:rPr>
          <w:sz w:val="20"/>
          <w:szCs w:val="20"/>
          <w:color w:val="auto"/>
        </w:rPr>
      </w:pPr>
      <w:r>
        <w:rPr>
          <w:rFonts w:ascii="Times New Roman" w:cs="Times New Roman" w:eastAsia="Times New Roman" w:hAnsi="Times New Roman"/>
          <w:sz w:val="17"/>
          <w:szCs w:val="17"/>
          <w:color w:val="auto"/>
        </w:rPr>
        <w:t>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holders of the Class A Units and Class P units representing limited liability company interests of WM Holding Company, LLC (the “Class P Units” and together with the Class A Units, the “Units”) are contractually restricted from selling or transferring any of their respective shares of common stock until 180 days after the Closing Date. See the section entitled “Certain Relationships and Related Party Transactions” for lock-up restrictions on our securities under an exchange agreement the Unit holders entered into on the Closing Date (the “Exchange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Special </w:t>
      </w:r>
      <w:r>
        <w:rPr>
          <w:rFonts w:ascii="Times New Roman" w:cs="Times New Roman" w:eastAsia="Times New Roman" w:hAnsi="Times New Roman"/>
          <w:sz w:val="17"/>
          <w:szCs w:val="17"/>
          <w:i w:val="1"/>
          <w:iCs w:val="1"/>
          <w:color w:val="auto"/>
        </w:rPr>
        <w:t>Meetings of Stockholders</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the chairperson of our board of directors, (ii) our Chief Executive Officer or the President if the chairperson of our board of directors is unavailable, or (iii) our board of directors pursuant to a resolution adopted by a majority of the total number of authorized directors (whether or not there exist any vacancies in previously authorized directorships at the time any such resolution is presented to our board of directors for adoption).</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Advance </w:t>
      </w:r>
      <w:r>
        <w:rPr>
          <w:rFonts w:ascii="Times New Roman" w:cs="Times New Roman" w:eastAsia="Times New Roman" w:hAnsi="Times New Roman"/>
          <w:sz w:val="17"/>
          <w:szCs w:val="17"/>
          <w:i w:val="1"/>
          <w:iCs w:val="1"/>
          <w:color w:val="auto"/>
        </w:rPr>
        <w:t>Notice Requirements for Stockholder Proposals and Director Nominations</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Authorized </w:t>
      </w:r>
      <w:r>
        <w:rPr>
          <w:rFonts w:ascii="Times New Roman" w:cs="Times New Roman" w:eastAsia="Times New Roman" w:hAnsi="Times New Roman"/>
          <w:sz w:val="17"/>
          <w:szCs w:val="17"/>
          <w:i w:val="1"/>
          <w:iCs w:val="1"/>
          <w:color w:val="auto"/>
        </w:rPr>
        <w:t>but Unissued Shares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Exclusive </w:t>
      </w:r>
      <w:r>
        <w:rPr>
          <w:rFonts w:ascii="Times New Roman" w:cs="Times New Roman" w:eastAsia="Times New Roman" w:hAnsi="Times New Roman"/>
          <w:sz w:val="17"/>
          <w:szCs w:val="17"/>
          <w:i w:val="1"/>
          <w:iCs w:val="1"/>
          <w:color w:val="auto"/>
        </w:rPr>
        <w:t>Forum Selection</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w:t>
      </w:r>
    </w:p>
    <w:p>
      <w:pPr>
        <w:sectPr>
          <w:pgSz w:w="11900" w:h="16838" w:orient="portrait"/>
          <w:cols w:equalWidth="0" w:num="1">
            <w:col w:w="11240"/>
          </w:cols>
          <w:pgMar w:left="320" w:top="1361" w:right="339" w:bottom="1440" w:gutter="0" w:footer="0" w:header="0"/>
        </w:sectPr>
      </w:pPr>
    </w:p>
    <w:bookmarkStart w:id="122" w:name="page123"/>
    <w:bookmarkEnd w:id="122"/>
    <w:p>
      <w:pPr>
        <w:jc w:val="both"/>
        <w:spacing w:after="0" w:line="256" w:lineRule="auto"/>
        <w:rPr>
          <w:sz w:val="20"/>
          <w:szCs w:val="20"/>
          <w:color w:val="auto"/>
        </w:rPr>
      </w:pPr>
      <w:r>
        <w:rPr>
          <w:rFonts w:ascii="Times New Roman" w:cs="Times New Roman" w:eastAsia="Times New Roman" w:hAnsi="Times New Roman"/>
          <w:sz w:val="17"/>
          <w:szCs w:val="17"/>
          <w:color w:val="auto"/>
        </w:rPr>
        <w:t>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Securities Exchange Act of 1934, as amended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i w:val="1"/>
          <w:iCs w:val="1"/>
          <w:color w:val="auto"/>
        </w:rPr>
        <w:t>203 of the Delaware General Corporation Law</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do not opt out of Section 203 of the DGCL under our Certificate of Incorporation.</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Limitation </w:t>
      </w:r>
      <w:r>
        <w:rPr>
          <w:rFonts w:ascii="Times New Roman" w:cs="Times New Roman" w:eastAsia="Times New Roman" w:hAnsi="Times New Roman"/>
          <w:sz w:val="17"/>
          <w:szCs w:val="17"/>
          <w:i w:val="1"/>
          <w:iCs w:val="1"/>
          <w:color w:val="auto"/>
        </w:rPr>
        <w:t>on Liability and Indemnification of Directors and Officers</w:t>
      </w:r>
    </w:p>
    <w:p>
      <w:pPr>
        <w:spacing w:after="0" w:line="247"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7"/>
          <w:szCs w:val="17"/>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 w:lineRule="exact"/>
        <w:rPr>
          <w:sz w:val="20"/>
          <w:szCs w:val="20"/>
          <w:color w:val="auto"/>
        </w:rPr>
      </w:pPr>
    </w:p>
    <w:p>
      <w:pPr>
        <w:ind w:left="620" w:hanging="30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derives an improper personal benefit;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act or omission not in good faith or that involves intentional misconduct or a knowing violation of law;</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unlawful payment of dividends or redemption of shares; 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breach of a director’s duty of loyalty to the corporation or its stockholders.</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191"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9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maintain a directors’ and officers’ insurance policy pursuant to which our directors and officers are insured against liability for actions taken in their capacities as directors and officers. We believe these provisions in</w:t>
      </w:r>
    </w:p>
    <w:p>
      <w:pPr>
        <w:sectPr>
          <w:pgSz w:w="11900" w:h="16838" w:orient="portrait"/>
          <w:cols w:equalWidth="0" w:num="1">
            <w:col w:w="11240"/>
          </w:cols>
          <w:pgMar w:left="320" w:top="136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t>our Certificate of Incorporation and the Bylaws and these indemnification agreements are necessary to attract and retain qualified persons as directors and officers.</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11" w:lineRule="exact"/>
        <w:rPr>
          <w:sz w:val="20"/>
          <w:szCs w:val="20"/>
          <w:color w:val="auto"/>
        </w:rPr>
      </w:pPr>
    </w:p>
    <w:p>
      <w:pPr>
        <w:ind w:left="620" w:hanging="30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Upon the Closing Date, we ceased to be a shell company.</w:t>
      </w:r>
    </w:p>
    <w:p>
      <w:pPr>
        <w:spacing w:after="0" w:line="2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 w:lineRule="exact"/>
        <w:rPr>
          <w:sz w:val="20"/>
          <w:szCs w:val="20"/>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(1%) of the total number of shares of Class A Common Stock then outstanding; or</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the Class A Common Stock during the four calendar weeks preceding the filing of a notice on Form 144 with respect to the sale.</w:t>
      </w:r>
    </w:p>
    <w:p>
      <w:pPr>
        <w:spacing w:after="0" w:line="17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Sales by our affiliates under Rule 144 will also be limited by manner of sale provisions and notice requirements and to the availability of current public information about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Warrant Agent and Registrar</w:t>
      </w:r>
    </w:p>
    <w:p>
      <w:pPr>
        <w:spacing w:after="0" w:line="24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transfer agent, warrant agent and registrar for our Class A Common Stock, Class V Common Stock and Warrants is Continental Stock Transfer &amp; Trust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Class A Common Stock and Public Warrants are listed on Nasdaq under the symbols “MAPS” and “MAPW,” respectively.</w:t>
      </w:r>
    </w:p>
    <w:p>
      <w:pPr>
        <w:sectPr>
          <w:pgSz w:w="11900" w:h="16838" w:orient="portrait"/>
          <w:cols w:equalWidth="0" w:num="1">
            <w:col w:w="11240"/>
          </w:cols>
          <w:pgMar w:left="320" w:top="136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SEPARATION AND RELEASE AGREEMENT</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SEPARATION AND RELEASE AGREEMENT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and entered into effective January 5,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between Ghost Management Group, LLC, a Delaware limited liability company, and its owners, officers, directors, shareholders, employees, agents, assigns, representatives, affiliates, parents, subsidiaries and successors in interest (collectively,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the one hand, and Juanjo Feijoo, an individual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on the other hand. Each of Company and Employee may be referred to individually as a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WHEREAS, Employee was an at-will employee of the Company, whose employment was terminated on December 31, 2022 (the “</w:t>
      </w:r>
      <w:r>
        <w:rPr>
          <w:rFonts w:ascii="Times New Roman" w:cs="Times New Roman" w:eastAsia="Times New Roman" w:hAnsi="Times New Roman"/>
          <w:sz w:val="17"/>
          <w:szCs w:val="17"/>
          <w:b w:val="1"/>
          <w:bCs w:val="1"/>
          <w:i w:val="1"/>
          <w:iCs w:val="1"/>
          <w:color w:val="auto"/>
        </w:rPr>
        <w:t>Separation Date</w:t>
      </w:r>
      <w:r>
        <w:rPr>
          <w:rFonts w:ascii="Times New Roman" w:cs="Times New Roman" w:eastAsia="Times New Roman" w:hAnsi="Times New Roman"/>
          <w:sz w:val="17"/>
          <w:szCs w:val="17"/>
          <w:color w:val="auto"/>
        </w:rPr>
        <w:t>”) by means of Employee’s voluntary resignation.</w:t>
      </w:r>
    </w:p>
    <w:p>
      <w:pPr>
        <w:spacing w:after="0" w:line="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WHEREAS, the Company and Employee wish to effectuate a release of any and all claims that Employee holds against the Company and to resolve all controversies and disputes as hereinafter set forth.</w:t>
      </w:r>
    </w:p>
    <w:p>
      <w:pPr>
        <w:spacing w:after="0" w:line="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NOW, THEREFORE, in consideration of the Recitals, covenants and representations contained in this Agreement, and for other good and valuable consideration, the receipt and sufficiency of which is acknowledged, the Parties agree as follows: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75" w:lineRule="exact"/>
        <w:rPr>
          <w:sz w:val="20"/>
          <w:szCs w:val="20"/>
          <w:color w:val="auto"/>
        </w:rPr>
      </w:pPr>
    </w:p>
    <w:p>
      <w:pPr>
        <w:jc w:val="both"/>
        <w:ind w:firstLine="622"/>
        <w:spacing w:after="0" w:line="262" w:lineRule="auto"/>
        <w:tabs>
          <w:tab w:leader="none" w:pos="104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of Employment</w:t>
      </w:r>
      <w:r>
        <w:rPr>
          <w:rFonts w:ascii="Times New Roman" w:cs="Times New Roman" w:eastAsia="Times New Roman" w:hAnsi="Times New Roman"/>
          <w:sz w:val="17"/>
          <w:szCs w:val="17"/>
          <w:color w:val="auto"/>
        </w:rPr>
        <w:t>. Employee’s employment with the Company in any and all capacities has been terminated effective as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Separation Date. Employee acknowledges that Employee has received all wages, benefits and other amounts due up to and including the Separation Date, including without limitation any and all wages, compensation, vacation, sick leave, overtime, commissions, options, bonuses, profit sharing, benefits, insurance, or any other form of payment. Employee acknowledges that payment of Employee’s final wages, including vacation pay, was not conditioned on Employee signing this Agreement.</w:t>
      </w:r>
    </w:p>
    <w:p>
      <w:pPr>
        <w:spacing w:after="0" w:line="41" w:lineRule="exact"/>
        <w:rPr>
          <w:rFonts w:ascii="Times New Roman" w:cs="Times New Roman" w:eastAsia="Times New Roman" w:hAnsi="Times New Roman"/>
          <w:sz w:val="17"/>
          <w:szCs w:val="17"/>
          <w:color w:val="auto"/>
        </w:rPr>
      </w:pPr>
    </w:p>
    <w:p>
      <w:pPr>
        <w:jc w:val="both"/>
        <w:ind w:firstLine="622"/>
        <w:spacing w:after="0" w:line="256" w:lineRule="auto"/>
        <w:tabs>
          <w:tab w:leader="none" w:pos="93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Payments</w:t>
      </w:r>
      <w:r>
        <w:rPr>
          <w:rFonts w:ascii="Times New Roman" w:cs="Times New Roman" w:eastAsia="Times New Roman" w:hAnsi="Times New Roman"/>
          <w:sz w:val="17"/>
          <w:szCs w:val="17"/>
          <w:color w:val="auto"/>
        </w:rPr>
        <w:t>. Although the Company has no applicable severance plan or policy in light of Employee’s voluntary resignation, and therefore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no obligation to provide Employee severance or other payment following separation of employment, in consideration for this Agreement, the Company agrees to make the Severance Payment (as defined below) to Employee in accordance with the terms of this Agreement. Employee agrees and acknowledges that, except as set forth in this Agreement and the Award Agreements (as defined below), Employee is not entitled now or at any time hereafter to any other compensation, severance, bonus, incentive fee, incentive allocation, management fee or any other payment or benefit or any equity grant whatsoever in nature from the Company or any of the affiliated companies (collectively, the “</w:t>
      </w:r>
      <w:r>
        <w:rPr>
          <w:rFonts w:ascii="Times New Roman" w:cs="Times New Roman" w:eastAsia="Times New Roman" w:hAnsi="Times New Roman"/>
          <w:sz w:val="17"/>
          <w:szCs w:val="17"/>
          <w:b w:val="1"/>
          <w:bCs w:val="1"/>
          <w:i w:val="1"/>
          <w:iCs w:val="1"/>
          <w:color w:val="auto"/>
        </w:rPr>
        <w:t>Company Entities</w:t>
      </w:r>
      <w:r>
        <w:rPr>
          <w:rFonts w:ascii="Times New Roman" w:cs="Times New Roman" w:eastAsia="Times New Roman" w:hAnsi="Times New Roman"/>
          <w:sz w:val="17"/>
          <w:szCs w:val="17"/>
          <w:color w:val="auto"/>
        </w:rPr>
        <w:t>”), including from the Participation Agreement (as defined below) and any established and/or existing company or executive bonus programs. Without limiting the foregoing and notwithstanding anything in any employment offer letter or equity award agreement, in each case, between Employee, on the one hand, and the Company or WM Holding Company, LLC, a Delaware limited liability company (“</w:t>
      </w:r>
      <w:r>
        <w:rPr>
          <w:rFonts w:ascii="Times New Roman" w:cs="Times New Roman" w:eastAsia="Times New Roman" w:hAnsi="Times New Roman"/>
          <w:sz w:val="17"/>
          <w:szCs w:val="17"/>
          <w:b w:val="1"/>
          <w:bCs w:val="1"/>
          <w:i w:val="1"/>
          <w:iCs w:val="1"/>
          <w:color w:val="auto"/>
        </w:rPr>
        <w:t>WM Holding</w:t>
      </w:r>
      <w:r>
        <w:rPr>
          <w:rFonts w:ascii="Times New Roman" w:cs="Times New Roman" w:eastAsia="Times New Roman" w:hAnsi="Times New Roman"/>
          <w:sz w:val="17"/>
          <w:szCs w:val="17"/>
          <w:color w:val="auto"/>
        </w:rPr>
        <w:t>”), WM Technology, Inc., a Delaware corporation (“</w:t>
      </w:r>
      <w:r>
        <w:rPr>
          <w:rFonts w:ascii="Times New Roman" w:cs="Times New Roman" w:eastAsia="Times New Roman" w:hAnsi="Times New Roman"/>
          <w:sz w:val="17"/>
          <w:szCs w:val="17"/>
          <w:b w:val="1"/>
          <w:bCs w:val="1"/>
          <w:i w:val="1"/>
          <w:iCs w:val="1"/>
          <w:color w:val="auto"/>
        </w:rPr>
        <w:t>WM Tech</w:t>
      </w:r>
      <w:r>
        <w:rPr>
          <w:rFonts w:ascii="Times New Roman" w:cs="Times New Roman" w:eastAsia="Times New Roman" w:hAnsi="Times New Roman"/>
          <w:sz w:val="17"/>
          <w:szCs w:val="17"/>
          <w:color w:val="auto"/>
        </w:rPr>
        <w:t>”), or any other Company Entity, on the other hand, Employee acknowledges and agrees that (i) except as set forth in the last paragraph of Section 4 below, Employee has no right to any units, securities, equity, profits interests or other ownership interests with respect to any of the Company Entities (including, without limitation, the Company and WM Holding), and (ii) Employee has no right (contractual or otherwise) to acquire any units, securities, equity, profits interests or other ownership interests with respect to any of the Company Entities (including, without limitation, the Company and WM Holding).</w:t>
      </w:r>
    </w:p>
    <w:p>
      <w:pPr>
        <w:spacing w:after="0" w:line="35" w:lineRule="exact"/>
        <w:rPr>
          <w:rFonts w:ascii="Times New Roman" w:cs="Times New Roman" w:eastAsia="Times New Roman" w:hAnsi="Times New Roman"/>
          <w:sz w:val="17"/>
          <w:szCs w:val="17"/>
          <w:color w:val="auto"/>
        </w:rPr>
      </w:pPr>
    </w:p>
    <w:p>
      <w:pPr>
        <w:jc w:val="both"/>
        <w:ind w:firstLine="1241"/>
        <w:spacing w:after="0" w:line="258" w:lineRule="auto"/>
        <w:tabs>
          <w:tab w:leader="none" w:pos="160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pay to Employee an amount equal to </w:t>
      </w:r>
      <w:r>
        <w:rPr>
          <w:rFonts w:ascii="Times New Roman" w:cs="Times New Roman" w:eastAsia="Times New Roman" w:hAnsi="Times New Roman"/>
          <w:sz w:val="17"/>
          <w:szCs w:val="17"/>
          <w:b w:val="1"/>
          <w:bCs w:val="1"/>
          <w:color w:val="auto"/>
        </w:rPr>
        <w:t>Five Hundred Sixty-One Thousand Dollars and Ten Cents ($561,000.10)</w:t>
      </w:r>
      <w:r>
        <w:rPr>
          <w:rFonts w:ascii="Times New Roman" w:cs="Times New Roman" w:eastAsia="Times New Roman" w:hAnsi="Times New Roman"/>
          <w:sz w:val="17"/>
          <w:szCs w:val="17"/>
          <w:color w:val="auto"/>
        </w:rPr>
        <w:t>, less any applicable taxes, deductions and withholdings (the “</w:t>
      </w:r>
      <w:r>
        <w:rPr>
          <w:rFonts w:ascii="Times New Roman" w:cs="Times New Roman" w:eastAsia="Times New Roman" w:hAnsi="Times New Roman"/>
          <w:sz w:val="17"/>
          <w:szCs w:val="17"/>
          <w:b w:val="1"/>
          <w:bCs w:val="1"/>
          <w:i w:val="1"/>
          <w:iCs w:val="1"/>
          <w:color w:val="auto"/>
        </w:rPr>
        <w:t>Severance Payment</w:t>
      </w:r>
      <w:r>
        <w:rPr>
          <w:rFonts w:ascii="Times New Roman" w:cs="Times New Roman" w:eastAsia="Times New Roman" w:hAnsi="Times New Roman"/>
          <w:sz w:val="17"/>
          <w:szCs w:val="17"/>
          <w:color w:val="auto"/>
        </w:rPr>
        <w:t>”), and, if and for so long as Employee enrolls in COBRA, pay directly Employee’s COBRA premium for health insurance for nine (9) months, covering health insurance (the “</w:t>
      </w:r>
      <w:r>
        <w:rPr>
          <w:rFonts w:ascii="Times New Roman" w:cs="Times New Roman" w:eastAsia="Times New Roman" w:hAnsi="Times New Roman"/>
          <w:sz w:val="17"/>
          <w:szCs w:val="17"/>
          <w:b w:val="1"/>
          <w:bCs w:val="1"/>
          <w:i w:val="1"/>
          <w:iCs w:val="1"/>
          <w:color w:val="auto"/>
        </w:rPr>
        <w:t>Severance Insurance Benefit</w:t>
      </w:r>
      <w:r>
        <w:rPr>
          <w:rFonts w:ascii="Times New Roman" w:cs="Times New Roman" w:eastAsia="Times New Roman" w:hAnsi="Times New Roman"/>
          <w:sz w:val="17"/>
          <w:szCs w:val="17"/>
          <w:color w:val="auto"/>
        </w:rPr>
        <w:t>”) for the Retention Period of January 1, 2023 through September 30, 2023 (the “</w:t>
      </w:r>
      <w:r>
        <w:rPr>
          <w:rFonts w:ascii="Times New Roman" w:cs="Times New Roman" w:eastAsia="Times New Roman" w:hAnsi="Times New Roman"/>
          <w:sz w:val="17"/>
          <w:szCs w:val="17"/>
          <w:b w:val="1"/>
          <w:bCs w:val="1"/>
          <w:i w:val="1"/>
          <w:iCs w:val="1"/>
          <w:color w:val="auto"/>
        </w:rPr>
        <w:t>Retention Period</w:t>
      </w:r>
      <w:r>
        <w:rPr>
          <w:rFonts w:ascii="Times New Roman" w:cs="Times New Roman" w:eastAsia="Times New Roman" w:hAnsi="Times New Roman"/>
          <w:sz w:val="17"/>
          <w:szCs w:val="17"/>
          <w:color w:val="auto"/>
        </w:rPr>
        <w:t>”). The Severance Payment shall be made in equal installments over twenty (20) pay periods on the Company’s normal payroll dates, starting on the payroll date for the pay period encompassing the Effective Date (the “</w:t>
      </w:r>
      <w:r>
        <w:rPr>
          <w:rFonts w:ascii="Times New Roman" w:cs="Times New Roman" w:eastAsia="Times New Roman" w:hAnsi="Times New Roman"/>
          <w:sz w:val="17"/>
          <w:szCs w:val="17"/>
          <w:b w:val="1"/>
          <w:bCs w:val="1"/>
          <w:i w:val="1"/>
          <w:iCs w:val="1"/>
          <w:color w:val="auto"/>
        </w:rPr>
        <w:t>Severance Payment Period</w:t>
      </w:r>
      <w:r>
        <w:rPr>
          <w:rFonts w:ascii="Times New Roman" w:cs="Times New Roman" w:eastAsia="Times New Roman" w:hAnsi="Times New Roman"/>
          <w:sz w:val="17"/>
          <w:szCs w:val="17"/>
          <w:color w:val="auto"/>
        </w:rPr>
        <w:t>”). Notwithstanding anything to the contrary herein, the Company shall have the right to prepay all or any portion of the Severance Payment at any time to Employee prior to the end of the Severance Payment Period. The Company will not enroll Employee in COBRA and Employee will be fully responsible for completing any and all paperwork necessary for COBRA enrollment. Employee acknowledges and agrees that Employee will promptly notify the</w:t>
      </w:r>
    </w:p>
    <w:p>
      <w:pPr>
        <w:sectPr>
          <w:pgSz w:w="11900" w:h="16838" w:orient="portrait"/>
          <w:cols w:equalWidth="0" w:num="1">
            <w:col w:w="11240"/>
          </w:cols>
          <w:pgMar w:left="320" w:top="105" w:right="339" w:bottom="1440" w:gutter="0" w:footer="0" w:header="0"/>
        </w:sectPr>
      </w:pPr>
    </w:p>
    <w:bookmarkStart w:id="125" w:name="page126"/>
    <w:bookmarkEnd w:id="125"/>
    <w:p>
      <w:pPr>
        <w:spacing w:after="0" w:line="287" w:lineRule="auto"/>
        <w:rPr>
          <w:sz w:val="20"/>
          <w:szCs w:val="20"/>
          <w:color w:val="auto"/>
        </w:rPr>
      </w:pPr>
      <w:r>
        <w:rPr>
          <w:rFonts w:ascii="Times New Roman" w:cs="Times New Roman" w:eastAsia="Times New Roman" w:hAnsi="Times New Roman"/>
          <w:sz w:val="17"/>
          <w:szCs w:val="17"/>
          <w:color w:val="auto"/>
        </w:rPr>
        <w:t>Company if Employee acquires alternative health insurance coverage at any point during the Retention Period, in which case, the Company will cease providing health insurance benefits to Employee.</w:t>
      </w:r>
    </w:p>
    <w:p>
      <w:pPr>
        <w:spacing w:after="0" w:line="9" w:lineRule="exact"/>
        <w:rPr>
          <w:sz w:val="20"/>
          <w:szCs w:val="20"/>
          <w:color w:val="auto"/>
        </w:rPr>
      </w:pPr>
    </w:p>
    <w:p>
      <w:pPr>
        <w:jc w:val="both"/>
        <w:ind w:firstLine="1241"/>
        <w:spacing w:after="0" w:line="264" w:lineRule="auto"/>
        <w:tabs>
          <w:tab w:leader="none" w:pos="161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allowed Employee to remain covered by the Company’s employer-provided health insurance policies until the end of the calendar month during which the Separation Date occurs (e.g., for a May 5 Separation Date, Employee will remain covered by the Company’s health insurance through May 31). Thereafter, subject to the Severance Insurance Benefit described above, Employee will no longer be entitled to participate in any Company benefit plan, and the Company shall provide Employee notice regarding Employee’s right to continue Employee’s healthcare coverage pursuant to COBRA.</w:t>
      </w:r>
    </w:p>
    <w:p>
      <w:pPr>
        <w:spacing w:after="0" w:line="38" w:lineRule="exact"/>
        <w:rPr>
          <w:rFonts w:ascii="Times New Roman" w:cs="Times New Roman" w:eastAsia="Times New Roman" w:hAnsi="Times New Roman"/>
          <w:sz w:val="17"/>
          <w:szCs w:val="17"/>
          <w:color w:val="auto"/>
        </w:rPr>
      </w:pPr>
    </w:p>
    <w:p>
      <w:pPr>
        <w:jc w:val="both"/>
        <w:ind w:firstLine="622"/>
        <w:spacing w:after="0" w:line="261" w:lineRule="auto"/>
        <w:tabs>
          <w:tab w:leader="none" w:pos="106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Return of All Company Materials</w:t>
      </w:r>
      <w:r>
        <w:rPr>
          <w:rFonts w:ascii="Times New Roman" w:cs="Times New Roman" w:eastAsia="Times New Roman" w:hAnsi="Times New Roman"/>
          <w:sz w:val="17"/>
          <w:szCs w:val="17"/>
          <w:color w:val="auto"/>
        </w:rPr>
        <w:t>. Employee hereby certifies that Employee has returned to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records,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electronically stored information, and tangible embodiments of such, prepared by Employee or coming into Employee’s possession by virtue of Employee’s employment with Company. To the extent Employee is unable to return such materials that are in a digital form, Employee shall remove all copies of such digital material and certify the destruction or deletion of such digital copies. Employee further certifies that Employee has returned to Company all property of Company, including but not limited to pagers, keys, key cards, cellular phones, credit cards, personal and laptop computers, and other electronic equipment. Employee agrees that should Employee at any future time discover additional items of property belonging to Company, Employee will promptly return such property to Company.</w:t>
      </w:r>
    </w:p>
    <w:p>
      <w:pPr>
        <w:spacing w:after="0" w:line="26" w:lineRule="exact"/>
        <w:rPr>
          <w:rFonts w:ascii="Times New Roman" w:cs="Times New Roman" w:eastAsia="Times New Roman" w:hAnsi="Times New Roman"/>
          <w:sz w:val="17"/>
          <w:szCs w:val="17"/>
          <w:color w:val="auto"/>
        </w:rPr>
      </w:pPr>
    </w:p>
    <w:p>
      <w:pPr>
        <w:jc w:val="both"/>
        <w:ind w:firstLine="622"/>
        <w:spacing w:after="0" w:line="254" w:lineRule="auto"/>
        <w:tabs>
          <w:tab w:leader="none" w:pos="9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 Release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22222"/>
        </w:rPr>
        <w:t>Except as to such rights or claims as may be created by this Agreement, Employee and Employee’s respective heirs, administrators,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22222"/>
        </w:rPr>
        <w:t>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 severally (referred to collectively hereafter as the “</w:t>
      </w:r>
      <w:r>
        <w:rPr>
          <w:rFonts w:ascii="Times New Roman" w:cs="Times New Roman" w:eastAsia="Times New Roman" w:hAnsi="Times New Roman"/>
          <w:sz w:val="17"/>
          <w:szCs w:val="17"/>
          <w:b w:val="1"/>
          <w:bCs w:val="1"/>
          <w:i w:val="1"/>
          <w:iCs w:val="1"/>
          <w:color w:val="222222"/>
        </w:rPr>
        <w:t>Releasees</w:t>
      </w:r>
      <w:r>
        <w:rPr>
          <w:rFonts w:ascii="Times New Roman" w:cs="Times New Roman" w:eastAsia="Times New Roman" w:hAnsi="Times New Roman"/>
          <w:sz w:val="17"/>
          <w:szCs w:val="17"/>
          <w:color w:val="222222"/>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Times New Roman" w:cs="Times New Roman" w:eastAsia="Times New Roman" w:hAnsi="Times New Roman"/>
          <w:sz w:val="17"/>
          <w:szCs w:val="17"/>
          <w:b w:val="1"/>
          <w:bCs w:val="1"/>
          <w:i w:val="1"/>
          <w:iCs w:val="1"/>
          <w:color w:val="222222"/>
        </w:rPr>
        <w:t>Claim</w:t>
      </w:r>
      <w:r>
        <w:rPr>
          <w:rFonts w:ascii="Times New Roman" w:cs="Times New Roman" w:eastAsia="Times New Roman" w:hAnsi="Times New Roman"/>
          <w:sz w:val="17"/>
          <w:szCs w:val="17"/>
          <w:color w:val="222222"/>
        </w:rPr>
        <w:t>” or “</w:t>
      </w:r>
      <w:r>
        <w:rPr>
          <w:rFonts w:ascii="Times New Roman" w:cs="Times New Roman" w:eastAsia="Times New Roman" w:hAnsi="Times New Roman"/>
          <w:sz w:val="17"/>
          <w:szCs w:val="17"/>
          <w:b w:val="1"/>
          <w:bCs w:val="1"/>
          <w:i w:val="1"/>
          <w:iCs w:val="1"/>
          <w:color w:val="222222"/>
        </w:rPr>
        <w:t>Claims</w:t>
      </w:r>
      <w:r>
        <w:rPr>
          <w:rFonts w:ascii="Times New Roman" w:cs="Times New Roman" w:eastAsia="Times New Roman" w:hAnsi="Times New Roman"/>
          <w:sz w:val="17"/>
          <w:szCs w:val="17"/>
          <w:color w:val="222222"/>
        </w:rPr>
        <w:t>”), which Employee has at any time owned or held up to and including the date Employee signs this Agreement, including, and without limiting the generality of the foregoing, any and all Claims arising out of, connected with, or relating to: (1) Employee’s employment with the Company or the termination of that employment; (2) any act or omission by or on the 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 §§ 2699, et seq.; (5) any federal, state or local law regulating compensation, salaries, wages, meal periods, rest periods, itemized wage statements, pay stubs or payroll records, hours, bonuses, commissions, overtime, 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 (7)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 and (8) that certain Participation Agreement, executed August 25, 2022, by and between WM Tech and Employee (the “Participation Agreement”); and (9) any Claim for attorneys’ fees, costs or expenses. The foregoing general release does not apply to (w) any Claim that cannot be released as a matter of law, (x) any vested benefit under the express terms of a written ERISA-qualified benefit plan (e.g., 401(k) account), (y) payment of incurred but unpaid claims under any group health plan or other welfare benefit plan maintained by the Company in which Employee is a participant, or (z) those obligations set forth in that certain Indemnification Agreement, dated June 16, 2021 by and between WM Tech and Employee (the “</w:t>
      </w:r>
      <w:r>
        <w:rPr>
          <w:rFonts w:ascii="Times New Roman" w:cs="Times New Roman" w:eastAsia="Times New Roman" w:hAnsi="Times New Roman"/>
          <w:sz w:val="17"/>
          <w:szCs w:val="17"/>
          <w:b w:val="1"/>
          <w:bCs w:val="1"/>
          <w:i w:val="1"/>
          <w:iCs w:val="1"/>
          <w:color w:val="222222"/>
        </w:rPr>
        <w:t>Indemnification Agreement</w:t>
      </w:r>
      <w:r>
        <w:rPr>
          <w:rFonts w:ascii="Times New Roman" w:cs="Times New Roman" w:eastAsia="Times New Roman" w:hAnsi="Times New Roman"/>
          <w:sz w:val="17"/>
          <w:szCs w:val="17"/>
          <w:color w:val="222222"/>
        </w:rPr>
        <w:t>”). Nothing in this Agreement prohibits or prevents Employee from filing a charge with or participating, testifying, or assisting in any investigation, hearing, or other proceeding before any federal, state, or local government agency. However, to the maximum extent permitted by law, Employee agrees that if such an administrative claim is made, Employee shall not be entitled to recover any individual monetary relief or other individual remedies.</w:t>
      </w:r>
    </w:p>
    <w:p>
      <w:pPr>
        <w:sectPr>
          <w:pgSz w:w="11900" w:h="16838" w:orient="portrait"/>
          <w:cols w:equalWidth="0" w:num="1">
            <w:col w:w="11240"/>
          </w:cols>
          <w:pgMar w:left="320" w:top="1361" w:right="339" w:bottom="1440" w:gutter="0" w:footer="0" w:header="0"/>
        </w:sectPr>
      </w:pPr>
    </w:p>
    <w:bookmarkStart w:id="126" w:name="page127"/>
    <w:bookmarkEnd w:id="126"/>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Employee agrees that the release provided by this Agreement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Agreement. With respect to any Claims released by this Agreement,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Agreement, Employee will promptly notify such claims administrator, attorney, law firm, or other person that Employee does not wish to participate in and specifically “opts out” of any class action, representative action or collective action against the Company or any of the Releasees. Finally, by signing this Agreement, Employee acknowledges and agrees that Employee is not an “aggrieved employee,” as that term is defined in the Labor Code Private Attorneys General Act (PAGA), with respect to any Claims released by this Agreement.</w:t>
      </w:r>
    </w:p>
    <w:p>
      <w:pPr>
        <w:spacing w:after="0" w:line="4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Notwithstanding anything to the contrary herein, the foregoing release shall not cover, and Employee does not release, any rights of Employee: (a) under this Agreement; (b) the Equity Award Exchange Notifications, both dated as of June 16, 2021, relating to your Class P Units (the “</w:t>
      </w:r>
      <w:r>
        <w:rPr>
          <w:rFonts w:ascii="Times New Roman" w:cs="Times New Roman" w:eastAsia="Times New Roman" w:hAnsi="Times New Roman"/>
          <w:sz w:val="17"/>
          <w:szCs w:val="17"/>
          <w:b w:val="1"/>
          <w:bCs w:val="1"/>
          <w:i w:val="1"/>
          <w:iCs w:val="1"/>
          <w:color w:val="auto"/>
        </w:rPr>
        <w:t>Class P Unit Award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issued by WM Holding, or any rights of Employee as a Class P Unit of WM Holding under the Certificate of Formation or the Fourth Amended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Restated Operating Agreement of WM Holding, dated as of June 16, 2021 (as the same may be amended and/or restated from time to time) (the “</w:t>
      </w:r>
      <w:r>
        <w:rPr>
          <w:rFonts w:ascii="Times New Roman" w:cs="Times New Roman" w:eastAsia="Times New Roman" w:hAnsi="Times New Roman"/>
          <w:sz w:val="17"/>
          <w:szCs w:val="17"/>
          <w:b w:val="1"/>
          <w:bCs w:val="1"/>
          <w:i w:val="1"/>
          <w:iCs w:val="1"/>
          <w:color w:val="auto"/>
        </w:rPr>
        <w:t>Amended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Restated LLC Agreement</w:t>
      </w:r>
      <w:r>
        <w:rPr>
          <w:rFonts w:ascii="Times New Roman" w:cs="Times New Roman" w:eastAsia="Times New Roman" w:hAnsi="Times New Roman"/>
          <w:sz w:val="17"/>
          <w:szCs w:val="17"/>
          <w:color w:val="auto"/>
        </w:rPr>
        <w:t>”); or (c) the RSU Award Grant Notice, dated as of May 15, 2021 (the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and collectively with the Class P Unit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Agreement, the “</w:t>
      </w:r>
      <w:r>
        <w:rPr>
          <w:rFonts w:ascii="Times New Roman" w:cs="Times New Roman" w:eastAsia="Times New Roman" w:hAnsi="Times New Roman"/>
          <w:sz w:val="17"/>
          <w:szCs w:val="17"/>
          <w:b w:val="1"/>
          <w:bCs w:val="1"/>
          <w:i w:val="1"/>
          <w:iCs w:val="1"/>
          <w:color w:val="auto"/>
        </w:rPr>
        <w:t>Award Agreements</w:t>
      </w:r>
      <w:r>
        <w:rPr>
          <w:rFonts w:ascii="Times New Roman" w:cs="Times New Roman" w:eastAsia="Times New Roman" w:hAnsi="Times New Roman"/>
          <w:sz w:val="17"/>
          <w:szCs w:val="17"/>
          <w:color w:val="auto"/>
        </w:rPr>
        <w:t>”), between Employee and WM Tech, or any rights of Employee as an RSU holder of WM Tech under the 2021 Equity Incentive Plan as may be amended, restated, supplemented, or otherwise modified from time to time of WM Tech, dated as of June 16, 2021 (the “</w:t>
      </w:r>
      <w:r>
        <w:rPr>
          <w:rFonts w:ascii="Times New Roman" w:cs="Times New Roman" w:eastAsia="Times New Roman" w:hAnsi="Times New Roman"/>
          <w:sz w:val="17"/>
          <w:szCs w:val="17"/>
          <w:b w:val="1"/>
          <w:bCs w:val="1"/>
          <w:i w:val="1"/>
          <w:iCs w:val="1"/>
          <w:color w:val="auto"/>
        </w:rPr>
        <w:t>RSU Plan</w:t>
      </w:r>
      <w:r>
        <w:rPr>
          <w:rFonts w:ascii="Times New Roman" w:cs="Times New Roman" w:eastAsia="Times New Roman" w:hAnsi="Times New Roman"/>
          <w:sz w:val="17"/>
          <w:szCs w:val="17"/>
          <w:color w:val="auto"/>
        </w:rPr>
        <w:t xml:space="preserve">”). Employee acknowledges and agrees that Employee: (i) owns four hundred thirty-three thousand eight hundred forty (433,840) vested Class P Units of WM Holding with a participation threshold of $8.0264 per Class P Unit, and ninety-two thousand nine hundred sixty-four (92,964) vested Class P Units of WM Holding with a participation threshold of $10.00 per Class P Unit, providing for a total of </w:t>
      </w:r>
      <w:r>
        <w:rPr>
          <w:rFonts w:ascii="Times New Roman" w:cs="Times New Roman" w:eastAsia="Times New Roman" w:hAnsi="Times New Roman"/>
          <w:sz w:val="17"/>
          <w:szCs w:val="17"/>
          <w:b w:val="1"/>
          <w:bCs w:val="1"/>
          <w:color w:val="auto"/>
        </w:rPr>
        <w:t>five hundred twenty-six thousand eight hundred four (526,804)</w:t>
      </w:r>
      <w:r>
        <w:rPr>
          <w:rFonts w:ascii="Times New Roman" w:cs="Times New Roman" w:eastAsia="Times New Roman" w:hAnsi="Times New Roman"/>
          <w:sz w:val="17"/>
          <w:szCs w:val="17"/>
          <w:color w:val="auto"/>
        </w:rPr>
        <w:t xml:space="preserve"> vested Class P Units of WM Holding as of the Separation Date, all of which are retained by Employee following the Separation Date pursuant and subject to the Class P Unit Award Agreement, the Amended and Restated LLC Agreement and the WM Holding Third Amended and Restated Equity Incentive Plan, dated as of August 15, 2018 as may be amended, restated, supplemented, or otherwise modified from time to time (the “</w:t>
      </w:r>
      <w:r>
        <w:rPr>
          <w:rFonts w:ascii="Times New Roman" w:cs="Times New Roman" w:eastAsia="Times New Roman" w:hAnsi="Times New Roman"/>
          <w:sz w:val="17"/>
          <w:szCs w:val="17"/>
          <w:b w:val="1"/>
          <w:bCs w:val="1"/>
          <w:i w:val="1"/>
          <w:iCs w:val="1"/>
          <w:color w:val="auto"/>
        </w:rPr>
        <w:t>WM Holding Plan</w:t>
      </w:r>
      <w:r>
        <w:rPr>
          <w:rFonts w:ascii="Times New Roman" w:cs="Times New Roman" w:eastAsia="Times New Roman" w:hAnsi="Times New Roman"/>
          <w:sz w:val="17"/>
          <w:szCs w:val="17"/>
          <w:color w:val="auto"/>
        </w:rPr>
        <w:t>” and collectively with the RSU Plan, the “</w:t>
      </w:r>
      <w:r>
        <w:rPr>
          <w:rFonts w:ascii="Times New Roman" w:cs="Times New Roman" w:eastAsia="Times New Roman" w:hAnsi="Times New Roman"/>
          <w:sz w:val="17"/>
          <w:szCs w:val="17"/>
          <w:b w:val="1"/>
          <w:bCs w:val="1"/>
          <w:i w:val="1"/>
          <w:iCs w:val="1"/>
          <w:color w:val="auto"/>
        </w:rPr>
        <w:t>Plans</w:t>
      </w:r>
      <w:r>
        <w:rPr>
          <w:rFonts w:ascii="Times New Roman" w:cs="Times New Roman" w:eastAsia="Times New Roman" w:hAnsi="Times New Roman"/>
          <w:sz w:val="17"/>
          <w:szCs w:val="17"/>
          <w:color w:val="auto"/>
        </w:rPr>
        <w:t xml:space="preserve">”), and that Employee forfeits all Class P Units granted to Employee under the Class P Unit Award Agreement and which are unvested as of the Separation Date pursuant to the terms of the Class P Unit Award Agreement, the Amended and Restated LLC Agreement, and the WM Holding Plan. Employee acknowledges and agrees that Employee owns </w:t>
      </w:r>
      <w:r>
        <w:rPr>
          <w:rFonts w:ascii="Times New Roman" w:cs="Times New Roman" w:eastAsia="Times New Roman" w:hAnsi="Times New Roman"/>
          <w:sz w:val="17"/>
          <w:szCs w:val="17"/>
          <w:b w:val="1"/>
          <w:bCs w:val="1"/>
          <w:color w:val="auto"/>
        </w:rPr>
        <w:t>two hundred thirty-four thousand seven hundred thirty-two (234,732)</w:t>
      </w:r>
      <w:r>
        <w:rPr>
          <w:rFonts w:ascii="Times New Roman" w:cs="Times New Roman" w:eastAsia="Times New Roman" w:hAnsi="Times New Roman"/>
          <w:sz w:val="17"/>
          <w:szCs w:val="17"/>
          <w:color w:val="auto"/>
        </w:rPr>
        <w:t xml:space="preserve"> vested RSUs of WM Tech as of the Separation Date, all of which are retained by Employee following the Separation Date pursuant and subject to the RSU Award Agreement and the Plan, and that Employee forfeits all RSUs granted to Employee under the RSU Award Agreement and which are unvested as of the Separation Date pursuant to the terms of the RSU Award Agreement and the Plan.</w:t>
      </w:r>
    </w:p>
    <w:p>
      <w:pPr>
        <w:spacing w:after="0" w:line="25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Employee acknowledges and agrees that Employee owns no vested PRSUs of WM Tech as of the Separation Date and that Employee forfeits all PRSUs granted to Employee under and pursuant to the PRSU Award Grant Notice dated as of December 11, 2021 between Employee and WM Tech (the “</w:t>
      </w:r>
      <w:r>
        <w:rPr>
          <w:rFonts w:ascii="Times New Roman" w:cs="Times New Roman" w:eastAsia="Times New Roman" w:hAnsi="Times New Roman"/>
          <w:sz w:val="17"/>
          <w:szCs w:val="17"/>
          <w:b w:val="1"/>
          <w:bCs w:val="1"/>
          <w:i w:val="1"/>
          <w:iCs w:val="1"/>
          <w:color w:val="auto"/>
        </w:rPr>
        <w:t>PRSU Award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that are unvested as of the Separation Date.</w:t>
      </w:r>
    </w:p>
    <w:p>
      <w:pPr>
        <w:spacing w:after="0" w:line="20" w:lineRule="exact"/>
        <w:rPr>
          <w:sz w:val="20"/>
          <w:szCs w:val="20"/>
          <w:color w:val="auto"/>
        </w:rPr>
      </w:pPr>
    </w:p>
    <w:p>
      <w:pPr>
        <w:jc w:val="both"/>
        <w:ind w:firstLine="622"/>
        <w:spacing w:after="0" w:line="262" w:lineRule="auto"/>
        <w:tabs>
          <w:tab w:leader="none" w:pos="91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Release of All Unknown Claims. </w:t>
      </w:r>
      <w:r>
        <w:rPr>
          <w:rFonts w:ascii="Times New Roman" w:cs="Times New Roman" w:eastAsia="Times New Roman" w:hAnsi="Times New Roman"/>
          <w:sz w:val="17"/>
          <w:szCs w:val="17"/>
          <w:color w:val="auto"/>
        </w:rPr>
        <w:t>The general release above is intended to be a full and final release covering all unsuspected, unknown, undisclosed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unanticipated Claims which may have arisen, or may arise, from any act or omission up to and including the date Employee signs this Agreement, and which arise out of or are related, directly or indirectly, to the dealings between the Parties or any matters described in this Agreement. Employee, and on behalf of anyone or any entity claiming through Employee, each waive any and all rights or benefits which they may now have, or in the future may have, under the terms of Section 1542 of the California Civil Code, which provides as follows:</w:t>
      </w:r>
    </w:p>
    <w:p>
      <w:pPr>
        <w:sectPr>
          <w:pgSz w:w="11900" w:h="16838" w:orient="portrait"/>
          <w:cols w:equalWidth="0" w:num="1">
            <w:col w:w="11240"/>
          </w:cols>
          <w:pgMar w:left="320" w:top="1361" w:right="339" w:bottom="1440" w:gutter="0" w:footer="0" w:header="0"/>
        </w:sectPr>
      </w:pPr>
    </w:p>
    <w:bookmarkStart w:id="127" w:name="page128"/>
    <w:bookmarkEnd w:id="127"/>
    <w:p>
      <w:pPr>
        <w:ind w:left="1240" w:right="1420"/>
        <w:spacing w:after="0" w:line="264" w:lineRule="auto"/>
        <w:rPr>
          <w:sz w:val="20"/>
          <w:szCs w:val="20"/>
          <w:color w:val="auto"/>
        </w:rPr>
      </w:pPr>
      <w:r>
        <w:rPr>
          <w:rFonts w:ascii="Times New Roman" w:cs="Times New Roman" w:eastAsia="Times New Roman" w:hAnsi="Times New Roman"/>
          <w:sz w:val="17"/>
          <w:szCs w:val="17"/>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Agreement and that the release in this Agreement expressly contemplates the extinguishment of all such Claims.</w:t>
      </w:r>
    </w:p>
    <w:p>
      <w:pPr>
        <w:spacing w:after="0" w:line="38" w:lineRule="exact"/>
        <w:rPr>
          <w:sz w:val="20"/>
          <w:szCs w:val="20"/>
          <w:color w:val="auto"/>
        </w:rPr>
      </w:pPr>
    </w:p>
    <w:p>
      <w:pPr>
        <w:ind w:firstLine="622"/>
        <w:spacing w:after="0" w:line="292" w:lineRule="auto"/>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Admissions</w:t>
      </w:r>
      <w:r>
        <w:rPr>
          <w:rFonts w:ascii="Times New Roman" w:cs="Times New Roman" w:eastAsia="Times New Roman" w:hAnsi="Times New Roman"/>
          <w:sz w:val="17"/>
          <w:szCs w:val="17"/>
          <w:color w:val="auto"/>
        </w:rPr>
        <w:t>. Neither this Agreement nor the furnishing of the consideration for this Agreement shall be deemed or construed as an admission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or wrongdoing on the part of either Party, nor shall they be admissible as evidence in any proceeding other than for the enforcement of this Agreement.</w:t>
      </w:r>
    </w:p>
    <w:p>
      <w:pPr>
        <w:spacing w:after="0" w:line="1" w:lineRule="exact"/>
        <w:rPr>
          <w:rFonts w:ascii="Times New Roman" w:cs="Times New Roman" w:eastAsia="Times New Roman" w:hAnsi="Times New Roman"/>
          <w:sz w:val="17"/>
          <w:szCs w:val="17"/>
          <w:color w:val="auto"/>
        </w:rPr>
      </w:pPr>
    </w:p>
    <w:p>
      <w:pPr>
        <w:jc w:val="both"/>
        <w:ind w:firstLine="622"/>
        <w:spacing w:after="0" w:line="272" w:lineRule="auto"/>
        <w:tabs>
          <w:tab w:leader="none" w:pos="92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Covenant Not to Sue</w:t>
      </w:r>
      <w:r>
        <w:rPr>
          <w:rFonts w:ascii="Times New Roman" w:cs="Times New Roman" w:eastAsia="Times New Roman" w:hAnsi="Times New Roman"/>
          <w:sz w:val="17"/>
          <w:szCs w:val="17"/>
          <w:color w:val="auto"/>
        </w:rPr>
        <w:t>. Employee has not and will not directly or indirectly institute any legal action against the Releasees based upon, arising out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relating to any Claims released herein. Employee has not and will not directly or indirectly encourage and/or solicit any third party to institute any legal action against the Releasees.</w:t>
      </w:r>
    </w:p>
    <w:p>
      <w:pPr>
        <w:spacing w:after="0" w:line="18" w:lineRule="exact"/>
        <w:rPr>
          <w:rFonts w:ascii="Times New Roman" w:cs="Times New Roman" w:eastAsia="Times New Roman" w:hAnsi="Times New Roman"/>
          <w:sz w:val="17"/>
          <w:szCs w:val="17"/>
          <w:color w:val="auto"/>
        </w:rPr>
      </w:pPr>
    </w:p>
    <w:p>
      <w:pPr>
        <w:jc w:val="both"/>
        <w:ind w:firstLine="622"/>
        <w:spacing w:after="0" w:line="272" w:lineRule="auto"/>
        <w:tabs>
          <w:tab w:leader="none" w:pos="98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 of the Company</w:t>
      </w:r>
      <w:r>
        <w:rPr>
          <w:rFonts w:ascii="Times New Roman" w:cs="Times New Roman" w:eastAsia="Times New Roman" w:hAnsi="Times New Roman"/>
          <w:sz w:val="17"/>
          <w:szCs w:val="17"/>
          <w:color w:val="auto"/>
        </w:rPr>
        <w:t>. As additional consideration for the execution and delivery of this Agreement and only to the extent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already obligated to do so with respect to the Company and without limitation to any other agreement Employee has with the Company with respect to the following matters:</w:t>
      </w:r>
    </w:p>
    <w:p>
      <w:pPr>
        <w:spacing w:after="0" w:line="35" w:lineRule="exact"/>
        <w:rPr>
          <w:rFonts w:ascii="Times New Roman" w:cs="Times New Roman" w:eastAsia="Times New Roman" w:hAnsi="Times New Roman"/>
          <w:sz w:val="17"/>
          <w:szCs w:val="17"/>
          <w:color w:val="auto"/>
        </w:rPr>
      </w:pPr>
    </w:p>
    <w:p>
      <w:pPr>
        <w:jc w:val="both"/>
        <w:ind w:firstLine="1241"/>
        <w:spacing w:after="0" w:line="261" w:lineRule="auto"/>
        <w:tabs>
          <w:tab w:leader="none" w:pos="171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agrees to disclose in writing to the Company all source code, passwords, inventions, products, designs, drawings, notes, information, documentation, improvements, works of authorship, processes, techniques, know-how, technical specifications, hardware, computer programs, databases, user interfaces, encoding techniques, and other materials or innovations of any kind that Employee has made, conceived, developed or reduced to practice, alone or jointly with others, in connection with Employee’s term of service to the Company prior to the Separation Date or that resulted from or that related thereto, whether or not they are eligible for patent, copyright, mask work, trade secret, trademark or other legal protection (“</w:t>
      </w:r>
      <w:r>
        <w:rPr>
          <w:rFonts w:ascii="Times New Roman" w:cs="Times New Roman" w:eastAsia="Times New Roman" w:hAnsi="Times New Roman"/>
          <w:sz w:val="17"/>
          <w:szCs w:val="17"/>
          <w:b w:val="1"/>
          <w:bCs w:val="1"/>
          <w:i w:val="1"/>
          <w:iCs w:val="1"/>
          <w:color w:val="auto"/>
        </w:rPr>
        <w:t>Innovations</w:t>
      </w:r>
      <w:r>
        <w:rPr>
          <w:rFonts w:ascii="Times New Roman" w:cs="Times New Roman" w:eastAsia="Times New Roman" w:hAnsi="Times New Roman"/>
          <w:sz w:val="17"/>
          <w:szCs w:val="17"/>
          <w:color w:val="auto"/>
        </w:rPr>
        <w:t>”).</w:t>
      </w:r>
    </w:p>
    <w:p>
      <w:pPr>
        <w:spacing w:after="0" w:line="32" w:lineRule="exact"/>
        <w:rPr>
          <w:rFonts w:ascii="Times New Roman" w:cs="Times New Roman" w:eastAsia="Times New Roman" w:hAnsi="Times New Roman"/>
          <w:sz w:val="17"/>
          <w:szCs w:val="17"/>
          <w:color w:val="auto"/>
        </w:rPr>
      </w:pPr>
    </w:p>
    <w:p>
      <w:pPr>
        <w:jc w:val="both"/>
        <w:ind w:firstLine="1241"/>
        <w:spacing w:after="0" w:line="256" w:lineRule="auto"/>
        <w:tabs>
          <w:tab w:leader="none" w:pos="1623"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and the Company agree that, to the fullest extent legally possible, all Innovations (as defined in Section 8(a)) will be “works for hire” as that term is defined in Section 101 of the 1976 Copyright Act, and shall be owned exclusively by the Company. Employee agrees that, regardless of whether the Innovations are legally works for hire, all Innovations will be the sole and exclusive property of the Company. Employee hereby irrevocably transfers and assigns to the Company, and agrees to irrevocably transfer and assign to the Company, all of Employee’s right, title and interest in and to the Innovations, including all worldwide patent rights (including patent applications and disclosures), copyright rights, mask work rights, trade secret rights, know-how, and any and all other intellectual property or proprietary rights therein (collectively, “</w:t>
      </w: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color w:val="auto"/>
        </w:rPr>
        <w:t>”). At the Company’s request and expense, during and after the term of this Agreement, Employee will assist and cooperate with the Company in all respects and will execute documents (including, without limitation, assignments as to any Intellectual Property Rights which become the property of the Company pursuant to this Section 8) and, subject to the reasonable availability of Employee, will give testimony and take such further acts reasonably requested by the Company to enable the Company to acquire, transfer, maintain, perfect and enforce its Intellectual Property Rights and other legal protections for the Innovations. Employee hereby appoints the Company as attorney-in-fact to execute documents on behalf of Employee for this limited purpose.</w:t>
      </w:r>
    </w:p>
    <w:p>
      <w:pPr>
        <w:spacing w:after="0" w:line="39" w:lineRule="exact"/>
        <w:rPr>
          <w:rFonts w:ascii="Times New Roman" w:cs="Times New Roman" w:eastAsia="Times New Roman" w:hAnsi="Times New Roman"/>
          <w:sz w:val="17"/>
          <w:szCs w:val="17"/>
          <w:color w:val="auto"/>
        </w:rPr>
      </w:pPr>
    </w:p>
    <w:p>
      <w:pPr>
        <w:jc w:val="both"/>
        <w:ind w:firstLine="1241"/>
        <w:spacing w:after="0" w:line="261" w:lineRule="auto"/>
        <w:tabs>
          <w:tab w:leader="none" w:pos="166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hereby irrevocably transfers and assigns to the Company, and agrees to irrevocably transfer and assign to the Company, and waives and agrees never to assert, any and all Moral Rights (as defined below) that Employee may have in or with respect to any Innovation, during and after the term of this Agreement. “</w:t>
      </w:r>
      <w:r>
        <w:rPr>
          <w:rFonts w:ascii="Times New Roman" w:cs="Times New Roman" w:eastAsia="Times New Roman" w:hAnsi="Times New Roman"/>
          <w:sz w:val="17"/>
          <w:szCs w:val="17"/>
          <w:b w:val="1"/>
          <w:bCs w:val="1"/>
          <w:i w:val="1"/>
          <w:iCs w:val="1"/>
          <w:color w:val="auto"/>
        </w:rPr>
        <w:t>Moral Rights</w:t>
      </w:r>
      <w:r>
        <w:rPr>
          <w:rFonts w:ascii="Times New Roman" w:cs="Times New Roman" w:eastAsia="Times New Roman" w:hAnsi="Times New Roman"/>
          <w:sz w:val="17"/>
          <w:szCs w:val="17"/>
          <w:color w:val="auto"/>
        </w:rPr>
        <w:t>” mean any rights to claim authorship of an Innovation (as defined in Section 8(a)),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ectPr>
          <w:pgSz w:w="11900" w:h="16838" w:orient="portrait"/>
          <w:cols w:equalWidth="0" w:num="1">
            <w:col w:w="11240"/>
          </w:cols>
          <w:pgMar w:left="320" w:top="1361" w:right="339" w:bottom="1440" w:gutter="0" w:footer="0" w:header="0"/>
        </w:sectPr>
      </w:pPr>
    </w:p>
    <w:bookmarkStart w:id="128" w:name="page129"/>
    <w:bookmarkEnd w:id="128"/>
    <w:p>
      <w:pPr>
        <w:jc w:val="both"/>
        <w:ind w:firstLine="1241"/>
        <w:spacing w:after="0" w:line="260" w:lineRule="auto"/>
        <w:tabs>
          <w:tab w:leader="none" w:pos="17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Employee owns or controls any patent rights, copyright rights, mask work rights, trade secret rights, or any other intellectual property or proprietary rights that block or interfere with the rights assigned to the Company under this Agreement (collectively, “</w:t>
      </w:r>
      <w:r>
        <w:rPr>
          <w:rFonts w:ascii="Times New Roman" w:cs="Times New Roman" w:eastAsia="Times New Roman" w:hAnsi="Times New Roman"/>
          <w:sz w:val="17"/>
          <w:szCs w:val="17"/>
          <w:b w:val="1"/>
          <w:bCs w:val="1"/>
          <w:i w:val="1"/>
          <w:iCs w:val="1"/>
          <w:color w:val="auto"/>
        </w:rPr>
        <w:t>Related Rights</w:t>
      </w:r>
      <w:r>
        <w:rPr>
          <w:rFonts w:ascii="Times New Roman" w:cs="Times New Roman" w:eastAsia="Times New Roman" w:hAnsi="Times New Roman"/>
          <w:sz w:val="17"/>
          <w:szCs w:val="17"/>
          <w:color w:val="auto"/>
        </w:rPr>
        <w:t>”), Employee hereby grants or will cause to be granted to the Company a non-exclusive, royalty-free, irrevocable, worldwide 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the Company to exercise all of the rights assigned to the Company under this Agreement.</w:t>
      </w:r>
    </w:p>
    <w:p>
      <w:pPr>
        <w:spacing w:after="0" w:line="27" w:lineRule="exact"/>
        <w:rPr>
          <w:rFonts w:ascii="Times New Roman" w:cs="Times New Roman" w:eastAsia="Times New Roman" w:hAnsi="Times New Roman"/>
          <w:sz w:val="17"/>
          <w:szCs w:val="17"/>
          <w:color w:val="auto"/>
        </w:rPr>
      </w:pPr>
    </w:p>
    <w:p>
      <w:pPr>
        <w:jc w:val="both"/>
        <w:ind w:firstLine="622"/>
        <w:spacing w:after="0" w:line="259" w:lineRule="auto"/>
        <w:tabs>
          <w:tab w:leader="none" w:pos="101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Further Assurances and Cooperation</w:t>
      </w:r>
      <w:r>
        <w:rPr>
          <w:rFonts w:ascii="Times New Roman" w:cs="Times New Roman" w:eastAsia="Times New Roman" w:hAnsi="Times New Roman"/>
          <w:sz w:val="17"/>
          <w:szCs w:val="17"/>
          <w:color w:val="auto"/>
        </w:rPr>
        <w:t>. Employee agrees, in connection with this Agreement, that he will execute and deliver such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and instruments reasonably required by Company to record and evidence Employee’s resignation from the Company Entities. Further, Employee agrees to cooperate with the Company and make himself generally available in connection with disputes between the Company and third parties. This cooperation may include, but is not limited to, conferring with and assisting the Company in preparatory work in litigation matters, providing factual information to the Company, and giving depositions and testimony in judicial and administrative proceedings. Employee agrees that Employee will not be paid by the Company for Employee’s cooperation. Employee further agrees to make himself available on a reasonable basis with respect to any outstanding legal, business or strategic matters as necessary following the Effective Date.</w:t>
      </w:r>
    </w:p>
    <w:p>
      <w:pPr>
        <w:spacing w:after="0" w:line="44" w:lineRule="exact"/>
        <w:rPr>
          <w:rFonts w:ascii="Times New Roman" w:cs="Times New Roman" w:eastAsia="Times New Roman" w:hAnsi="Times New Roman"/>
          <w:sz w:val="17"/>
          <w:szCs w:val="17"/>
          <w:color w:val="auto"/>
        </w:rPr>
      </w:pPr>
    </w:p>
    <w:p>
      <w:pPr>
        <w:jc w:val="both"/>
        <w:ind w:firstLine="622"/>
        <w:spacing w:after="0" w:line="256" w:lineRule="auto"/>
        <w:tabs>
          <w:tab w:leader="none" w:pos="10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Confidentiality</w:t>
      </w:r>
      <w:r>
        <w:rPr>
          <w:rFonts w:ascii="Times New Roman" w:cs="Times New Roman" w:eastAsia="Times New Roman" w:hAnsi="Times New Roman"/>
          <w:sz w:val="17"/>
          <w:szCs w:val="17"/>
          <w:color w:val="auto"/>
        </w:rPr>
        <w:t>. Except as otherwise prohibited by law, Employee agrees that neither Employee nor any of Employee’s agents or representatives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disclose, disseminate and/or publicize, or cause or permit to be disclosed, disseminated or publicized, (i) any attorney client privileged information, (ii) attorney work product, (iii) confidential information or trade secrets of the Company, (iv) the existence of this Agreement, the Award Agreements or the PRSU Award Agreement (except to the extent the Company must publicly disclose their existence), (v) any of the terms of this Agreement, the Award Agreements or the PRSU Award Agreement (except to the extent the Company must publicly disclose their existence), or (vii) any claims or allegations which Employee could have made or asserted against the Company, to any person, corporation, association or governmental agency or other entity except: (a) to the extent necessary to report income to appropriate taxing authorities; (b) to members of Employee’s immediate family; (c) in response to an order of a court of competent jurisdiction or subpoena issued under the authority thereof; or (d) in response to any inquiry or subpoena issued by a state or federal governmental agency; provided, however, that notice of receipt of such judicial order or subpoena shall be immediately communicated by Employee to the Company telephonically, and confirmed immediately thereafter in writing, so that the Company will have the opportunity to assert what rights it has to non-disclosure prior to Employee’s response to the order, inquiry or subpoena. Should Employee disclose to Employee’s immediate family members any of the terms this Agreement, Employee will advise them that they are under the same obligation of confidentiality as described in this Section. Employee also agrees not to disclose any confidential or proprietary information pertaining to the business of the Company and/or its customers. For the avoidance of doubt, the confidentiality obligations of this Section shall extend to any information Employee has with respect to the businesses or activities of the Company Entities and any prospective opportunities which such equity holders have discussed or considered pursuing as well as any information received from any actual or potential customers of the Company.</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Any violation of the confidentiality provision contained in this Agreement by Employee shall be considered a material breach of this Agreement.</w:t>
      </w:r>
    </w:p>
    <w:p>
      <w:pPr>
        <w:spacing w:after="0" w:line="71" w:lineRule="exact"/>
        <w:rPr>
          <w:sz w:val="20"/>
          <w:szCs w:val="20"/>
          <w:color w:val="auto"/>
        </w:rPr>
      </w:pPr>
    </w:p>
    <w:p>
      <w:pPr>
        <w:jc w:val="both"/>
        <w:ind w:firstLine="622"/>
        <w:spacing w:after="0" w:line="258" w:lineRule="auto"/>
        <w:tabs>
          <w:tab w:leader="none" w:pos="110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Non-Disparagement</w:t>
      </w:r>
      <w:r>
        <w:rPr>
          <w:rFonts w:ascii="Times New Roman" w:cs="Times New Roman" w:eastAsia="Times New Roman" w:hAnsi="Times New Roman"/>
          <w:sz w:val="17"/>
          <w:szCs w:val="17"/>
          <w:color w:val="auto"/>
        </w:rPr>
        <w:t>. Employee agrees that on a permanent basis Employee will not make any negative, critical, disparaging, detrimental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derogatory comments (whether verbally or in writing) to any third party concerning the Company, or any of its current and former officers, directors, shareholders, employees, representatives, attorneys and agents, as well as its predecessors, parents, subsidiaries, affiliates, divisions, and successors-in-interest. With respect to the Company, the foregoing includes, but is not limited to, the Company’s services, products, processes, policies, practices, standards of business conduct, and areas or techniques of research and/or development and the actual or planned activities, the plans, processes or business practices of the equity holders of the Company or any Company Entities. The first sentence of this Section 11 shall not apply to any communication or disclosure to the extent required to institute any proceedings to enforce the terms of this Agreement. Nothing in this Agreement prevents Employee from discussing or disclosing information about unlawful acts in the workplace, including, but not limited to, harassment or discrimination or any other conduct that</w:t>
      </w:r>
    </w:p>
    <w:p>
      <w:pPr>
        <w:sectPr>
          <w:pgSz w:w="11900" w:h="16838" w:orient="portrait"/>
          <w:cols w:equalWidth="0" w:num="1">
            <w:col w:w="11240"/>
          </w:cols>
          <w:pgMar w:left="320" w:top="1361" w:right="339" w:bottom="1440" w:gutter="0" w:footer="0" w:header="0"/>
        </w:sectPr>
      </w:pPr>
    </w:p>
    <w:bookmarkStart w:id="129" w:name="page130"/>
    <w:bookmarkEnd w:id="129"/>
    <w:p>
      <w:pPr>
        <w:jc w:val="both"/>
        <w:spacing w:after="0" w:line="270" w:lineRule="auto"/>
        <w:rPr>
          <w:sz w:val="20"/>
          <w:szCs w:val="20"/>
          <w:color w:val="auto"/>
        </w:rPr>
      </w:pPr>
      <w:r>
        <w:rPr>
          <w:rFonts w:ascii="Times New Roman" w:cs="Times New Roman" w:eastAsia="Times New Roman" w:hAnsi="Times New Roman"/>
          <w:sz w:val="17"/>
          <w:szCs w:val="17"/>
          <w:color w:val="auto"/>
        </w:rPr>
        <w:t>Employee has reason to believe is unlawful. Company will respond to any inquiries about Employee’s employment by providing only Employee’s dates of employment, job title, and, if authorized by Employee in writing, Employee’s last rate of pay. Employee will direct all such inquiries only to Company’s People Operations Department.</w:t>
      </w:r>
    </w:p>
    <w:p>
      <w:pPr>
        <w:spacing w:after="0" w:line="20" w:lineRule="exact"/>
        <w:rPr>
          <w:sz w:val="20"/>
          <w:szCs w:val="20"/>
          <w:color w:val="auto"/>
        </w:rPr>
      </w:pPr>
    </w:p>
    <w:p>
      <w:pPr>
        <w:jc w:val="both"/>
        <w:ind w:firstLine="622"/>
        <w:spacing w:after="0" w:line="266" w:lineRule="auto"/>
        <w:tabs>
          <w:tab w:leader="none" w:pos="104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 to an Attorney; Time to Consider</w:t>
      </w:r>
      <w:r>
        <w:rPr>
          <w:rFonts w:ascii="Times New Roman" w:cs="Times New Roman" w:eastAsia="Times New Roman" w:hAnsi="Times New Roman"/>
          <w:sz w:val="17"/>
          <w:szCs w:val="17"/>
          <w:color w:val="auto"/>
        </w:rPr>
        <w:t>. Employee acknowledges and agrees that Employee has had seven (7) days to consider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to consult with counsel, and the Company has advised Employee of Employee’s right to do so. To the extent that Employee has taken less than seven (7) days to consider this Agreement, Employee acknowledges that Employee has had sufficient time to consider the Agreement and to consult with counsel and that Employee did not desire additional time.</w:t>
      </w:r>
    </w:p>
    <w:p>
      <w:pPr>
        <w:spacing w:after="0" w:line="35" w:lineRule="exact"/>
        <w:rPr>
          <w:rFonts w:ascii="Times New Roman" w:cs="Times New Roman" w:eastAsia="Times New Roman" w:hAnsi="Times New Roman"/>
          <w:sz w:val="17"/>
          <w:szCs w:val="17"/>
          <w:color w:val="auto"/>
        </w:rPr>
      </w:pPr>
    </w:p>
    <w:p>
      <w:pPr>
        <w:jc w:val="both"/>
        <w:ind w:firstLine="622"/>
        <w:spacing w:after="0" w:line="257" w:lineRule="auto"/>
        <w:tabs>
          <w:tab w:leader="none" w:pos="105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Cancellation and Repayment of Severance Payment</w:t>
      </w:r>
      <w:r>
        <w:rPr>
          <w:rFonts w:ascii="Times New Roman" w:cs="Times New Roman" w:eastAsia="Times New Roman" w:hAnsi="Times New Roman"/>
          <w:sz w:val="17"/>
          <w:szCs w:val="17"/>
          <w:color w:val="auto"/>
        </w:rPr>
        <w:t>. In the event of breach of this Agreement by Employee, including, but not limited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confidentiality and non-disparagement provisions during the period that begins on the Effective Date, then in addition to any remedies available to the Company at law or equity, the Company shall be immediately entitled to withhold any and all payments owed to Employee or owed to cover COBRA premiums pursuant to Section 2 of this Agreement and Employee agrees to promptly return to Company the full monetary value of the Severance Payment and Severance Insurance Benefit in Section 2 that was received by Employee and to indemnify and hold harmless the Releasees for and against any and all costs, losses, or liability whatsoever, including reasonable attorneys’ fees, caused by Employee’s breach of this Agreement. Furthermore, Employee agrees that the return or obligation to return the amount of the Severance Payment and Severance Insurance Benefit referenced in Section 2 above to Company will not abrogate or affect in any way Employee’s full release of any and all Claims against the Releasees. Employee acknowledges and agrees that the provisions contained in this Section 13 are reasonable and necessary for the protection of the Company’s legitimate business interests, and further agrees not to challenge the reasonableness of such restrictions.</w:t>
      </w:r>
    </w:p>
    <w:p>
      <w:pPr>
        <w:spacing w:after="0" w:line="33" w:lineRule="exact"/>
        <w:rPr>
          <w:rFonts w:ascii="Times New Roman" w:cs="Times New Roman" w:eastAsia="Times New Roman" w:hAnsi="Times New Roman"/>
          <w:sz w:val="17"/>
          <w:szCs w:val="17"/>
          <w:color w:val="auto"/>
        </w:rPr>
      </w:pPr>
    </w:p>
    <w:p>
      <w:pPr>
        <w:jc w:val="both"/>
        <w:ind w:firstLine="622"/>
        <w:spacing w:after="0" w:line="272" w:lineRule="auto"/>
        <w:tabs>
          <w:tab w:leader="none" w:pos="103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409A of the Code</w:t>
      </w:r>
      <w:r>
        <w:rPr>
          <w:rFonts w:ascii="Times New Roman" w:cs="Times New Roman" w:eastAsia="Times New Roman" w:hAnsi="Times New Roman"/>
          <w:sz w:val="17"/>
          <w:szCs w:val="17"/>
          <w:color w:val="auto"/>
        </w:rPr>
        <w:t>. While the tax treatment of the payments provided under this Agreement is not warranted or guaranteed, it is intended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such payments shall either be exempt from, or comply with, the requirements of Section 409A of the Internal Revenue Code of 1986, as amended. This Agreement shall be construed, administered and governed in a manner that effects such intent.</w:t>
      </w:r>
    </w:p>
    <w:p>
      <w:pPr>
        <w:spacing w:after="0" w:line="18" w:lineRule="exact"/>
        <w:rPr>
          <w:rFonts w:ascii="Times New Roman" w:cs="Times New Roman" w:eastAsia="Times New Roman" w:hAnsi="Times New Roman"/>
          <w:sz w:val="17"/>
          <w:szCs w:val="17"/>
          <w:color w:val="auto"/>
        </w:rPr>
      </w:pPr>
    </w:p>
    <w:p>
      <w:pPr>
        <w:jc w:val="both"/>
        <w:ind w:firstLine="622"/>
        <w:spacing w:after="0" w:line="272" w:lineRule="auto"/>
        <w:tabs>
          <w:tab w:leader="none" w:pos="10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Waiver and Modification</w:t>
      </w:r>
      <w:r>
        <w:rPr>
          <w:rFonts w:ascii="Times New Roman" w:cs="Times New Roman" w:eastAsia="Times New Roman" w:hAnsi="Times New Roman"/>
          <w:sz w:val="17"/>
          <w:szCs w:val="17"/>
          <w:color w:val="auto"/>
        </w:rPr>
        <w:t>. The failure to enforce any provision of this Agreement shall not be construed to be a waiver of such provision 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 either the validity of this Agreement or the right of any Party to enforce the Agreement. This Agreement may be modified or amended only by a written agreement executed by Employee and the Company.</w:t>
      </w:r>
    </w:p>
    <w:p>
      <w:pPr>
        <w:spacing w:after="0" w:line="31" w:lineRule="exact"/>
        <w:rPr>
          <w:rFonts w:ascii="Times New Roman" w:cs="Times New Roman" w:eastAsia="Times New Roman" w:hAnsi="Times New Roman"/>
          <w:sz w:val="17"/>
          <w:szCs w:val="17"/>
          <w:color w:val="auto"/>
        </w:rPr>
      </w:pPr>
    </w:p>
    <w:p>
      <w:pPr>
        <w:jc w:val="both"/>
        <w:ind w:firstLine="622"/>
        <w:spacing w:after="0" w:line="272" w:lineRule="auto"/>
        <w:tabs>
          <w:tab w:leader="none" w:pos="10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 and Savings Provision</w:t>
      </w:r>
      <w:r>
        <w:rPr>
          <w:rFonts w:ascii="Times New Roman" w:cs="Times New Roman" w:eastAsia="Times New Roman" w:hAnsi="Times New Roman"/>
          <w:sz w:val="17"/>
          <w:szCs w:val="17"/>
          <w:color w:val="auto"/>
        </w:rPr>
        <w:t>. In the event that any provision of this Agreement should be held to be void, voidable, or unenforceable,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remaining portions hereof shall remain in full force and effect. Additionally, in the event that any portion of this Agreement is deemed void or unenforceable, the Parties will be excused from performing that portion of the Agreement.</w:t>
      </w:r>
    </w:p>
    <w:p>
      <w:pPr>
        <w:spacing w:after="0" w:line="18" w:lineRule="exact"/>
        <w:rPr>
          <w:rFonts w:ascii="Times New Roman" w:cs="Times New Roman" w:eastAsia="Times New Roman" w:hAnsi="Times New Roman"/>
          <w:sz w:val="17"/>
          <w:szCs w:val="17"/>
          <w:color w:val="auto"/>
        </w:rPr>
      </w:pPr>
    </w:p>
    <w:p>
      <w:pPr>
        <w:jc w:val="both"/>
        <w:ind w:firstLine="622"/>
        <w:spacing w:after="0" w:line="266" w:lineRule="auto"/>
        <w:tabs>
          <w:tab w:leader="none" w:pos="106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This Agreement constitutes the entire agreement between Employee and the Company and supersedes and cancels all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oral or written, if any, between Employee and the Company, except (a) the Award Agreements (except to the extent expressly modified or forfeited herein), (b) the Indemnification Agreement and (c) that this Agreement does not alter, modify, or impact any pre-existing confidentiality provisions and restrictive covenants between the Parties, nor does it affect Employee’s obligation to comply with those provisions and covenants.</w:t>
      </w:r>
    </w:p>
    <w:p>
      <w:pPr>
        <w:spacing w:after="0" w:line="22" w:lineRule="exact"/>
        <w:rPr>
          <w:rFonts w:ascii="Times New Roman" w:cs="Times New Roman" w:eastAsia="Times New Roman" w:hAnsi="Times New Roman"/>
          <w:sz w:val="17"/>
          <w:szCs w:val="17"/>
          <w:color w:val="auto"/>
        </w:rPr>
      </w:pPr>
    </w:p>
    <w:p>
      <w:pPr>
        <w:jc w:val="both"/>
        <w:ind w:firstLine="622"/>
        <w:spacing w:after="0" w:line="258" w:lineRule="auto"/>
        <w:tabs>
          <w:tab w:leader="none" w:pos="109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The Parties hereby agree to submit any claim or dispute arising out of the terms of this Agreement to private and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arbitration by a single neutral arbitrator through Judicial Arbitration and Mediation Services, Inc.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This arbitration provision covers all claims that Employee may have against Company, or that Company may have against Employee. The JAMS Streamlined Arbitration Rules &amp; Procedures in effect at the time the claim or dispute is arbitrated will govern the procedure for the arbitration proceedings between the Parties. The arbitration shall take place in Orange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Company shall initially advance the arbitrator’s fee and all costs of services provided by the arbitrator and arbitration organization. However, the arbitrator’s fee and all costs of services provided by the arbitration organization, as well as reasonable attorneys’ fees and recoverable costs, shall be paid as the arbitrator or court</w:t>
      </w:r>
    </w:p>
    <w:p>
      <w:pPr>
        <w:sectPr>
          <w:pgSz w:w="11900" w:h="16838" w:orient="portrait"/>
          <w:cols w:equalWidth="0" w:num="1">
            <w:col w:w="11240"/>
          </w:cols>
          <w:pgMar w:left="320" w:top="136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color w:val="auto"/>
        </w:rPr>
        <w:t>awards in accordance with applicable law. The Parties hereby waive any right to a jury trial on any dispute or claim covered by this Agreement.</w:t>
      </w:r>
    </w:p>
    <w:p>
      <w:pPr>
        <w:spacing w:after="0" w:line="71" w:lineRule="exact"/>
        <w:rPr>
          <w:sz w:val="20"/>
          <w:szCs w:val="20"/>
          <w:color w:val="auto"/>
        </w:rPr>
      </w:pPr>
    </w:p>
    <w:p>
      <w:pPr>
        <w:ind w:left="1000" w:hanging="378"/>
        <w:spacing w:after="0"/>
        <w:tabs>
          <w:tab w:leader="none" w:pos="10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Agreement shall be construed in accordance with, and be governed by the laws of the State of California, both procedural and</w:t>
      </w:r>
    </w:p>
    <w:p>
      <w:pPr>
        <w:spacing w:after="0" w:line="3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substantive.</w:t>
      </w:r>
    </w:p>
    <w:p>
      <w:pPr>
        <w:spacing w:after="0" w:line="364"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undersigned have carefully read this Agreement and understand that it contains a release of known and unknown claims. The undersigned acknowledge and agree to all of the terms and conditions of this Agreement. The undersigned further acknowledge that they are entering into this Agreement voluntarily as of the Effective Date with a full understanding of its terms.</w:t>
      </w:r>
    </w:p>
    <w:p>
      <w:pPr>
        <w:spacing w:after="0" w:line="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 /s/ Juanjo Feijoo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-6350</wp:posOffset>
            </wp:positionV>
            <wp:extent cx="7486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Juanjo Feijoo</w:t>
      </w:r>
    </w:p>
    <w:p>
      <w:pPr>
        <w:spacing w:after="0" w:line="200" w:lineRule="exact"/>
        <w:rPr>
          <w:sz w:val="20"/>
          <w:szCs w:val="20"/>
          <w:color w:val="auto"/>
        </w:rPr>
      </w:pP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222222"/>
        </w:rPr>
        <w:t>Ghost Management Group, LLC</w:t>
      </w:r>
    </w:p>
    <w:p>
      <w:pPr>
        <w:spacing w:after="0" w:line="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222222"/>
        </w:rPr>
        <w:t>WM Holdings Company, LLC</w:t>
      </w:r>
    </w:p>
    <w:p>
      <w:pPr>
        <w:spacing w:after="0" w:line="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222222"/>
        </w:rPr>
        <w:t>Manager</w:t>
      </w:r>
    </w:p>
    <w:p>
      <w:pPr>
        <w:spacing w:after="0" w:line="3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222222"/>
        </w:rPr>
        <w:t>WM Technology, Inc.</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222222"/>
        </w:rPr>
        <w:t>Managing Member</w:t>
      </w:r>
    </w:p>
    <w:p>
      <w:pPr>
        <w:spacing w:after="0" w:line="38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-6350</wp:posOffset>
            </wp:positionV>
            <wp:extent cx="8699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Douglas Francis</w:t>
      </w:r>
    </w:p>
    <w:p>
      <w:pPr>
        <w:spacing w:after="0" w:line="7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222222"/>
        </w:rPr>
        <w:t>Executive Chair</w:t>
      </w:r>
    </w:p>
    <w:p>
      <w:pPr>
        <w:sectPr>
          <w:pgSz w:w="11900" w:h="16838" w:orient="portrait"/>
          <w:cols w:equalWidth="0" w:num="1">
            <w:col w:w="11240"/>
          </w:cols>
          <w:pgMar w:left="320" w:top="136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SEPARATION AND RELEASE AGREEMENT</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THIS SEPARATION AND RELEASE AGREEMENT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effective December 05, 2022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between Ghost Management Group, LLC, a Delaware limited liability company, and its owners, officers, directors, shareholders, employees, agents, assigns, representatives, affiliates, parents, subsidiaries and successors in interest (collectively,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on the one hand, and Justin Dean, an individual (“</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on the other hand. Each of Company and Employee may be referred to individually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WHEREAS, Employee was an at-will employee of the Company, whose employment was terminated on December 5, 2022 (the “</w:t>
      </w:r>
      <w:r>
        <w:rPr>
          <w:rFonts w:ascii="Times New Roman" w:cs="Times New Roman" w:eastAsia="Times New Roman" w:hAnsi="Times New Roman"/>
          <w:sz w:val="19"/>
          <w:szCs w:val="19"/>
          <w:b w:val="1"/>
          <w:bCs w:val="1"/>
          <w:i w:val="1"/>
          <w:iCs w:val="1"/>
          <w:color w:val="auto"/>
        </w:rPr>
        <w:t>Separation Date</w:t>
      </w:r>
      <w:r>
        <w:rPr>
          <w:rFonts w:ascii="Times New Roman" w:cs="Times New Roman" w:eastAsia="Times New Roman" w:hAnsi="Times New Roman"/>
          <w:sz w:val="19"/>
          <w:szCs w:val="19"/>
          <w:color w:val="auto"/>
        </w:rPr>
        <w:t>”) by means of voluntary resignation.</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WHEREAS, the Company and Employee wish to effectuate a release of any and all claims that Employee holds against the Company and to resolve all controversies and disputes as hereinafter set forth.</w:t>
      </w:r>
    </w:p>
    <w:p>
      <w:pPr>
        <w:spacing w:after="0" w:line="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NOW, THEREFORE, in consideration of the Recitals, covenants and representations contained in this Agreement, and for other good and valuable consideration, the receipt and sufficiency of which is acknowledged, the Parties agree as follows: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42" w:lineRule="exact"/>
        <w:rPr>
          <w:sz w:val="20"/>
          <w:szCs w:val="20"/>
          <w:color w:val="auto"/>
        </w:rPr>
      </w:pPr>
    </w:p>
    <w:p>
      <w:pPr>
        <w:jc w:val="both"/>
        <w:ind w:firstLine="622"/>
        <w:spacing w:after="0" w:line="256" w:lineRule="auto"/>
        <w:tabs>
          <w:tab w:leader="none" w:pos="95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Employment</w:t>
      </w:r>
      <w:r>
        <w:rPr>
          <w:rFonts w:ascii="Times New Roman" w:cs="Times New Roman" w:eastAsia="Times New Roman" w:hAnsi="Times New Roman"/>
          <w:sz w:val="19"/>
          <w:szCs w:val="19"/>
          <w:color w:val="auto"/>
        </w:rPr>
        <w:t>. Employee’s employment with the Company in any and all capacities has been terminated effective as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Separation Date. Employee acknowledges that Employee has received all wages, benefits and other amounts due up to and including the Separation Date, including without limitation any and all wages, compensation, vacation, sick leave, overtime, commissions, options, bonuses, profit sharing, benefits, insurance, or any other form of payment. Employee acknowledges that payment of Employee’s final wages, including vacation pay, was not conditioned on Employee signing this Agreement.</w:t>
      </w:r>
    </w:p>
    <w:p>
      <w:pPr>
        <w:spacing w:after="0" w:line="72" w:lineRule="exact"/>
        <w:rPr>
          <w:rFonts w:ascii="Times New Roman" w:cs="Times New Roman" w:eastAsia="Times New Roman" w:hAnsi="Times New Roman"/>
          <w:sz w:val="19"/>
          <w:szCs w:val="19"/>
          <w:color w:val="auto"/>
        </w:rPr>
      </w:pPr>
    </w:p>
    <w:p>
      <w:pPr>
        <w:jc w:val="both"/>
        <w:ind w:firstLine="622"/>
        <w:spacing w:after="0" w:line="251" w:lineRule="auto"/>
        <w:tabs>
          <w:tab w:leader="none" w:pos="94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Severance Payments</w:t>
      </w:r>
      <w:r>
        <w:rPr>
          <w:rFonts w:ascii="Times New Roman" w:cs="Times New Roman" w:eastAsia="Times New Roman" w:hAnsi="Times New Roman"/>
          <w:sz w:val="19"/>
          <w:szCs w:val="19"/>
          <w:color w:val="auto"/>
        </w:rPr>
        <w:t>. Although the Company has no severance plan or policy and has no obligation to provide Employee severance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payment following separation of employment, in consideration for this Agreement, the Company agrees to make the Severance Payment (as defined below) to Employee in accordance with the terms of this Agreement. Employee agrees and acknowledges that, except as set forth in this Agreement and the Award Agreements (as defined below), Employee is not entitled now or at any time hereafter to any other compensation, severance, bonus, incentive fee, incentive allocation, management fee or any other payment or benefit or any equity grant whatsoever in nature from the Company or any of the affiliated companies (collectively, the “</w:t>
      </w:r>
      <w:r>
        <w:rPr>
          <w:rFonts w:ascii="Times New Roman" w:cs="Times New Roman" w:eastAsia="Times New Roman" w:hAnsi="Times New Roman"/>
          <w:sz w:val="19"/>
          <w:szCs w:val="19"/>
          <w:b w:val="1"/>
          <w:bCs w:val="1"/>
          <w:i w:val="1"/>
          <w:iCs w:val="1"/>
          <w:color w:val="auto"/>
        </w:rPr>
        <w:t>Company Entities</w:t>
      </w:r>
      <w:r>
        <w:rPr>
          <w:rFonts w:ascii="Times New Roman" w:cs="Times New Roman" w:eastAsia="Times New Roman" w:hAnsi="Times New Roman"/>
          <w:sz w:val="19"/>
          <w:szCs w:val="19"/>
          <w:color w:val="auto"/>
        </w:rPr>
        <w:t>”), including from the Participation Agreement (as defined below) or any existing executive or company bonus plan. Without limiting the foregoing and notwithstanding anything in any employment offer letter or equity award agreement, in each case, between Employee, on the one hand, and the Company or WM Holding Company, LLC, a Delaware limited liability company (“</w:t>
      </w:r>
      <w:r>
        <w:rPr>
          <w:rFonts w:ascii="Times New Roman" w:cs="Times New Roman" w:eastAsia="Times New Roman" w:hAnsi="Times New Roman"/>
          <w:sz w:val="19"/>
          <w:szCs w:val="19"/>
          <w:b w:val="1"/>
          <w:bCs w:val="1"/>
          <w:i w:val="1"/>
          <w:iCs w:val="1"/>
          <w:color w:val="auto"/>
        </w:rPr>
        <w:t>WM Holding</w:t>
      </w:r>
      <w:r>
        <w:rPr>
          <w:rFonts w:ascii="Times New Roman" w:cs="Times New Roman" w:eastAsia="Times New Roman" w:hAnsi="Times New Roman"/>
          <w:sz w:val="19"/>
          <w:szCs w:val="19"/>
          <w:color w:val="auto"/>
        </w:rPr>
        <w:t>”), WM Technology, Inc., a Delaware corporation (“</w:t>
      </w:r>
      <w:r>
        <w:rPr>
          <w:rFonts w:ascii="Times New Roman" w:cs="Times New Roman" w:eastAsia="Times New Roman" w:hAnsi="Times New Roman"/>
          <w:sz w:val="19"/>
          <w:szCs w:val="19"/>
          <w:b w:val="1"/>
          <w:bCs w:val="1"/>
          <w:i w:val="1"/>
          <w:iCs w:val="1"/>
          <w:color w:val="auto"/>
        </w:rPr>
        <w:t>WM Tech</w:t>
      </w:r>
      <w:r>
        <w:rPr>
          <w:rFonts w:ascii="Times New Roman" w:cs="Times New Roman" w:eastAsia="Times New Roman" w:hAnsi="Times New Roman"/>
          <w:sz w:val="19"/>
          <w:szCs w:val="19"/>
          <w:color w:val="auto"/>
        </w:rPr>
        <w:t>”), or any other Company Entity, on the other hand, Employee acknowledges and agrees that (i) except as set forth in the last paragraph of Section 4 below, Employee has no right to any units, securities, equity, profits interests or other ownership interests with respect to any of the Company Entities (including, without limitation, the Company and WM Holding), and (ii) Employee has no right (contractual or otherwise) to acquire any units, securities, equity, profits interests or other ownership interests with respect to any of the Company Entities (including, without limitation, the Company and WM Holding).</w:t>
      </w:r>
    </w:p>
    <w:p>
      <w:pPr>
        <w:sectPr>
          <w:pgSz w:w="11900" w:h="16838" w:orient="portrait"/>
          <w:cols w:equalWidth="0" w:num="1">
            <w:col w:w="11240"/>
          </w:cols>
          <w:pgMar w:left="320" w:top="119" w:right="339" w:bottom="1440" w:gutter="0" w:footer="0" w:header="0"/>
        </w:sectPr>
      </w:pPr>
    </w:p>
    <w:bookmarkStart w:id="132" w:name="page133"/>
    <w:bookmarkEnd w:id="132"/>
    <w:p>
      <w:pPr>
        <w:spacing w:after="0" w:line="20" w:lineRule="exact"/>
        <w:rPr>
          <w:sz w:val="20"/>
          <w:szCs w:val="20"/>
          <w:color w:val="auto"/>
        </w:rPr>
      </w:pPr>
    </w:p>
    <w:p>
      <w:pPr>
        <w:jc w:val="both"/>
        <w:ind w:left="-622" w:firstLine="1241"/>
        <w:spacing w:after="0" w:line="253" w:lineRule="auto"/>
        <w:tabs>
          <w:tab w:leader="none" w:pos="1102"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to Employee an amount equal to Three Hundred Fifty-Six Thousand Two Hundred Fifty Dollars Eighteen Cents ($356,250.18), less any applicable taxes, deductions and withholdings (the “</w:t>
      </w:r>
      <w:r>
        <w:rPr>
          <w:rFonts w:ascii="Times New Roman" w:cs="Times New Roman" w:eastAsia="Times New Roman" w:hAnsi="Times New Roman"/>
          <w:sz w:val="19"/>
          <w:szCs w:val="19"/>
          <w:b w:val="1"/>
          <w:bCs w:val="1"/>
          <w:i w:val="1"/>
          <w:iCs w:val="1"/>
          <w:color w:val="auto"/>
        </w:rPr>
        <w:t>Severance Payment</w:t>
      </w:r>
      <w:r>
        <w:rPr>
          <w:rFonts w:ascii="Times New Roman" w:cs="Times New Roman" w:eastAsia="Times New Roman" w:hAnsi="Times New Roman"/>
          <w:sz w:val="19"/>
          <w:szCs w:val="19"/>
          <w:color w:val="auto"/>
        </w:rPr>
        <w:t>”), and, if and for so long as Employee enrolls in COBRA, pay directly Employee’s COBRA premium for health insurance for nine (9) month(s), covering health insurance (the “</w:t>
      </w:r>
      <w:r>
        <w:rPr>
          <w:rFonts w:ascii="Times New Roman" w:cs="Times New Roman" w:eastAsia="Times New Roman" w:hAnsi="Times New Roman"/>
          <w:sz w:val="19"/>
          <w:szCs w:val="19"/>
          <w:b w:val="1"/>
          <w:bCs w:val="1"/>
          <w:i w:val="1"/>
          <w:iCs w:val="1"/>
          <w:color w:val="auto"/>
        </w:rPr>
        <w:t>Severance Insurance Benefit</w:t>
      </w:r>
      <w:r>
        <w:rPr>
          <w:rFonts w:ascii="Times New Roman" w:cs="Times New Roman" w:eastAsia="Times New Roman" w:hAnsi="Times New Roman"/>
          <w:sz w:val="19"/>
          <w:szCs w:val="19"/>
          <w:color w:val="auto"/>
        </w:rPr>
        <w:t>”) for the Retention Period of January 1, 2023 through September 30, 2023 (the “</w:t>
      </w:r>
      <w:r>
        <w:rPr>
          <w:rFonts w:ascii="Times New Roman" w:cs="Times New Roman" w:eastAsia="Times New Roman" w:hAnsi="Times New Roman"/>
          <w:sz w:val="19"/>
          <w:szCs w:val="19"/>
          <w:b w:val="1"/>
          <w:bCs w:val="1"/>
          <w:i w:val="1"/>
          <w:iCs w:val="1"/>
          <w:color w:val="auto"/>
        </w:rPr>
        <w:t>Retention Period</w:t>
      </w:r>
      <w:r>
        <w:rPr>
          <w:rFonts w:ascii="Times New Roman" w:cs="Times New Roman" w:eastAsia="Times New Roman" w:hAnsi="Times New Roman"/>
          <w:sz w:val="19"/>
          <w:szCs w:val="19"/>
          <w:color w:val="auto"/>
        </w:rPr>
        <w:t>”). The Severance Payment shall be made in one payment on the payroll date for the pay period encompassing the end of the Revocation Period (as defined below). The Company will not enroll Employee in COBRA and Employee will be fully responsible for completing any and all paperwork necessary for COBRA enrollment. Employee acknowledges and agrees that Employee will promptly notify the Company if Employee acquires alternative health insurance coverage at any point during the Retention Period, in which case, the Company will cease providing health insurance benefits to Employee.</w:t>
      </w:r>
    </w:p>
    <w:p>
      <w:pPr>
        <w:spacing w:after="0" w:line="67" w:lineRule="exact"/>
        <w:rPr>
          <w:rFonts w:ascii="Times New Roman" w:cs="Times New Roman" w:eastAsia="Times New Roman" w:hAnsi="Times New Roman"/>
          <w:sz w:val="19"/>
          <w:szCs w:val="19"/>
          <w:color w:val="auto"/>
        </w:rPr>
      </w:pPr>
    </w:p>
    <w:p>
      <w:pPr>
        <w:jc w:val="both"/>
        <w:ind w:left="-622" w:firstLine="1241"/>
        <w:spacing w:after="0" w:line="259" w:lineRule="auto"/>
        <w:tabs>
          <w:tab w:leader="none" w:pos="104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allowed Employee to remain covered by the Company’s employer-provided health insurance policies until the end of the calendar month during which the Separation Date occurs (e.g., for a May 5 Separation Date, Employee will remain covered by the Company’s health insurance through May 31). Thereafter, Employee will no longer be entitled to participate in any Company benefit plan, and the Company shall provide Employee notice regarding Employee’s right to continue Employee’s healthcare coverage pursuant to COBRA.</w:t>
      </w:r>
    </w:p>
    <w:p>
      <w:pPr>
        <w:spacing w:after="0" w:line="71" w:lineRule="exact"/>
        <w:rPr>
          <w:rFonts w:ascii="Times New Roman" w:cs="Times New Roman" w:eastAsia="Times New Roman" w:hAnsi="Times New Roman"/>
          <w:sz w:val="19"/>
          <w:szCs w:val="19"/>
          <w:color w:val="auto"/>
        </w:rPr>
      </w:pPr>
    </w:p>
    <w:p>
      <w:pPr>
        <w:jc w:val="both"/>
        <w:ind w:left="-622" w:firstLine="622"/>
        <w:spacing w:after="0" w:line="253" w:lineRule="auto"/>
        <w:tabs>
          <w:tab w:leader="none" w:pos="46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All Company Materials</w:t>
      </w:r>
      <w:r>
        <w:rPr>
          <w:rFonts w:ascii="Times New Roman" w:cs="Times New Roman" w:eastAsia="Times New Roman" w:hAnsi="Times New Roman"/>
          <w:sz w:val="19"/>
          <w:szCs w:val="19"/>
          <w:color w:val="auto"/>
        </w:rPr>
        <w:t>. Employee hereby certifies that Employee has returned to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records,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electronically stored information, and tangible embodiments of such, prepared by Employee or coming into Employee’s possession by virtue of Employee’s employment with Company. To the extent Employee is unable to return such materials that are in a digital form, Employee shall remove all copies of such digital material and certify the destruction or deletion of such digital copies. Employee further certifies that Employee has returned to Company all property of Company, including but not limited to pagers, keys, key cards, cellular phones, credit cards, personal and laptop computers, and other electronic equipment. Employee agrees that should Employee at any future time discover additional items of property belonging to Company, Employee will promptly return such property to Company.</w:t>
      </w:r>
    </w:p>
    <w:p>
      <w:pPr>
        <w:spacing w:after="0" w:line="76" w:lineRule="exact"/>
        <w:rPr>
          <w:rFonts w:ascii="Times New Roman" w:cs="Times New Roman" w:eastAsia="Times New Roman" w:hAnsi="Times New Roman"/>
          <w:sz w:val="19"/>
          <w:szCs w:val="19"/>
          <w:color w:val="auto"/>
        </w:rPr>
      </w:pPr>
    </w:p>
    <w:p>
      <w:pPr>
        <w:jc w:val="both"/>
        <w:ind w:left="-622" w:firstLine="622"/>
        <w:spacing w:after="0" w:line="251" w:lineRule="auto"/>
        <w:tabs>
          <w:tab w:leader="none" w:pos="3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 Release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Except as to such rights or claims as may be created by this Agreement, Employee and Employee’s respective heirs,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administrators, 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 severally (referred to collectively hereafter as the “</w:t>
      </w:r>
      <w:r>
        <w:rPr>
          <w:rFonts w:ascii="Times New Roman" w:cs="Times New Roman" w:eastAsia="Times New Roman" w:hAnsi="Times New Roman"/>
          <w:sz w:val="19"/>
          <w:szCs w:val="19"/>
          <w:b w:val="1"/>
          <w:bCs w:val="1"/>
          <w:i w:val="1"/>
          <w:iCs w:val="1"/>
          <w:color w:val="222222"/>
        </w:rPr>
        <w:t>Releasees</w:t>
      </w:r>
      <w:r>
        <w:rPr>
          <w:rFonts w:ascii="Times New Roman" w:cs="Times New Roman" w:eastAsia="Times New Roman" w:hAnsi="Times New Roman"/>
          <w:sz w:val="19"/>
          <w:szCs w:val="19"/>
          <w:color w:val="222222"/>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Times New Roman" w:cs="Times New Roman" w:eastAsia="Times New Roman" w:hAnsi="Times New Roman"/>
          <w:sz w:val="19"/>
          <w:szCs w:val="19"/>
          <w:b w:val="1"/>
          <w:bCs w:val="1"/>
          <w:i w:val="1"/>
          <w:iCs w:val="1"/>
          <w:color w:val="222222"/>
        </w:rPr>
        <w:t>Claim</w:t>
      </w:r>
      <w:r>
        <w:rPr>
          <w:rFonts w:ascii="Times New Roman" w:cs="Times New Roman" w:eastAsia="Times New Roman" w:hAnsi="Times New Roman"/>
          <w:sz w:val="19"/>
          <w:szCs w:val="19"/>
          <w:color w:val="222222"/>
        </w:rPr>
        <w:t>” or “</w:t>
      </w:r>
      <w:r>
        <w:rPr>
          <w:rFonts w:ascii="Times New Roman" w:cs="Times New Roman" w:eastAsia="Times New Roman" w:hAnsi="Times New Roman"/>
          <w:sz w:val="19"/>
          <w:szCs w:val="19"/>
          <w:b w:val="1"/>
          <w:bCs w:val="1"/>
          <w:i w:val="1"/>
          <w:iCs w:val="1"/>
          <w:color w:val="222222"/>
        </w:rPr>
        <w:t>Claims</w:t>
      </w:r>
      <w:r>
        <w:rPr>
          <w:rFonts w:ascii="Times New Roman" w:cs="Times New Roman" w:eastAsia="Times New Roman" w:hAnsi="Times New Roman"/>
          <w:sz w:val="19"/>
          <w:szCs w:val="19"/>
          <w:color w:val="222222"/>
        </w:rPr>
        <w:t>”), which Employee has at any time owned or held up to and including the date Employee signs this Agreement, including during the Revocation Period (as defined below), including, and without limiting the generality of the foregoing, any and all Claims arising out of, connected with, or relating to: (1) Employee’s employment with the Company or the termination of that employment; (2) any act or omission by or on the 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 §§ 2699, et seq.; (5) any federal, state or local law regulating compensation, salaries, wages, meal periods, rest periods, itemized wage statements, pay stubs or payroll records, hours, bonuses, commissions, overtime,</w:t>
      </w:r>
    </w:p>
    <w:p>
      <w:pPr>
        <w:sectPr>
          <w:pgSz w:w="11900" w:h="16838" w:orient="portrait"/>
          <w:cols w:equalWidth="0" w:num="1">
            <w:col w:w="10618"/>
          </w:cols>
          <w:pgMar w:left="942" w:top="1440" w:right="339" w:bottom="1440" w:gutter="0" w:footer="0" w:header="0"/>
        </w:sectPr>
      </w:pPr>
    </w:p>
    <w:bookmarkStart w:id="133" w:name="page134"/>
    <w:bookmarkEnd w:id="133"/>
    <w:p>
      <w:pPr>
        <w:spacing w:after="0" w:line="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222222"/>
        </w:rPr>
        <w:t>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w:t>
      </w:r>
    </w:p>
    <w:p>
      <w:pPr>
        <w:jc w:val="both"/>
        <w:ind w:firstLine="3"/>
        <w:spacing w:after="0" w:line="250" w:lineRule="auto"/>
        <w:tabs>
          <w:tab w:leader="none" w:pos="275" w:val="left"/>
        </w:tabs>
        <w:numPr>
          <w:ilvl w:val="0"/>
          <w:numId w:val="90"/>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color w:val="222222"/>
        </w:rPr>
        <w:t>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 (8) that certain Participation Agreement, executed April 9, 2022, by and between WM Tech and Employee (the “Participation Agreement”); and (9) any Claim for attorneys’ fees, costs or expenses. The foregoing general release does not apply to any Claim that cannot be released as a matter of law as well as those obligations set forth in that certain Indemnification Agreement, dated June 16, 2021 by and between WM Tech and Employee. Nothing in this Agreement prohibits or prevents Employee from filing a charge with or participating, testifying, or assisting in any investigation, hearing, or other proceeding before any federal, state, or local government agency. However, to the maximum extent permitted by law, Employee agrees that if such an administrative claim is made, Employee shall not be entitled to recover any individual monetary relief or other individual remedies.</w:t>
      </w:r>
    </w:p>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Employee agrees that the release provided by this Agreement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Agreement. With respect to any Claims released by this Agreement,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Agreement, Employee will promptly notify such claims administrator, attorney, law firm, or other person that Employee does not wish to participate in and specifically “opts out” of any class action, representative action or collective action against the Company or any of the Releasees. Finally, by signing this Agreement, Employee acknowledges and agrees that Employee is not an “aggrieved employee,” as that term is defined in the Labor Code Private Attorneys General Act (PAGA), with respect to any Claims released by this Agreement.</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Notwithstanding anything to the contrary herein, the foregoing release shall not cover, and Employee does not release, any rights of Employee: (a) under this Agreement; (b) the Equity Award Exchange Notification, dated as of June 16, 2021, relating to your Class P Units (the “</w:t>
      </w:r>
      <w:r>
        <w:rPr>
          <w:rFonts w:ascii="Times New Roman" w:cs="Times New Roman" w:eastAsia="Times New Roman" w:hAnsi="Times New Roman"/>
          <w:sz w:val="19"/>
          <w:szCs w:val="19"/>
          <w:b w:val="1"/>
          <w:bCs w:val="1"/>
          <w:i w:val="1"/>
          <w:iCs w:val="1"/>
          <w:color w:val="auto"/>
        </w:rPr>
        <w:t>Class P Unit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issued by WM Holding, or any rights of Employee as a Class P Unit of WM Holding under the Certificate of Formation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Fourth Amended and Restated Operating Agreement of WM Holding, dated as of June 16, 2021 (as the same may be amended and/or restated from time to time) (the “</w:t>
      </w:r>
      <w:r>
        <w:rPr>
          <w:rFonts w:ascii="Times New Roman" w:cs="Times New Roman" w:eastAsia="Times New Roman" w:hAnsi="Times New Roman"/>
          <w:sz w:val="19"/>
          <w:szCs w:val="19"/>
          <w:b w:val="1"/>
          <w:bCs w:val="1"/>
          <w:i w:val="1"/>
          <w:iCs w:val="1"/>
          <w:color w:val="auto"/>
        </w:rPr>
        <w:t>Amended and Restated LLC Agreement</w:t>
      </w:r>
      <w:r>
        <w:rPr>
          <w:rFonts w:ascii="Times New Roman" w:cs="Times New Roman" w:eastAsia="Times New Roman" w:hAnsi="Times New Roman"/>
          <w:sz w:val="19"/>
          <w:szCs w:val="19"/>
          <w:color w:val="auto"/>
        </w:rPr>
        <w:t>”); or (c) the RSU Award Grant Notice, dated as of December 11, 2021 (the “</w:t>
      </w:r>
      <w:r>
        <w:rPr>
          <w:rFonts w:ascii="Times New Roman" w:cs="Times New Roman" w:eastAsia="Times New Roman" w:hAnsi="Times New Roman"/>
          <w:sz w:val="19"/>
          <w:szCs w:val="19"/>
          <w:b w:val="1"/>
          <w:bCs w:val="1"/>
          <w:i w:val="1"/>
          <w:iCs w:val="1"/>
          <w:color w:val="auto"/>
        </w:rPr>
        <w:t>RSU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and collectively with the Class P Unit Award Agreement, the “</w:t>
      </w:r>
      <w:r>
        <w:rPr>
          <w:rFonts w:ascii="Times New Roman" w:cs="Times New Roman" w:eastAsia="Times New Roman" w:hAnsi="Times New Roman"/>
          <w:sz w:val="19"/>
          <w:szCs w:val="19"/>
          <w:b w:val="1"/>
          <w:bCs w:val="1"/>
          <w:i w:val="1"/>
          <w:iCs w:val="1"/>
          <w:color w:val="auto"/>
        </w:rPr>
        <w:t>Award Agreements</w:t>
      </w:r>
      <w:r>
        <w:rPr>
          <w:rFonts w:ascii="Times New Roman" w:cs="Times New Roman" w:eastAsia="Times New Roman" w:hAnsi="Times New Roman"/>
          <w:sz w:val="19"/>
          <w:szCs w:val="19"/>
          <w:color w:val="auto"/>
        </w:rPr>
        <w:t>”), between Employee and WM Tech, or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rights of Employee as an RSU holder of WM Tech under the 2021 Equity Incentive Plan as may be amended, restated, supplemented, or otherwise modified from time to time of WM Tech, dated as of June 16, 2021 (the “</w:t>
      </w:r>
      <w:r>
        <w:rPr>
          <w:rFonts w:ascii="Times New Roman" w:cs="Times New Roman" w:eastAsia="Times New Roman" w:hAnsi="Times New Roman"/>
          <w:sz w:val="19"/>
          <w:szCs w:val="19"/>
          <w:b w:val="1"/>
          <w:bCs w:val="1"/>
          <w:i w:val="1"/>
          <w:iCs w:val="1"/>
          <w:u w:val="single" w:color="auto"/>
          <w:color w:val="auto"/>
        </w:rPr>
        <w:t>RSU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Employee acknowledges and agrees that Employee: (i) owns four hundred fifty-seven thousand eighty three (457,083) vested Class P Units of WM Holding as of the Separation Date, all of which are retained by Employee following the Separation Date pursuant and subject to the Class P Unit Award Agreement, the Amended and Restated LLC Agreement and the WM Holding Third Amended and Restated Equity Incentive Plan, dated as of August 15, 2018 as may be amended, restated, supplemented, or otherwise</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modified from time to time (the “</w:t>
      </w:r>
      <w:r>
        <w:rPr>
          <w:rFonts w:ascii="Times New Roman" w:cs="Times New Roman" w:eastAsia="Times New Roman" w:hAnsi="Times New Roman"/>
          <w:sz w:val="18"/>
          <w:szCs w:val="18"/>
          <w:b w:val="1"/>
          <w:bCs w:val="1"/>
          <w:i w:val="1"/>
          <w:iCs w:val="1"/>
          <w:color w:val="auto"/>
        </w:rPr>
        <w:t>WM Holding Plan</w:t>
      </w:r>
      <w:r>
        <w:rPr>
          <w:rFonts w:ascii="Times New Roman" w:cs="Times New Roman" w:eastAsia="Times New Roman" w:hAnsi="Times New Roman"/>
          <w:sz w:val="18"/>
          <w:szCs w:val="18"/>
          <w:color w:val="auto"/>
        </w:rPr>
        <w:t>” and collectively with the RSU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and that Employee forfeits all Class P Units granted to Employee under the Class P Unit Award Agreement and which are unvested as of the Separation Date pursuant to the terms of the Class P Unit Award Agreement, the Amended and Restated LLC Agreement, and the WM Holding Plan. Employee acknowledges and agrees that Employee owns one hundred thirty-six thousand seven hundred fifteen (136,715) vested RSUs of WM Tech as of the Separation Date, all of which are retained by Employee following the Separation Date pursuant and subject to the RSU Award Agreement and the Plan, and that Employee forfeits all RSUs granted to Employee under the RSU Award Agreement and which are unvested as of the Separation Date pursuant to the terms of the RSU Award Agreement and the Plan. Employee also forfeits all Performance Restricted Stock Units granted to Employee under and pursuant to the Performance Restricted Stock Unit grant dated December 11, 2021 (the “</w:t>
      </w:r>
      <w:r>
        <w:rPr>
          <w:rFonts w:ascii="Times New Roman" w:cs="Times New Roman" w:eastAsia="Times New Roman" w:hAnsi="Times New Roman"/>
          <w:sz w:val="18"/>
          <w:szCs w:val="18"/>
          <w:b w:val="1"/>
          <w:bCs w:val="1"/>
          <w:i w:val="1"/>
          <w:iCs w:val="1"/>
          <w:color w:val="auto"/>
        </w:rPr>
        <w:t>PRSU Award Agreement</w:t>
      </w:r>
      <w:r>
        <w:rPr>
          <w:rFonts w:ascii="Times New Roman" w:cs="Times New Roman" w:eastAsia="Times New Roman" w:hAnsi="Times New Roman"/>
          <w:sz w:val="18"/>
          <w:szCs w:val="18"/>
          <w:color w:val="auto"/>
        </w:rPr>
        <w:t>”) that are unvested as of the Separation Date.</w:t>
      </w:r>
    </w:p>
    <w:p>
      <w:pPr>
        <w:spacing w:after="0" w:line="67" w:lineRule="exact"/>
        <w:rPr>
          <w:sz w:val="20"/>
          <w:szCs w:val="20"/>
          <w:color w:val="auto"/>
        </w:rPr>
      </w:pPr>
    </w:p>
    <w:p>
      <w:pPr>
        <w:jc w:val="both"/>
        <w:ind w:firstLine="622"/>
        <w:spacing w:after="0" w:line="255" w:lineRule="auto"/>
        <w:tabs>
          <w:tab w:leader="none" w:pos="106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Release of All Unknown Claims. </w:t>
      </w:r>
      <w:r>
        <w:rPr>
          <w:rFonts w:ascii="Times New Roman" w:cs="Times New Roman" w:eastAsia="Times New Roman" w:hAnsi="Times New Roman"/>
          <w:sz w:val="19"/>
          <w:szCs w:val="19"/>
          <w:color w:val="auto"/>
        </w:rPr>
        <w:t>The general release above is intended to be a full and final release covering all unsuspected,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unknown, undisclosed and unanticipated Claims which may have arisen, or may arise, from any act or omission up to and including the date Employee signs this Agreement, </w:t>
      </w:r>
      <w:r>
        <w:rPr>
          <w:rFonts w:ascii="Times New Roman" w:cs="Times New Roman" w:eastAsia="Times New Roman" w:hAnsi="Times New Roman"/>
          <w:sz w:val="19"/>
          <w:szCs w:val="19"/>
          <w:color w:val="222222"/>
        </w:rPr>
        <w:t>including during the Revocation Period (as defined below),</w:t>
      </w:r>
      <w:r>
        <w:rPr>
          <w:rFonts w:ascii="Times New Roman" w:cs="Times New Roman" w:eastAsia="Times New Roman" w:hAnsi="Times New Roman"/>
          <w:sz w:val="19"/>
          <w:szCs w:val="19"/>
          <w:color w:val="auto"/>
        </w:rPr>
        <w:t xml:space="preserve"> and which arise out of or are related, directly or indirectly, to the dealings between the Parties or any matters described in this Agreement. Employee, and on behalf of anyone or any entity claiming through Employee, each waive any and all rights or benefits which they may now have, or in the future may have, under the terms of Section 1542 of the California Civil Code, which provides as follows:</w:t>
      </w:r>
    </w:p>
    <w:p>
      <w:pPr>
        <w:spacing w:after="0" w:line="68" w:lineRule="exact"/>
        <w:rPr>
          <w:sz w:val="20"/>
          <w:szCs w:val="20"/>
          <w:color w:val="auto"/>
        </w:rPr>
      </w:pPr>
    </w:p>
    <w:p>
      <w:pPr>
        <w:jc w:val="both"/>
        <w:ind w:left="620" w:right="620" w:firstLine="619"/>
        <w:spacing w:after="0" w:line="259" w:lineRule="auto"/>
        <w:rPr>
          <w:sz w:val="20"/>
          <w:szCs w:val="20"/>
          <w:color w:val="auto"/>
        </w:rPr>
      </w:pPr>
      <w:r>
        <w:rPr>
          <w:rFonts w:ascii="Times New Roman" w:cs="Times New Roman" w:eastAsia="Times New Roman" w:hAnsi="Times New Roman"/>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Agreement and that the release in this Agreement expressly contemplates the extinguishment of all such Claims.</w:t>
      </w:r>
    </w:p>
    <w:p>
      <w:pPr>
        <w:spacing w:after="0" w:line="77" w:lineRule="exact"/>
        <w:rPr>
          <w:sz w:val="20"/>
          <w:szCs w:val="20"/>
          <w:color w:val="auto"/>
        </w:rPr>
      </w:pPr>
    </w:p>
    <w:p>
      <w:pPr>
        <w:jc w:val="both"/>
        <w:ind w:firstLine="622"/>
        <w:spacing w:after="0" w:line="264" w:lineRule="auto"/>
        <w:tabs>
          <w:tab w:leader="none" w:pos="9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Admissions</w:t>
      </w:r>
      <w:r>
        <w:rPr>
          <w:rFonts w:ascii="Times New Roman" w:cs="Times New Roman" w:eastAsia="Times New Roman" w:hAnsi="Times New Roman"/>
          <w:sz w:val="19"/>
          <w:szCs w:val="19"/>
          <w:color w:val="auto"/>
        </w:rPr>
        <w:t>. Neither this Agreement nor the furnishing of the consideration for this Agreement shall be deemed or construed as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admission of liability or wrongdoing on the part of either Party, nor shall they be admissible as evidence in any proceeding other than for the enforcement of this Agreement.</w:t>
      </w:r>
    </w:p>
    <w:p>
      <w:pPr>
        <w:spacing w:after="0" w:line="65" w:lineRule="exact"/>
        <w:rPr>
          <w:rFonts w:ascii="Times New Roman" w:cs="Times New Roman" w:eastAsia="Times New Roman" w:hAnsi="Times New Roman"/>
          <w:sz w:val="19"/>
          <w:szCs w:val="19"/>
          <w:color w:val="auto"/>
        </w:rPr>
      </w:pPr>
    </w:p>
    <w:p>
      <w:pPr>
        <w:jc w:val="both"/>
        <w:ind w:firstLine="622"/>
        <w:spacing w:after="0" w:line="264" w:lineRule="auto"/>
        <w:tabs>
          <w:tab w:leader="none" w:pos="96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Covenant Not to Sue</w:t>
      </w:r>
      <w:r>
        <w:rPr>
          <w:rFonts w:ascii="Times New Roman" w:cs="Times New Roman" w:eastAsia="Times New Roman" w:hAnsi="Times New Roman"/>
          <w:sz w:val="19"/>
          <w:szCs w:val="19"/>
          <w:color w:val="auto"/>
        </w:rPr>
        <w:t>. Employee has not and will not directly or indirectly institute any legal action against the Releasees based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arising out of, or relating to any Claims released herein. Employee has not and will not directly or indirectly encourage and/or solicit any third party to institute any legal action against the Releasees.</w:t>
      </w:r>
    </w:p>
    <w:p>
      <w:pPr>
        <w:spacing w:after="0" w:line="65" w:lineRule="exact"/>
        <w:rPr>
          <w:rFonts w:ascii="Times New Roman" w:cs="Times New Roman" w:eastAsia="Times New Roman" w:hAnsi="Times New Roman"/>
          <w:sz w:val="19"/>
          <w:szCs w:val="19"/>
          <w:color w:val="auto"/>
        </w:rPr>
      </w:pPr>
    </w:p>
    <w:p>
      <w:pPr>
        <w:jc w:val="both"/>
        <w:ind w:firstLine="622"/>
        <w:spacing w:after="0" w:line="264" w:lineRule="auto"/>
        <w:tabs>
          <w:tab w:leader="none" w:pos="98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Intellectual Property of the Company</w:t>
      </w:r>
      <w:r>
        <w:rPr>
          <w:rFonts w:ascii="Times New Roman" w:cs="Times New Roman" w:eastAsia="Times New Roman" w:hAnsi="Times New Roman"/>
          <w:sz w:val="19"/>
          <w:szCs w:val="19"/>
          <w:color w:val="auto"/>
        </w:rPr>
        <w:t>. As additional consideration for the execution and delivery of this Agreement and only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extent not already obligated to do so with respect to the Company and without limitation to any other agreement Employee has with the Company with respect to the following matters:</w:t>
      </w:r>
    </w:p>
    <w:p>
      <w:pPr>
        <w:spacing w:after="0" w:line="56" w:lineRule="exact"/>
        <w:rPr>
          <w:rFonts w:ascii="Times New Roman" w:cs="Times New Roman" w:eastAsia="Times New Roman" w:hAnsi="Times New Roman"/>
          <w:sz w:val="19"/>
          <w:szCs w:val="19"/>
          <w:color w:val="auto"/>
        </w:rPr>
      </w:pPr>
    </w:p>
    <w:p>
      <w:pPr>
        <w:jc w:val="both"/>
        <w:ind w:firstLine="1241"/>
        <w:spacing w:after="0" w:line="269" w:lineRule="auto"/>
        <w:tabs>
          <w:tab w:leader="none" w:pos="1683"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disclose in writing to the Company all source code, passwords, inventions, products, designs, drawings, notes, information, documentation, improvements, works of authorship, processes, techniques, know-how, technical specifications, hardware, computer</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programs, databases, user interfaces, encoding techniques, and other materials or innovations of any kind that Employee has made, conceived, developed or reduced to practice, alone or jointly with others, in connection with Employee’s term of service to the Company prior to the Separation Date or that resulted from or that related thereto, whether or not they are eligible for patent, copyright, mask work, trade secret, trademark or other legal protection (“</w:t>
      </w:r>
      <w:r>
        <w:rPr>
          <w:rFonts w:ascii="Times New Roman" w:cs="Times New Roman" w:eastAsia="Times New Roman" w:hAnsi="Times New Roman"/>
          <w:sz w:val="19"/>
          <w:szCs w:val="19"/>
          <w:b w:val="1"/>
          <w:bCs w:val="1"/>
          <w:i w:val="1"/>
          <w:iCs w:val="1"/>
          <w:color w:val="auto"/>
        </w:rPr>
        <w:t>Innovations</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jc w:val="both"/>
        <w:ind w:firstLine="1241"/>
        <w:spacing w:after="0" w:line="252" w:lineRule="auto"/>
        <w:tabs>
          <w:tab w:leader="none" w:pos="1505"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and the Company agree that, to the fullest extent legally possible, all Innovations (as defined in Section 8(a)) will be “works for hire” as that term is defined in Section 101 of the 1976 Copyright Act, and shall be owned exclusively by the Company. Employee agrees that, regardless of whether the Innovations are legally works for hire, all Innovations will be the sole and exclusive property of the Company. Employee hereby irrevocably transfers and assigns to the Company, and agrees to irrevocably transfer and assign to the Company, all of Employee’s right, title and interest in and to the Innovations, including all worldwide patent rights (including patent applications and disclosures), copyright rights, mask work rights, trade secret rights, know-how, and any and all other intellectual property or proprietary rights therein (collectively, “</w:t>
      </w:r>
      <w:r>
        <w:rPr>
          <w:rFonts w:ascii="Times New Roman" w:cs="Times New Roman" w:eastAsia="Times New Roman" w:hAnsi="Times New Roman"/>
          <w:sz w:val="19"/>
          <w:szCs w:val="19"/>
          <w:b w:val="1"/>
          <w:bCs w:val="1"/>
          <w:i w:val="1"/>
          <w:iCs w:val="1"/>
          <w:color w:val="auto"/>
        </w:rPr>
        <w:t>Intellectual Property Rights</w:t>
      </w:r>
      <w:r>
        <w:rPr>
          <w:rFonts w:ascii="Times New Roman" w:cs="Times New Roman" w:eastAsia="Times New Roman" w:hAnsi="Times New Roman"/>
          <w:sz w:val="19"/>
          <w:szCs w:val="19"/>
          <w:color w:val="auto"/>
        </w:rPr>
        <w:t>”). At the Company’s request and expense, during and after the term of this Agreement, Employee will assist and cooperate with the Company in all respects and will execute documents (including, without limitation, assignments as to any Intellectual Property Rights which become the property of the Company pursuant to this Section 8) and, subject to the reasonable availability of Employee, will give testimony and take such further acts reasonably requested by the Company to enable the Company to acquire, transfer, maintain, perfect and enforce its Intellectual Property Rights and other legal protections for the Innovations. Employee hereby appoints the Company as attorney-in-fact to execute documents on behalf of Employee for this limited purpose.</w:t>
      </w:r>
    </w:p>
    <w:p>
      <w:pPr>
        <w:spacing w:after="0" w:line="83" w:lineRule="exact"/>
        <w:rPr>
          <w:rFonts w:ascii="Times New Roman" w:cs="Times New Roman" w:eastAsia="Times New Roman" w:hAnsi="Times New Roman"/>
          <w:sz w:val="19"/>
          <w:szCs w:val="19"/>
          <w:color w:val="auto"/>
        </w:rPr>
      </w:pPr>
    </w:p>
    <w:p>
      <w:pPr>
        <w:jc w:val="both"/>
        <w:ind w:firstLine="1241"/>
        <w:spacing w:after="0" w:line="252" w:lineRule="auto"/>
        <w:tabs>
          <w:tab w:leader="none" w:pos="1533"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hereby irrevocably transfers and assigns to the Company, and agrees to irrevocably transfer and assign to the Company, and waives and agrees never to assert, any and all Moral Rights (as defined below) that Employee may have in or with respect to any Innovation, during and after the term of this Agreement. “</w:t>
      </w:r>
      <w:r>
        <w:rPr>
          <w:rFonts w:ascii="Times New Roman" w:cs="Times New Roman" w:eastAsia="Times New Roman" w:hAnsi="Times New Roman"/>
          <w:sz w:val="19"/>
          <w:szCs w:val="19"/>
          <w:b w:val="1"/>
          <w:bCs w:val="1"/>
          <w:i w:val="1"/>
          <w:iCs w:val="1"/>
          <w:color w:val="auto"/>
        </w:rPr>
        <w:t>Moral Rights</w:t>
      </w:r>
      <w:r>
        <w:rPr>
          <w:rFonts w:ascii="Times New Roman" w:cs="Times New Roman" w:eastAsia="Times New Roman" w:hAnsi="Times New Roman"/>
          <w:sz w:val="19"/>
          <w:szCs w:val="19"/>
          <w:color w:val="auto"/>
        </w:rPr>
        <w:t>” mean any rights to claim authorship of an Innovation (as defined in Section 8(a)),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pacing w:after="0" w:line="80" w:lineRule="exact"/>
        <w:rPr>
          <w:rFonts w:ascii="Times New Roman" w:cs="Times New Roman" w:eastAsia="Times New Roman" w:hAnsi="Times New Roman"/>
          <w:sz w:val="19"/>
          <w:szCs w:val="19"/>
          <w:color w:val="auto"/>
        </w:rPr>
      </w:pPr>
    </w:p>
    <w:p>
      <w:pPr>
        <w:jc w:val="both"/>
        <w:ind w:firstLine="1241"/>
        <w:spacing w:after="0" w:line="254" w:lineRule="auto"/>
        <w:tabs>
          <w:tab w:leader="none" w:pos="151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Employee owns or controls any patent rights, copyright rights, mask work rights, trade secret rights, or any other intellectual property or proprietary rights that block or interfere with the rights assigned to the Company under this Agreement (collectively, “</w:t>
      </w:r>
      <w:r>
        <w:rPr>
          <w:rFonts w:ascii="Times New Roman" w:cs="Times New Roman" w:eastAsia="Times New Roman" w:hAnsi="Times New Roman"/>
          <w:sz w:val="19"/>
          <w:szCs w:val="19"/>
          <w:b w:val="1"/>
          <w:bCs w:val="1"/>
          <w:i w:val="1"/>
          <w:iCs w:val="1"/>
          <w:color w:val="auto"/>
        </w:rPr>
        <w:t>Related Rights</w:t>
      </w:r>
      <w:r>
        <w:rPr>
          <w:rFonts w:ascii="Times New Roman" w:cs="Times New Roman" w:eastAsia="Times New Roman" w:hAnsi="Times New Roman"/>
          <w:sz w:val="19"/>
          <w:szCs w:val="19"/>
          <w:color w:val="auto"/>
        </w:rPr>
        <w:t>”), Employee hereby grants or will cause to be granted to the Company a non-exclusive, royalty-free, irrevocable, worldwide 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the Company to exercise all of the rights assigned to the Company under this Agreement.</w:t>
      </w:r>
    </w:p>
    <w:p>
      <w:pPr>
        <w:spacing w:after="0" w:line="78" w:lineRule="exact"/>
        <w:rPr>
          <w:rFonts w:ascii="Times New Roman" w:cs="Times New Roman" w:eastAsia="Times New Roman" w:hAnsi="Times New Roman"/>
          <w:sz w:val="19"/>
          <w:szCs w:val="19"/>
          <w:color w:val="auto"/>
        </w:rPr>
      </w:pPr>
    </w:p>
    <w:p>
      <w:pPr>
        <w:jc w:val="both"/>
        <w:ind w:firstLine="622"/>
        <w:spacing w:after="0" w:line="255" w:lineRule="auto"/>
        <w:tabs>
          <w:tab w:leader="none" w:pos="100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Further Assurances and Cooperation</w:t>
      </w:r>
      <w:r>
        <w:rPr>
          <w:rFonts w:ascii="Times New Roman" w:cs="Times New Roman" w:eastAsia="Times New Roman" w:hAnsi="Times New Roman"/>
          <w:sz w:val="19"/>
          <w:szCs w:val="19"/>
          <w:color w:val="auto"/>
        </w:rPr>
        <w:t>. Employee agrees, in connection with this Agreement, that he will execute and deliver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documents and instruments reasonably required by Company to record and evidence Employee’s resignation from the Company Entities. Further, Employee agrees to cooperate with the Company and make himself generally available in connection with disputes between the Company and third parties. This cooperation may include, but is not limited to, conferring with and assisting the Company in preparatory work in litigation matters, providing factual information to the Company, and giving depositions and testimony in judicial and administrative proceedings. Employee agrees that Employee will not be paid by the Company for</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Employee’s cooperation, unless the assistance required exceeds twenty (20) hours of time, after which the Company agrees to compensate Employee at a rate of Two Hundred Fifty Dollars ($250) per hour. Employee further agrees to make himself available on a reasonable basis with respect to any outstanding legal, business or strategic matters as necessary following the Effective Date, again with no compensation being required until the time spent exceeds twenty (20) hours.</w:t>
      </w:r>
    </w:p>
    <w:p>
      <w:pPr>
        <w:spacing w:after="0" w:line="58" w:lineRule="exact"/>
        <w:rPr>
          <w:sz w:val="20"/>
          <w:szCs w:val="20"/>
          <w:color w:val="auto"/>
        </w:rPr>
      </w:pPr>
    </w:p>
    <w:p>
      <w:pPr>
        <w:jc w:val="both"/>
        <w:ind w:firstLine="622"/>
        <w:spacing w:after="0" w:line="253" w:lineRule="auto"/>
        <w:tabs>
          <w:tab w:leader="none" w:pos="1108"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Confidentiality</w:t>
      </w:r>
      <w:r>
        <w:rPr>
          <w:rFonts w:ascii="Times New Roman" w:cs="Times New Roman" w:eastAsia="Times New Roman" w:hAnsi="Times New Roman"/>
          <w:sz w:val="19"/>
          <w:szCs w:val="19"/>
          <w:color w:val="auto"/>
        </w:rPr>
        <w:t>. Except as otherwise prohibited by law, Employee agrees that neither Employee nor any of Employee’s agents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representatives will disclose, disseminate and/or publicize, or cause or permit to be disclosed, disseminated or publicized, any attorney client privileged information, attorney work product, confidential information or trade secrets of the Company, the existence of this Agreement, the Award Agreements or the PRSU Agreement, any of the terms of this Agreement, the Award Agreements or the PRSU Agreement, or any claims or allegations which Employee could have made or asserted against the Company, to any person, corporation, association or governmental agency or other entity except: (a) to the extent necessary to report income to appropriate taxing authorities; (b) to members of Employee’s immediate family;</w:t>
      </w:r>
    </w:p>
    <w:p>
      <w:pPr>
        <w:spacing w:after="0" w:line="1" w:lineRule="exact"/>
        <w:rPr>
          <w:rFonts w:ascii="Times New Roman" w:cs="Times New Roman" w:eastAsia="Times New Roman" w:hAnsi="Times New Roman"/>
          <w:sz w:val="19"/>
          <w:szCs w:val="19"/>
          <w:color w:val="auto"/>
        </w:rPr>
      </w:pPr>
    </w:p>
    <w:p>
      <w:pPr>
        <w:jc w:val="both"/>
        <w:ind w:firstLine="3"/>
        <w:spacing w:after="0" w:line="250" w:lineRule="auto"/>
        <w:tabs>
          <w:tab w:leader="none" w:pos="266"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response to an order of a court of competent jurisdiction or subpoena issued under the authority thereof; or (d) in response to any inquiry or subpoena issued by a state or federal governmental agency; provided, however, that notice of receipt of such judicial order or subpoena shall be immediately communicated by Employee to the Company telephonically, and confirmed immediately thereafter in writing, so that the Company will have the opportunity to assert what rights it has to non-disclosure prior to Employee’s response to the order, inquiry or subpoena. Should Employee disclose to Employee’s immediate family members any of the terms this Agreement, Employee will advise them that they are under the same obligation of confidentiality as described in this Section. Employee also agrees not to disclose any confidential or proprietary information pertaining to the business of the Company and/or its customers. For the avoidance of doubt, the confidentiality obligations of this Section shall extend to any information Employee has with respect to the businesses or activities of the Company Entities and any prospective opportunities which such equity holders have discussed or considered pursuing as well as any information received from any actual or potential customers of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violation of the confidentiality provision contained in this Agreement by Employee shall be considered a material breach of this Agreement.</w:t>
      </w:r>
    </w:p>
    <w:p>
      <w:pPr>
        <w:spacing w:after="0" w:line="100" w:lineRule="exact"/>
        <w:rPr>
          <w:sz w:val="20"/>
          <w:szCs w:val="20"/>
          <w:color w:val="auto"/>
        </w:rPr>
      </w:pPr>
    </w:p>
    <w:p>
      <w:pPr>
        <w:jc w:val="both"/>
        <w:ind w:firstLine="622"/>
        <w:spacing w:after="0" w:line="252" w:lineRule="auto"/>
        <w:tabs>
          <w:tab w:leader="none" w:pos="116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Non-Disparagement</w:t>
      </w:r>
      <w:r>
        <w:rPr>
          <w:rFonts w:ascii="Times New Roman" w:cs="Times New Roman" w:eastAsia="Times New Roman" w:hAnsi="Times New Roman"/>
          <w:sz w:val="19"/>
          <w:szCs w:val="19"/>
          <w:color w:val="auto"/>
        </w:rPr>
        <w:t>. Employee agrees that on a permanent basis Employee will not make any negative, critical, disparaging,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detrimental or derogatory comments (whether verbally or in writing) to any third party concerning the Company, or any of its current and former officers, directors, shareholders, employees, representatives, attorneys and agents, as well as its predecessors, parents, subsidiaries, affiliates, divisions, and successors-in-interest. With respect to the Company, the foregoing includes, but is not limited to, the Company’s services, products, processes, policies, practices, standards of business conduct, and areas or techniques of research and/or development and the actual or planned activities, the plans, processes or business practices of the equity holders of the Company or any Company Entities. The first sentence of this Section 11 shall not apply to any communication or disclosure to the extent required to institute any proceedings to enforce the terms of this Agreement. Nothing in this Agreement prevents Employee from discussing or disclosing information about unlawful acts in the workplace, including, but not limited to, harassment or discrimination or any other conduct that Employee has reason to believe is unlawful. Company will respond to any inquiries about Employee’s employment by providing only Employee’s dates of employment, job title, and, if authorized by Employee in writing, Employee’s last rate of pay. Employee will direct all such inquiries only to Company’s People Operations Department.</w:t>
      </w:r>
    </w:p>
    <w:p>
      <w:pPr>
        <w:spacing w:after="0" w:line="80" w:lineRule="exact"/>
        <w:rPr>
          <w:rFonts w:ascii="Times New Roman" w:cs="Times New Roman" w:eastAsia="Times New Roman" w:hAnsi="Times New Roman"/>
          <w:sz w:val="19"/>
          <w:szCs w:val="19"/>
          <w:color w:val="auto"/>
        </w:rPr>
      </w:pPr>
    </w:p>
    <w:p>
      <w:pPr>
        <w:ind w:firstLine="622"/>
        <w:spacing w:after="0" w:line="287" w:lineRule="auto"/>
        <w:tabs>
          <w:tab w:leader="none" w:pos="104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an Attorney; Time to Consider</w:t>
      </w:r>
      <w:r>
        <w:rPr>
          <w:rFonts w:ascii="Times New Roman" w:cs="Times New Roman" w:eastAsia="Times New Roman" w:hAnsi="Times New Roman"/>
          <w:sz w:val="19"/>
          <w:szCs w:val="19"/>
          <w:color w:val="auto"/>
        </w:rPr>
        <w:t>. This Agreement constitutes a knowing and voluntary waiver of any and all rights or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Employee has or may have under the federal Age</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Discrimination in Employment Act (ADEA), as amended by the Older Workers’ Benefit Protection Act of 1990, 29 U.S.C. §§ 621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This Section and this Agreement are written in a manner calculated to be understood by Employee. Employee acknowledges and agrees that Employee has had twenty-one (21) days to consider this Agreement and to consult with counsel, and the Company has advised Employee of Employee’s right to do so. To the extent that Employee has taken less than twenty-one (21) days to consider this Agreement, Employee acknowledges that Employee has had sufficient time to consider the Agreement and to consult with counsel and that Employee did not desire additional time. The terms of this Agreement will not become enforceable for seven (7) calendar days following the date of execution of this Agreement (the “</w:t>
      </w:r>
      <w:r>
        <w:rPr>
          <w:rFonts w:ascii="Times New Roman" w:cs="Times New Roman" w:eastAsia="Times New Roman" w:hAnsi="Times New Roman"/>
          <w:sz w:val="19"/>
          <w:szCs w:val="19"/>
          <w:b w:val="1"/>
          <w:bCs w:val="1"/>
          <w:i w:val="1"/>
          <w:iCs w:val="1"/>
          <w:color w:val="auto"/>
        </w:rPr>
        <w:t>Revocation Period</w:t>
      </w:r>
      <w:r>
        <w:rPr>
          <w:rFonts w:ascii="Times New Roman" w:cs="Times New Roman" w:eastAsia="Times New Roman" w:hAnsi="Times New Roman"/>
          <w:sz w:val="19"/>
          <w:szCs w:val="19"/>
          <w:color w:val="auto"/>
        </w:rPr>
        <w:t>”), during which time Employee may revoke this Agreement by notifying the undersigned representative of the Company in writing by registered letter. In the event of any such revocation, the Employee acknowledges and agrees that the Award Agreements shall be deemed revoked as well by the Employee.</w:t>
      </w:r>
    </w:p>
    <w:p>
      <w:pPr>
        <w:spacing w:after="0" w:line="67" w:lineRule="exact"/>
        <w:rPr>
          <w:sz w:val="20"/>
          <w:szCs w:val="20"/>
          <w:color w:val="auto"/>
        </w:rPr>
      </w:pPr>
    </w:p>
    <w:p>
      <w:pPr>
        <w:jc w:val="both"/>
        <w:ind w:firstLine="622"/>
        <w:spacing w:after="0" w:line="251" w:lineRule="auto"/>
        <w:tabs>
          <w:tab w:leader="none" w:pos="1113"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Cancellation and Repayment of Severance Payment</w:t>
      </w:r>
      <w:r>
        <w:rPr>
          <w:rFonts w:ascii="Times New Roman" w:cs="Times New Roman" w:eastAsia="Times New Roman" w:hAnsi="Times New Roman"/>
          <w:sz w:val="19"/>
          <w:szCs w:val="19"/>
          <w:color w:val="auto"/>
        </w:rPr>
        <w:t>. In the event of breach of this Agreement by Employee, including, but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to, the confidentiality and non-disparagement provisions during the period that begins on the Effective Date, then in addition to any remedies available to the Company at law or equity, the Company shall be immediately entitled to withhold any and all payments owed to Employee or owed to cover COBRA premiums pursuant to Section 2 of this Agreement and Employee agrees to promptly return to Company the full monetary value of the Severance Payment [and Severance Insurance Benefit] in Section 2 that was received by Employee and to indemnify and hold harmless the Releasees for and against any and all costs, losses, or liability whatsoever, including reasonable attorneys’ fees, caused by Employee’s breach of this Agreement. In addition, and without limiting any other remedies available under this Agreement, the Award Agreements, the Amended and Restated LLC Agreement, and the Plans, all vested Class P Units and RSUs held by Employee at such time, if any, shall be automatically cancelled and forfeited. Furthermore, Employee agrees that the return or obligation to return the amount of the Severance Payment and Severance Insurance Benefit referenced in Section 2 above to Company will not abrogate or affect in any way Employee’s full release of any and all Claims against the Releasees. Employee acknowledges and agrees that the provisions contained in this Section 13 are reasonable and necessary for the protection of the Company’s legitimate business interests, and further agrees not to challenge the reasonableness of such restrictions.</w:t>
      </w:r>
    </w:p>
    <w:p>
      <w:pPr>
        <w:spacing w:after="0" w:line="85" w:lineRule="exact"/>
        <w:rPr>
          <w:rFonts w:ascii="Times New Roman" w:cs="Times New Roman" w:eastAsia="Times New Roman" w:hAnsi="Times New Roman"/>
          <w:sz w:val="19"/>
          <w:szCs w:val="19"/>
          <w:color w:val="auto"/>
        </w:rPr>
      </w:pPr>
    </w:p>
    <w:p>
      <w:pPr>
        <w:jc w:val="both"/>
        <w:ind w:firstLine="622"/>
        <w:spacing w:after="0" w:line="264" w:lineRule="auto"/>
        <w:tabs>
          <w:tab w:leader="none" w:pos="105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Section 409A of the Code</w:t>
      </w:r>
      <w:r>
        <w:rPr>
          <w:rFonts w:ascii="Times New Roman" w:cs="Times New Roman" w:eastAsia="Times New Roman" w:hAnsi="Times New Roman"/>
          <w:sz w:val="19"/>
          <w:szCs w:val="19"/>
          <w:color w:val="auto"/>
        </w:rPr>
        <w:t>. While the tax treatment of the payments provided under this Agreement is not warranted or guaranteed,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intended that such payments shall either be exempt from, or comply with, the requirements of Section 409A of the Internal Revenue Code of 1986, as amended. This Agreement shall be construed, administered and governed in a manner that effects such intent.</w:t>
      </w:r>
    </w:p>
    <w:p>
      <w:pPr>
        <w:spacing w:after="0" w:line="65" w:lineRule="exact"/>
        <w:rPr>
          <w:rFonts w:ascii="Times New Roman" w:cs="Times New Roman" w:eastAsia="Times New Roman" w:hAnsi="Times New Roman"/>
          <w:sz w:val="19"/>
          <w:szCs w:val="19"/>
          <w:color w:val="auto"/>
        </w:rPr>
      </w:pPr>
    </w:p>
    <w:p>
      <w:pPr>
        <w:jc w:val="both"/>
        <w:ind w:firstLine="622"/>
        <w:spacing w:after="0" w:line="264" w:lineRule="auto"/>
        <w:tabs>
          <w:tab w:leader="none" w:pos="111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Waiver and Modification</w:t>
      </w:r>
      <w:r>
        <w:rPr>
          <w:rFonts w:ascii="Times New Roman" w:cs="Times New Roman" w:eastAsia="Times New Roman" w:hAnsi="Times New Roman"/>
          <w:sz w:val="19"/>
          <w:szCs w:val="19"/>
          <w:color w:val="auto"/>
        </w:rPr>
        <w:t>. The failure to enforce any provision of this Agreement shall not be construed to be a waiver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 or to affect either the validity of this Agreement or the right of any Party to enforce the Agreement. This Agreement may be modified or amended only by a written agreement executed by Employee and the Company.</w:t>
      </w:r>
    </w:p>
    <w:p>
      <w:pPr>
        <w:spacing w:after="0" w:line="65" w:lineRule="exact"/>
        <w:rPr>
          <w:rFonts w:ascii="Times New Roman" w:cs="Times New Roman" w:eastAsia="Times New Roman" w:hAnsi="Times New Roman"/>
          <w:sz w:val="19"/>
          <w:szCs w:val="19"/>
          <w:color w:val="auto"/>
        </w:rPr>
      </w:pPr>
    </w:p>
    <w:p>
      <w:pPr>
        <w:jc w:val="both"/>
        <w:ind w:firstLine="622"/>
        <w:spacing w:after="0" w:line="264" w:lineRule="auto"/>
        <w:tabs>
          <w:tab w:leader="none" w:pos="114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Severability and Savings Provision</w:t>
      </w:r>
      <w:r>
        <w:rPr>
          <w:rFonts w:ascii="Times New Roman" w:cs="Times New Roman" w:eastAsia="Times New Roman" w:hAnsi="Times New Roman"/>
          <w:sz w:val="19"/>
          <w:szCs w:val="19"/>
          <w:color w:val="auto"/>
        </w:rPr>
        <w:t>. In the event that any provision of this Agreement should be held to be void, voidable,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unenforceable, the remaining portions hereof shall remain in full force and effect. Additionally, in the event that any portion of this Agreement is deemed void or unenforceable, the Parties will be excused from performing that portion of the Agreement.</w:t>
      </w:r>
    </w:p>
    <w:p>
      <w:pPr>
        <w:spacing w:after="0" w:line="52" w:lineRule="exact"/>
        <w:rPr>
          <w:rFonts w:ascii="Times New Roman" w:cs="Times New Roman" w:eastAsia="Times New Roman" w:hAnsi="Times New Roman"/>
          <w:sz w:val="19"/>
          <w:szCs w:val="19"/>
          <w:color w:val="auto"/>
        </w:rPr>
      </w:pPr>
    </w:p>
    <w:p>
      <w:pPr>
        <w:jc w:val="both"/>
        <w:ind w:firstLine="622"/>
        <w:spacing w:after="0" w:line="261" w:lineRule="auto"/>
        <w:tabs>
          <w:tab w:leader="none" w:pos="104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 This Agreement constitutes the entire agreement between Employee and the Company and supersedes and cancels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prior agreements, oral or written, if any, between Employee and the Company, except that this Agreement does not alter, modify, or impact any pre-existing confidentiality provisions and restrictive covenants between the Parties, nor does it affect Employee’s obligation to comply with those provisions and covenants.</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6"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 Arbitration</w:t>
      </w:r>
      <w:r>
        <w:rPr>
          <w:rFonts w:ascii="Times New Roman" w:cs="Times New Roman" w:eastAsia="Times New Roman" w:hAnsi="Times New Roman"/>
          <w:sz w:val="19"/>
          <w:szCs w:val="19"/>
          <w:color w:val="auto"/>
        </w:rPr>
        <w:t>. The Parties hereby agree to submit any claim or dispute arising out of the terms of this Agreement to private and confidential arbitration by a single neutral arbitrator through Judicial Arbitration and Mediation Services, Inc. (“JAMS”). This arbitration provision covers all claims that Employee may have against Company, or that Company may have against Employee. The JAMS Streamlined Arbitration Rules &amp; Procedures in effect at the time the claim or dispute is arbitrated will govern the procedure for the arbitration proceedings between the Parties. The arbitration shall take place in Orange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Company shall initially advance the arbitrator’s fee and all costs of services provided by the arbitrator and arbitration organization. However, the arbitrator’s fee and all costs of services provided by the arbitration organization, as well as reasonable attorneys’ fees and recoverable costs, shall be paid as the arbitrator or court awards in accordance with applicable law. The Parties hereby waive any right to a jury trial on any dispute or claim covered by this Agreement.</w:t>
      </w:r>
    </w:p>
    <w:p>
      <w:pPr>
        <w:spacing w:after="0" w:line="78" w:lineRule="exact"/>
        <w:rPr>
          <w:sz w:val="20"/>
          <w:szCs w:val="20"/>
          <w:color w:val="auto"/>
        </w:rPr>
      </w:pPr>
    </w:p>
    <w:p>
      <w:pPr>
        <w:ind w:firstLine="622"/>
        <w:spacing w:after="0" w:line="287" w:lineRule="auto"/>
        <w:tabs>
          <w:tab w:leader="none" w:pos="105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This Agreement shall be construed in accordance with, and be governed by the laws of the State of California, both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procedural and substantive.</w:t>
      </w:r>
    </w:p>
    <w:p>
      <w:pPr>
        <w:spacing w:after="0" w:line="3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undersigned have carefully read this Agreement and understand that it contains a release of known and unknown claims. The undersigned acknowledge and agree to all of the terms and conditions of this Agreement. The undersigned further acknowledge that they are entering into this Agreement voluntarily as of the Effective Date with a full understanding of its terms.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 Justin Dean</w:t>
      </w:r>
      <w:r>
        <w:rPr>
          <w:rFonts w:ascii="Times New Roman" w:cs="Times New Roman" w:eastAsia="Times New Roman" w:hAnsi="Times New Roman"/>
          <w:sz w:val="19"/>
          <w:szCs w:val="19"/>
          <w:color w:val="auto"/>
        </w:rPr>
        <w:t>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Justin Dean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color w:val="222222"/>
        </w:rPr>
        <w:t>Ghost Management Group, LLC</w:t>
      </w:r>
    </w:p>
    <w:p>
      <w:pPr>
        <w:spacing w:after="0" w:line="2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222222"/>
        </w:rPr>
        <w:t>WM Holdings Company, LLC</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222222"/>
        </w:rPr>
        <w:t>Manager</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222222"/>
        </w:rPr>
        <w:t>WM Technology,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222222"/>
        </w:rPr>
        <w:t>Managing Member</w:t>
      </w:r>
    </w:p>
    <w:p>
      <w:pPr>
        <w:spacing w:after="0" w:line="2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u w:val="single" w:color="auto"/>
          <w:color w:val="auto"/>
        </w:rPr>
        <w:t>/s/ Douglas Francis_</w:t>
      </w:r>
      <w:r>
        <w:rPr>
          <w:rFonts w:ascii="Times New Roman" w:cs="Times New Roman" w:eastAsia="Times New Roman" w:hAnsi="Times New Roman"/>
          <w:sz w:val="19"/>
          <w:szCs w:val="19"/>
          <w:color w:val="auto"/>
        </w:rPr>
        <w:t>__________</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222222"/>
        </w:rPr>
        <w:t>Douglas Francis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222222"/>
        </w:rPr>
        <w:t>Executive Chair</w:t>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7,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 Beals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VIA EMAIL/DOCUSIGN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Chris: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letter sets forth the substance of the separation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that WM Technology,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offering to you.</w:t>
      </w:r>
    </w:p>
    <w:p>
      <w:pPr>
        <w:spacing w:after="0" w:line="114" w:lineRule="exact"/>
        <w:rPr>
          <w:sz w:val="20"/>
          <w:szCs w:val="20"/>
          <w:color w:val="auto"/>
        </w:rPr>
      </w:pPr>
    </w:p>
    <w:p>
      <w:pPr>
        <w:ind w:left="620" w:hanging="307"/>
        <w:spacing w:after="0" w:line="292"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Separation</w:t>
      </w:r>
      <w:r>
        <w:rPr>
          <w:rFonts w:ascii="Times New Roman" w:cs="Times New Roman" w:eastAsia="Times New Roman" w:hAnsi="Times New Roman"/>
          <w:sz w:val="17"/>
          <w:szCs w:val="17"/>
          <w:color w:val="auto"/>
        </w:rPr>
        <w:t>. You hereby resign from all positions you hold with the Company (including your position as Chief Executive Officer and as a member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and the Company hereby accepts such resignations, effective November 7, 2022 (the “</w:t>
      </w:r>
      <w:r>
        <w:rPr>
          <w:rFonts w:ascii="Times New Roman" w:cs="Times New Roman" w:eastAsia="Times New Roman" w:hAnsi="Times New Roman"/>
          <w:sz w:val="17"/>
          <w:szCs w:val="17"/>
          <w:b w:val="1"/>
          <w:bCs w:val="1"/>
          <w:color w:val="auto"/>
        </w:rPr>
        <w:t>Separation Date</w:t>
      </w:r>
      <w:r>
        <w:rPr>
          <w:rFonts w:ascii="Times New Roman" w:cs="Times New Roman" w:eastAsia="Times New Roman" w:hAnsi="Times New Roman"/>
          <w:sz w:val="17"/>
          <w:szCs w:val="17"/>
          <w:color w:val="auto"/>
        </w:rPr>
        <w:t>”).</w:t>
      </w:r>
    </w:p>
    <w:p>
      <w:pPr>
        <w:spacing w:after="0" w:line="40" w:lineRule="exact"/>
        <w:rPr>
          <w:rFonts w:ascii="Times New Roman" w:cs="Times New Roman" w:eastAsia="Times New Roman" w:hAnsi="Times New Roman"/>
          <w:sz w:val="17"/>
          <w:szCs w:val="17"/>
          <w:color w:val="auto"/>
        </w:rPr>
      </w:pPr>
    </w:p>
    <w:p>
      <w:pPr>
        <w:ind w:left="620" w:hanging="307"/>
        <w:spacing w:after="0" w:line="292"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Accrued Salary and Paid Time Off</w:t>
      </w:r>
      <w:r>
        <w:rPr>
          <w:rFonts w:ascii="Times New Roman" w:cs="Times New Roman" w:eastAsia="Times New Roman" w:hAnsi="Times New Roman"/>
          <w:sz w:val="17"/>
          <w:szCs w:val="17"/>
          <w:color w:val="auto"/>
        </w:rPr>
        <w:t>. On the Separation Date, the Company will pay you all accrued salary and all accrued and unused vacation/PTO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earned through the Separation Date, subject to standard payroll deductions and withholdings. You are entitled to this payment by law.</w:t>
      </w:r>
    </w:p>
    <w:p>
      <w:pPr>
        <w:spacing w:after="0" w:line="40" w:lineRule="exact"/>
        <w:rPr>
          <w:rFonts w:ascii="Times New Roman" w:cs="Times New Roman" w:eastAsia="Times New Roman" w:hAnsi="Times New Roman"/>
          <w:sz w:val="17"/>
          <w:szCs w:val="17"/>
          <w:color w:val="auto"/>
        </w:rPr>
      </w:pPr>
    </w:p>
    <w:p>
      <w:pPr>
        <w:ind w:left="620" w:hanging="307"/>
        <w:spacing w:after="0" w:line="292"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Severance Benefits. </w:t>
      </w:r>
      <w:r>
        <w:rPr>
          <w:rFonts w:ascii="Times New Roman" w:cs="Times New Roman" w:eastAsia="Times New Roman" w:hAnsi="Times New Roman"/>
          <w:sz w:val="17"/>
          <w:szCs w:val="17"/>
          <w:color w:val="auto"/>
        </w:rPr>
        <w:t>If you sign this Agreement and allow it to become effective, then the Company will provide you with the following severance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w:t>
      </w:r>
    </w:p>
    <w:p>
      <w:pPr>
        <w:spacing w:after="0" w:line="4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 Salary Continuation.</w:t>
      </w:r>
      <w:r>
        <w:rPr>
          <w:rFonts w:ascii="Times New Roman" w:cs="Times New Roman" w:eastAsia="Times New Roman" w:hAnsi="Times New Roman"/>
          <w:sz w:val="17"/>
          <w:szCs w:val="17"/>
          <w:color w:val="auto"/>
        </w:rPr>
        <w:t xml:space="preserve"> The Company will pay you, as severance, the equivalent of twelve (12) months of your base salary in effect as of the Separation Date, subject to standard payroll deductions and withholdings. This will be paid in the form of salary continuation, starting on the first payroll date following the Effective Date (as defined in Section 7(c)).</w:t>
      </w:r>
    </w:p>
    <w:p>
      <w:pPr>
        <w:spacing w:after="0" w:line="57" w:lineRule="exact"/>
        <w:rPr>
          <w:sz w:val="20"/>
          <w:szCs w:val="20"/>
          <w:color w:val="auto"/>
        </w:rPr>
      </w:pPr>
    </w:p>
    <w:p>
      <w:pPr>
        <w:jc w:val="both"/>
        <w:ind w:firstLine="931"/>
        <w:spacing w:after="0" w:line="261" w:lineRule="auto"/>
        <w:tabs>
          <w:tab w:leader="none" w:pos="1181" w:val="left"/>
        </w:tabs>
        <w:numPr>
          <w:ilvl w:val="1"/>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COBRA. </w:t>
      </w:r>
      <w:r>
        <w:rPr>
          <w:rFonts w:ascii="Times New Roman" w:cs="Times New Roman" w:eastAsia="Times New Roman" w:hAnsi="Times New Roman"/>
          <w:sz w:val="17"/>
          <w:szCs w:val="17"/>
          <w:color w:val="auto"/>
        </w:rPr>
        <w:t>Provided that you timely elect continued coverage under COBRA, then the Company shall pay (directly to the carrier) for the COBRA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premiums to continue your health insurance coverage (including coverage for eligible dependents, if applicable) through the period (the “</w:t>
      </w:r>
      <w:r>
        <w:rPr>
          <w:rFonts w:ascii="Times New Roman" w:cs="Times New Roman" w:eastAsia="Times New Roman" w:hAnsi="Times New Roman"/>
          <w:sz w:val="17"/>
          <w:szCs w:val="17"/>
          <w:b w:val="1"/>
          <w:bCs w:val="1"/>
          <w:color w:val="auto"/>
        </w:rPr>
        <w:t>COBRA Premium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starting on the Separation Date and ending on the earliest to occur of: (i) the first anniversary of the Separation Date; (ii) the date you become eligible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group health insurance coverage through a new employer; or (iii) the date you cease to be eligible for COBRA coverage for any reason. In the event you become covered under another employer’s group health plan or otherwise cease to be eligible for COBRA during the COBRA Premium Period, you must immediately notify the Company in writing.</w:t>
      </w:r>
    </w:p>
    <w:p>
      <w:pPr>
        <w:spacing w:after="0" w:line="65" w:lineRule="exact"/>
        <w:rPr>
          <w:rFonts w:ascii="Times New Roman" w:cs="Times New Roman" w:eastAsia="Times New Roman" w:hAnsi="Times New Roman"/>
          <w:sz w:val="17"/>
          <w:szCs w:val="17"/>
          <w:b w:val="1"/>
          <w:bCs w:val="1"/>
          <w:color w:val="auto"/>
        </w:rPr>
      </w:pPr>
    </w:p>
    <w:p>
      <w:pPr>
        <w:jc w:val="both"/>
        <w:ind w:firstLine="931"/>
        <w:spacing w:after="0" w:line="266" w:lineRule="auto"/>
        <w:tabs>
          <w:tab w:leader="none" w:pos="1179" w:val="left"/>
        </w:tabs>
        <w:numPr>
          <w:ilvl w:val="1"/>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Bonus Payment. </w:t>
      </w:r>
      <w:r>
        <w:rPr>
          <w:rFonts w:ascii="Times New Roman" w:cs="Times New Roman" w:eastAsia="Times New Roman" w:hAnsi="Times New Roman"/>
          <w:sz w:val="17"/>
          <w:szCs w:val="17"/>
          <w:color w:val="auto"/>
        </w:rPr>
        <w:t>The Company will pay you additional severance in an amount equal to $360,000, which represents your 2022 target bonus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you acknowledge and agree that you are not otherwise eligible to receive under the terms of the Company’s bonus plan). This amount, less deductions and withholdings, will be paid to you in twenty-six (26) equal installments over the twelve (12) month period following the Effective Date, on the same payroll dates as the salary continuation set forth in Section 3(a).</w:t>
      </w:r>
    </w:p>
    <w:p>
      <w:pPr>
        <w:spacing w:after="0" w:line="61" w:lineRule="exact"/>
        <w:rPr>
          <w:rFonts w:ascii="Times New Roman" w:cs="Times New Roman" w:eastAsia="Times New Roman" w:hAnsi="Times New Roman"/>
          <w:sz w:val="17"/>
          <w:szCs w:val="17"/>
          <w:b w:val="1"/>
          <w:bCs w:val="1"/>
          <w:color w:val="auto"/>
        </w:rPr>
      </w:pPr>
    </w:p>
    <w:p>
      <w:pPr>
        <w:jc w:val="both"/>
        <w:ind w:left="620" w:hanging="307"/>
        <w:spacing w:after="0" w:line="258"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Equity Awards. </w:t>
      </w:r>
      <w:r>
        <w:rPr>
          <w:rFonts w:ascii="Times New Roman" w:cs="Times New Roman" w:eastAsia="Times New Roman" w:hAnsi="Times New Roman"/>
          <w:sz w:val="17"/>
          <w:szCs w:val="17"/>
          <w:color w:val="auto"/>
        </w:rPr>
        <w:t>As of the Separation Date, you will hold 6,166,819 Class A Units of WM Holding Company, LLC and 6,166,819 shares of the Class 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of the Company. Additionally, you were granted 781,250 Restricted Stock Units of the Company pursuant to the RSU Award Grant Notice, dated as of December 11, 2021 (the “</w:t>
      </w:r>
      <w:r>
        <w:rPr>
          <w:rFonts w:ascii="Times New Roman" w:cs="Times New Roman" w:eastAsia="Times New Roman" w:hAnsi="Times New Roman"/>
          <w:sz w:val="17"/>
          <w:szCs w:val="17"/>
          <w:b w:val="1"/>
          <w:bCs w:val="1"/>
          <w:color w:val="auto"/>
        </w:rPr>
        <w:t>RSU Award Agreement</w:t>
      </w:r>
      <w:r>
        <w:rPr>
          <w:rFonts w:ascii="Times New Roman" w:cs="Times New Roman" w:eastAsia="Times New Roman" w:hAnsi="Times New Roman"/>
          <w:sz w:val="17"/>
          <w:szCs w:val="17"/>
          <w:color w:val="auto"/>
        </w:rPr>
        <w:t>”), of which 260,416 units have vested as of the Separation Date. Vesting of your equity awards will cease as of the Separation Date. However, as an additional benefit under this Agreement, if you sign this Agreement and allow it to become effective, then the Company will accelerate the vesting of your time-based equity awards under the RSU Award Agreement such that you will be deemed vested in an additional 292,969 units as of the Effective Date. For the sake of clarity, all of your performance-based equity awards will terminate as of the Separation Date and will not be subject to any acceleration. Except as set forth herein, all rights and obligations with respect to your awards will be as set forth in your award agreements, grant notices and applicable plan documents.</w:t>
      </w:r>
    </w:p>
    <w:p>
      <w:pPr>
        <w:spacing w:after="0" w:line="72"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Compensation or Benefits. </w:t>
      </w:r>
      <w:r>
        <w:rPr>
          <w:rFonts w:ascii="Times New Roman" w:cs="Times New Roman" w:eastAsia="Times New Roman" w:hAnsi="Times New Roman"/>
          <w:sz w:val="17"/>
          <w:szCs w:val="17"/>
          <w:color w:val="auto"/>
        </w:rPr>
        <w:t>You acknowledge that, except as expressly provided in this Agreement, you have not earned and will not receive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any additional compensation (including base salary, bonus, incentive compensation, or equity), severance, or benefits before or after the Separation Date,</w:t>
      </w:r>
    </w:p>
    <w:p>
      <w:pPr>
        <w:sectPr>
          <w:pgSz w:w="11900" w:h="16838" w:orient="portrait"/>
          <w:cols w:equalWidth="0" w:num="1">
            <w:col w:w="11240"/>
          </w:cols>
          <w:pgMar w:left="320" w:top="119" w:right="339" w:bottom="1440" w:gutter="0" w:footer="0" w:header="0"/>
        </w:sectPr>
      </w:pPr>
    </w:p>
    <w:bookmarkStart w:id="140" w:name="page141"/>
    <w:bookmarkEnd w:id="140"/>
    <w:p>
      <w:pPr>
        <w:jc w:val="both"/>
        <w:ind w:left="307"/>
        <w:spacing w:after="0" w:line="261" w:lineRule="auto"/>
        <w:rPr>
          <w:sz w:val="20"/>
          <w:szCs w:val="20"/>
          <w:color w:val="auto"/>
        </w:rPr>
      </w:pPr>
      <w:r>
        <w:rPr>
          <w:rFonts w:ascii="Times New Roman" w:cs="Times New Roman" w:eastAsia="Times New Roman" w:hAnsi="Times New Roman"/>
          <w:sz w:val="17"/>
          <w:szCs w:val="17"/>
          <w:color w:val="auto"/>
        </w:rPr>
        <w:t>with the exception of any vested right you may have under the express terms of a written ERISA-qualified benefit plan (e.g., 401(k) account), any vested equity awards, and payment of incurred but unpaid claims under any group health plan or other welfare benefit plan maintained by the Company in which you are a participant. You further acknowledge and agree that you are accepting the benefits set forth herein in lieu of any benefits that you may be eligible to receive under the WM Technology, Inc. Severance and Change in Control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and that you are extinguishing your right to any benefits under the Plan.</w:t>
      </w:r>
    </w:p>
    <w:p>
      <w:pPr>
        <w:spacing w:after="0" w:line="68" w:lineRule="exact"/>
        <w:rPr>
          <w:sz w:val="20"/>
          <w:szCs w:val="20"/>
          <w:color w:val="auto"/>
        </w:rPr>
      </w:pPr>
    </w:p>
    <w:p>
      <w:pPr>
        <w:jc w:val="both"/>
        <w:ind w:left="307" w:hanging="307"/>
        <w:spacing w:after="0" w:line="272" w:lineRule="auto"/>
        <w:tabs>
          <w:tab w:leader="none" w:pos="30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Expense Reimbursements. </w:t>
      </w:r>
      <w:r>
        <w:rPr>
          <w:rFonts w:ascii="Times New Roman" w:cs="Times New Roman" w:eastAsia="Times New Roman" w:hAnsi="Times New Roman"/>
          <w:sz w:val="17"/>
          <w:szCs w:val="17"/>
          <w:color w:val="auto"/>
        </w:rPr>
        <w:t>You agree that, within thirty (30) days after the Separation Date, you will submit your final documented expense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reimbursement statement reflecting all business expenses you incurred through the Separation Date, if any, for which you seek reimbursement. The Company will reimburse you for these expenses pursuant to its regular business practice.</w:t>
      </w:r>
    </w:p>
    <w:p>
      <w:pPr>
        <w:spacing w:after="0" w:line="5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Release of Claims.</w:t>
      </w:r>
    </w:p>
    <w:p>
      <w:pPr>
        <w:spacing w:after="0" w:line="113" w:lineRule="exact"/>
        <w:rPr>
          <w:rFonts w:ascii="Times New Roman" w:cs="Times New Roman" w:eastAsia="Times New Roman" w:hAnsi="Times New Roman"/>
          <w:sz w:val="17"/>
          <w:szCs w:val="17"/>
          <w:color w:val="auto"/>
        </w:rPr>
      </w:pPr>
    </w:p>
    <w:p>
      <w:pPr>
        <w:jc w:val="both"/>
        <w:ind w:left="927" w:hanging="309"/>
        <w:spacing w:after="0" w:line="262" w:lineRule="auto"/>
        <w:tabs>
          <w:tab w:leader="none" w:pos="917"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 Release of Claims</w:t>
      </w:r>
      <w:r>
        <w:rPr>
          <w:rFonts w:ascii="Times New Roman" w:cs="Times New Roman" w:eastAsia="Times New Roman" w:hAnsi="Times New Roman"/>
          <w:sz w:val="17"/>
          <w:szCs w:val="17"/>
          <w:color w:val="auto"/>
        </w:rPr>
        <w:t>. In exchange for the consideration provided to you under this Agreement to which you would not otherwise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67" w:lineRule="exact"/>
        <w:rPr>
          <w:rFonts w:ascii="Times New Roman" w:cs="Times New Roman" w:eastAsia="Times New Roman" w:hAnsi="Times New Roman"/>
          <w:sz w:val="17"/>
          <w:szCs w:val="17"/>
          <w:color w:val="auto"/>
        </w:rPr>
      </w:pPr>
    </w:p>
    <w:p>
      <w:pPr>
        <w:jc w:val="both"/>
        <w:ind w:left="927" w:hanging="309"/>
        <w:spacing w:after="0" w:line="256" w:lineRule="auto"/>
        <w:tabs>
          <w:tab w:leader="none" w:pos="927"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Scope of Release</w:t>
      </w:r>
      <w:r>
        <w:rPr>
          <w:rFonts w:ascii="Times New Roman" w:cs="Times New Roman" w:eastAsia="Times New Roman" w:hAnsi="Times New Roman"/>
          <w:sz w:val="17"/>
          <w:szCs w:val="17"/>
          <w:color w:val="auto"/>
        </w:rPr>
        <w:t>. This general release includes, but is not limited to: (i) all claims arising from or in any way related to your employment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Times New Roman" w:cs="Times New Roman" w:eastAsia="Times New Roman" w:hAnsi="Times New Roman"/>
          <w:sz w:val="17"/>
          <w:szCs w:val="17"/>
          <w:b w:val="1"/>
          <w:bCs w:val="1"/>
          <w:color w:val="auto"/>
        </w:rPr>
        <w:t>ADEA</w:t>
      </w:r>
      <w:r>
        <w:rPr>
          <w:rFonts w:ascii="Times New Roman" w:cs="Times New Roman" w:eastAsia="Times New Roman" w:hAnsi="Times New Roman"/>
          <w:sz w:val="17"/>
          <w:szCs w:val="17"/>
          <w:color w:val="auto"/>
        </w:rPr>
        <w:t xml:space="preserve">”) and the California Fair Employment and Housing Act (as amended). </w:t>
      </w:r>
      <w:r>
        <w:rPr>
          <w:rFonts w:ascii="Times New Roman" w:cs="Times New Roman" w:eastAsia="Times New Roman" w:hAnsi="Times New Roman"/>
          <w:sz w:val="17"/>
          <w:szCs w:val="17"/>
          <w:b w:val="1"/>
          <w:bCs w:val="1"/>
          <w:color w:val="auto"/>
        </w:rPr>
        <w:t>You acknowledge that you have been advised, as required by California Government Code</w:t>
      </w:r>
    </w:p>
    <w:p>
      <w:pPr>
        <w:jc w:val="both"/>
        <w:ind w:left="927"/>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12964.5(b)(4), that you have the right to consult an attorney regarding this Agreement and that you were given a reasonable time period of not less than five business days in which to do so. </w:t>
      </w:r>
      <w:r>
        <w:rPr>
          <w:rFonts w:ascii="Times New Roman" w:cs="Times New Roman" w:eastAsia="Times New Roman" w:hAnsi="Times New Roman"/>
          <w:sz w:val="17"/>
          <w:szCs w:val="17"/>
          <w:color w:val="auto"/>
        </w:rPr>
        <w:t>You further acknowledge and agree that, in the event you sign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71" w:lineRule="exact"/>
        <w:rPr>
          <w:rFonts w:ascii="Times New Roman" w:cs="Times New Roman" w:eastAsia="Times New Roman" w:hAnsi="Times New Roman"/>
          <w:sz w:val="17"/>
          <w:szCs w:val="17"/>
          <w:color w:val="auto"/>
        </w:rPr>
      </w:pPr>
    </w:p>
    <w:p>
      <w:pPr>
        <w:jc w:val="both"/>
        <w:ind w:left="927" w:hanging="309"/>
        <w:spacing w:after="0" w:line="259" w:lineRule="auto"/>
        <w:tabs>
          <w:tab w:leader="none" w:pos="917"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ADEA Release. </w:t>
      </w:r>
      <w:r>
        <w:rPr>
          <w:rFonts w:ascii="Times New Roman" w:cs="Times New Roman" w:eastAsia="Times New Roman" w:hAnsi="Times New Roman"/>
          <w:sz w:val="17"/>
          <w:szCs w:val="17"/>
          <w:color w:val="auto"/>
        </w:rPr>
        <w:t>You acknowledge that you are knowingly and voluntarily waiving and releasing any rights you have under the ADEA, and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twenty-one (21) days to consider this Agreement (although you may choose voluntarily to sign it sooner); (iv) you have seven (7) days following the date you sign this Agreement to revoke this Agreement (in a written revocation sent to the Company); and (v) this Agreement will not be effective until the date upon which the</w:t>
      </w:r>
    </w:p>
    <w:p>
      <w:pPr>
        <w:sectPr>
          <w:pgSz w:w="11900" w:h="16838" w:orient="portrait"/>
          <w:cols w:equalWidth="0" w:num="1">
            <w:col w:w="10927"/>
          </w:cols>
          <w:pgMar w:left="633" w:top="1361" w:right="339" w:bottom="1440" w:gutter="0" w:footer="0" w:header="0"/>
        </w:sectPr>
      </w:pPr>
    </w:p>
    <w:bookmarkStart w:id="141" w:name="page142"/>
    <w:bookmarkEnd w:id="141"/>
    <w:p>
      <w:pPr>
        <w:ind w:left="927"/>
        <w:spacing w:after="0" w:line="292" w:lineRule="auto"/>
        <w:rPr>
          <w:sz w:val="20"/>
          <w:szCs w:val="20"/>
          <w:color w:val="auto"/>
        </w:rPr>
      </w:pPr>
      <w:r>
        <w:rPr>
          <w:rFonts w:ascii="Times New Roman" w:cs="Times New Roman" w:eastAsia="Times New Roman" w:hAnsi="Times New Roman"/>
          <w:sz w:val="17"/>
          <w:szCs w:val="17"/>
          <w:color w:val="auto"/>
        </w:rPr>
        <w:t>revocation period has expired, which will be the eighth day after you sign this Agreement provided that you do not revoke it (the “</w:t>
      </w:r>
      <w:r>
        <w:rPr>
          <w:rFonts w:ascii="Times New Roman" w:cs="Times New Roman" w:eastAsia="Times New Roman" w:hAnsi="Times New Roman"/>
          <w:sz w:val="17"/>
          <w:szCs w:val="17"/>
          <w:b w:val="1"/>
          <w:bCs w:val="1"/>
          <w:color w:val="auto"/>
        </w:rPr>
        <w:t>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w:t>
      </w:r>
    </w:p>
    <w:p>
      <w:pPr>
        <w:spacing w:after="0" w:line="40" w:lineRule="exact"/>
        <w:rPr>
          <w:sz w:val="20"/>
          <w:szCs w:val="20"/>
          <w:color w:val="auto"/>
        </w:rPr>
      </w:pPr>
    </w:p>
    <w:p>
      <w:pPr>
        <w:jc w:val="both"/>
        <w:ind w:left="927" w:hanging="309"/>
        <w:spacing w:after="0" w:line="261" w:lineRule="auto"/>
        <w:tabs>
          <w:tab w:leader="none" w:pos="92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1542 Waiver. </w:t>
      </w:r>
      <w:r>
        <w:rPr>
          <w:rFonts w:ascii="Times New Roman" w:cs="Times New Roman" w:eastAsia="Times New Roman" w:hAnsi="Times New Roman"/>
          <w:sz w:val="17"/>
          <w:szCs w:val="17"/>
          <w:color w:val="auto"/>
        </w:rPr>
        <w:t>In giving the release herein, which includes claims which may be unknown to you at present, you acknowledge that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have read and understand Section 1542 of the California Civil Code, which reads as follows: </w:t>
      </w:r>
      <w:r>
        <w:rPr>
          <w:rFonts w:ascii="Times New Roman" w:cs="Times New Roman" w:eastAsia="Times New Roman" w:hAnsi="Times New Roman"/>
          <w:sz w:val="17"/>
          <w:szCs w:val="17"/>
          <w:b w:val="1"/>
          <w:bCs w:val="1"/>
          <w:color w:val="auto"/>
        </w:rPr>
        <w:t>“A general release does not extend to claims that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cs="Times New Roman" w:eastAsia="Times New Roman" w:hAnsi="Times New Roman"/>
          <w:sz w:val="17"/>
          <w:szCs w:val="17"/>
          <w:color w:val="auto"/>
        </w:rPr>
        <w:t>You hereby expressly waive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relinquish all rights and benefits under that section and any law of any other jurisdiction of similar effect with respect to your release of claims herein, including but not limited to your release of unknown claims.</w:t>
      </w:r>
    </w:p>
    <w:p>
      <w:pPr>
        <w:spacing w:after="0" w:line="65" w:lineRule="exact"/>
        <w:rPr>
          <w:rFonts w:ascii="Times New Roman" w:cs="Times New Roman" w:eastAsia="Times New Roman" w:hAnsi="Times New Roman"/>
          <w:sz w:val="17"/>
          <w:szCs w:val="17"/>
          <w:color w:val="auto"/>
        </w:rPr>
      </w:pPr>
    </w:p>
    <w:p>
      <w:pPr>
        <w:jc w:val="both"/>
        <w:ind w:left="927" w:hanging="309"/>
        <w:spacing w:after="0" w:line="258" w:lineRule="auto"/>
        <w:tabs>
          <w:tab w:leader="none" w:pos="91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Exceptions</w:t>
      </w:r>
      <w:r>
        <w:rPr>
          <w:rFonts w:ascii="Times New Roman" w:cs="Times New Roman" w:eastAsia="Times New Roman" w:hAnsi="Times New Roman"/>
          <w:sz w:val="17"/>
          <w:szCs w:val="17"/>
          <w:color w:val="auto"/>
        </w:rPr>
        <w:t>. Notwithstanding the foregoing, you are not releasing the Company hereby from: (i) any obligation to indemnify you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Articles and Bylaws of the Company, any valid fully executed indemnification agreement with the Company, applicable law, or applicable directors and officers liability insurance; (ii) any claims that cannot be waived by law; (iii) any claims for breach of this Agreement; (iv) any vested benefit under the express terms of a written ERISA-qualified benefit plan (e.g., 401(k) account) or payment of incurred but unpaid claims under any group health plan or other welfare benefit plan maintained by the Company in which you are a participant; or (v) existing rights and obligations under the plan documents governing your vested equity awards (including, without limitation, the Ghost Management Group, LLC Operating Agreement and the Exchange Agreement, dated as of June 16, 2021, among WM Technology, Inc., a Delaware corporation, WM Holding Company, LLC, a Delaware limited liability company, and certain holders of LLC Units).</w:t>
      </w:r>
    </w:p>
    <w:p>
      <w:pPr>
        <w:spacing w:after="0" w:line="72" w:lineRule="exact"/>
        <w:rPr>
          <w:rFonts w:ascii="Times New Roman" w:cs="Times New Roman" w:eastAsia="Times New Roman" w:hAnsi="Times New Roman"/>
          <w:sz w:val="17"/>
          <w:szCs w:val="17"/>
          <w:color w:val="auto"/>
        </w:rPr>
      </w:pPr>
    </w:p>
    <w:p>
      <w:pPr>
        <w:jc w:val="both"/>
        <w:ind w:left="927" w:hanging="309"/>
        <w:spacing w:after="0" w:line="257" w:lineRule="auto"/>
        <w:tabs>
          <w:tab w:leader="none" w:pos="92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Protected Rights. </w:t>
      </w:r>
      <w:r>
        <w:rPr>
          <w:rFonts w:ascii="Times New Roman" w:cs="Times New Roman" w:eastAsia="Times New Roman" w:hAnsi="Times New Roman"/>
          <w:sz w:val="17"/>
          <w:szCs w:val="17"/>
          <w:color w:val="auto"/>
        </w:rPr>
        <w:t>You understand that nothing in this Agreement limits your ability to file a charge or complaint with the Equal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Times New Roman" w:cs="Times New Roman" w:eastAsia="Times New Roman" w:hAnsi="Times New Roman"/>
          <w:sz w:val="17"/>
          <w:szCs w:val="17"/>
          <w:b w:val="1"/>
          <w:bCs w:val="1"/>
          <w:color w:val="auto"/>
        </w:rPr>
        <w:t>Government Agencies</w:t>
      </w:r>
      <w:r>
        <w:rPr>
          <w:rFonts w:ascii="Times New Roman" w:cs="Times New Roman" w:eastAsia="Times New Roman" w:hAnsi="Times New Roman"/>
          <w:sz w:val="17"/>
          <w:szCs w:val="17"/>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spacing w:after="0" w:line="278" w:lineRule="exact"/>
        <w:rPr>
          <w:rFonts w:ascii="Times New Roman" w:cs="Times New Roman" w:eastAsia="Times New Roman" w:hAnsi="Times New Roman"/>
          <w:sz w:val="17"/>
          <w:szCs w:val="17"/>
          <w:color w:val="auto"/>
        </w:rPr>
      </w:pPr>
    </w:p>
    <w:p>
      <w:pPr>
        <w:jc w:val="both"/>
        <w:ind w:left="307" w:hanging="307"/>
        <w:spacing w:after="0" w:line="257" w:lineRule="auto"/>
        <w:tabs>
          <w:tab w:leader="none" w:pos="307"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Return of Company Property</w:t>
      </w:r>
      <w:r>
        <w:rPr>
          <w:rFonts w:ascii="Times New Roman" w:cs="Times New Roman" w:eastAsia="Times New Roman" w:hAnsi="Times New Roman"/>
          <w:sz w:val="17"/>
          <w:szCs w:val="17"/>
          <w:color w:val="auto"/>
        </w:rPr>
        <w:t>. You agree that, by the Separation Date, you will return to the Company all Company documents (and all copies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within five (5) days after the Separation Date, you shall provide</w:t>
      </w:r>
    </w:p>
    <w:p>
      <w:pPr>
        <w:sectPr>
          <w:pgSz w:w="11900" w:h="16838" w:orient="portrait"/>
          <w:cols w:equalWidth="0" w:num="1">
            <w:col w:w="10927"/>
          </w:cols>
          <w:pgMar w:left="633" w:top="1357" w:right="339" w:bottom="1440" w:gutter="0" w:footer="0" w:header="0"/>
        </w:sectPr>
      </w:pPr>
    </w:p>
    <w:bookmarkStart w:id="142" w:name="page143"/>
    <w:bookmarkEnd w:id="142"/>
    <w:p>
      <w:pPr>
        <w:jc w:val="both"/>
        <w:ind w:left="307"/>
        <w:spacing w:after="0" w:line="264" w:lineRule="auto"/>
        <w:rPr>
          <w:sz w:val="20"/>
          <w:szCs w:val="20"/>
          <w:color w:val="auto"/>
        </w:rPr>
      </w:pPr>
      <w:r>
        <w:rPr>
          <w:rFonts w:ascii="Times New Roman" w:cs="Times New Roman" w:eastAsia="Times New Roman" w:hAnsi="Times New Roman"/>
          <w:sz w:val="17"/>
          <w:szCs w:val="17"/>
          <w:color w:val="auto"/>
        </w:rPr>
        <w:t xml:space="preserve">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 w:cs="Times New Roman" w:eastAsia="Times New Roman" w:hAnsi="Times New Roman"/>
          <w:sz w:val="17"/>
          <w:szCs w:val="17"/>
          <w:b w:val="1"/>
          <w:bCs w:val="1"/>
          <w:color w:val="auto"/>
        </w:rPr>
        <w:t>Your timely compliance with this paragraph is a condition to your receipt of the severance benefits provided under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p>
    <w:p>
      <w:pPr>
        <w:spacing w:after="0" w:line="64" w:lineRule="exact"/>
        <w:rPr>
          <w:sz w:val="20"/>
          <w:szCs w:val="20"/>
          <w:color w:val="auto"/>
        </w:rPr>
      </w:pPr>
    </w:p>
    <w:p>
      <w:pPr>
        <w:ind w:left="307" w:hanging="307"/>
        <w:spacing w:after="0"/>
        <w:tabs>
          <w:tab w:leader="none" w:pos="307"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Information Obligations</w:t>
      </w:r>
      <w:r>
        <w:rPr>
          <w:rFonts w:ascii="Times New Roman" w:cs="Times New Roman" w:eastAsia="Times New Roman" w:hAnsi="Times New Roman"/>
          <w:sz w:val="17"/>
          <w:szCs w:val="17"/>
          <w:color w:val="auto"/>
        </w:rPr>
        <w:t>. You acknowledge and reaffirm your continuing obligations under your employee confidentiality agreement.</w:t>
      </w:r>
    </w:p>
    <w:p>
      <w:pPr>
        <w:spacing w:after="0" w:line="113" w:lineRule="exact"/>
        <w:rPr>
          <w:rFonts w:ascii="Times New Roman" w:cs="Times New Roman" w:eastAsia="Times New Roman" w:hAnsi="Times New Roman"/>
          <w:sz w:val="17"/>
          <w:szCs w:val="17"/>
          <w:color w:val="auto"/>
        </w:rPr>
      </w:pPr>
    </w:p>
    <w:p>
      <w:pPr>
        <w:jc w:val="both"/>
        <w:ind w:left="307" w:hanging="307"/>
        <w:spacing w:after="0" w:line="272" w:lineRule="auto"/>
        <w:tabs>
          <w:tab w:leader="none" w:pos="30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Voluntary Adverse Action</w:t>
      </w:r>
      <w:r>
        <w:rPr>
          <w:rFonts w:ascii="Times New Roman" w:cs="Times New Roman" w:eastAsia="Times New Roman" w:hAnsi="Times New Roman"/>
          <w:sz w:val="17"/>
          <w:szCs w:val="17"/>
          <w:color w:val="auto"/>
        </w:rPr>
        <w:t>. You agree that you will not voluntarily (except in response to legal compulsion or as permitted under the section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57" w:lineRule="exact"/>
        <w:rPr>
          <w:rFonts w:ascii="Times New Roman" w:cs="Times New Roman" w:eastAsia="Times New Roman" w:hAnsi="Times New Roman"/>
          <w:sz w:val="17"/>
          <w:szCs w:val="17"/>
          <w:color w:val="auto"/>
        </w:rPr>
      </w:pPr>
    </w:p>
    <w:p>
      <w:pPr>
        <w:jc w:val="both"/>
        <w:ind w:left="307" w:hanging="307"/>
        <w:spacing w:after="0" w:line="261" w:lineRule="auto"/>
        <w:tabs>
          <w:tab w:leader="none" w:pos="29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Cooperation. </w:t>
      </w:r>
      <w:r>
        <w:rPr>
          <w:rFonts w:ascii="Times New Roman" w:cs="Times New Roman" w:eastAsia="Times New Roman" w:hAnsi="Times New Roman"/>
          <w:sz w:val="17"/>
          <w:szCs w:val="17"/>
          <w:color w:val="auto"/>
        </w:rPr>
        <w:t>You agree to cooperate fully with the Company in connection with its actual or contemplated defense, prosecution, or investigation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65" w:lineRule="exact"/>
        <w:rPr>
          <w:rFonts w:ascii="Times New Roman" w:cs="Times New Roman" w:eastAsia="Times New Roman" w:hAnsi="Times New Roman"/>
          <w:sz w:val="17"/>
          <w:szCs w:val="17"/>
          <w:color w:val="auto"/>
        </w:rPr>
      </w:pPr>
    </w:p>
    <w:p>
      <w:pPr>
        <w:ind w:left="307" w:hanging="307"/>
        <w:spacing w:after="0" w:line="292" w:lineRule="auto"/>
        <w:tabs>
          <w:tab w:leader="none" w:pos="30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Admissions. </w:t>
      </w:r>
      <w:r>
        <w:rPr>
          <w:rFonts w:ascii="Times New Roman" w:cs="Times New Roman" w:eastAsia="Times New Roman" w:hAnsi="Times New Roman"/>
          <w:sz w:val="17"/>
          <w:szCs w:val="17"/>
          <w:color w:val="auto"/>
        </w:rPr>
        <w:t>You understand and agree that the promises and payments in consideration of this Agreement shall not be construed to be an admission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liability or obligation by the Company to you or to any other person, and that the Company makes no such admission.</w:t>
      </w:r>
    </w:p>
    <w:p>
      <w:pPr>
        <w:spacing w:after="0" w:line="40" w:lineRule="exact"/>
        <w:rPr>
          <w:rFonts w:ascii="Times New Roman" w:cs="Times New Roman" w:eastAsia="Times New Roman" w:hAnsi="Times New Roman"/>
          <w:sz w:val="17"/>
          <w:szCs w:val="17"/>
          <w:color w:val="auto"/>
        </w:rPr>
      </w:pPr>
    </w:p>
    <w:p>
      <w:pPr>
        <w:jc w:val="both"/>
        <w:ind w:left="307" w:hanging="307"/>
        <w:spacing w:after="0" w:line="272" w:lineRule="auto"/>
        <w:tabs>
          <w:tab w:leader="none" w:pos="30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Representations. </w:t>
      </w:r>
      <w:r>
        <w:rPr>
          <w:rFonts w:ascii="Times New Roman" w:cs="Times New Roman" w:eastAsia="Times New Roman" w:hAnsi="Times New Roman"/>
          <w:sz w:val="17"/>
          <w:szCs w:val="17"/>
          <w:color w:val="auto"/>
        </w:rPr>
        <w:t>You hereby represent that you have: been paid all compensation owed and for all hours worked; received all leave and leave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protections for which you are eligible pursuant to the Family and Medical Leave Act, the California Family Rights Act, or otherwise; and not suffered any on-the-job injury for which you have not already filed a workers’ compensation claim.</w:t>
      </w:r>
    </w:p>
    <w:p>
      <w:pPr>
        <w:spacing w:after="0" w:line="57" w:lineRule="exact"/>
        <w:rPr>
          <w:rFonts w:ascii="Times New Roman" w:cs="Times New Roman" w:eastAsia="Times New Roman" w:hAnsi="Times New Roman"/>
          <w:sz w:val="17"/>
          <w:szCs w:val="17"/>
          <w:color w:val="auto"/>
        </w:rPr>
      </w:pPr>
    </w:p>
    <w:p>
      <w:pPr>
        <w:jc w:val="both"/>
        <w:ind w:left="307" w:hanging="307"/>
        <w:spacing w:after="0" w:line="255" w:lineRule="auto"/>
        <w:tabs>
          <w:tab w:leader="none" w:pos="30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Dispute Resolution. </w:t>
      </w:r>
      <w:r>
        <w:rPr>
          <w:rFonts w:ascii="Times New Roman" w:cs="Times New Roman" w:eastAsia="Times New Roman" w:hAnsi="Times New Roman"/>
          <w:sz w:val="17"/>
          <w:szCs w:val="17"/>
          <w:color w:val="auto"/>
        </w:rPr>
        <w:t>You and the Company agree that any and all disputes, claims, or controversies of any nature whatsoever arising from, or relating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or its interpretation, enforcement, breach, performance or execution, your employment or the termination of such employment (including, but not limited to, any statutory claims)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shall be resolved, pursuant to the Federal Arbitration Act, 9 U.S.C. §1-16, and to the fullest extent permitted by law, by final, binding and confidential arbitration in a mutually acceptable location conducted before a single neutral arbitrator by JAMS, Inc. (“</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xml:space="preserve">”) or its successor, under the then applicable JAMS Arbitration Rules and Procedures for Employment Disputes (available at http://www.jamsadr.com/rules-employment-arbitration/). </w:t>
      </w:r>
      <w:r>
        <w:rPr>
          <w:rFonts w:ascii="Times New Roman" w:cs="Times New Roman" w:eastAsia="Times New Roman" w:hAnsi="Times New Roman"/>
          <w:sz w:val="17"/>
          <w:szCs w:val="17"/>
          <w:b w:val="1"/>
          <w:bCs w:val="1"/>
          <w:color w:val="auto"/>
        </w:rPr>
        <w:t>By agreeing to this arbitration procedure, both you and the Company waive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the right to have any Claim resolved through a trial by jury or judge or an administrative proceeding. </w:t>
      </w:r>
      <w:r>
        <w:rPr>
          <w:rFonts w:ascii="Times New Roman" w:cs="Times New Roman" w:eastAsia="Times New Roman" w:hAnsi="Times New Roman"/>
          <w:sz w:val="17"/>
          <w:szCs w:val="17"/>
          <w:color w:val="auto"/>
        </w:rPr>
        <w:t>You will have the right to be represented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counsel at any arbitration proceeding, at your own expense. This paragraph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the applicable law(s) are not preempted by the Federal Arbitration Act or otherwise invalid (collectively, the “</w:t>
      </w:r>
      <w:r>
        <w:rPr>
          <w:rFonts w:ascii="Times New Roman" w:cs="Times New Roman" w:eastAsia="Times New Roman" w:hAnsi="Times New Roman"/>
          <w:sz w:val="17"/>
          <w:szCs w:val="17"/>
          <w:b w:val="1"/>
          <w:bCs w:val="1"/>
          <w:color w:val="auto"/>
        </w:rPr>
        <w:t>Excluded Claims</w:t>
      </w:r>
      <w:r>
        <w:rPr>
          <w:rFonts w:ascii="Times New Roman" w:cs="Times New Roman" w:eastAsia="Times New Roman" w:hAnsi="Times New Roman"/>
          <w:sz w:val="17"/>
          <w:szCs w:val="17"/>
          <w:color w:val="auto"/>
        </w:rPr>
        <w:t>”). In the event you intend to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w:t>
      </w:r>
    </w:p>
    <w:p>
      <w:pPr>
        <w:sectPr>
          <w:pgSz w:w="11900" w:h="16838" w:orient="portrait"/>
          <w:cols w:equalWidth="0" w:num="1">
            <w:col w:w="10927"/>
          </w:cols>
          <w:pgMar w:left="633" w:top="1361" w:right="339" w:bottom="1440" w:gutter="0" w:footer="0" w:header="0"/>
        </w:sectPr>
      </w:pPr>
    </w:p>
    <w:bookmarkStart w:id="143" w:name="page144"/>
    <w:bookmarkEnd w:id="143"/>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58" w:lineRule="exact"/>
        <w:rPr>
          <w:sz w:val="20"/>
          <w:szCs w:val="20"/>
          <w:color w:val="auto"/>
        </w:rPr>
      </w:pPr>
    </w:p>
    <w:p>
      <w:pPr>
        <w:jc w:val="both"/>
        <w:ind w:left="620" w:hanging="307"/>
        <w:spacing w:after="0" w:line="257" w:lineRule="auto"/>
        <w:tabs>
          <w:tab w:leader="none" w:pos="61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This Agreement constitutes the complete, final and exclusive embodiment of the entire agreement between you and the Company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this Agreement is acceptable to you, please sign below and return the original to me. You have twenty-one (21) calendar days to decide whether to accept this Agreement, and the Company’s offer contained herein will automatically expire if you do not sign and return it within that timeframe.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wish you the best in your future endeavors.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wp:posOffset>
            </wp:positionV>
            <wp:extent cx="869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Douglas Francis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Chair of the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have read, understand and agree fully to the foregoing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Chris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wp:posOffset>
            </wp:positionV>
            <wp:extent cx="663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 Beals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7, 2022</w:t>
      </w:r>
    </w:p>
    <w:p>
      <w:pPr>
        <w:sectPr>
          <w:pgSz w:w="11900" w:h="16838" w:orient="portrait"/>
          <w:cols w:equalWidth="0" w:num="1">
            <w:col w:w="11240"/>
          </w:cols>
          <w:pgMar w:left="320" w:top="1361" w:right="339" w:bottom="1440" w:gutter="0" w:footer="0" w:header="0"/>
        </w:sectPr>
      </w:pPr>
    </w:p>
    <w:bookmarkStart w:id="144" w:name="page145"/>
    <w:bookmarkEnd w:id="144"/>
    <w:p>
      <w:pPr>
        <w:ind w:left="10080"/>
        <w:spacing w:after="0"/>
        <w:rPr>
          <w:sz w:val="20"/>
          <w:szCs w:val="20"/>
          <w:color w:val="auto"/>
        </w:rPr>
      </w:pPr>
      <w:r>
        <w:rPr>
          <w:rFonts w:ascii="Times New Roman" w:cs="Times New Roman" w:eastAsia="Times New Roman" w:hAnsi="Times New Roman"/>
          <w:sz w:val="19"/>
          <w:szCs w:val="19"/>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Ghost Management Group, LLC</w:t>
      </w:r>
    </w:p>
    <w:p>
      <w:pPr>
        <w:spacing w:after="0" w:line="37" w:lineRule="exact"/>
        <w:rPr>
          <w:sz w:val="20"/>
          <w:szCs w:val="20"/>
          <w:color w:val="auto"/>
        </w:rPr>
      </w:pPr>
    </w:p>
    <w:p>
      <w:pPr>
        <w:ind w:left="5380" w:hanging="216"/>
        <w:spacing w:after="0"/>
        <w:tabs>
          <w:tab w:leader="none" w:pos="53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Discovery</w:t>
      </w:r>
    </w:p>
    <w:p>
      <w:pPr>
        <w:spacing w:after="0" w:line="27" w:lineRule="exact"/>
        <w:rPr>
          <w:rFonts w:ascii="Times New Roman" w:cs="Times New Roman" w:eastAsia="Times New Roman" w:hAnsi="Times New Roman"/>
          <w:sz w:val="17"/>
          <w:szCs w:val="17"/>
          <w:color w:val="auto"/>
        </w:rPr>
      </w:pPr>
    </w:p>
    <w:p>
      <w:pPr>
        <w:ind w:left="4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Irvine, California 92618</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121"/>
        </w:rPr>
        <w:t>August 20, 2019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Dear </w:t>
      </w:r>
      <w:r>
        <w:rPr>
          <w:rFonts w:ascii="Times New Roman" w:cs="Times New Roman" w:eastAsia="Times New Roman" w:hAnsi="Times New Roman"/>
          <w:sz w:val="17"/>
          <w:szCs w:val="17"/>
          <w:color w:val="212121"/>
        </w:rPr>
        <w:t>Duncan Blake Grazier:</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This letter is to memorialize the offer of employment (the “Offer”) made to </w:t>
      </w:r>
      <w:r>
        <w:rPr>
          <w:rFonts w:ascii="Times New Roman" w:cs="Times New Roman" w:eastAsia="Times New Roman" w:hAnsi="Times New Roman"/>
          <w:sz w:val="17"/>
          <w:szCs w:val="17"/>
          <w:color w:val="212121"/>
        </w:rPr>
        <w:t>Duncan Blake Grazier</w:t>
      </w:r>
      <w:r>
        <w:rPr>
          <w:rFonts w:ascii="Times New Roman" w:cs="Times New Roman" w:eastAsia="Times New Roman" w:hAnsi="Times New Roman"/>
          <w:sz w:val="17"/>
          <w:szCs w:val="17"/>
          <w:color w:val="auto"/>
        </w:rPr>
        <w:t xml:space="preserve"> by Ghost Management Group, LLC (the “Company”) and to set forth the specific terms and conditions of your employment with the Company.</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Position</w:t>
      </w:r>
      <w:r>
        <w:rPr>
          <w:rFonts w:ascii="Times New Roman" w:cs="Times New Roman" w:eastAsia="Times New Roman" w:hAnsi="Times New Roman"/>
          <w:sz w:val="17"/>
          <w:szCs w:val="17"/>
          <w:color w:val="auto"/>
        </w:rPr>
        <w:t xml:space="preserve">. The Company offers you the full-time, exempt position of Vice President, Engineering. In this position, you will report to Justin Dean, unless notified otherwise. You will work </w:t>
      </w:r>
      <w:r>
        <w:rPr>
          <w:rFonts w:ascii="Times New Roman" w:cs="Times New Roman" w:eastAsia="Times New Roman" w:hAnsi="Times New Roman"/>
          <w:sz w:val="17"/>
          <w:szCs w:val="17"/>
          <w:color w:val="212121"/>
        </w:rPr>
        <w:t>at our office located at 41 Discovery, Irvine, California 92618.</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Subject to the terms and conditions of this Offer, the Company agrees to employ you and you agree to be employed by the Company commencing no later than September 9, 2019.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(“CEO”),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Duties</w:t>
      </w:r>
      <w:r>
        <w:rPr>
          <w:rFonts w:ascii="Times New Roman" w:cs="Times New Roman" w:eastAsia="Times New Roman" w:hAnsi="Times New Roman"/>
          <w:sz w:val="17"/>
          <w:szCs w:val="17"/>
          <w:color w:val="auto"/>
        </w:rPr>
        <w:t>. Your title will be Vice President, Engineering.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Compensation and Benefits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Salary: You will receive a base salary at the rate of $250,000.00, annualized, payable in accordance with the Company’s normal payroll practices. In addition, you may be eligible for a discretionary annual bonus for each calendar year of employment of up to twenty percent (20%) of your annual salary, paid out quarterly, with the attainment of such bonus being based upon the achievement of quantifiable quarterly and annual goals that will be set by you and senior management. Any applicable bonus during the first calendar quarter of your employment shall be a prorated portion based on how many calendar days you were employed in the first calendar quarter. Any bonus payable hereunder shall be paid within the “short-term deferral” period provided under Treasury Regulation Section 1.409A-(b)(4).</w:t>
      </w:r>
    </w:p>
    <w:p>
      <w:pPr>
        <w:spacing w:after="0" w:line="200" w:lineRule="exact"/>
        <w:rPr>
          <w:sz w:val="20"/>
          <w:szCs w:val="20"/>
          <w:color w:val="auto"/>
        </w:rPr>
      </w:pPr>
    </w:p>
    <w:p>
      <w:pPr>
        <w:spacing w:after="0" w:line="21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Relocation Allowance: You will receive a one-time, taxable, relocation allowance payment of $8,500.00 (the “Relocation Allowance”) to cover moving expenses related to your relocation to Orange County, California. If the Company terminates your employment for Cause (as defined below) prior to the one-year anniversary of your</w:t>
      </w:r>
    </w:p>
    <w:p>
      <w:pPr>
        <w:sectPr>
          <w:pgSz w:w="11900" w:h="16838" w:orient="portrait"/>
          <w:cols w:equalWidth="0" w:num="1">
            <w:col w:w="11240"/>
          </w:cols>
          <w:pgMar w:left="320" w:top="114" w:right="339" w:bottom="1440" w:gutter="0" w:footer="0" w:header="0"/>
        </w:sectPr>
      </w:pPr>
    </w:p>
    <w:bookmarkStart w:id="145" w:name="page146"/>
    <w:bookmarkEnd w:id="145"/>
    <w:p>
      <w:pPr>
        <w:jc w:val="both"/>
        <w:spacing w:after="0" w:line="270" w:lineRule="auto"/>
        <w:rPr>
          <w:sz w:val="20"/>
          <w:szCs w:val="20"/>
          <w:color w:val="auto"/>
        </w:rPr>
      </w:pPr>
      <w:r>
        <w:rPr>
          <w:rFonts w:ascii="Times New Roman" w:cs="Times New Roman" w:eastAsia="Times New Roman" w:hAnsi="Times New Roman"/>
          <w:sz w:val="17"/>
          <w:szCs w:val="17"/>
          <w:color w:val="auto"/>
        </w:rPr>
        <w:t>employment start date with the Company, then you must repay the Company the full amount of the Relocation Allowance. If you resign from employment with the Company for any reason prior to the one-year anniversary of your employment start date with the Company, then you must repay the Company a prorated portion of the amount of the Relocation Allowance based on the ratio of (x) 12 minus the number of full months of your employment with the Company to (y) 12 months.</w:t>
      </w:r>
    </w:p>
    <w:p>
      <w:pPr>
        <w:spacing w:after="0" w:line="191"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Equity: Subject to the approval of the Parent’s Board, the Company will recommend that you be granted either (a) an award of 500 unvested Class B Units (the “Employee Class B Units”) in WM Holding Company, LLC, the parent company of the Company (the “Parent”), under the Parent’s Third Amended and Restated Equity Incentive Plan (the “Profits Interests Incentive Plan”) and pursuant to the terms and conditions set forth in an Equity Award Agreement (the “Award Agreement”) thereunder, or (b) at the discretion of the Parent’s Board, a substantially equivalent award in the form of unvested options (“Employee Options”) to purchase Class C Units in the Parent at a per unit exercise price equal to the fair market value of a Class C Unit in the Parent on the date of grant, under the Parent’s 2019 Unit Incentive Plan or other plan adopted by the Parent (the “2019 Option Plan”) and pursuant to the terms and conditions set forth in an option agreement (the “Option Agreement”) thereunder, in each case of (a) or (b) to be granted following your employment start date with the Company and in accordance with its internal policies regarding the grant of equity incentive awards. Your Employee Class B Units or Employee Options, as applicable, will be scheduled to vest as to 25% of the units underlying the award on the one (1) year anniversary of your employment start date with the Company (the “Vesting Cliff”), and thereafter, as to one-sixteenth (1/16th) of the units underlying the award on a quarterly basis over twelve (12) quarters following the Vesting Cliff on the same day of the month as your employment start date (or if there is no corresponding day in a given month, the last day of the month), in each case subject to your continued employment with the Company through the applicable vesting date. Your Employee Class B Units or Employee Options will be subject to the terms and conditions set forth in the Parent’s Profits Interests Incentive Plan or 2019 Option Plan, as applicable, in each case as may be amended from time to time.</w:t>
      </w:r>
    </w:p>
    <w:p>
      <w:pPr>
        <w:spacing w:after="0" w:line="200" w:lineRule="exact"/>
        <w:rPr>
          <w:sz w:val="20"/>
          <w:szCs w:val="20"/>
          <w:color w:val="auto"/>
        </w:rPr>
      </w:pPr>
    </w:p>
    <w:p>
      <w:pPr>
        <w:spacing w:after="0" w:line="2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Withholdings and Deductions: All payments made under this Offer by the Company shall be subject to all required federal, state, and local withholdings and such other deductions as you may properly instruct the Company to take.</w:t>
      </w:r>
    </w:p>
    <w:p>
      <w:pPr>
        <w:spacing w:after="0" w:line="17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Benefits: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Vacation: You will receive paid vacation according to the Company’s Vacation policy set forth in the Company’s Employee Handbook as may be amended from time to time (the “Employee Handbook”). You will be eligible to accrue paid vacation at the rate set forth in the Employee Handbook. Payment of any accrued but unused vacation will be made upon termination of employment.</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Paid Sick Leave: You will be eligible for paid sick leave according to the Company’s Sick Leave Policy set forth in the Employee Handbook.</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Exclusive Compensation: You agree that your compensation under this Compensation and Benefits Section constitutes the full and exclusive consideration and compensation for all services rendered by you under this Offer.</w:t>
      </w:r>
    </w:p>
    <w:p>
      <w:pPr>
        <w:spacing w:after="0" w:line="1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212121"/>
        </w:rPr>
        <w:t>Definition of Cause: Any of the following actions by you constitute Cause for termination of employment by the Company: (i) an act of fraud, embezzlement, dishonesty, material misappropriation or theft against the Company or any of its affiliates, or a customer or co- 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w:t>
      </w:r>
    </w:p>
    <w:p>
      <w:pPr>
        <w:sectPr>
          <w:pgSz w:w="11900" w:h="16838" w:orient="portrait"/>
          <w:cols w:equalWidth="0" w:num="1">
            <w:col w:w="11240"/>
          </w:cols>
          <w:pgMar w:left="320" w:top="1361" w:right="339" w:bottom="1440" w:gutter="0" w:footer="0" w:header="0"/>
        </w:sectPr>
      </w:pPr>
    </w:p>
    <w:bookmarkStart w:id="146" w:name="page147"/>
    <w:bookmarkEnd w:id="146"/>
    <w:p>
      <w:pPr>
        <w:jc w:val="both"/>
        <w:spacing w:after="0" w:line="270" w:lineRule="auto"/>
        <w:rPr>
          <w:sz w:val="20"/>
          <w:szCs w:val="20"/>
          <w:color w:val="auto"/>
        </w:rPr>
      </w:pPr>
      <w:r>
        <w:rPr>
          <w:rFonts w:ascii="Times New Roman" w:cs="Times New Roman" w:eastAsia="Times New Roman" w:hAnsi="Times New Roman"/>
          <w:sz w:val="17"/>
          <w:szCs w:val="17"/>
          <w:color w:val="212121"/>
        </w:rPr>
        <w:t>breach of any of the terms of this Offer, the Confidential Information, Non- 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19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Clawback Provisions: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Conditions of Employment</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Policies and Procedures: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Background Check and Eligibility: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Right to Work: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 For further information, see </w:t>
      </w:r>
      <w:r>
        <w:rPr>
          <w:rFonts w:ascii="Times New Roman" w:cs="Times New Roman" w:eastAsia="Times New Roman" w:hAnsi="Times New Roman"/>
          <w:sz w:val="17"/>
          <w:szCs w:val="17"/>
          <w:color w:val="0000FF"/>
        </w:rPr>
        <w:t>https://www.uscis.gov/i-9</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Confidential Information, Non-Solicitation and Inventions Assignment Agreement: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19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Arbitration Agreement: Enclosed is the Company’s Mutual Agreement to Arbitrate All Employment-Related Disputes, which you are required to sign as a condition of your employment. Upon your acceptance of this Offer, please return to me a signed copy of that agreement.</w:t>
      </w:r>
    </w:p>
    <w:p>
      <w:pPr>
        <w:spacing w:after="0" w:line="17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Modification: The Company reserves the right to modify your position, duties, compensation, benefits, and/or other terms and conditions of employment at any time in its sole discretion, as allowed by law, except for the at-will employment policy.</w:t>
      </w:r>
    </w:p>
    <w:p>
      <w:pPr>
        <w:spacing w:after="0" w:line="17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No Reliance: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Prior Agreements: This letter supersedes any prior agreements regarding your employment with the Company.</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Governing Law; Severability: The validity, interpretation, construction and performance of this letter will be governed by the laws of the State of California, with the exception of its conflict of laws provisions. The invalidity</w:t>
      </w:r>
    </w:p>
    <w:p>
      <w:pPr>
        <w:sectPr>
          <w:pgSz w:w="11900" w:h="16838" w:orient="portrait"/>
          <w:cols w:equalWidth="0" w:num="1">
            <w:col w:w="11240"/>
          </w:cols>
          <w:pgMar w:left="320" w:top="1361" w:right="339" w:bottom="1440" w:gutter="0" w:footer="0" w:header="0"/>
        </w:sectPr>
      </w:pPr>
    </w:p>
    <w:bookmarkStart w:id="147" w:name="page148"/>
    <w:bookmarkEnd w:id="147"/>
    <w:p>
      <w:pPr>
        <w:spacing w:after="0" w:line="287" w:lineRule="auto"/>
        <w:rPr>
          <w:sz w:val="20"/>
          <w:szCs w:val="20"/>
          <w:color w:val="auto"/>
        </w:rPr>
      </w:pPr>
      <w:r>
        <w:rPr>
          <w:rFonts w:ascii="Times New Roman" w:cs="Times New Roman" w:eastAsia="Times New Roman" w:hAnsi="Times New Roman"/>
          <w:sz w:val="17"/>
          <w:szCs w:val="17"/>
          <w:color w:val="auto"/>
        </w:rPr>
        <w:t>or unenforceability of any provision or provisions of this letter will not affect the validity or enforceability of any other provision hereof, which will remain in full force and effect.</w:t>
      </w:r>
    </w:p>
    <w:p>
      <w:pPr>
        <w:spacing w:after="0" w:line="17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Successors: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If you accept the terms of the foregoing offer of employment, please so indicate by signing and dating below and returning it to my attention </w:t>
      </w:r>
      <w:r>
        <w:rPr>
          <w:rFonts w:ascii="Times New Roman" w:cs="Times New Roman" w:eastAsia="Times New Roman" w:hAnsi="Times New Roman"/>
          <w:sz w:val="17"/>
          <w:szCs w:val="17"/>
          <w:i w:val="1"/>
          <w:iCs w:val="1"/>
          <w:color w:val="auto"/>
        </w:rPr>
        <w:t>no later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August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24, 2019</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Sincerely,</w:t>
      </w:r>
    </w:p>
    <w:p>
      <w:pPr>
        <w:spacing w:after="0" w:line="2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GHOST MANAGEMENT GROUP, LLC</w:t>
      </w:r>
    </w:p>
    <w:p>
      <w:pPr>
        <w:spacing w:after="0" w:line="27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 xml:space="preserve">By: </w:t>
      </w:r>
      <w:r>
        <w:rPr>
          <w:sz w:val="1"/>
          <w:szCs w:val="1"/>
          <w:color w:val="auto"/>
        </w:rPr>
        <w:drawing>
          <wp:inline distT="0" distB="0" distL="0" distR="0">
            <wp:extent cx="982345" cy="3194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982345" cy="319405"/>
                    </a:xfrm>
                    <a:prstGeom prst="rect">
                      <a:avLst/>
                    </a:prstGeom>
                    <a:noFill/>
                    <a:ln>
                      <a:noFill/>
                    </a:ln>
                  </pic:spPr>
                </pic:pic>
              </a:graphicData>
            </a:graphic>
          </wp:inline>
        </w:drawing>
      </w:r>
    </w:p>
    <w:p>
      <w:pPr>
        <w:spacing w:after="0" w:line="6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Christopher Beals, CEO</w:t>
      </w: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u w:val="single" w:color="auto"/>
          <w:color w:val="auto"/>
        </w:rPr>
        <w:t>Duncan Grazier</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92BE"/>
        </w:rPr>
        <w:t>Duncan Grazier (Aug 23, 2019)</w:t>
      </w:r>
    </w:p>
    <w:p>
      <w:pPr>
        <w:ind w:left="80"/>
        <w:spacing w:after="0" w:line="237" w:lineRule="auto"/>
        <w:rPr>
          <w:sz w:val="20"/>
          <w:szCs w:val="20"/>
          <w:color w:val="auto"/>
        </w:rPr>
      </w:pPr>
      <w:r>
        <w:rPr>
          <w:rFonts w:ascii="Times New Roman" w:cs="Times New Roman" w:eastAsia="Times New Roman" w:hAnsi="Times New Roman"/>
          <w:sz w:val="22"/>
          <w:szCs w:val="22"/>
          <w:color w:val="auto"/>
          <w:vertAlign w:val="subscript"/>
        </w:rPr>
        <w:t>Print Name: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Duncan Grazier</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 xml:space="preserve">Date: </w:t>
      </w:r>
      <w:r>
        <w:rPr>
          <w:rFonts w:ascii="Times New Roman" w:cs="Times New Roman" w:eastAsia="Times New Roman" w:hAnsi="Times New Roman"/>
          <w:sz w:val="17"/>
          <w:szCs w:val="17"/>
          <w:u w:val="single" w:color="auto"/>
          <w:color w:val="auto"/>
        </w:rPr>
        <w:t>Aug 23, 2019</w:t>
      </w:r>
    </w:p>
    <w:p>
      <w:pPr>
        <w:sectPr>
          <w:pgSz w:w="11900" w:h="16838" w:orient="portrait"/>
          <w:cols w:equalWidth="0" w:num="1">
            <w:col w:w="11240"/>
          </w:cols>
          <w:pgMar w:left="320" w:top="136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Legal Name</w:t>
            </w:r>
          </w:p>
        </w:tc>
        <w:tc>
          <w:tcPr>
            <w:tcW w:w="52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Spain, S.L.U.</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Spain</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Germany GmbH</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Ghost Management Group,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GMG Holdco,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Media,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Discovery Opco,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Enterprise,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Marketplace,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Canada Holdings,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Museum,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Teal,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Retail,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Grow One Software (Canada),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Transport Logistics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Loyalty,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In-Store Solutions,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Canncurrent,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Deliver Green,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Livery Desk,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Terra Trackr,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Text,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Notifications,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Messaging,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CRM,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0300"/>
          </w:cols>
          <w:pgMar w:left="1260" w:top="119"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Nos. 333-267744 and 333-259072 on Form S-8 and Nos. 333-261466 and 333-257774 on Form S-3 of WM Technology, Inc. of our report dated March 16, 2023, relating to the consolidated financial statements and the effectiveness of internal control over financial reporting, which appears in this annual report on Form 10-K.</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Baker Tilly US,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Irvine,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16, 2023</w:t>
      </w:r>
    </w:p>
    <w:p>
      <w:pPr>
        <w:sectPr>
          <w:pgSz w:w="11900" w:h="16838" w:orient="portrait"/>
          <w:cols w:equalWidth="0" w:num="1">
            <w:col w:w="11240"/>
          </w:cols>
          <w:pgMar w:left="320" w:top="11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Francis, certify that: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20" w:hanging="317"/>
        <w:spacing w:after="0" w:line="270" w:lineRule="auto"/>
        <w:tabs>
          <w:tab w:leader="none" w:pos="31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320" w:right="300" w:hanging="317"/>
        <w:spacing w:after="0" w:line="278" w:lineRule="auto"/>
        <w:tabs>
          <w:tab w:leader="none" w:pos="31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320" w:right="300" w:hanging="317"/>
        <w:spacing w:after="0" w:line="302" w:lineRule="auto"/>
        <w:tabs>
          <w:tab w:leader="none" w:pos="31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320" w:hanging="317"/>
        <w:spacing w:after="0" w:line="287" w:lineRule="auto"/>
        <w:tabs>
          <w:tab w:leader="none" w:pos="48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57"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20" w:val="left"/>
          <w:tab w:leader="none" w:pos="6760" w:val="left"/>
          <w:tab w:leader="none" w:pos="7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16,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123825</wp:posOffset>
            </wp:positionV>
            <wp:extent cx="23247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6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Executive Chair</w:t>
      </w:r>
    </w:p>
    <w:p>
      <w:pPr>
        <w:spacing w:after="0" w:line="17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039"/>
          </w:cols>
          <w:pgMar w:left="420" w:top="1440" w:right="144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Arden Lee, certify that: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20" w:hanging="317"/>
        <w:spacing w:after="0" w:line="270" w:lineRule="auto"/>
        <w:tabs>
          <w:tab w:leader="none" w:pos="317"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320" w:right="300" w:hanging="317"/>
        <w:spacing w:after="0" w:line="278" w:lineRule="auto"/>
        <w:tabs>
          <w:tab w:leader="none" w:pos="31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320" w:right="300" w:hanging="317"/>
        <w:spacing w:after="0" w:line="302" w:lineRule="auto"/>
        <w:tabs>
          <w:tab w:leader="none" w:pos="317"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320" w:hanging="317"/>
        <w:spacing w:after="0" w:line="287" w:lineRule="auto"/>
        <w:tabs>
          <w:tab w:leader="none" w:pos="48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57" w:right="339" w:bottom="1440" w:gutter="0" w:footer="0" w:header="0"/>
        </w:sectPr>
      </w:pPr>
    </w:p>
    <w:bookmarkStart w:id="153" w:name="page154"/>
    <w:bookmarkEnd w:id="153"/>
    <w:p>
      <w:pPr>
        <w:spacing w:after="0" w:line="63" w:lineRule="exact"/>
        <w:rPr>
          <w:sz w:val="20"/>
          <w:szCs w:val="20"/>
          <w:color w:val="auto"/>
        </w:rPr>
      </w:pPr>
    </w:p>
    <w:p>
      <w:pPr>
        <w:spacing w:after="0"/>
        <w:tabs>
          <w:tab w:leader="none" w:pos="720" w:val="left"/>
          <w:tab w:leader="none" w:pos="6760" w:val="left"/>
          <w:tab w:leader="none" w:pos="7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16,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123825</wp:posOffset>
            </wp:positionV>
            <wp:extent cx="23247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Arden Lee</w:t>
      </w:r>
    </w:p>
    <w:p>
      <w:pPr>
        <w:spacing w:after="0" w:line="16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ectPr>
          <w:pgSz w:w="11900" w:h="16838" w:orient="portrait"/>
          <w:cols w:equalWidth="0" w:num="1">
            <w:col w:w="10460"/>
          </w:cols>
          <w:pgMar w:left="440" w:top="1440" w:right="999" w:bottom="1440" w:gutter="0" w:footer="0" w:header="0"/>
        </w:sectPr>
      </w:pPr>
    </w:p>
    <w:bookmarkStart w:id="154" w:name="page155"/>
    <w:bookmarkEnd w:id="154"/>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Douglas Francis, the Chief Executive Officer of WM Technology, Inc., certify, pursuant to 18 U.S.C. Section 1350, as adopted pursuant to Section 906 of the Sarbanes-Oxley Act of 2002, that the Annual Report on Form 10-K of WM Technology, Inc. for the annual period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16,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0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Executive Chair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Arden Lee, the Chief Financial Officer of WM Technology, Inc., certify, pursuant to 18 U.S.C. Section 1350, as adopted pursuant to Section 906 of the Sarbanes-Oxley Act of 2002, that the Annual Report on Form 10-K of WM Technology, Inc. for the annual period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16,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Arden Lee</w:t>
      </w:r>
    </w:p>
    <w:p>
      <w:pPr>
        <w:spacing w:after="0" w:line="10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both"/>
        <w:ind w:left="60"/>
        <w:spacing w:after="0" w:line="264" w:lineRule="auto"/>
        <w:rPr>
          <w:sz w:val="20"/>
          <w:szCs w:val="20"/>
          <w:color w:val="auto"/>
        </w:rPr>
      </w:pPr>
      <w:r>
        <w:rPr>
          <w:rFonts w:ascii="Times New Roman" w:cs="Times New Roman" w:eastAsia="Times New Roman" w:hAnsi="Times New Roman"/>
          <w:sz w:val="17"/>
          <w:szCs w:val="17"/>
          <w:color w:val="auto"/>
        </w:rPr>
        <w:t>This certification accompanies the Annual Report on Form 10-K of WM Technology, Inc. for the annual period ended December 31, 2022,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1"/>
      <w:numFmt w:val="bullet"/>
      <w:start w:val="1"/>
    </w:lvl>
  </w:abstractNum>
  <w:abstractNum w:abstractNumId="7">
    <w:nsid w:val="741226BB"/>
    <w:multiLevelType w:val="hybridMultilevel"/>
    <w:lvl w:ilvl="0">
      <w:lvlJc w:val="left"/>
      <w:lvlText w:val="2"/>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lvl w:ilvl="1">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3"/>
      <w:numFmt w:val="bullet"/>
      <w:start w:val="1"/>
    </w:lvl>
  </w:abstractNum>
  <w:abstractNum w:abstractNumId="12">
    <w:nsid w:val="7E0C57B1"/>
    <w:multiLevelType w:val="hybridMultilevel"/>
    <w:lvl w:ilvl="0">
      <w:lvlJc w:val="left"/>
      <w:lvlText w:val="4"/>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5"/>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1)"/>
      <w:numFmt w:val="decimal"/>
      <w:start w:val="2"/>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lvl w:ilvl="1">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lowerLetter"/>
      <w:start w:val="1"/>
    </w:lvl>
    <w:lvl w:ilvl="1">
      <w:lvlJc w:val="left"/>
      <w:lvlText w:val="%2."/>
      <w:numFmt w:val="decimal"/>
      <w:start w:val="1"/>
    </w:lvl>
  </w:abstractNum>
  <w:abstractNum w:abstractNumId="40">
    <w:nsid w:val="BF72B14"/>
    <w:multiLevelType w:val="hybridMultilevel"/>
    <w:lvl w:ilvl="0">
      <w:lvlJc w:val="left"/>
      <w:lvlText w:val="%1."/>
      <w:numFmt w:val="decimal"/>
      <w:start w:val="3"/>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2"/>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¹"/>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lvl w:ilvl="1">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1)"/>
      <w:numFmt w:val="lowerRoman"/>
      <w:start w:val="2"/>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1."/>
      <w:numFmt w:val="decimal"/>
      <w:start w:val="6"/>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1."/>
      <w:numFmt w:val="decimal"/>
      <w:start w:val="7"/>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1"/>
    </w:lvl>
  </w:abstractNum>
  <w:abstractNum w:abstractNumId="61">
    <w:nsid w:val="76272110"/>
    <w:multiLevelType w:val="hybridMultilevel"/>
    <w:lvl w:ilvl="0">
      <w:lvlJc w:val="left"/>
      <w:lvlText w:val="%1."/>
      <w:numFmt w:val="decimal"/>
      <w:start w:val="8"/>
    </w:lvl>
  </w:abstractNum>
  <w:abstractNum w:abstractNumId="62">
    <w:nsid w:val="4C04A8AF"/>
    <w:multiLevelType w:val="hybridMultilevel"/>
    <w:lvl w:ilvl="0">
      <w:lvlJc w:val="left"/>
      <w:lvlText w:val="%1."/>
      <w:numFmt w:val="decimal"/>
      <w:start w:val="9"/>
    </w:lvl>
  </w:abstractNum>
  <w:abstractNum w:abstractNumId="63">
    <w:nsid w:val="1716703B"/>
    <w:multiLevelType w:val="hybridMultilevel"/>
    <w:lvl w:ilvl="0">
      <w:lvlJc w:val="left"/>
      <w:lvlText w:val="%1."/>
      <w:numFmt w:val="decimal"/>
      <w:start w:val="10"/>
    </w:lvl>
  </w:abstractNum>
  <w:abstractNum w:abstractNumId="64">
    <w:nsid w:val="14E17E33"/>
    <w:multiLevelType w:val="hybridMultilevel"/>
    <w:lvl w:ilvl="0">
      <w:lvlJc w:val="left"/>
      <w:lvlText w:val="%1."/>
      <w:numFmt w:val="decimal"/>
      <w:start w:val="11"/>
    </w:lvl>
  </w:abstractNum>
  <w:abstractNum w:abstractNumId="65">
    <w:nsid w:val="3222E7CD"/>
    <w:multiLevelType w:val="hybridMultilevel"/>
    <w:lvl w:ilvl="0">
      <w:lvlJc w:val="left"/>
      <w:lvlText w:val="%1."/>
      <w:numFmt w:val="decimal"/>
      <w:start w:val="12"/>
    </w:lvl>
  </w:abstractNum>
  <w:abstractNum w:abstractNumId="66">
    <w:nsid w:val="74DE0EE3"/>
    <w:multiLevelType w:val="hybridMultilevel"/>
    <w:lvl w:ilvl="0">
      <w:lvlJc w:val="left"/>
      <w:lvlText w:val="%1."/>
      <w:numFmt w:val="decimal"/>
      <w:start w:val="13"/>
    </w:lvl>
  </w:abstractNum>
  <w:abstractNum w:abstractNumId="67">
    <w:nsid w:val="68EBC550"/>
    <w:multiLevelType w:val="hybridMultilevel"/>
    <w:lvl w:ilvl="0">
      <w:lvlJc w:val="left"/>
      <w:lvlText w:val="%1."/>
      <w:numFmt w:val="decimal"/>
      <w:start w:val="14"/>
    </w:lvl>
  </w:abstractNum>
  <w:abstractNum w:abstractNumId="68">
    <w:nsid w:val="2DF6D648"/>
    <w:multiLevelType w:val="hybridMultilevel"/>
    <w:lvl w:ilvl="0">
      <w:lvlJc w:val="left"/>
      <w:lvlText w:val="%1."/>
      <w:numFmt w:val="decimal"/>
      <w:start w:val="15"/>
    </w:lvl>
  </w:abstractNum>
  <w:abstractNum w:abstractNumId="69">
    <w:nsid w:val="46B7D447"/>
    <w:multiLevelType w:val="hybridMultilevel"/>
    <w:lvl w:ilvl="0">
      <w:lvlJc w:val="left"/>
      <w:lvlText w:val="%1."/>
      <w:numFmt w:val="decimal"/>
      <w:start w:val="16"/>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1)"/>
      <w:numFmt w:val="upperLetter"/>
      <w:start w:val="2"/>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decimal"/>
      <w:start w:val="1"/>
    </w:lvl>
    <w:lvl w:ilvl="1">
      <w:lvlJc w:val="left"/>
      <w:lvlText w:val="(%2)"/>
      <w:numFmt w:val="lowerLetter"/>
      <w:start w:val="1"/>
    </w:lvl>
  </w:abstractNum>
  <w:abstractNum w:abstractNumId="77">
    <w:nsid w:val="7F01579B"/>
    <w:multiLevelType w:val="hybridMultilevel"/>
    <w:lvl w:ilvl="0">
      <w:lvlJc w:val="left"/>
      <w:lvlText w:val="%1"/>
      <w:numFmt w:val="decimal"/>
      <w:start w:val="1"/>
    </w:lvl>
    <w:lvl w:ilvl="1">
      <w:lvlJc w:val="left"/>
      <w:lvlText w:val="(%2)"/>
      <w:numFmt w:val="lowerLetter"/>
      <w:start w:val="2"/>
    </w:lvl>
  </w:abstractNum>
  <w:abstractNum w:abstractNumId="78">
    <w:nsid w:val="49DA307D"/>
    <w:multiLevelType w:val="hybridMultilevel"/>
    <w:lvl w:ilvl="0">
      <w:lvlJc w:val="left"/>
      <w:lvlText w:val="%1."/>
      <w:numFmt w:val="decimal"/>
      <w:start w:val="3"/>
    </w:lvl>
    <w:lvl w:ilvl="1">
      <w:lvlJc w:val="left"/>
      <w:lvlText w:val="%2"/>
      <w:numFmt w:val="lowerLetter"/>
      <w:start w:val="1"/>
    </w:lvl>
  </w:abstractNum>
  <w:abstractNum w:abstractNumId="79">
    <w:nsid w:val="7055A5F5"/>
    <w:multiLevelType w:val="hybridMultilevel"/>
    <w:lvl w:ilvl="0">
      <w:lvlJc w:val="left"/>
      <w:lvlText w:val="%1."/>
      <w:numFmt w:val="decimal"/>
      <w:start w:val="5"/>
    </w:lvl>
  </w:abstractNum>
  <w:abstractNum w:abstractNumId="80">
    <w:nsid w:val="5FB8370B"/>
    <w:multiLevelType w:val="hybridMultilevel"/>
    <w:lvl w:ilvl="0">
      <w:lvlJc w:val="left"/>
      <w:lvlText w:val="%1."/>
      <w:numFmt w:val="decimal"/>
      <w:start w:val="6"/>
    </w:lvl>
    <w:lvl w:ilvl="1">
      <w:lvlJc w:val="left"/>
      <w:lvlText w:val="(%2)"/>
      <w:numFmt w:val="lowerLetter"/>
      <w:start w:val="1"/>
    </w:lvl>
  </w:abstractNum>
  <w:abstractNum w:abstractNumId="81">
    <w:nsid w:val="50801EE1"/>
    <w:multiLevelType w:val="hybridMultilevel"/>
    <w:lvl w:ilvl="0">
      <w:lvlJc w:val="left"/>
      <w:lvlText w:val="%1"/>
      <w:numFmt w:val="decimal"/>
      <w:start w:val="1"/>
    </w:lvl>
    <w:lvl w:ilvl="1">
      <w:lvlJc w:val="left"/>
      <w:lvlText w:val="(%2)"/>
      <w:numFmt w:val="lowerLetter"/>
      <w:start w:val="4"/>
    </w:lvl>
  </w:abstractNum>
  <w:abstractNum w:abstractNumId="82">
    <w:nsid w:val="488AC1A"/>
    <w:multiLevelType w:val="hybridMultilevel"/>
    <w:lvl w:ilvl="0">
      <w:lvlJc w:val="left"/>
      <w:lvlText w:val="%1."/>
      <w:numFmt w:val="decimal"/>
      <w:start w:val="9"/>
    </w:lvl>
    <w:lvl w:ilvl="1">
      <w:lvlJc w:val="left"/>
      <w:lvlText w:val="%2"/>
      <w:numFmt w:val="lowerLetter"/>
      <w:start w:val="1"/>
    </w:lvl>
  </w:abstractNum>
  <w:abstractNum w:abstractNumId="83">
    <w:nsid w:val="5FB8011C"/>
    <w:multiLevelType w:val="hybridMultilevel"/>
    <w:lvl w:ilvl="0">
      <w:lvlJc w:val="left"/>
      <w:lvlText w:val="%1."/>
      <w:numFmt w:val="decimal"/>
      <w:start w:val="11"/>
    </w:lvl>
  </w:abstractNum>
  <w:abstractNum w:abstractNumId="84">
    <w:nsid w:val="6AA78F7F"/>
    <w:multiLevelType w:val="hybridMultilevel"/>
    <w:lvl w:ilvl="0">
      <w:lvlJc w:val="left"/>
      <w:lvlText w:val="%1."/>
      <w:numFmt w:val="decimal"/>
      <w:start w:val="12"/>
    </w:lvl>
  </w:abstractNum>
  <w:abstractNum w:abstractNumId="85">
    <w:nsid w:val="7672BD23"/>
    <w:multiLevelType w:val="hybridMultilevel"/>
    <w:lvl w:ilvl="0">
      <w:lvlJc w:val="left"/>
      <w:lvlText w:val="%1."/>
      <w:numFmt w:val="decimal"/>
      <w:start w:val="19"/>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1"/>
    </w:lvl>
    <w:lvl w:ilvl="1">
      <w:lvlJc w:val="left"/>
      <w:lvlText w:val="(%2)"/>
      <w:numFmt w:val="lowerLetter"/>
      <w:start w:val="1"/>
    </w:lvl>
  </w:abstractNum>
  <w:abstractNum w:abstractNumId="88">
    <w:nsid w:val="7D5E18F8"/>
    <w:multiLevelType w:val="hybridMultilevel"/>
    <w:lvl w:ilvl="0">
      <w:lvlJc w:val="left"/>
      <w:lvlText w:val="%1."/>
      <w:numFmt w:val="decimal"/>
      <w:start w:val="3"/>
    </w:lvl>
    <w:lvl w:ilvl="1">
      <w:lvlJc w:val="left"/>
      <w:lvlText w:val="%2"/>
      <w:numFmt w:val="lowerLetter"/>
      <w:start w:val="1"/>
    </w:lvl>
  </w:abstractNum>
  <w:abstractNum w:abstractNumId="89">
    <w:nsid w:val="5F3534A4"/>
    <w:multiLevelType w:val="hybridMultilevel"/>
    <w:lvl w:ilvl="0">
      <w:lvlJc w:val="left"/>
      <w:lvlText w:val="(%1)"/>
      <w:numFmt w:val="decimal"/>
      <w:start w:val="7"/>
    </w:lvl>
  </w:abstractNum>
  <w:abstractNum w:abstractNumId="90">
    <w:nsid w:val="73A1821B"/>
    <w:multiLevelType w:val="hybridMultilevel"/>
    <w:lvl w:ilvl="0">
      <w:lvlJc w:val="left"/>
      <w:lvlText w:val="%1."/>
      <w:numFmt w:val="decimal"/>
      <w:start w:val="5"/>
    </w:lvl>
  </w:abstractNum>
  <w:abstractNum w:abstractNumId="91">
    <w:nsid w:val="7DE67713"/>
    <w:multiLevelType w:val="hybridMultilevel"/>
    <w:lvl w:ilvl="0">
      <w:lvlJc w:val="left"/>
      <w:lvlText w:val="%1."/>
      <w:numFmt w:val="decimal"/>
      <w:start w:val="6"/>
    </w:lvl>
    <w:lvl w:ilvl="1">
      <w:lvlJc w:val="left"/>
      <w:lvlText w:val="(%2)"/>
      <w:numFmt w:val="lowerLetter"/>
      <w:start w:val="1"/>
    </w:lvl>
  </w:abstractNum>
  <w:abstractNum w:abstractNumId="92">
    <w:nsid w:val="555C55B5"/>
    <w:multiLevelType w:val="hybridMultilevel"/>
    <w:lvl w:ilvl="0">
      <w:lvlJc w:val="left"/>
      <w:lvlText w:val="%1"/>
      <w:numFmt w:val="decimal"/>
      <w:start w:val="1"/>
    </w:lvl>
    <w:lvl w:ilvl="1">
      <w:lvlJc w:val="left"/>
      <w:lvlText w:val="(%2)"/>
      <w:numFmt w:val="lowerLetter"/>
      <w:start w:val="2"/>
    </w:lvl>
  </w:abstractNum>
  <w:abstractNum w:abstractNumId="93">
    <w:nsid w:val="3FA62ACA"/>
    <w:multiLevelType w:val="hybridMultilevel"/>
    <w:lvl w:ilvl="0">
      <w:lvlJc w:val="left"/>
      <w:lvlText w:val="%1."/>
      <w:numFmt w:val="decimal"/>
      <w:start w:val="9"/>
    </w:lvl>
    <w:lvl w:ilvl="1">
      <w:lvlJc w:val="left"/>
      <w:lvlText w:val="%2"/>
      <w:numFmt w:val="lowerLetter"/>
      <w:start w:val="1"/>
    </w:lvl>
  </w:abstractNum>
  <w:abstractNum w:abstractNumId="94">
    <w:nsid w:val="14FCE74E"/>
    <w:multiLevelType w:val="hybridMultilevel"/>
    <w:lvl w:ilvl="0">
      <w:lvlJc w:val="left"/>
      <w:lvlText w:val="%1"/>
      <w:numFmt w:val="lowerLetter"/>
      <w:start w:val="1"/>
    </w:lvl>
    <w:lvl w:ilvl="1">
      <w:lvlJc w:val="left"/>
      <w:lvlText w:val="%2."/>
      <w:numFmt w:val="decimal"/>
      <w:start w:val="10"/>
    </w:lvl>
  </w:abstractNum>
  <w:abstractNum w:abstractNumId="95">
    <w:nsid w:val="6A3DD3E8"/>
    <w:multiLevelType w:val="hybridMultilevel"/>
    <w:lvl w:ilvl="0">
      <w:lvlJc w:val="left"/>
      <w:lvlText w:val="(%1)"/>
      <w:numFmt w:val="lowerLetter"/>
      <w:start w:val="3"/>
    </w:lvl>
    <w:lvl w:ilvl="1">
      <w:lvlJc w:val="left"/>
      <w:lvlText w:val="%2"/>
      <w:numFmt w:val="decimal"/>
      <w:start w:val="1"/>
    </w:lvl>
  </w:abstractNum>
  <w:abstractNum w:abstractNumId="96">
    <w:nsid w:val="71C91298"/>
    <w:multiLevelType w:val="hybridMultilevel"/>
    <w:lvl w:ilvl="0">
      <w:lvlJc w:val="left"/>
      <w:lvlText w:val="%1."/>
      <w:numFmt w:val="decimal"/>
      <w:start w:val="11"/>
    </w:lvl>
  </w:abstractNum>
  <w:abstractNum w:abstractNumId="97">
    <w:nsid w:val="9DAF632"/>
    <w:multiLevelType w:val="hybridMultilevel"/>
    <w:lvl w:ilvl="0">
      <w:lvlJc w:val="left"/>
      <w:lvlText w:val="%1."/>
      <w:numFmt w:val="decimal"/>
      <w:start w:val="13"/>
    </w:lvl>
  </w:abstractNum>
  <w:abstractNum w:abstractNumId="98">
    <w:nsid w:val="53299938"/>
    <w:multiLevelType w:val="hybridMultilevel"/>
    <w:lvl w:ilvl="0">
      <w:lvlJc w:val="left"/>
      <w:lvlText w:val="%1."/>
      <w:numFmt w:val="decimal"/>
      <w:start w:val="19"/>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decimal"/>
      <w:start w:val="1"/>
    </w:lvl>
    <w:lvl w:ilvl="1">
      <w:lvlJc w:val="left"/>
      <w:lvlText w:val="(%2)"/>
      <w:numFmt w:val="lowerLetter"/>
      <w:start w:val="2"/>
    </w:lvl>
  </w:abstractNum>
  <w:abstractNum w:abstractNumId="101">
    <w:nsid w:val="1D545C4D"/>
    <w:multiLevelType w:val="hybridMultilevel"/>
    <w:lvl w:ilvl="0">
      <w:lvlJc w:val="left"/>
      <w:lvlText w:val="%1."/>
      <w:numFmt w:val="decimal"/>
      <w:start w:val="4"/>
    </w:lvl>
    <w:lvl w:ilvl="1">
      <w:lvlJc w:val="left"/>
      <w:lvlText w:val="%2"/>
      <w:numFmt w:val="lowerLetter"/>
      <w:start w:val="1"/>
    </w:lvl>
  </w:abstractNum>
  <w:abstractNum w:abstractNumId="102">
    <w:nsid w:val="59ADEA3D"/>
    <w:multiLevelType w:val="hybridMultilevel"/>
    <w:lvl w:ilvl="0">
      <w:lvlJc w:val="left"/>
      <w:lvlText w:val="%1."/>
      <w:numFmt w:val="decimal"/>
      <w:start w:val="6"/>
    </w:lvl>
    <w:lvl w:ilvl="1">
      <w:lvlJc w:val="left"/>
      <w:lvlText w:val="%2."/>
      <w:numFmt w:val="lowerLetter"/>
      <w:start w:val="1"/>
    </w:lvl>
  </w:abstractNum>
  <w:abstractNum w:abstractNumId="103">
    <w:nsid w:val="288F1A34"/>
    <w:multiLevelType w:val="hybridMultilevel"/>
    <w:lvl w:ilvl="0">
      <w:lvlJc w:val="left"/>
      <w:lvlText w:val="%1"/>
      <w:numFmt w:val="decimal"/>
      <w:start w:val="1"/>
    </w:lvl>
    <w:lvl w:ilvl="1">
      <w:lvlJc w:val="left"/>
      <w:lvlText w:val="%2."/>
      <w:numFmt w:val="lowerLetter"/>
      <w:start w:val="4"/>
    </w:lvl>
  </w:abstractNum>
  <w:abstractNum w:abstractNumId="104">
    <w:nsid w:val="2A155DBC"/>
    <w:multiLevelType w:val="hybridMultilevel"/>
    <w:lvl w:ilvl="0">
      <w:lvlJc w:val="left"/>
      <w:lvlText w:val="%1."/>
      <w:numFmt w:val="decimal"/>
      <w:start w:val="8"/>
    </w:lvl>
    <w:lvl w:ilvl="1">
      <w:lvlJc w:val="left"/>
      <w:lvlText w:val="%2"/>
      <w:numFmt w:val="lowerLetter"/>
      <w:start w:val="1"/>
    </w:lvl>
  </w:abstractNum>
  <w:abstractNum w:abstractNumId="105">
    <w:nsid w:val="1D9F6E5F"/>
    <w:multiLevelType w:val="hybridMultilevel"/>
    <w:lvl w:ilvl="0">
      <w:lvlJc w:val="left"/>
      <w:lvlText w:val="%1."/>
      <w:numFmt w:val="decimal"/>
      <w:start w:val="9"/>
    </w:lvl>
  </w:abstractNum>
  <w:abstractNum w:abstractNumId="106">
    <w:nsid w:val="97E1B4E"/>
    <w:multiLevelType w:val="hybridMultilevel"/>
    <w:lvl w:ilvl="0">
      <w:lvlJc w:val="left"/>
      <w:lvlText w:val="%1."/>
      <w:numFmt w:val="decimal"/>
      <w:start w:val="15"/>
    </w:lvl>
  </w:abstractNum>
  <w:abstractNum w:abstractNumId="107">
    <w:nsid w:val="51088277"/>
    <w:multiLevelType w:val="hybridMultilevel"/>
    <w:lvl w:ilvl="0">
      <w:lvlJc w:val="left"/>
      <w:lvlText w:val="%1"/>
      <w:numFmt w:val="decimal"/>
      <w:start w:val="41"/>
    </w:lvl>
  </w:abstractNum>
  <w:abstractNum w:abstractNumId="108">
    <w:nsid w:val="1CA0C5FA"/>
    <w:multiLevelType w:val="hybridMultilevel"/>
    <w:lvl w:ilvl="0">
      <w:lvlJc w:val="left"/>
      <w:lvlText w:val="(%1)"/>
      <w:numFmt w:val="lowerLetter"/>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jpe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93" Type="http://schemas.openxmlformats.org/officeDocument/2006/relationships/hyperlink" Target="https://www.sec.gov/Archives/edgar/data/1779474/000114036121021785/brhc10025756_ex3-1.htm" TargetMode="External"/><Relationship Id="rId94" Type="http://schemas.openxmlformats.org/officeDocument/2006/relationships/hyperlink" Target="https://www.sec.gov/Archives/edgar/data/1779474/000114036121021785/brhc10025756_ex3-2.htm" TargetMode="External"/><Relationship Id="rId95" Type="http://schemas.openxmlformats.org/officeDocument/2006/relationships/hyperlink" Target="https://www.sec.gov/Archives/edgar/data/1779474/000114036121021785/brhc10025756_ex4-1.htm" TargetMode="External"/><Relationship Id="rId96" Type="http://schemas.openxmlformats.org/officeDocument/2006/relationships/hyperlink" Target="https://www.sec.gov/Archives/edgar/data/1779474/000114036121021785/brhc10025756_ex4-2.htm" TargetMode="External"/><Relationship Id="rId97" Type="http://schemas.openxmlformats.org/officeDocument/2006/relationships/hyperlink" Target="https://www.sec.gov/Archives/edgar/data/1779474/000095010319010751/dp111173_ex0401.htm" TargetMode="External"/><Relationship Id="rId98" Type="http://schemas.openxmlformats.org/officeDocument/2006/relationships/hyperlink" Target="https://www.sec.gov/Archives/edgar/data/1779474/000114036121021785/brhc10025756_ex10-1.htm" TargetMode="External"/><Relationship Id="rId99" Type="http://schemas.openxmlformats.org/officeDocument/2006/relationships/hyperlink" Target="https://www.sec.gov/Archives/edgar/data/1779474/000114036121021785/brhc10025756_ex10-2.htm" TargetMode="External"/><Relationship Id="rId100" Type="http://schemas.openxmlformats.org/officeDocument/2006/relationships/hyperlink" Target="https://www.sec.gov/Archives/edgar/data/1779474/000114036121021785/brhc10025756_ex10-3.htm" TargetMode="External"/><Relationship Id="rId101" Type="http://schemas.openxmlformats.org/officeDocument/2006/relationships/hyperlink" Target="https://www.sec.gov/Archives/edgar/data/1779474/000095010320024045/dp142700_ex1001.htm" TargetMode="External"/><Relationship Id="rId102" Type="http://schemas.openxmlformats.org/officeDocument/2006/relationships/hyperlink" Target="https://www.sec.gov/Archives/edgar/data/1779474/000114036121021785/brhc10025756_ex10-5.htm" TargetMode="External"/><Relationship Id="rId103" Type="http://schemas.openxmlformats.org/officeDocument/2006/relationships/hyperlink" Target="https://www.sec.gov/Archives/edgar/data/1779474/000114036121021785/brhc10025756_ex10-6.htm" TargetMode="External"/><Relationship Id="rId104" Type="http://schemas.openxmlformats.org/officeDocument/2006/relationships/hyperlink" Target="https://www.sec.gov/Archives/edgar/data/1779474/000114036121021785/brhc10025756_ex10-7.htm" TargetMode="External"/><Relationship Id="rId105" Type="http://schemas.openxmlformats.org/officeDocument/2006/relationships/hyperlink" Target="https://www.sec.gov/Archives/edgar/data/1779474/000114036121021785/brhc10025756_ex10-7a.htm" TargetMode="External"/><Relationship Id="rId114" Type="http://schemas.openxmlformats.org/officeDocument/2006/relationships/hyperlink" Target="https://www.sec.gov/Archives/edgar/data/1779474/000114036121021785/brhc10025756_ex10-7b.htm" TargetMode="External"/><Relationship Id="rId115" Type="http://schemas.openxmlformats.org/officeDocument/2006/relationships/hyperlink" Target="https://www.sec.gov/Archives/edgar/data/1779474/000114036121021785/brhc10025756_ex10-8.htm" TargetMode="External"/><Relationship Id="rId116" Type="http://schemas.openxmlformats.org/officeDocument/2006/relationships/hyperlink" Target="https://www.sec.gov/Archives/edgar/data/1779474/000114036121021785/brhc10025756_ex10-12.htm" TargetMode="External"/><Relationship Id="rId117" Type="http://schemas.openxmlformats.org/officeDocument/2006/relationships/hyperlink" Target="https://www.sec.gov/Archives/edgar/data/1779474/000114036121021785/brhc10025756_ex10-13.htm" TargetMode="External"/><Relationship Id="rId118" Type="http://schemas.openxmlformats.org/officeDocument/2006/relationships/hyperlink" Target="https://www.sec.gov/Archives/edgar/data/1779474/000114036121021785/brhc10025756_ex10-14.htm" TargetMode="External"/><Relationship Id="rId119" Type="http://schemas.openxmlformats.org/officeDocument/2006/relationships/hyperlink" Target="https://www.sec.gov/Archives/edgar/data/1779474/000114036121021785/brhc10025756_ex10-15.htm" TargetMode="External"/><Relationship Id="rId120" Type="http://schemas.openxmlformats.org/officeDocument/2006/relationships/hyperlink" Target="https://www.sec.gov/Archives/edgar/data/1779474/000114036121021785/brhc10025756_ex10-16.htm" TargetMode="External"/><Relationship Id="rId121" Type="http://schemas.openxmlformats.org/officeDocument/2006/relationships/hyperlink" Target="https://www.sec.gov/Archives/edgar/data/1779474/000114036121021785/brhc10025756_ex10-17.htm" TargetMode="External"/><Relationship Id="rId122" Type="http://schemas.openxmlformats.org/officeDocument/2006/relationships/hyperlink" Target="https://www.sec.gov/Archives/edgar/data/1779474/00017794742100002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2023-03-16T18:08:24Z</dcterms:created>
  <dcterms:modified xsi:type="dcterms:W3CDTF">2023-03-16T18:08:24Z</dcterms:modified>
</cp:coreProperties>
</file>