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(Amendment No. 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WM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Class A common stock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92971A 109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JUSTIN HARTFIELD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DOUGLAS FRANCIS</w:t>
      </w:r>
    </w:p>
    <w:p>
      <w:pPr>
        <w:jc w:val="center"/>
        <w:spacing w:after="0" w:line="230" w:lineRule="auto"/>
        <w:rPr>
          <w:sz w:val="20"/>
          <w:szCs w:val="20"/>
          <w:color w:val="auto"/>
        </w:rPr>
      </w:pPr>
      <w:r>
        <w:rPr>
          <w:rFonts w:ascii="Arial" w:cs="Arial" w:eastAsia="Arial" w:hAnsi="Arial"/>
          <w:sz w:val="22"/>
          <w:szCs w:val="22"/>
          <w:b w:val="1"/>
          <w:bCs w:val="1"/>
          <w:color w:val="auto"/>
        </w:rPr>
        <w:t>GHOST MEDIA GROUP, LLC</w:t>
      </w:r>
    </w:p>
    <w:p>
      <w:pPr>
        <w:jc w:val="center"/>
        <w:spacing w:after="0" w:line="231" w:lineRule="auto"/>
        <w:rPr>
          <w:sz w:val="20"/>
          <w:szCs w:val="20"/>
          <w:color w:val="auto"/>
        </w:rPr>
      </w:pPr>
      <w:r>
        <w:rPr>
          <w:rFonts w:ascii="Arial" w:cs="Arial" w:eastAsia="Arial" w:hAnsi="Arial"/>
          <w:sz w:val="22"/>
          <w:szCs w:val="22"/>
          <w:b w:val="1"/>
          <w:bCs w:val="1"/>
          <w:color w:val="auto"/>
        </w:rPr>
        <w:t>WM FOUNDERS LEGACY I, LLC</w:t>
      </w:r>
    </w:p>
    <w:p>
      <w:pPr>
        <w:jc w:val="center"/>
        <w:spacing w:after="0" w:line="230" w:lineRule="auto"/>
        <w:rPr>
          <w:sz w:val="20"/>
          <w:szCs w:val="20"/>
          <w:color w:val="auto"/>
        </w:rPr>
      </w:pPr>
      <w:r>
        <w:rPr>
          <w:rFonts w:ascii="Arial" w:cs="Arial" w:eastAsia="Arial" w:hAnsi="Arial"/>
          <w:sz w:val="22"/>
          <w:szCs w:val="22"/>
          <w:b w:val="1"/>
          <w:bCs w:val="1"/>
          <w:color w:val="auto"/>
        </w:rPr>
        <w:t>WM FOUNDERS LEGACY II, LLC</w:t>
      </w:r>
    </w:p>
    <w:p>
      <w:pPr>
        <w:jc w:val="center"/>
        <w:spacing w:after="0" w:line="231" w:lineRule="auto"/>
        <w:rPr>
          <w:sz w:val="20"/>
          <w:szCs w:val="20"/>
          <w:color w:val="auto"/>
        </w:rPr>
      </w:pPr>
      <w:r>
        <w:rPr>
          <w:rFonts w:ascii="Arial" w:cs="Arial" w:eastAsia="Arial" w:hAnsi="Arial"/>
          <w:sz w:val="22"/>
          <w:szCs w:val="22"/>
          <w:b w:val="1"/>
          <w:bCs w:val="1"/>
          <w:color w:val="auto"/>
        </w:rPr>
        <w:t>GENCO INCENTIVES, LLC</w:t>
      </w:r>
    </w:p>
    <w:p>
      <w:pPr>
        <w:jc w:val="center"/>
        <w:spacing w:after="0" w:line="230" w:lineRule="auto"/>
        <w:rPr>
          <w:sz w:val="20"/>
          <w:szCs w:val="20"/>
          <w:color w:val="auto"/>
        </w:rPr>
      </w:pPr>
      <w:r>
        <w:rPr>
          <w:rFonts w:ascii="Arial" w:cs="Arial" w:eastAsia="Arial" w:hAnsi="Arial"/>
          <w:sz w:val="22"/>
          <w:szCs w:val="22"/>
          <w:b w:val="1"/>
          <w:bCs w:val="1"/>
          <w:color w:val="auto"/>
        </w:rPr>
        <w:t>ADDRESS:</w:t>
      </w:r>
    </w:p>
    <w:p>
      <w:pPr>
        <w:jc w:val="center"/>
        <w:spacing w:after="0" w:line="231" w:lineRule="auto"/>
        <w:rPr>
          <w:sz w:val="20"/>
          <w:szCs w:val="20"/>
          <w:color w:val="auto"/>
        </w:rPr>
      </w:pPr>
      <w:r>
        <w:rPr>
          <w:rFonts w:ascii="Arial" w:cs="Arial" w:eastAsia="Arial" w:hAnsi="Arial"/>
          <w:sz w:val="22"/>
          <w:szCs w:val="22"/>
          <w:b w:val="1"/>
          <w:bCs w:val="1"/>
          <w:color w:val="auto"/>
        </w:rPr>
        <w:t>49 DISCOVERY, SUITE 200</w:t>
      </w:r>
    </w:p>
    <w:p>
      <w:pPr>
        <w:jc w:val="center"/>
        <w:spacing w:after="0" w:line="230" w:lineRule="auto"/>
        <w:rPr>
          <w:sz w:val="20"/>
          <w:szCs w:val="20"/>
          <w:color w:val="auto"/>
        </w:rPr>
      </w:pPr>
      <w:r>
        <w:rPr>
          <w:rFonts w:ascii="Arial" w:cs="Arial" w:eastAsia="Arial" w:hAnsi="Arial"/>
          <w:sz w:val="22"/>
          <w:szCs w:val="22"/>
          <w:b w:val="1"/>
          <w:bCs w:val="1"/>
          <w:color w:val="auto"/>
        </w:rPr>
        <w:t>IRVINE, CA 92618</w:t>
      </w:r>
    </w:p>
    <w:p>
      <w:pPr>
        <w:jc w:val="center"/>
        <w:spacing w:after="0" w:line="231" w:lineRule="auto"/>
        <w:rPr>
          <w:sz w:val="20"/>
          <w:szCs w:val="20"/>
          <w:color w:val="auto"/>
        </w:rPr>
      </w:pPr>
      <w:r>
        <w:rPr>
          <w:rFonts w:ascii="Arial" w:cs="Arial" w:eastAsia="Arial" w:hAnsi="Arial"/>
          <w:sz w:val="22"/>
          <w:szCs w:val="22"/>
          <w:b w:val="1"/>
          <w:bCs w:val="1"/>
          <w:color w:val="auto"/>
        </w:rPr>
        <w:t>TELEPHONE: (844) 933-3627</w:t>
      </w:r>
    </w:p>
    <w:p>
      <w:pPr>
        <w:jc w:val="center"/>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June 16, 2021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9"/>
          <w:szCs w:val="19"/>
          <w:color w:val="auto"/>
        </w:rPr>
        <w:t>☐</w:t>
      </w:r>
    </w:p>
    <w:p>
      <w:pPr>
        <w:spacing w:after="0" w:line="192"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85" w:lineRule="exact"/>
        <w:rPr>
          <w:sz w:val="24"/>
          <w:szCs w:val="24"/>
          <w:color w:val="auto"/>
        </w:rPr>
      </w:pPr>
    </w:p>
    <w:p>
      <w:pPr>
        <w:jc w:val="both"/>
        <w:ind w:firstLine="8"/>
        <w:spacing w:after="0"/>
        <w:tabs>
          <w:tab w:leader="none" w:pos="166"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2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Justin Hartfield</w:t>
            </w: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United States of America</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19,288,160 shares of Class V common stock</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10,040,150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19,288,160 shares of Class V common stock</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10,040,150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29,328,310 shares of Class V common stock</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22.7% (3)</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IN</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0" w:hanging="412"/>
        <w:spacing w:after="0" w:line="254"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Schedule 13D is filed by Justin Hartfield (“Hartfield”), Douglas Francis (“Francis”), Ghost Media, LLC (“Ghost Media”), WM Founders Legacy I, LLC (“WMFL I”), WM Founders Legacy II, LLC (“WMFL II”) and Genco Incentives LLC (“Genco”) (Hartfield, Francis, Ghost Media, WMFL I, WMFL II and Genco are herein collectively referred to as the “Reporting Persons”). The Reporting Persons expressly disclaim status as a “group” for purposes of this Schedule 13D.</w:t>
      </w:r>
    </w:p>
    <w:p>
      <w:pPr>
        <w:spacing w:after="0" w:line="2" w:lineRule="exact"/>
        <w:rPr>
          <w:rFonts w:ascii="Arial" w:cs="Arial" w:eastAsia="Arial" w:hAnsi="Arial"/>
          <w:sz w:val="18"/>
          <w:szCs w:val="18"/>
          <w:color w:val="auto"/>
        </w:rPr>
      </w:pPr>
    </w:p>
    <w:p>
      <w:pPr>
        <w:jc w:val="both"/>
        <w:ind w:left="420" w:hanging="412"/>
        <w:spacing w:after="0" w:line="25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8,469,191 shares held directly by Ghost Media and 1,570,959 shares held directly by WMFL II. Ghost Media is controlled by Hartfield and Francis, and WMFL II is controlled by Hartfield. Accordingly, Hartfield may be deemed to be a beneficial owner of the shares held by Ghost Media and WMFL II.</w:t>
      </w:r>
    </w:p>
    <w:p>
      <w:pPr>
        <w:spacing w:after="0" w:line="1" w:lineRule="exact"/>
        <w:rPr>
          <w:rFonts w:ascii="Arial" w:cs="Arial" w:eastAsia="Arial" w:hAnsi="Arial"/>
          <w:sz w:val="18"/>
          <w:szCs w:val="18"/>
          <w:color w:val="auto"/>
        </w:rPr>
      </w:pPr>
    </w:p>
    <w:p>
      <w:pPr>
        <w:ind w:left="420" w:hanging="412"/>
        <w:spacing w:after="0" w:line="260"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2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Douglas Francis</w:t>
            </w: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United States of America</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17,162,485 shares of Class V common stock</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10,538,365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17,162,485 shares of Class V common stock</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7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restart"/>
          </w:tcPr>
          <w:p>
            <w:pPr>
              <w:jc w:val="center"/>
              <w:ind w:right="18"/>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10,538,365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27,700,850 shares of Class V common stock</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21.4% (3)</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IN</w:t>
            </w:r>
          </w:p>
        </w:tc>
        <w:tc>
          <w:tcPr>
            <w:tcW w:w="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jc w:val="both"/>
        <w:ind w:left="420" w:hanging="412"/>
        <w:spacing w:after="0" w:line="25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8,469,191 shares held directly by Ghost Media, 1,468,555 shares held directly by WMFL I and 600,618 shares held directly by Genco. Ghost Media is controlled by Hartfield and Francis, and WMFL I and Genco are controlled by Francis. Accordingly, Francis may be deemed to be a beneficial owner of the shares held by Ghost Media, WMFL I and Genco.</w:t>
      </w:r>
    </w:p>
    <w:p>
      <w:pPr>
        <w:spacing w:after="0" w:line="1" w:lineRule="exact"/>
        <w:rPr>
          <w:rFonts w:ascii="Arial" w:cs="Arial" w:eastAsia="Arial" w:hAnsi="Arial"/>
          <w:sz w:val="18"/>
          <w:szCs w:val="18"/>
          <w:color w:val="auto"/>
        </w:rPr>
      </w:pPr>
    </w:p>
    <w:p>
      <w:pPr>
        <w:ind w:left="420" w:hanging="412"/>
        <w:spacing w:after="0" w:line="26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6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Ghost Media Group, LLC</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Nevada</w:t>
            </w: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8,469,191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8,469,191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8,469,191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6.6% (3)</w:t>
            </w: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OO</w:t>
            </w:r>
          </w:p>
        </w:tc>
        <w:tc>
          <w:tcPr>
            <w:tcW w:w="5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shares are held directly by Ghost Media. Ghost Media is controlled by Hartfield and Francis. Accordingly, Hartfield and Francis may be deemed to be beneficial owners of the shares held by Ghost Media.</w:t>
      </w:r>
    </w:p>
    <w:p>
      <w:pPr>
        <w:ind w:left="420" w:hanging="412"/>
        <w:spacing w:after="0" w:line="26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4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WM Founders Legacy I, LLC</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1,468,555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1,468,555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1,468,555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1.1% (3)</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OO</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directly by WMFL I. WMFL I is controlled by Francis. Accordingly, Francis may be deemed to be beneficial owner of the shares held by WMFL I.</w:t>
      </w:r>
    </w:p>
    <w:p>
      <w:pPr>
        <w:ind w:left="420" w:hanging="412"/>
        <w:spacing w:after="0" w:line="26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4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WM Founders Legacy II, LLC</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1,570,959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1,570,959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1,570,959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1.2% (3)</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OO</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20" w:hanging="412"/>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shares are held directly by WMFL II. WMFL II is controlled by Hartfield. Accordingly, Hartfield may be deemed to be beneficial owner of the shares held by WMFL II.</w:t>
      </w:r>
    </w:p>
    <w:p>
      <w:pPr>
        <w:ind w:left="420" w:hanging="412"/>
        <w:spacing w:after="0" w:line="26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CUSIP No. 92971A 109</w:t>
            </w:r>
          </w:p>
        </w:tc>
        <w:tc>
          <w:tcPr>
            <w:tcW w:w="540" w:type="dxa"/>
            <w:vAlign w:val="bottom"/>
          </w:tcPr>
          <w:p>
            <w:pPr>
              <w:spacing w:after="0"/>
              <w:rPr>
                <w:sz w:val="20"/>
                <w:szCs w:val="20"/>
                <w:color w:val="auto"/>
              </w:rPr>
            </w:pPr>
          </w:p>
        </w:tc>
        <w:tc>
          <w:tcPr>
            <w:tcW w:w="7960" w:type="dxa"/>
            <w:vAlign w:val="bottom"/>
          </w:tcPr>
          <w:p>
            <w:pPr>
              <w:ind w:left="2800"/>
              <w:spacing w:after="0"/>
              <w:rPr>
                <w:sz w:val="20"/>
                <w:szCs w:val="20"/>
                <w:color w:val="auto"/>
              </w:rPr>
            </w:pPr>
            <w:r>
              <w:rPr>
                <w:rFonts w:ascii="Arial" w:cs="Arial" w:eastAsia="Arial" w:hAnsi="Arial"/>
                <w:sz w:val="18"/>
                <w:szCs w:val="18"/>
                <w:b w:val="1"/>
                <w:bCs w:val="1"/>
                <w:color w:val="auto"/>
              </w:rPr>
              <w:t>13D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Genco Incentives, LLC</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56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tcPr>
          <w:p>
            <w:pPr>
              <w:spacing w:after="0"/>
              <w:rPr>
                <w:sz w:val="21"/>
                <w:szCs w:val="21"/>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6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w w:val="99"/>
              </w:rPr>
              <w:t>(b)</w:t>
            </w: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8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96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796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96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SC</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28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280" w:type="dxa"/>
            <w:vAlign w:val="bottom"/>
          </w:tcPr>
          <w:p>
            <w:pPr>
              <w:spacing w:after="0"/>
              <w:rPr>
                <w:sz w:val="24"/>
                <w:szCs w:val="24"/>
                <w:color w:val="auto"/>
              </w:rPr>
            </w:pPr>
          </w:p>
        </w:tc>
        <w:tc>
          <w:tcPr>
            <w:tcW w:w="28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28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600,618 shares of Class V common stock (2)</w:t>
            </w:r>
          </w:p>
        </w:tc>
        <w:tc>
          <w:tcPr>
            <w:tcW w:w="28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7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7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7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vMerge w:val="continue"/>
          </w:tcPr>
          <w:p>
            <w:pPr>
              <w:spacing w:after="0"/>
              <w:rPr>
                <w:sz w:val="4"/>
                <w:szCs w:val="4"/>
                <w:color w:val="auto"/>
              </w:rPr>
            </w:pPr>
          </w:p>
        </w:tc>
        <w:tc>
          <w:tcPr>
            <w:tcW w:w="7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right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600,618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280" w:type="dxa"/>
            <w:vAlign w:val="bottom"/>
            <w:gridSpan w:val="4"/>
          </w:tcPr>
          <w:p>
            <w:pPr>
              <w:ind w:left="40"/>
              <w:spacing w:after="0"/>
              <w:rPr>
                <w:sz w:val="20"/>
                <w:szCs w:val="20"/>
                <w:color w:val="auto"/>
              </w:rPr>
            </w:pPr>
            <w:r>
              <w:rPr>
                <w:rFonts w:ascii="Arial" w:cs="Arial" w:eastAsia="Arial" w:hAnsi="Arial"/>
                <w:sz w:val="18"/>
                <w:szCs w:val="18"/>
                <w:b w:val="1"/>
                <w:bCs w:val="1"/>
                <w:color w:val="auto"/>
              </w:rPr>
              <w:t>600,618 shares of Class V common stock (2)</w:t>
            </w: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80" w:type="dxa"/>
            <w:vAlign w:val="bottom"/>
            <w:tcBorders>
              <w:right w:val="single" w:sz="8" w:color="auto"/>
            </w:tcBorders>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28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0.5% (3)</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28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rPr>
              <w:t>OO</w:t>
            </w:r>
          </w:p>
        </w:tc>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w:t>
      </w:r>
    </w:p>
    <w:p>
      <w:pPr>
        <w:spacing w:after="0" w:line="23" w:lineRule="exact"/>
        <w:rPr>
          <w:rFonts w:ascii="Arial" w:cs="Arial" w:eastAsia="Arial" w:hAnsi="Arial"/>
          <w:sz w:val="18"/>
          <w:szCs w:val="18"/>
          <w:color w:val="auto"/>
        </w:rPr>
      </w:pPr>
    </w:p>
    <w:p>
      <w:pPr>
        <w:ind w:left="420" w:right="20" w:hanging="412"/>
        <w:spacing w:after="0" w:line="250"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shares are held directly by Genco. Genco is controlled by Francis. Accordingly, Francis may be deemed to be beneficial owner of the shares held by Genco.</w:t>
      </w:r>
    </w:p>
    <w:p>
      <w:pPr>
        <w:ind w:left="420" w:hanging="412"/>
        <w:spacing w:after="0" w:line="260"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constitutes the Schedule 13D filed by the undersigned (the “Schedule 13D”). This Schedule 13D is being filed by the Reporting Persons (as defined below) to report the acquisition of shares of Class A common stock (as defined below) of the Issuer (as defined below) on June 16, 2021 as described in Item 3 below.</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jc w:val="both"/>
        <w:ind w:left="660" w:hanging="328"/>
        <w:spacing w:after="0" w:line="26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statement on Schedule 13D relates to the Class A common stock, par value $0.0001 per share (“Class A common stock”) of WM Technology, Inc., a Delaware corporation (the “Issuer”). Underlying the shares of Class A common stock reported in this Schedule 13D are shares of Class V common stock and Class A Units. The shares of Class V common stock of the Issuer provide no economic rights in the Issuer to the holder thereof. However, each holder of Class V common stock will be entitled to vote with the holders of Class A common stock of the Issuer, with each share of Class V common stock entitling the holder to a number of votes equal to the number of Class A Units (as described below) held by such Class V common stock holder at the time of such vote. The Class A Units represent non-voting limited liability company interests of WM Holding Company, LLC, a Delaware limited liability company. Pursuant to the terms of an exchange agreement, these Class A units and an equivalent number of shares of Class V common stock are exchangeable on a one-for-one basis for shares of Class A common stock of the Issuer. These exchange rights do not expire.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executive offices of the Issuer are located at 41 Discovery, Irvine, CA 92618.</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persons and entities filing this statement are Justin Hartfield (“Hartfield”), Douglas Francis (“Francis”), Ghost Media, LLC (“Ghost Media”), WM Founders Legacy I, LLC (“WMFL I”), WM Founders Legacy II, LLC (“WMFL II) and Genco Incentives, LLC (“Genco”) (collectively referred to as the “Reporting Persons”).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each of the Reporting Persons is 49 Discovery, Suite 200, Irvine, California 92618.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business of each of the Reporting Persons is private investing.</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the Listed Persons (as defined below) has been convicted in any criminal proceeding (excluding traffic violations or similar misdemeanors).</w:t>
      </w: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the Listed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Persons are Delaware and Nevada limited liability companies (as identified in Schedule I); Hartfield and Francis are United States citizens.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accordance with the provisions of General Instruction C to Schedule 13D, information concerning the persons controlling Ghost Media, WMFL I, WMFL II and Genco (the “Listed Persons”) required by Item 2 of Schedule 13D is listed on Schedule I hereto and is incorporated by reference herein.</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Reporting Persons are deemed to beneficially own an aggregate of 48,559,969 shares of Class V common stock of the Issuer as reflected in this Schedule 13D. The consideration used to acquire beneficial ownership of the shares of Class V common stock of the Issuer consisted solely of securities of WM Holding Company, LLC, a Delaware limited liability company (“WMH”). The Reporting Persons acquired the shares pursuant to the Agreement and Plan of Merger, dated as of December 10, 2020, by and among Silver Spike Acquisition Corp. ("Silver Spike"), Silver Spike Merger Sub LLC, a direct, wholly-owned subsidiary of Silver Spike ("Merger Sub"), WMH, and Ghost Media,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Reporting Persons purchased the aforementioned securities for investment purposes with the aim of increasing the value of their investments and the Issuer. Subject to applicable legal requirements, one or more of the Reporting Persons may purchase additional securities of the Issuer from time to time in open market or private transactions, depending on its evaluation of the Issuer’s business, prospects and financial condition, the market for the Issuer’s securities, other developments concerning the Issuer, the reaction of the Issuer to the Reporting Persons’ ownership of the Issuer’s securities, other opportunities available to the Reporting Persons, and general economic, money market and stock market conditions. In addition, depending upon the factors referred to above, the Reporting Persons may dispose of all or a portion of their securities of the Issuer at any time. Each of the Reporting Persons reserve the right to increase or decrease its holdings on such terms and at such times as each may decide</w:t>
      </w:r>
      <w:r>
        <w:rPr>
          <w:rFonts w:ascii="Arial" w:cs="Arial" w:eastAsia="Arial" w:hAnsi="Arial"/>
          <w:sz w:val="19"/>
          <w:szCs w:val="19"/>
          <w:b w:val="1"/>
          <w:bCs w:val="1"/>
          <w:color w:val="auto"/>
        </w:rPr>
        <w: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Except as set forth in this Item 4 and Item 6 below, none of the Reporting Persons have a present plan or proposal that relates to or would result in any of the actions specified in clauses (a) through (j) of Item 4 of Schedule 13D of the Act.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Class A common stock to become eligible for termination of registration under Section 12(g) of the Act. The Reporting Persons also retain the right to change their investment intent at any time, to acquire additional shares of Class A common stock or other securities of the Issuer from time to time, or to sell or otherwise dispose of all or part of the Class A common stock beneficially owned by them (or any shares of Class A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(a)(b) The following information with respect to the ownership of the Class V common stock of the Issuer by the Reporting Persons filing this Statement on Schedule 13D is provided as of the date of this filing:</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Sole</w:t>
            </w: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Shared</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Sole</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Shared</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b w:val="1"/>
                <w:bCs w:val="1"/>
                <w:color w:val="auto"/>
              </w:rPr>
              <w:t>Reporting Persons</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Held</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Voting</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Voting</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Dispositive</w:t>
            </w: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Dispositive</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Beneficial</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18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Directly (1)</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Power</w:t>
            </w: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Power</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Power</w:t>
            </w: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Power</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Ownership</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of Class (3)</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Hartfield</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19,288,160</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19,288,160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10,040,150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19,288,160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10,040,150</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29,328,310</w:t>
            </w: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Francis</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17,162,485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17,162,485</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10,538,365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17,162,485</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10,538,365</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27,700,850</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Ghost Media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8,469,191</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8,469,191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8,469,191</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8,469,191</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WMFL I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1,468,555</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1,468,555</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1,468,555</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1,468,555</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WMFL II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1,570,959</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1,570,959</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1,570,959</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1,570,959</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Genco (2)</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600,618</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600,618</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600,618</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600,618</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8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number of shares of Class V common stock currently underlying all Securities held by the Reporting Persons.</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shares are owned as follows: (i) 19,288,160 by Hartfield, (ii) 17,162,485 by Francis, (iii) 8,469,191 by Ghost Media, (iv) 1,468,555 by WMFL I,</w:t>
      </w:r>
    </w:p>
    <w:p>
      <w:pPr>
        <w:spacing w:after="0" w:line="46" w:lineRule="exact"/>
        <w:rPr>
          <w:rFonts w:ascii="Arial" w:cs="Arial" w:eastAsia="Arial" w:hAnsi="Arial"/>
          <w:sz w:val="16"/>
          <w:szCs w:val="16"/>
          <w:color w:val="auto"/>
        </w:rPr>
      </w:pPr>
    </w:p>
    <w:p>
      <w:pPr>
        <w:jc w:val="both"/>
        <w:ind w:left="480"/>
        <w:spacing w:after="0" w:line="253" w:lineRule="auto"/>
        <w:tabs>
          <w:tab w:leader="none" w:pos="737" w:val="left"/>
        </w:tabs>
        <w:numPr>
          <w:ilvl w:val="1"/>
          <w:numId w:val="10"/>
        </w:numPr>
        <w:rPr>
          <w:rFonts w:ascii="Arial" w:cs="Arial" w:eastAsia="Arial" w:hAnsi="Arial"/>
          <w:sz w:val="18"/>
          <w:szCs w:val="18"/>
          <w:color w:val="auto"/>
        </w:rPr>
      </w:pPr>
      <w:r>
        <w:rPr>
          <w:rFonts w:ascii="Arial" w:cs="Arial" w:eastAsia="Arial" w:hAnsi="Arial"/>
          <w:sz w:val="18"/>
          <w:szCs w:val="18"/>
          <w:color w:val="auto"/>
        </w:rPr>
        <w:t>1,570,959 by WMFL II and (vi) 600,618 by Genco. Ghost Media is controlled by Hartfield and Francis, WMFL II is controlled by Hartfield and WMFL I and Genco are controlled by Francis. Accordingly, Hartfield and Francis may be deemed to be the beneficial owners of the shares held by Ghost Media, Hartfield may be deemed to be the beneficial owner of the shares held by WMFL II and Francis may be deemed to be the beneficial owner of the shares held by WMFL I and Genco.</w:t>
      </w:r>
    </w:p>
    <w:p>
      <w:pPr>
        <w:spacing w:after="0" w:line="21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set forth on the cover sheets is calculated based on a total of 129,240,912 shares of the Issuer’s Class A common stock and Class V common stock outstanding as of June 16, 2021.</w:t>
      </w:r>
    </w:p>
    <w:p>
      <w:pPr>
        <w:spacing w:after="0" w:line="190" w:lineRule="exact"/>
        <w:rPr>
          <w:sz w:val="20"/>
          <w:szCs w:val="20"/>
          <w:color w:val="auto"/>
        </w:rPr>
      </w:pPr>
    </w:p>
    <w:p>
      <w:pPr>
        <w:ind w:right="20" w:firstLine="8"/>
        <w:spacing w:after="0" w:line="250" w:lineRule="auto"/>
        <w:tabs>
          <w:tab w:leader="none" w:pos="297" w:val="left"/>
        </w:tabs>
        <w:numPr>
          <w:ilvl w:val="0"/>
          <w:numId w:val="11"/>
        </w:numPr>
        <w:rPr>
          <w:rFonts w:ascii="Arial" w:cs="Arial" w:eastAsia="Arial" w:hAnsi="Arial"/>
          <w:sz w:val="22"/>
          <w:szCs w:val="22"/>
          <w:color w:val="auto"/>
        </w:rPr>
      </w:pPr>
      <w:r>
        <w:rPr>
          <w:rFonts w:ascii="Arial" w:cs="Arial" w:eastAsia="Arial" w:hAnsi="Arial"/>
          <w:sz w:val="22"/>
          <w:szCs w:val="22"/>
          <w:color w:val="auto"/>
        </w:rPr>
        <w:t>Except as set forth in Item 4 hereof, the Reporting Persons have not effected any transactions in the Class V common stock in the sixty (60) days preceding the date of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firstLine="8"/>
        <w:spacing w:after="0" w:line="251" w:lineRule="auto"/>
        <w:tabs>
          <w:tab w:leader="none" w:pos="311" w:val="left"/>
        </w:tabs>
        <w:numPr>
          <w:ilvl w:val="0"/>
          <w:numId w:val="12"/>
        </w:numPr>
        <w:rPr>
          <w:rFonts w:ascii="Arial" w:cs="Arial" w:eastAsia="Arial" w:hAnsi="Arial"/>
          <w:sz w:val="22"/>
          <w:szCs w:val="22"/>
          <w:color w:val="auto"/>
        </w:rPr>
      </w:pPr>
      <w:r>
        <w:rPr>
          <w:rFonts w:ascii="Arial" w:cs="Arial" w:eastAsia="Arial" w:hAnsi="Arial"/>
          <w:sz w:val="22"/>
          <w:szCs w:val="22"/>
          <w:color w:val="auto"/>
        </w:rPr>
        <w:t>Except as set forth in Item 6 hereof, no person has the right to receive or the power to direct the receipt of dividends from, or the proceeds from the sale of, the Class V common stock reported herein.</w:t>
      </w:r>
    </w:p>
    <w:p>
      <w:pPr>
        <w:spacing w:after="0" w:line="200" w:lineRule="exact"/>
        <w:rPr>
          <w:rFonts w:ascii="Arial" w:cs="Arial" w:eastAsia="Arial" w:hAnsi="Arial"/>
          <w:sz w:val="22"/>
          <w:szCs w:val="22"/>
          <w:color w:val="auto"/>
        </w:rPr>
      </w:pPr>
    </w:p>
    <w:p>
      <w:pPr>
        <w:ind w:left="300" w:hanging="292"/>
        <w:spacing w:after="0"/>
        <w:tabs>
          <w:tab w:leader="none" w:pos="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furnished in Item 3 is incorporated into this Item 6 by reference.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Agreement regarding filing of joint Schedule 13D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28, 2021</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Justin Hartfield</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Douglas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Ghost Media,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WM Founders Legacy I,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WM Founders Legacy II,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 Justin Hartfield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Genco Incentives,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5"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8"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Attention: Intentional misstatements or omissions of fact</w:t>
      </w:r>
    </w:p>
    <w:p>
      <w:pPr>
        <w:spacing w:after="0" w:line="14"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right"/>
        <w:ind w:right="3859"/>
        <w:spacing w:after="0"/>
        <w:rPr>
          <w:sz w:val="20"/>
          <w:szCs w:val="20"/>
          <w:color w:val="auto"/>
        </w:rPr>
      </w:pPr>
      <w:r>
        <w:rPr>
          <w:rFonts w:ascii="Arial" w:cs="Arial" w:eastAsia="Arial" w:hAnsi="Arial"/>
          <w:sz w:val="22"/>
          <w:szCs w:val="22"/>
          <w:b w:val="1"/>
          <w:bCs w:val="1"/>
          <w:color w:val="auto"/>
        </w:rPr>
        <w:t>SCHEDULE I</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Principals: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Justin Hartfield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49 Discovery, Suite 200</w:t>
      </w:r>
    </w:p>
    <w:p>
      <w:pPr>
        <w:spacing w:after="0" w:line="230" w:lineRule="auto"/>
        <w:rPr>
          <w:sz w:val="20"/>
          <w:szCs w:val="20"/>
          <w:color w:val="auto"/>
        </w:rPr>
      </w:pPr>
      <w:r>
        <w:rPr>
          <w:rFonts w:ascii="Arial" w:cs="Arial" w:eastAsia="Arial" w:hAnsi="Arial"/>
          <w:sz w:val="22"/>
          <w:szCs w:val="22"/>
          <w:color w:val="auto"/>
        </w:rPr>
        <w:t>Irvine, CA 92618</w:t>
      </w:r>
    </w:p>
    <w:p>
      <w:pPr>
        <w:spacing w:after="0" w:line="231" w:lineRule="auto"/>
        <w:rPr>
          <w:sz w:val="20"/>
          <w:szCs w:val="20"/>
          <w:color w:val="auto"/>
        </w:rPr>
      </w:pPr>
      <w:r>
        <w:rPr>
          <w:rFonts w:ascii="Arial" w:cs="Arial" w:eastAsia="Arial" w:hAnsi="Arial"/>
          <w:sz w:val="22"/>
          <w:szCs w:val="22"/>
          <w:color w:val="auto"/>
        </w:rPr>
        <w:t>Principal Occupation: Manager of Ghost Media and WMFL II</w:t>
      </w:r>
    </w:p>
    <w:p>
      <w:pPr>
        <w:spacing w:after="0"/>
        <w:rPr>
          <w:sz w:val="20"/>
          <w:szCs w:val="20"/>
          <w:color w:val="auto"/>
        </w:rPr>
      </w:pPr>
      <w:r>
        <w:rPr>
          <w:rFonts w:ascii="Arial" w:cs="Arial" w:eastAsia="Arial" w:hAnsi="Arial"/>
          <w:sz w:val="22"/>
          <w:szCs w:val="22"/>
          <w:color w:val="auto"/>
        </w:rPr>
        <w:t>Citizenship: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Douglas Francis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49 Discovery, Suite 200</w:t>
      </w:r>
    </w:p>
    <w:p>
      <w:pPr>
        <w:spacing w:after="0" w:line="230" w:lineRule="auto"/>
        <w:rPr>
          <w:sz w:val="20"/>
          <w:szCs w:val="20"/>
          <w:color w:val="auto"/>
        </w:rPr>
      </w:pPr>
      <w:r>
        <w:rPr>
          <w:rFonts w:ascii="Arial" w:cs="Arial" w:eastAsia="Arial" w:hAnsi="Arial"/>
          <w:sz w:val="22"/>
          <w:szCs w:val="22"/>
          <w:color w:val="auto"/>
        </w:rPr>
        <w:t>Irvine, CA 92618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Principal Occupation: Manager of Ghost Media, WMFL I and Genco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Citizenship: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12" w:name="page13"/>
    <w:bookmarkEnd w:id="12"/>
    <w:p>
      <w:pPr>
        <w:jc w:val="right"/>
        <w:ind w:right="3679"/>
        <w:spacing w:after="0"/>
        <w:rPr>
          <w:sz w:val="20"/>
          <w:szCs w:val="20"/>
          <w:color w:val="auto"/>
        </w:rPr>
      </w:pPr>
      <w:r>
        <w:rPr>
          <w:rFonts w:ascii="Arial" w:cs="Arial" w:eastAsia="Arial" w:hAnsi="Arial"/>
          <w:sz w:val="22"/>
          <w:szCs w:val="22"/>
          <w:b w:val="1"/>
          <w:bCs w:val="1"/>
          <w:color w:val="auto"/>
        </w:rPr>
        <w:t>EXHIBIT INDEX</w:t>
      </w:r>
    </w:p>
    <w:p>
      <w:pPr>
        <w:spacing w:after="0" w:line="24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Agreement regarding filing of joint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STATEMENT</w:t>
      </w:r>
    </w:p>
    <w:p>
      <w:pPr>
        <w:spacing w:after="0" w:line="239"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I, the undersigned, hereby express my agreement that the attached Schedule 13D (and any amendments thereto) relating to the Class A common stock of WM Technology, Inc. is filed on behalf of each of the undersigned.</w:t>
      </w:r>
    </w:p>
    <w:p>
      <w:pPr>
        <w:spacing w:after="0" w:line="1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28, 2021</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Justin Hartfield</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Douglas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Ghost Media,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WM Founders Legacy I,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WM Founders Legacy II,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By: Justin Hartfield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Genco Incentives, LLC</w:t>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 Douglas Francis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TS</w:t>
      </w:r>
      <w:r>
        <w:rPr>
          <w:rFonts w:ascii="Arial" w:cs="Arial" w:eastAsia="Arial" w:hAnsi="Arial"/>
          <w:sz w:val="18"/>
          <w:szCs w:val="18"/>
          <w:color w:val="auto"/>
        </w:rPr>
        <w: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23495</wp:posOffset>
            </wp:positionV>
            <wp:extent cx="2631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-130175</wp:posOffset>
            </wp:positionV>
            <wp:extent cx="26314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lvl w:ilvl="1">
      <w:lvlJc w:val="left"/>
      <w:lvlText w:val="(%2)"/>
      <w:numFmt w:val="lowerRoman"/>
      <w:start w:val="5"/>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1."/>
      <w:numFmt w:val="upperLetter"/>
      <w:start w:val="1"/>
    </w:lvl>
  </w:abstractNum>
  <w:abstractNum w:abstractNumId="13">
    <w:nsid w:val="DED726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2021-06-28T16:36:01Z</dcterms:created>
  <dcterms:modified xsi:type="dcterms:W3CDTF">2021-06-28T16:36:01Z</dcterms:modified>
</cp:coreProperties>
</file>