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June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883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234"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313055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reported on December 18, 2024, WM Technology, Inc. (the “Company”) received a non-binding indication of interest (the "Proposal") to acquire all of the outstanding shares of common stock (Class A and Class V) of the Company from Doug Francis and Justin Hartfield, co-founders and current stockholders of the Company. On June 23, 2025, the Company received a letter from Messrs. Francis and Hartfield and entities affiliated with Messrs. Francis and Hartfield communicating the withdrawal of the Proposal. A copy of the press release is furnished as Exhibit 99.1 hereto and is incorporated herein by reference.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5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The following exhibits are filed with this Current Report on Form 8-K:</w:t>
      </w:r>
    </w:p>
    <w:p>
      <w:pPr>
        <w:spacing w:after="0" w:line="171"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61"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June 25, 2025</w:t>
      </w:r>
    </w:p>
    <w:p>
      <w:pPr>
        <w:spacing w:after="0" w:line="63"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62407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25, 2025</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Susan Echard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Susan Echard</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40" w:top="65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107950</wp:posOffset>
            </wp:positionV>
            <wp:extent cx="214312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40" w:right="60"/>
        <w:spacing w:after="0" w:line="275" w:lineRule="auto"/>
        <w:rPr>
          <w:sz w:val="20"/>
          <w:szCs w:val="20"/>
          <w:color w:val="auto"/>
        </w:rPr>
      </w:pPr>
      <w:r>
        <w:rPr>
          <w:rFonts w:ascii="Times New Roman" w:cs="Times New Roman" w:eastAsia="Times New Roman" w:hAnsi="Times New Roman"/>
          <w:sz w:val="22"/>
          <w:szCs w:val="22"/>
          <w:b w:val="1"/>
          <w:bCs w:val="1"/>
          <w:color w:val="auto"/>
        </w:rPr>
        <w:t>The Special Committee of the Board of Directors of WM Technology Updates Stockholders on the Status of Non-Binding Proposal from Co-Founders Regarding Potential Take-Private</w:t>
      </w:r>
    </w:p>
    <w:p>
      <w:pPr>
        <w:spacing w:after="0" w:line="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b w:val="1"/>
          <w:bCs w:val="1"/>
          <w:color w:val="auto"/>
        </w:rPr>
        <w:t>IRVINE, Calif.</w:t>
      </w:r>
      <w:r>
        <w:rPr>
          <w:rFonts w:ascii="Times New Roman" w:cs="Times New Roman" w:eastAsia="Times New Roman" w:hAnsi="Times New Roman"/>
          <w:sz w:val="22"/>
          <w:szCs w:val="22"/>
          <w:color w:val="auto"/>
        </w:rPr>
        <w:t>—(BUSINESS WIRE)—June 25, 2025— The special committee (the “Special Committee”) of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(the “Board”) of WM Technology, Inc. (“WM Technology” or the “Company”) (Nasdaq: MAPS), a leading technology and software infrastructure provider to the cannabis industry, today confirmed that it received a letter, dated June 23, 2025, from Douglas Francis, a founder, Chief Executive Officer and Chairman of the Board, Justin Hartfield, a founder and stockholder of WM Technology, and entities affiliated with Messrs. Francis and Hartfield, pursuant to which Messrs. Francis and Hartfield communicated that (1) due to certain external factors they must withdraw their non-binding proposal, dated December 17, 2024, to purchase all of the outstanding common stock (Class A and Class V) of WM Technology not already beneficially owned by Messrs. Francis and Hartfield for $1.70 per share of WM Technology common stock and (2) Messrs. Francis and Hartfield will continue to evaluate a transaction and may submit an alternative proposal.</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There can be no assurance that Messrs. Francis and Hartfield will submit a subsequent proposal, any definitive agreement will be executed, or the proposed transaction or any other transaction will be approved or consummated. The Special Committee does not intend to comment on or disclose further developments regarding any potential transaction unless and until it deems further disclosure is appropriate or required.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Special Committee remains committed to acting in the best interests of WM Technology and all of its stockholders.</w:t>
      </w:r>
    </w:p>
    <w:p>
      <w:pPr>
        <w:spacing w:after="0" w:line="1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Special Committee has retained Evercore Group L.L.C. as its independent financial advisor and Allen Overy Shearman Sterling US LLP as its independent legal advisor.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WM Technology</w:t>
      </w:r>
    </w:p>
    <w:p>
      <w:pPr>
        <w:spacing w:after="0" w:line="11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Founded in 2008, WM Technology operates Weedmaps, a leading cannabis marketplace for consumers, as well as a broad set of eCommerce and compliance software solutions for cannabis businesses and brands in U.S. state-legal markets. WM Technology holds a strong belief in the power of cannabis and the importance of enabling safe, legal access to consumers worldwide.</w:t>
      </w:r>
    </w:p>
    <w:p>
      <w:pPr>
        <w:spacing w:after="0" w:line="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Over the past 16 years, the Weedmaps marketplace platform has become a premier destination for cannabis consumers to discover and browse cannabis-related products, access daily dispensary deals, order ahead for pick-up and delivery by participating retailers (where available) and learn about the plant. The Company also offers eCommerce-enablement tools designed to help cannabis retailers and brands reach consumers, create business efficiency, and manage industry-specific compliance needs.</w:t>
      </w:r>
    </w:p>
    <w:p>
      <w:pPr>
        <w:spacing w:after="0" w:line="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is committed to advocating for full U.S. legalization, industry-wide social equity, and continued education about the plant through key partnerships and cannabis subject matter experts.</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Headquartered in Irvine, California, WM Technology supports remote and hybrid work for eligible employees. Visit us at </w:t>
      </w:r>
      <w:r>
        <w:rPr>
          <w:rFonts w:ascii="Times New Roman" w:cs="Times New Roman" w:eastAsia="Times New Roman" w:hAnsi="Times New Roman"/>
          <w:sz w:val="22"/>
          <w:szCs w:val="22"/>
          <w:color w:val="0563C1"/>
        </w:rPr>
        <w:t>www.weedmaps.com</w:t>
      </w:r>
      <w:r>
        <w:rPr>
          <w:rFonts w:ascii="Times New Roman" w:cs="Times New Roman" w:eastAsia="Times New Roman" w:hAnsi="Times New Roman"/>
          <w:sz w:val="22"/>
          <w:szCs w:val="22"/>
          <w:color w:val="000000"/>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80" w:right="339" w:bottom="1440" w:gutter="0" w:footer="0" w:header="0"/>
        </w:sectPr>
      </w:pPr>
    </w:p>
    <w:bookmarkStart w:id="4" w:name="page5"/>
    <w:bookmarkEnd w:id="4"/>
    <w:p>
      <w:pPr>
        <w:jc w:val="both"/>
        <w:spacing w:after="0" w:line="241" w:lineRule="auto"/>
        <w:rPr>
          <w:sz w:val="20"/>
          <w:szCs w:val="20"/>
          <w:color w:val="auto"/>
        </w:rPr>
      </w:pPr>
      <w:r>
        <w:rPr>
          <w:rFonts w:ascii="Times New Roman" w:cs="Times New Roman" w:eastAsia="Times New Roman" w:hAnsi="Times New Roman"/>
          <w:sz w:val="21"/>
          <w:szCs w:val="21"/>
          <w:color w:val="auto"/>
        </w:rPr>
        <w:t>This press release includes “forward-looking statements” regarding the Company’s future business expectations which involve risks and uncertainties. Forward 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 statements regarding the Company’s expectations regarding the indication of interest received from Messrs. Francis and Hartfield and uncertainty as to the pricing, timing or terms of any transaction with Messrs. Francis and Hartfield or any other alternative transactions.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clients and retain existing clients; expectations and timing related to commercial product launches; success of the Company’s go-to-market strategy; the Company’s ability to scale its business and expand its offerings; the Company’s competitive advantages and growth strategies; the Company’s future capital requirements and sources and uses of cash; the Company’s ability to obtain funding for its future operations; the impact of the material weaknesses in the Company’s internal controls and ability to remediate these material weaknesses in the timing the Company anticipates, or at all; the Company’s ability to maintain its listing on the Nasdaq Stock Market LLC; the outcome of any known and unknown litigation and regulatory proceedings; changes in domestic and foreign business, market, financial, political and legal conditions; the effect of macroeconomic conditions, including but not limited to inflation, uncertain credit and global financial markets, recent and potential future disruptions in access to bank deposits or lending commitments due to bank failures and geopolitical events, including the military conflicts between Russia and Ukraine and Israel and Hamas and occurrence of a catastrophic event, including but not limited to severe weather, war, or terrorist attack;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effectively anticipate and address changes in the end-user market in the cannabis industry; the Company’s ability to develop new products and solutions, bring them to market in a timely manner, and make enhancements to its platform; the Company’s ability to maintain and grow its two-sided marketplace, including its ability to acquire and retain paying clients; the Company’s ability to continue to collect on outstanding receivables; the Company’s ability to realize the expected benefits of any strategic acquisitions; the effects of competition on the Company’s future business; the Company’s success in retaining or recruiting, or changes required in, officers, key employees or directors; cyber-attacks and security vulnerabilities; the possibility that the Company may be adversely affected by other economic, business or competitive and those factors discussed in the Company’s Annual Report for the fiscal year ended December 31, 2024, on Form 10-K filed with the Securities and Exchange Commission on March 13, 2025 and in subsequent Form 10-Qs or Form 8-Ks filed by the Company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22" w:right="339" w:bottom="1440" w:gutter="0" w:footer="0" w:header="0"/>
        </w:sectPr>
      </w:pPr>
    </w:p>
    <w:bookmarkStart w:id="5" w:name="page6"/>
    <w:bookmarkEnd w:id="5"/>
    <w:p>
      <w:pPr>
        <w:jc w:val="both"/>
        <w:spacing w:after="0" w:line="239" w:lineRule="auto"/>
        <w:rPr>
          <w:sz w:val="20"/>
          <w:szCs w:val="20"/>
          <w:color w:val="auto"/>
        </w:rPr>
      </w:pPr>
      <w:r>
        <w:rPr>
          <w:rFonts w:ascii="Times New Roman" w:cs="Times New Roman" w:eastAsia="Times New Roman" w:hAnsi="Times New Roman"/>
          <w:sz w:val="22"/>
          <w:szCs w:val="22"/>
          <w:color w:val="auto"/>
        </w:rPr>
        <w:t>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investors@weedmaps.com</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0000FF"/>
        </w:rPr>
        <w:t>press@weedmaps.com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2025-06-25T15:20:32Z</dcterms:created>
  <dcterms:modified xsi:type="dcterms:W3CDTF">2025-06-25T15:20:32Z</dcterms:modified>
</cp:coreProperties>
</file>