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313055</wp:posOffset>
            </wp:positionV>
            <wp:extent cx="257175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May 5, 2022 (the “Prospectus”), which forms a part of our Registration Statement on Form S-1, as amended (Registration No. 333-257774). This prospectus supplement is being filed to update and supplement the information in the Prospectus with the information contained in our Current Report on Form 8-K filed with the Securities and Exchange Commission on June 27, 2022 (the “Current Report on Form 8-K”). Accordingly, we have attached the Current Report on Form 8-K to this prospectus supplement.</w:t>
      </w:r>
    </w:p>
    <w:p>
      <w:pPr>
        <w:spacing w:after="0" w:line="208" w:lineRule="exact"/>
        <w:rPr>
          <w:sz w:val="24"/>
          <w:szCs w:val="24"/>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14"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June 27, 2022, the closing price of our Class A Common Stock was $3.82 and the closing price for our Public Warrants was $0.8567.</w:t>
      </w:r>
    </w:p>
    <w:p>
      <w:pPr>
        <w:spacing w:after="0" w:line="200" w:lineRule="exact"/>
        <w:rPr>
          <w:sz w:val="24"/>
          <w:szCs w:val="24"/>
          <w:color w:val="auto"/>
        </w:rPr>
      </w:pPr>
    </w:p>
    <w:p>
      <w:pPr>
        <w:ind w:right="2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SEE THE SECTION ENTITLED “RISK FACTORS” BEGINNING ON PAGE 7 OF THE PROSPECTUS, AS UPDATED AND SUPPLEMENTED UNDER SIMILAR HEADINGS IN ANY FURTHER AMENDMENTS OR SUPPLEMENTS TO THE PROSPECTUS, TO READ ABOUT FACTORS YOU SHOULD CONSIDER BEFORE BUYING OUR SECURITIES.</w:t>
      </w:r>
    </w:p>
    <w:p>
      <w:pPr>
        <w:spacing w:after="0" w:line="198" w:lineRule="exact"/>
        <w:rPr>
          <w:sz w:val="24"/>
          <w:szCs w:val="24"/>
          <w:color w:val="auto"/>
        </w:rPr>
      </w:pPr>
    </w:p>
    <w:p>
      <w:pPr>
        <w:ind w:right="160"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1522095</wp:posOffset>
            </wp:positionH>
            <wp:positionV relativeFrom="paragraph">
              <wp:posOffset>2934335</wp:posOffset>
            </wp:positionV>
            <wp:extent cx="4105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2814320</wp:posOffset>
            </wp:positionV>
            <wp:extent cx="410591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3429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 w:name="page2"/>
    <w:bookmarkEnd w:id="1"/>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0"/>
          <w:szCs w:val="20"/>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0"/>
          <w:szCs w:val="20"/>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0"/>
          <w:szCs w:val="20"/>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0"/>
          <w:szCs w:val="20"/>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0"/>
          <w:szCs w:val="20"/>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0"/>
          <w:szCs w:val="20"/>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0"/>
          <w:szCs w:val="20"/>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0"/>
          <w:szCs w:val="20"/>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0"/>
          <w:szCs w:val="20"/>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0"/>
          <w:szCs w:val="20"/>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0"/>
          <w:szCs w:val="20"/>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718" w:right="539" w:bottom="1440" w:gutter="0" w:footer="0" w:header="0"/>
        </w:sectPr>
      </w:pPr>
    </w:p>
    <w:p>
      <w:pPr>
        <w:spacing w:after="0" w:line="81"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0"/>
          <w:szCs w:val="20"/>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0"/>
          <w:szCs w:val="20"/>
          <w:color w:val="auto"/>
        </w:rPr>
      </w:pPr>
    </w:p>
    <w:p>
      <w:pPr>
        <w:sectPr>
          <w:pgSz w:w="11900" w:h="16838" w:orient="portrait"/>
          <w:cols w:equalWidth="0" w:num="2">
            <w:col w:w="4934" w:space="720"/>
            <w:col w:w="5360"/>
          </w:cols>
          <w:pgMar w:left="346" w:top="718" w:right="539" w:bottom="1440" w:gutter="0" w:footer="0" w:header="0"/>
          <w:type w:val="continuous"/>
        </w:sectPr>
      </w:pPr>
    </w:p>
    <w:p>
      <w:pPr>
        <w:spacing w:after="0" w:line="259" w:lineRule="exact"/>
        <w:rPr>
          <w:sz w:val="20"/>
          <w:szCs w:val="20"/>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0"/>
          <w:szCs w:val="20"/>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014"/>
          </w:cols>
          <w:pgMar w:left="346" w:top="718"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5.07 Submission of Matters to a Vote of Security Holders.</w:t>
      </w:r>
    </w:p>
    <w:p>
      <w:pPr>
        <w:spacing w:after="0" w:line="200" w:lineRule="exact"/>
        <w:rPr>
          <w:sz w:val="20"/>
          <w:szCs w:val="20"/>
          <w:color w:val="auto"/>
        </w:rPr>
      </w:pPr>
    </w:p>
    <w:p>
      <w:pPr>
        <w:spacing w:after="0" w:line="28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On June 21, 2022, WM Technology, Inc, (the “Company”) held its 2022 Annual Meeting of Stockholders (the “Annual Meeting”). As of April 28, 2022, the record date for the Annual Meeting (the “Record Date”), 144,397,402 shares of the Company’s common stock were outstanding and entitled to vote at the Annual Meeting. A summary of the matters voted upon by stockholders at the Annual Meeting is set forth below.</w:t>
      </w:r>
    </w:p>
    <w:p>
      <w:pPr>
        <w:spacing w:after="0" w:line="19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 total of 92,473,430 shares of the Company’s common stock were present at the Annual Meeting in person, by virtual attendance, or by proxy, which represents 64.04% of the shares of the Company’s common stock outstanding as of the Record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4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the three persons listed below as Class I Directors, each to serve until the Company’s 2025 Annual Meeting of Stockholders or until his or her successor has been duly elected and qualified, or, if sooner, until his or her earlier death, resignation or removal. The final voting results are as follows:</w:t>
      </w: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9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2920" w:type="dxa"/>
            <w:vAlign w:val="bottom"/>
            <w:tcBorders>
              <w:bottom w:val="single" w:sz="8" w:color="CCEEFF"/>
            </w:tcBorders>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8"/>
              </w:rPr>
              <w:t>Christopher Beals</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72,693,786</w:t>
            </w:r>
          </w:p>
        </w:tc>
        <w:tc>
          <w:tcPr>
            <w:tcW w:w="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8,674,123</w:t>
            </w:r>
          </w:p>
        </w:tc>
        <w:tc>
          <w:tcPr>
            <w:tcW w:w="7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11,105,521</w:t>
            </w:r>
          </w:p>
        </w:tc>
      </w:tr>
      <w:tr>
        <w:trPr>
          <w:trHeight w:val="243"/>
        </w:trPr>
        <w:tc>
          <w:tcPr>
            <w:tcW w:w="29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Fiona Tan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72,670,396</w:t>
            </w:r>
          </w:p>
        </w:tc>
        <w:tc>
          <w:tcPr>
            <w:tcW w:w="7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8,697,513</w:t>
            </w:r>
          </w:p>
        </w:tc>
        <w:tc>
          <w:tcPr>
            <w:tcW w:w="7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11,105,521</w:t>
            </w:r>
          </w:p>
        </w:tc>
      </w:tr>
      <w:tr>
        <w:trPr>
          <w:trHeight w:val="27"/>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292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Anthony Bay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81,284,796</w:t>
            </w:r>
          </w:p>
        </w:tc>
        <w:tc>
          <w:tcPr>
            <w:tcW w:w="70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83,113</w:t>
            </w:r>
          </w:p>
        </w:tc>
        <w:tc>
          <w:tcPr>
            <w:tcW w:w="7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11,105,521</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Proposal 2. Advisory Vote, on a Non-Binding Basis, to approve the Compensation of the Company’s Named Executive Officers for the Year Ended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definitive proxy statement relating to the Annual Meeting. The final voting results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74,455,079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6,864,399</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48,431</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11,105,521</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a Non-Binding Basis, on the Frequency of Solicitation of Advisory Stockholder Approval of Executive Compensation.</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Company’s stockholders indicated, on a non-binding advisory basis, the preferred frequency of one year for future stockholder advisory votes on the compensation of the Company’s named executive officers. In light of this result and consistent with the Company’s recommendation, the Company’s Board of Directors (the “Board”) has determined to hold future advisory votes on executive compensation every year. Under Section 14a-21(b) of the Securities Exchange Act of 1934, as amended, the Company will hold the next advisory vote on the frequency of such stockholder votes no later than its 2028 Annual Meeting of Stockholders. The final voting results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5"/>
              </w:rPr>
              <w:t>3 Years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81,246,621</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29,216</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70,534</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21,538</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Ratification of the Selection of Independent Registered Public Accounting Firm.</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selection of Baker Tilly US, LLP by the Audit Committee of the Board as the Company’s independent registered public accounting firm for the fiscal year ending December 31, 2022. The final voting results are as follows:</w:t>
      </w:r>
    </w:p>
    <w:p>
      <w:pPr>
        <w:spacing w:after="0" w:line="267"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29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2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6"/>
        </w:trPr>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92,353,685</w:t>
            </w:r>
          </w:p>
        </w:tc>
        <w:tc>
          <w:tcPr>
            <w:tcW w:w="70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71,576</w:t>
            </w:r>
          </w:p>
        </w:tc>
        <w:tc>
          <w:tcPr>
            <w:tcW w:w="70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48,169</w:t>
            </w:r>
          </w:p>
        </w:tc>
      </w:tr>
      <w:tr>
        <w:trPr>
          <w:trHeight w:val="27"/>
        </w:trPr>
        <w:tc>
          <w:tcPr>
            <w:tcW w:w="2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ectPr>
          <w:pgSz w:w="11900" w:h="16838" w:orient="portrait"/>
          <w:cols w:equalWidth="0" w:num="1">
            <w:col w:w="11220"/>
          </w:cols>
          <w:pgMar w:left="320" w:top="1022" w:right="3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27,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2022-06-27T19:59:21Z</dcterms:created>
  <dcterms:modified xsi:type="dcterms:W3CDTF">2022-06-27T19:59:21Z</dcterms:modified>
</cp:coreProperties>
</file>