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spacing w:after="0" w:line="166"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Under the Securities Exchange Act of 1934</w:t>
      </w:r>
    </w:p>
    <w:p>
      <w:pPr>
        <w:ind w:left="4680"/>
        <w:spacing w:after="0"/>
        <w:rPr>
          <w:sz w:val="20"/>
          <w:szCs w:val="20"/>
          <w:color w:val="auto"/>
        </w:rPr>
      </w:pPr>
      <w:r>
        <w:rPr>
          <w:rFonts w:ascii="Arial" w:cs="Arial" w:eastAsia="Arial" w:hAnsi="Arial"/>
          <w:sz w:val="22"/>
          <w:szCs w:val="22"/>
          <w:b w:val="1"/>
          <w:bCs w:val="1"/>
          <w:color w:val="auto"/>
        </w:rPr>
        <w:t>(Amendment No.1)*</w:t>
      </w:r>
    </w:p>
    <w:p>
      <w:pPr>
        <w:spacing w:after="0" w:line="169" w:lineRule="exact"/>
        <w:rPr>
          <w:sz w:val="24"/>
          <w:szCs w:val="24"/>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Silver Spike Acquisition Corp.</w:t>
      </w:r>
    </w:p>
    <w:p>
      <w:pPr>
        <w:ind w:left="4900"/>
        <w:spacing w:after="0"/>
        <w:rPr>
          <w:sz w:val="20"/>
          <w:szCs w:val="20"/>
          <w:color w:val="auto"/>
        </w:rPr>
      </w:pPr>
      <w:r>
        <w:rPr>
          <w:rFonts w:ascii="Arial" w:cs="Arial" w:eastAsia="Arial" w:hAnsi="Arial"/>
          <w:sz w:val="22"/>
          <w:szCs w:val="22"/>
          <w:color w:val="auto"/>
        </w:rPr>
        <w:t>(Name of Issuer)</w:t>
      </w:r>
    </w:p>
    <w:p>
      <w:pPr>
        <w:spacing w:after="0" w:line="142" w:lineRule="exact"/>
        <w:rPr>
          <w:sz w:val="24"/>
          <w:szCs w:val="24"/>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Class A ordinary shares, par value $0.0001 per share</w:t>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42" w:lineRule="exact"/>
        <w:rPr>
          <w:sz w:val="24"/>
          <w:szCs w:val="24"/>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G8136L106</w:t>
      </w:r>
    </w:p>
    <w:p>
      <w:pPr>
        <w:ind w:left="4860"/>
        <w:spacing w:after="0"/>
        <w:rPr>
          <w:sz w:val="20"/>
          <w:szCs w:val="20"/>
          <w:color w:val="auto"/>
        </w:rPr>
      </w:pPr>
      <w:r>
        <w:rPr>
          <w:rFonts w:ascii="Arial" w:cs="Arial" w:eastAsia="Arial" w:hAnsi="Arial"/>
          <w:sz w:val="22"/>
          <w:szCs w:val="22"/>
          <w:color w:val="auto"/>
        </w:rPr>
        <w:t>(CUSIP Number)</w:t>
      </w:r>
    </w:p>
    <w:p>
      <w:pPr>
        <w:spacing w:after="0" w:line="142" w:lineRule="exact"/>
        <w:rPr>
          <w:sz w:val="24"/>
          <w:szCs w:val="24"/>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December 31, 2020</w:t>
      </w: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6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79" w:lineRule="exact"/>
        <w:rPr>
          <w:sz w:val="24"/>
          <w:szCs w:val="24"/>
          <w:color w:val="auto"/>
        </w:rPr>
      </w:pPr>
    </w:p>
    <w:p>
      <w:pPr>
        <w:ind w:left="4520"/>
        <w:spacing w:after="0"/>
        <w:tabs>
          <w:tab w:leader="none" w:pos="4780" w:val="left"/>
          <w:tab w:leader="none" w:pos="550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13d-1(b)</w:t>
      </w:r>
    </w:p>
    <w:p>
      <w:pPr>
        <w:spacing w:after="0" w:line="247" w:lineRule="exact"/>
        <w:rPr>
          <w:sz w:val="24"/>
          <w:szCs w:val="24"/>
          <w:color w:val="auto"/>
        </w:rPr>
      </w:pPr>
    </w:p>
    <w:p>
      <w:pPr>
        <w:ind w:left="4500"/>
        <w:spacing w:after="0"/>
        <w:tabs>
          <w:tab w:leader="none" w:pos="5520" w:val="left"/>
        </w:tabs>
        <w:rPr>
          <w:sz w:val="20"/>
          <w:szCs w:val="20"/>
          <w:color w:val="auto"/>
        </w:rPr>
      </w:pPr>
      <w:r>
        <w:rPr>
          <w:rFonts w:ascii="Arial" w:cs="Arial" w:eastAsia="Arial" w:hAnsi="Arial"/>
          <w:sz w:val="22"/>
          <w:szCs w:val="22"/>
          <w:color w:val="auto"/>
        </w:rPr>
        <w:t>[ X ]</w:t>
      </w:r>
      <w:r>
        <w:rPr>
          <w:sz w:val="20"/>
          <w:szCs w:val="20"/>
          <w:color w:val="auto"/>
        </w:rPr>
        <w:tab/>
      </w:r>
      <w:r>
        <w:rPr>
          <w:rFonts w:ascii="Arial" w:cs="Arial" w:eastAsia="Arial" w:hAnsi="Arial"/>
          <w:sz w:val="19"/>
          <w:szCs w:val="19"/>
          <w:color w:val="auto"/>
        </w:rPr>
        <w:t>Rule 13d-1(c)</w:t>
      </w:r>
    </w:p>
    <w:p>
      <w:pPr>
        <w:spacing w:after="0" w:line="247" w:lineRule="exact"/>
        <w:rPr>
          <w:sz w:val="24"/>
          <w:szCs w:val="24"/>
          <w:color w:val="auto"/>
        </w:rPr>
      </w:pPr>
    </w:p>
    <w:p>
      <w:pPr>
        <w:ind w:left="4520"/>
        <w:spacing w:after="0"/>
        <w:tabs>
          <w:tab w:leader="none" w:pos="4780" w:val="left"/>
          <w:tab w:leader="none" w:pos="550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Rule 13d-1(d)</w:t>
      </w:r>
    </w:p>
    <w:p>
      <w:pPr>
        <w:spacing w:after="0" w:line="247" w:lineRule="exact"/>
        <w:rPr>
          <w:sz w:val="24"/>
          <w:szCs w:val="24"/>
          <w:color w:val="auto"/>
        </w:rPr>
      </w:pPr>
    </w:p>
    <w:p>
      <w:pPr>
        <w:jc w:val="both"/>
        <w:ind w:firstLine="8"/>
        <w:spacing w:after="0" w:line="223" w:lineRule="auto"/>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jc w:val="both"/>
        <w:spacing w:after="0" w:line="223"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jc w:val="center"/>
        <w:ind w:right="-19"/>
        <w:spacing w:after="0" w:line="204" w:lineRule="auto"/>
        <w:rPr>
          <w:sz w:val="20"/>
          <w:szCs w:val="20"/>
          <w:color w:val="auto"/>
        </w:rPr>
      </w:pPr>
      <w:r>
        <w:rPr>
          <w:rFonts w:ascii="Arial" w:cs="Arial" w:eastAsia="Arial" w:hAnsi="Arial"/>
          <w:sz w:val="22"/>
          <w:szCs w:val="22"/>
          <w:color w:val="auto"/>
        </w:rPr>
        <w:t>Page 1 of 11 Pages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Exhibit Index: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2 of 11 Pages</w:t>
            </w:r>
          </w:p>
        </w:tc>
        <w:tc>
          <w:tcPr>
            <w:tcW w:w="0" w:type="dxa"/>
            <w:vAlign w:val="bottom"/>
          </w:tcPr>
          <w:p>
            <w:pPr>
              <w:spacing w:after="0"/>
              <w:rPr>
                <w:sz w:val="1"/>
                <w:szCs w:val="1"/>
                <w:color w:val="auto"/>
              </w:rPr>
            </w:pPr>
          </w:p>
        </w:tc>
      </w:tr>
      <w:tr>
        <w:trPr>
          <w:trHeight w:val="257"/>
        </w:trPr>
        <w:tc>
          <w:tcPr>
            <w:tcW w:w="1400" w:type="dxa"/>
            <w:vAlign w:val="bottom"/>
            <w:tcBorders>
              <w:bottom w:val="single" w:sz="8" w:color="auto"/>
            </w:tcBorders>
          </w:tcPr>
          <w:p>
            <w:pPr>
              <w:spacing w:after="0"/>
              <w:rPr>
                <w:sz w:val="22"/>
                <w:szCs w:val="22"/>
                <w:color w:val="auto"/>
              </w:rPr>
            </w:pPr>
          </w:p>
        </w:tc>
        <w:tc>
          <w:tcPr>
            <w:tcW w:w="9840" w:type="dxa"/>
            <w:vAlign w:val="bottom"/>
            <w:tcBorders>
              <w:bottom w:val="single" w:sz="8" w:color="auto"/>
            </w:tcBorders>
            <w:gridSpan w:val="6"/>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SPAC FUND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3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MANAGEMENT,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4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CAPITAL MANAGEMENT, L.P.</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IA, 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G8136L106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5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BASSO GP, LLC</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OO, 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G8136L106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160"/>
              <w:spacing w:after="0"/>
              <w:rPr>
                <w:sz w:val="20"/>
                <w:szCs w:val="20"/>
                <w:color w:val="auto"/>
              </w:rPr>
            </w:pPr>
            <w:r>
              <w:rPr>
                <w:rFonts w:ascii="Arial" w:cs="Arial" w:eastAsia="Arial" w:hAnsi="Arial"/>
                <w:sz w:val="18"/>
                <w:szCs w:val="18"/>
                <w:color w:val="auto"/>
                <w:w w:val="83"/>
              </w:rPr>
              <w:t>Page 6 of 11 Pages</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HOWARD I. FISCHER</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6"/>
              </w:rPr>
              <w:t>IN, 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11 Pages</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Silver Spike Acquisition Corp. (the “Issuer”)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600 Madison Ave, 17th Floor, New York, New York 10022</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p>
      <w:pPr>
        <w:spacing w:after="0" w:line="173" w:lineRule="exact"/>
        <w:rPr>
          <w:sz w:val="20"/>
          <w:szCs w:val="20"/>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SPAC Fund LLC (“Basso SPAC”);</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Management, LLC (“Basso Management”);</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Capital Management, L.P. (“BCM”);</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Basso GP, LLC (“Basso GP”);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Howard I. Fischer (“Mr. Fischer”).</w:t>
      </w:r>
    </w:p>
    <w:p>
      <w:pPr>
        <w:spacing w:after="0" w:line="17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This Statement relates to Shares (as defined herein) directly beneficially owned by Basso SPAC. Basso Management is the manager of Basso SPAC. BCM serves as the investment manager of Basso SPAC. Basso GP is the general partner of BCM. Mr. Fischer is the principal portfolio manager for Basso SPAC, the Chief Executive Officer and a Founding Managing Partner of BCM, and a member of each of Basso Management and Basso GP. Accordingly, each of Basso Management, BCM, Basso GP and Mr. Fischer may be deemed to indirectly beneficially own the Shares reported herein.</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95" w:lineRule="exact"/>
        <w:rPr>
          <w:sz w:val="20"/>
          <w:szCs w:val="20"/>
          <w:color w:val="auto"/>
        </w:rPr>
      </w:pPr>
    </w:p>
    <w:p>
      <w:pPr>
        <w:ind w:right="440" w:firstLine="1296"/>
        <w:spacing w:after="0" w:line="226" w:lineRule="auto"/>
        <w:rPr>
          <w:sz w:val="20"/>
          <w:szCs w:val="20"/>
          <w:color w:val="auto"/>
        </w:rPr>
      </w:pPr>
      <w:r>
        <w:rPr>
          <w:rFonts w:ascii="Arial" w:cs="Arial" w:eastAsia="Arial" w:hAnsi="Arial"/>
          <w:sz w:val="22"/>
          <w:szCs w:val="22"/>
          <w:color w:val="auto"/>
        </w:rPr>
        <w:t>The address of the principal business office of each of the Reporting Persons is 1266 East Main Street, Fourth Floor, Stamford, Connecticut 06902.</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95" w:lineRule="exact"/>
        <w:rPr>
          <w:sz w:val="20"/>
          <w:szCs w:val="20"/>
          <w:color w:val="auto"/>
        </w:rPr>
      </w:pPr>
    </w:p>
    <w:p>
      <w:pPr>
        <w:ind w:right="620" w:firstLine="1296"/>
        <w:spacing w:after="0" w:line="226" w:lineRule="auto"/>
        <w:rPr>
          <w:sz w:val="20"/>
          <w:szCs w:val="20"/>
          <w:color w:val="auto"/>
        </w:rPr>
      </w:pPr>
      <w:r>
        <w:rPr>
          <w:rFonts w:ascii="Arial" w:cs="Arial" w:eastAsia="Arial" w:hAnsi="Arial"/>
          <w:sz w:val="22"/>
          <w:szCs w:val="22"/>
          <w:color w:val="auto"/>
        </w:rPr>
        <w:t>Each of Basso SPAC, Basso Management, and Basso GP is a Delaware limited liability company. BCM is a Delaware limited partnership. Mr. Fischer is a citizen of the United States.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44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22"/>
                <w:szCs w:val="22"/>
                <w:color w:val="auto"/>
              </w:rPr>
              <w:t>Class A ordinary shares, par value $0.0001 per share (the “Shares”)</w:t>
            </w:r>
          </w:p>
        </w:tc>
      </w:tr>
      <w:tr>
        <w:trPr>
          <w:trHeight w:val="42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483"/>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22"/>
                <w:szCs w:val="22"/>
                <w:color w:val="auto"/>
              </w:rPr>
              <w:t>G8136L106</w:t>
            </w:r>
          </w:p>
        </w:tc>
      </w:tr>
      <w:tr>
        <w:trPr>
          <w:trHeight w:val="38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44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22"/>
                <w:szCs w:val="22"/>
                <w:color w:val="auto"/>
              </w:rPr>
              <w:t>This Item 3 is not applicable.</w:t>
            </w:r>
          </w:p>
        </w:tc>
      </w:tr>
      <w:tr>
        <w:trPr>
          <w:trHeight w:val="381"/>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Ownership:</w:t>
            </w:r>
          </w:p>
        </w:tc>
      </w:tr>
      <w:tr>
        <w:trPr>
          <w:trHeight w:val="45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Amount Beneficially Owned:</w:t>
            </w:r>
          </w:p>
        </w:tc>
      </w:tr>
      <w:tr>
        <w:trPr>
          <w:trHeight w:val="459"/>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As of December 31, 2020, each of the Reporting Persons may be deemed the beneficial owner of 0 Shares.</w:t>
            </w:r>
          </w:p>
        </w:tc>
      </w:tr>
      <w:tr>
        <w:trPr>
          <w:trHeight w:val="371"/>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8 of 11 Pages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195" w:lineRule="exact"/>
        <w:rPr>
          <w:sz w:val="20"/>
          <w:szCs w:val="20"/>
          <w:color w:val="auto"/>
        </w:rPr>
      </w:pPr>
    </w:p>
    <w:p>
      <w:pPr>
        <w:ind w:firstLine="1296"/>
        <w:spacing w:after="0" w:line="226" w:lineRule="auto"/>
        <w:rPr>
          <w:sz w:val="20"/>
          <w:szCs w:val="20"/>
          <w:color w:val="auto"/>
        </w:rPr>
      </w:pPr>
      <w:r>
        <w:rPr>
          <w:rFonts w:ascii="Arial" w:cs="Arial" w:eastAsia="Arial" w:hAnsi="Arial"/>
          <w:sz w:val="22"/>
          <w:szCs w:val="22"/>
          <w:color w:val="auto"/>
        </w:rPr>
        <w:t>As of December 31, 2020, each of the Reporting Persons may be deemed the beneficial owner of approximately 0.0% of Shares outstanding.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Item4(c)</w:t>
            </w: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Number of Shares as to which such person has:</w:t>
            </w:r>
          </w:p>
        </w:tc>
        <w:tc>
          <w:tcPr>
            <w:tcW w:w="3160" w:type="dxa"/>
            <w:vAlign w:val="bottom"/>
          </w:tcPr>
          <w:p>
            <w:pPr>
              <w:spacing w:after="0"/>
              <w:rPr>
                <w:sz w:val="20"/>
                <w:szCs w:val="20"/>
                <w:color w:val="auto"/>
              </w:rPr>
            </w:pPr>
          </w:p>
        </w:tc>
      </w:tr>
      <w:tr>
        <w:trPr>
          <w:trHeight w:val="459"/>
        </w:trPr>
        <w:tc>
          <w:tcPr>
            <w:tcW w:w="8020" w:type="dxa"/>
            <w:vAlign w:val="bottom"/>
            <w:gridSpan w:val="2"/>
          </w:tcPr>
          <w:p>
            <w:pPr>
              <w:ind w:left="60"/>
              <w:spacing w:after="0"/>
              <w:rPr>
                <w:sz w:val="20"/>
                <w:szCs w:val="20"/>
                <w:color w:val="auto"/>
              </w:rPr>
            </w:pPr>
            <w:r>
              <w:rPr>
                <w:rFonts w:ascii="Arial" w:cs="Arial" w:eastAsia="Arial" w:hAnsi="Arial"/>
                <w:sz w:val="18"/>
                <w:szCs w:val="18"/>
                <w:color w:val="auto"/>
              </w:rPr>
              <w:t>(i) Sole power to vote or direct the vote:</w:t>
            </w:r>
          </w:p>
        </w:tc>
        <w:tc>
          <w:tcPr>
            <w:tcW w:w="3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020" w:type="dxa"/>
            <w:vAlign w:val="bottom"/>
            <w:gridSpan w:val="2"/>
          </w:tcPr>
          <w:p>
            <w:pPr>
              <w:ind w:left="60"/>
              <w:spacing w:after="0"/>
              <w:rPr>
                <w:sz w:val="20"/>
                <w:szCs w:val="20"/>
                <w:color w:val="auto"/>
              </w:rPr>
            </w:pPr>
            <w:r>
              <w:rPr>
                <w:rFonts w:ascii="Arial" w:cs="Arial" w:eastAsia="Arial" w:hAnsi="Arial"/>
                <w:sz w:val="18"/>
                <w:szCs w:val="18"/>
                <w:color w:val="auto"/>
              </w:rPr>
              <w:t>(ii) Shared power to vote or direct the vote:</w:t>
            </w:r>
          </w:p>
        </w:tc>
        <w:tc>
          <w:tcPr>
            <w:tcW w:w="3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0"/>
        </w:trPr>
        <w:tc>
          <w:tcPr>
            <w:tcW w:w="802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direct the disposition of:</w:t>
            </w:r>
          </w:p>
        </w:tc>
        <w:tc>
          <w:tcPr>
            <w:tcW w:w="31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11"/>
        </w:trPr>
        <w:tc>
          <w:tcPr>
            <w:tcW w:w="802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direct the disposition of:</w:t>
            </w:r>
          </w:p>
        </w:tc>
        <w:tc>
          <w:tcPr>
            <w:tcW w:w="31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160" w:firstLine="1296"/>
        <w:spacing w:after="0" w:line="250"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6 is not applicable.</w:t>
      </w:r>
    </w:p>
    <w:p>
      <w:pPr>
        <w:spacing w:after="0" w:line="169" w:lineRule="exact"/>
        <w:rPr>
          <w:sz w:val="20"/>
          <w:szCs w:val="20"/>
          <w:color w:val="auto"/>
        </w:rPr>
      </w:pPr>
    </w:p>
    <w:p>
      <w:pPr>
        <w:ind w:left="1300" w:right="5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disclosure in Item 2 hereof.</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8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9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35" w:lineRule="exact"/>
        <w:rPr>
          <w:sz w:val="20"/>
          <w:szCs w:val="20"/>
          <w:color w:val="auto"/>
        </w:rPr>
      </w:pPr>
    </w:p>
    <w:p>
      <w:pPr>
        <w:ind w:right="60" w:firstLine="1296"/>
        <w:spacing w:after="0" w:line="219"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11 Pages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185" w:lineRule="exact"/>
        <w:rPr>
          <w:sz w:val="20"/>
          <w:szCs w:val="20"/>
          <w:color w:val="auto"/>
        </w:rPr>
      </w:pPr>
    </w:p>
    <w:p>
      <w:pPr>
        <w:ind w:right="340"/>
        <w:spacing w:after="0" w:line="22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SPAC FUND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CAPITAL MANAGEMENT,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&amp; Founding Managing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HOWARD I. FISCHER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60" w:type="dxa"/>
            <w:vAlign w:val="bottom"/>
            <w:gridSpan w:val="3"/>
          </w:tcPr>
          <w:p>
            <w:pPr>
              <w:ind w:left="6200"/>
              <w:spacing w:after="0"/>
              <w:rPr>
                <w:sz w:val="20"/>
                <w:szCs w:val="20"/>
                <w:color w:val="auto"/>
              </w:rPr>
            </w:pPr>
            <w:r>
              <w:rPr>
                <w:rFonts w:ascii="Arial" w:cs="Arial" w:eastAsia="Arial" w:hAnsi="Arial"/>
                <w:sz w:val="18"/>
                <w:szCs w:val="18"/>
                <w:color w:val="auto"/>
                <w:w w:val="85"/>
              </w:rPr>
              <w:t>Page 10 of 11 Pages</w:t>
            </w:r>
          </w:p>
        </w:tc>
      </w:tr>
      <w:tr>
        <w:trPr>
          <w:trHeight w:val="469"/>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60" w:type="dxa"/>
            <w:vAlign w:val="bottom"/>
            <w:gridSpan w:val="3"/>
          </w:tcPr>
          <w:p>
            <w:pPr>
              <w:ind w:left="1200"/>
              <w:spacing w:after="0"/>
              <w:rPr>
                <w:sz w:val="20"/>
                <w:szCs w:val="20"/>
                <w:color w:val="auto"/>
              </w:rPr>
            </w:pPr>
            <w:r>
              <w:rPr>
                <w:rFonts w:ascii="Arial" w:cs="Arial" w:eastAsia="Arial" w:hAnsi="Arial"/>
                <w:sz w:val="22"/>
                <w:szCs w:val="22"/>
                <w:b w:val="1"/>
                <w:bCs w:val="1"/>
                <w:color w:val="auto"/>
              </w:rPr>
              <w:t>EXHIBIT INDEX</w:t>
            </w:r>
          </w:p>
        </w:tc>
      </w:tr>
      <w:tr>
        <w:trPr>
          <w:trHeight w:val="395"/>
        </w:trPr>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Ex.</w:t>
            </w: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c>
          <w:tcPr>
            <w:tcW w:w="20" w:type="dxa"/>
            <w:vAlign w:val="bottom"/>
          </w:tcPr>
          <w:p>
            <w:pPr>
              <w:spacing w:after="0"/>
              <w:rPr>
                <w:sz w:val="24"/>
                <w:szCs w:val="24"/>
                <w:color w:val="auto"/>
              </w:rPr>
            </w:pPr>
          </w:p>
        </w:tc>
      </w:tr>
      <w:tr>
        <w:trPr>
          <w:trHeight w:val="560"/>
        </w:trPr>
        <w:tc>
          <w:tcPr>
            <w:tcW w:w="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A</w:t>
            </w:r>
          </w:p>
        </w:tc>
        <w:tc>
          <w:tcPr>
            <w:tcW w:w="3100" w:type="dxa"/>
            <w:vAlign w:val="bottom"/>
          </w:tcPr>
          <w:p>
            <w:pPr>
              <w:ind w:left="220"/>
              <w:spacing w:after="0"/>
              <w:rPr>
                <w:sz w:val="20"/>
                <w:szCs w:val="20"/>
                <w:color w:val="auto"/>
              </w:rPr>
            </w:pPr>
            <w:r>
              <w:rPr>
                <w:rFonts w:ascii="Arial" w:cs="Arial" w:eastAsia="Arial" w:hAnsi="Arial"/>
                <w:sz w:val="18"/>
                <w:szCs w:val="18"/>
                <w:color w:val="auto"/>
              </w:rPr>
              <w:t>Joint Filing Agreement</w:t>
            </w:r>
          </w:p>
        </w:tc>
        <w:tc>
          <w:tcPr>
            <w:tcW w:w="76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r>
      <w:tr>
        <w:trPr>
          <w:trHeight w:val="3233"/>
        </w:trPr>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Page 11 of 11 Pages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58" w:lineRule="exact"/>
        <w:rPr>
          <w:sz w:val="20"/>
          <w:szCs w:val="20"/>
          <w:color w:val="auto"/>
        </w:rPr>
      </w:pPr>
    </w:p>
    <w:p>
      <w:pPr>
        <w:ind w:right="20" w:firstLine="1296"/>
        <w:spacing w:after="0" w:line="218"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Silver Spike Acquisition Corp. dated as of February 12, 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SPAC FUND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CAPITAL MANAGEMENT,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&amp; Founding Managing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BASSO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Howard I. Fischer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Member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HOWARD I. FISCHER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Howard I.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2021-02-12T15:37:23Z</dcterms:created>
  <dcterms:modified xsi:type="dcterms:W3CDTF">2021-02-12T15:37:23Z</dcterms:modified>
</cp:coreProperties>
</file>